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Nkarta,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tbl>
      <w:tblPr>
        <w:tblLayout w:type="fixed"/>
        <w:tblInd w:w="740" w:type="dxa"/>
        <w:tblCellMar>
          <w:top w:w="0" w:type="dxa"/>
          <w:left w:w="0" w:type="dxa"/>
          <w:bottom w:w="0" w:type="dxa"/>
          <w:right w:w="0" w:type="dxa"/>
        </w:tblCellMar>
      </w:tblPr>
      <w:tr>
        <w:trPr>
          <w:trHeight w:val="238"/>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1521"/>
              <w:spacing w:after="0"/>
              <w:rPr>
                <w:sz w:val="20"/>
                <w:szCs w:val="20"/>
                <w:color w:val="auto"/>
              </w:rPr>
            </w:pPr>
            <w:r>
              <w:rPr>
                <w:rFonts w:ascii="Times New Roman" w:cs="Times New Roman" w:eastAsia="Times New Roman" w:hAnsi="Times New Roman"/>
                <w:sz w:val="18"/>
                <w:szCs w:val="18"/>
                <w:b w:val="1"/>
                <w:bCs w:val="1"/>
                <w:color w:val="auto"/>
              </w:rPr>
              <w:t>001-39370</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47-4515206</w:t>
            </w:r>
          </w:p>
        </w:tc>
      </w:tr>
      <w:tr>
        <w:trPr>
          <w:trHeight w:val="159"/>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80" w:type="dxa"/>
            <w:vAlign w:val="bottom"/>
          </w:tcPr>
          <w:p>
            <w:pPr>
              <w:spacing w:after="0"/>
              <w:rPr>
                <w:sz w:val="13"/>
                <w:szCs w:val="13"/>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3"/>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8"/>
              </w:rPr>
              <w:t>1150 Veterans Boulevard</w:t>
            </w:r>
          </w:p>
        </w:tc>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2"/>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3680" w:type="dxa"/>
            <w:vAlign w:val="bottom"/>
          </w:tcPr>
          <w:p>
            <w:pPr>
              <w:spacing w:after="0"/>
              <w:rPr>
                <w:sz w:val="21"/>
                <w:szCs w:val="21"/>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80" w:type="dxa"/>
            <w:vAlign w:val="bottom"/>
          </w:tcPr>
          <w:p>
            <w:pPr>
              <w:spacing w:after="0"/>
              <w:rPr>
                <w:sz w:val="16"/>
                <w:szCs w:val="16"/>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(925) 407-1049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NKTX</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212529"/>
              </w:rPr>
              <w:t>(Nasdaq Global Select Market)</w:t>
            </w:r>
          </w:p>
        </w:tc>
        <w:tc>
          <w:tcPr>
            <w:tcW w:w="0" w:type="dxa"/>
            <w:vAlign w:val="bottom"/>
          </w:tcPr>
          <w:p>
            <w:pPr>
              <w:spacing w:after="0"/>
              <w:rPr>
                <w:sz w:val="1"/>
                <w:szCs w:val="1"/>
                <w:color w:val="auto"/>
              </w:rPr>
            </w:pPr>
          </w:p>
        </w:tc>
      </w:tr>
    </w:tbl>
    <w:p>
      <w:pPr>
        <w:spacing w:after="0" w:line="16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8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On August 13, 2024, Nkarta, Inc. (the “Company”) furnished a Current Report on Form 8-K (the “Original 8-K”) containing information related to Company’s financial results for the second quarter ended June 30, 2024. Due to an administrative error, the submission header in the Original 8-K inadvertently referred to Item 1.01. This Current Report on Form 8-K/A is being furnished solely for the purpose of reporting the Company’s financial results for the second quarter ended June 30, 2024 under Item 2.02 and correcting the submission header to refer to Items 2.02 and 9.01. All disclosures contained in the Original 8-K remain unchanged.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12529"/>
        </w:rPr>
        <w:t>On August 13, 2024, the Company issued a press release announcing the Company’s financial results for the second quarter ended June 30, 2024. A copy of the Company’s press release is attached hereto as Exhibit 99.1.</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12529"/>
        </w:rPr>
        <w:t>The information in Item 2.02 of this Current Report on Form 8-K (including Exhibit 99.1) shall not be deemed “filed” for purposes of Section 18 of the Securities Exchange Act of 1934, as amended (the “Exchange Act”), or otherwise subject to the liabilities of that section, nor shall it be, or be deemed, incorporated by reference in any filings under the Securities Act of 1933, as amended (the “Securities Act”), unless the Company specifically states that the information is to be considered “filed” under the Exchange Act or incorporates it by reference into a filing under the Securities Act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10180" w:type="dxa"/>
            <w:vAlign w:val="bottom"/>
            <w:gridSpan w:val="2"/>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6"/>
                <w:szCs w:val="16"/>
                <w:color w:val="auto"/>
              </w:rPr>
            </w:pPr>
          </w:p>
        </w:tc>
        <w:tc>
          <w:tcPr>
            <w:tcW w:w="10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800" w:type="dxa"/>
            <w:vAlign w:val="bottom"/>
          </w:tcPr>
          <w:p>
            <w:pPr>
              <w:jc w:val="right"/>
              <w:ind w:right="382"/>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August 13, 2024 entitled “Nkarta Reports Second Quarter 2024 Financial Results and Corporate Highlights”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8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5580" w:right="4380" w:hanging="5559"/>
        <w:spacing w:after="0" w:line="548" w:lineRule="auto"/>
        <w:tabs>
          <w:tab w:leader="none" w:pos="10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Nkarta, Inc.</w:t>
      </w:r>
    </w:p>
    <w:p>
      <w:pPr>
        <w:spacing w:after="0" w:line="252"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August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Alyssa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Alyssa Levin</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and Business Officer</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128270</wp:posOffset>
            </wp:positionV>
            <wp:extent cx="2177415"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74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Calibri" w:cs="Calibri" w:eastAsia="Calibri" w:hAnsi="Calibri"/>
          <w:sz w:val="25"/>
          <w:szCs w:val="25"/>
          <w:b w:val="1"/>
          <w:bCs w:val="1"/>
          <w:color w:val="auto"/>
        </w:rPr>
        <w:t>Nkarta Reports Second Quarter 2024 Financial Results and Corporate Highlights</w:t>
      </w:r>
    </w:p>
    <w:p>
      <w:pPr>
        <w:spacing w:after="0" w:line="126" w:lineRule="exact"/>
        <w:rPr>
          <w:sz w:val="20"/>
          <w:szCs w:val="20"/>
          <w:color w:val="auto"/>
        </w:rPr>
      </w:pPr>
    </w:p>
    <w:p>
      <w:pPr>
        <w:ind w:left="1020" w:right="140" w:hanging="503"/>
        <w:spacing w:after="0" w:line="235"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Enrollment expected to initate by year-end 2024 in second clinical trial of NKX019 in autoimmune disease, Ntrust-2, for treatment of systemic sclerosis, myosits and vasculits</w:t>
      </w:r>
    </w:p>
    <w:p>
      <w:pPr>
        <w:spacing w:after="0" w:line="111"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Preliminary clinical data from Ntrust-1 and Ntrust-2 clinical trials planned for 2025</w:t>
      </w:r>
    </w:p>
    <w:p>
      <w:pPr>
        <w:spacing w:after="0" w:line="120" w:lineRule="exact"/>
        <w:rPr>
          <w:rFonts w:ascii="Times New Roman" w:cs="Times New Roman" w:eastAsia="Times New Roman" w:hAnsi="Times New Roman"/>
          <w:sz w:val="22"/>
          <w:szCs w:val="22"/>
          <w:color w:val="auto"/>
        </w:rPr>
      </w:pPr>
    </w:p>
    <w:p>
      <w:pPr>
        <w:ind w:left="1020" w:right="100" w:hanging="503"/>
        <w:spacing w:after="0" w:line="235"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Cash balance of $426.7 million on June 30, 2024, including cash, cash equivalents and investments, expected to fund operatons into late 2027</w:t>
      </w:r>
    </w:p>
    <w:p>
      <w:pPr>
        <w:spacing w:after="0" w:line="325" w:lineRule="exact"/>
        <w:rPr>
          <w:sz w:val="20"/>
          <w:szCs w:val="20"/>
          <w:color w:val="auto"/>
        </w:rPr>
      </w:pPr>
    </w:p>
    <w:p>
      <w:pPr>
        <w:ind w:right="180"/>
        <w:spacing w:after="0" w:line="237" w:lineRule="auto"/>
        <w:rPr>
          <w:sz w:val="20"/>
          <w:szCs w:val="20"/>
          <w:color w:val="auto"/>
        </w:rPr>
      </w:pPr>
      <w:r>
        <w:rPr>
          <w:rFonts w:ascii="Calibri" w:cs="Calibri" w:eastAsia="Calibri" w:hAnsi="Calibri"/>
          <w:sz w:val="22"/>
          <w:szCs w:val="22"/>
          <w:color w:val="auto"/>
        </w:rPr>
        <w:t>SOUTH SAN FRANCISCO, Calif., August 13, 2024 -- Nkarta, Inc. (Nasdaq: NKTX), a clinical-stage biopharmaceutcal company developing engineered natural killer (NK) cell therapies, today reported fnancial results for the second quarter ended June 30, 2024.</w:t>
      </w:r>
    </w:p>
    <w:p>
      <w:pPr>
        <w:spacing w:after="0" w:line="284" w:lineRule="exact"/>
        <w:rPr>
          <w:sz w:val="20"/>
          <w:szCs w:val="20"/>
          <w:color w:val="auto"/>
        </w:rPr>
      </w:pPr>
    </w:p>
    <w:p>
      <w:pPr>
        <w:ind w:right="200"/>
        <w:spacing w:after="0" w:line="239" w:lineRule="auto"/>
        <w:rPr>
          <w:sz w:val="20"/>
          <w:szCs w:val="20"/>
          <w:color w:val="auto"/>
        </w:rPr>
      </w:pPr>
      <w:r>
        <w:rPr>
          <w:rFonts w:ascii="Calibri" w:cs="Calibri" w:eastAsia="Calibri" w:hAnsi="Calibri"/>
          <w:sz w:val="22"/>
          <w:szCs w:val="22"/>
          <w:color w:val="auto"/>
        </w:rPr>
        <w:t>“Patents remain our focus, and early executon on our clinical trials across disease areas is a testament to that commitment,” said Paul J. Hastngs, CEO of Nkarta. “NKX019 has the potental to reach people living with a wide range of autoimmune diseases, and we will contnue to evaluate ways to maximize our impact in this feld. Our cellular engineering enables us to evaluate a reduced toxicity lymphodepleton regimen, to limit hospitalizaton and patent burden, and spare the complicatons of other agents.”</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Contnued executon in clinical development of NKX019 for autoimmune diseases</w:t>
      </w:r>
    </w:p>
    <w:p>
      <w:pPr>
        <w:spacing w:after="0" w:line="120" w:lineRule="exact"/>
        <w:rPr>
          <w:sz w:val="20"/>
          <w:szCs w:val="20"/>
          <w:color w:val="auto"/>
        </w:rPr>
      </w:pPr>
    </w:p>
    <w:p>
      <w:pPr>
        <w:ind w:left="1020" w:right="100" w:hanging="503"/>
        <w:spacing w:after="0" w:line="238"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Received clearance from FDA of second Investgatonal New Drug (IND) applicaton for NKX019 in autoimmune disease, supportng the planned initaton of Ntrust-2, a clinical trial of NKX019 for the treatment of systemic sclerosis, myosits and vasculits. Patents enrolled in Ntrust-2 will receive three doses of NKX019 on Days 0, 3, and 7 following lymphodepleton (LD) with single-agent cyclophosphamide (cy).</w:t>
      </w:r>
    </w:p>
    <w:p>
      <w:pPr>
        <w:spacing w:after="0" w:line="122" w:lineRule="exact"/>
        <w:rPr>
          <w:rFonts w:ascii="Times New Roman" w:cs="Times New Roman" w:eastAsia="Times New Roman" w:hAnsi="Times New Roman"/>
          <w:sz w:val="22"/>
          <w:szCs w:val="22"/>
          <w:color w:val="auto"/>
        </w:rPr>
      </w:pPr>
    </w:p>
    <w:p>
      <w:pPr>
        <w:ind w:left="1020" w:right="20" w:hanging="503"/>
        <w:spacing w:after="0" w:line="237"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Initaton of an investgator-sponsored trial (IST) of NKX019 in systemic lupus erythematosus (SLE) with or without LN by researchers at Columbia University Irving Medical Center. Patents enrolled in the IST will receive three doses of NKX019 on Days 0, 3, and 7 following LD with single-agent cy.</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Autoimmune milestones 2024-2025</w:t>
      </w:r>
    </w:p>
    <w:p>
      <w:pPr>
        <w:spacing w:after="0" w:line="109"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Initaton of patent enrollment in Ntrust-2 clinical trial expected by year-end 2024.</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Preliminary clinical data from Ntrust-1 and Ntrust-2 clinical trials planned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4" w:name="page5"/>
    <w:bookmarkEnd w:id="4"/>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Mid-year update for NKX019 in non-Hodgkin lymphoma (NHL)</w:t>
      </w:r>
    </w:p>
    <w:p>
      <w:pPr>
        <w:spacing w:after="0" w:line="120" w:lineRule="exact"/>
        <w:rPr>
          <w:sz w:val="20"/>
          <w:szCs w:val="20"/>
          <w:color w:val="auto"/>
        </w:rPr>
      </w:pPr>
    </w:p>
    <w:p>
      <w:pPr>
        <w:ind w:left="1020" w:right="380" w:hanging="503"/>
        <w:spacing w:after="0" w:line="253" w:lineRule="auto"/>
        <w:tabs>
          <w:tab w:leader="none" w:pos="1020" w:val="left"/>
        </w:tabs>
        <w:numPr>
          <w:ilvl w:val="0"/>
          <w:numId w:val="6"/>
        </w:numPr>
        <w:rPr>
          <w:rFonts w:ascii="Times New Roman" w:cs="Times New Roman" w:eastAsia="Times New Roman" w:hAnsi="Times New Roman"/>
          <w:sz w:val="21"/>
          <w:szCs w:val="21"/>
          <w:color w:val="auto"/>
        </w:rPr>
      </w:pPr>
      <w:r>
        <w:rPr>
          <w:rFonts w:ascii="Calibri" w:cs="Calibri" w:eastAsia="Calibri" w:hAnsi="Calibri"/>
          <w:sz w:val="21"/>
          <w:szCs w:val="21"/>
          <w:color w:val="auto"/>
        </w:rPr>
        <w:t>Nkarta presented follow-up data from its Phase 1 clinical trial of NKX019 in relapsed/refractory NHL at the Pan Pacifc Lymphoma Conference in July 2024, including follow-up on 4 patents who were retreated and re-entered complete response (CR), demonstratng the safety and encouraging efectveness (4/4 CR) of retreatment.</w:t>
      </w:r>
    </w:p>
    <w:p>
      <w:pPr>
        <w:spacing w:after="0" w:line="107" w:lineRule="exact"/>
        <w:rPr>
          <w:rFonts w:ascii="Times New Roman" w:cs="Times New Roman" w:eastAsia="Times New Roman" w:hAnsi="Times New Roman"/>
          <w:sz w:val="21"/>
          <w:szCs w:val="21"/>
          <w:color w:val="auto"/>
        </w:rPr>
      </w:pPr>
    </w:p>
    <w:p>
      <w:pPr>
        <w:ind w:left="1020" w:right="380" w:hanging="503"/>
        <w:spacing w:after="0" w:line="237"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Nkarta previously opened a cohort with a compressed (7-day) dosing schedule, where patents with large B-cell lymphoma (LBCL) who have progressed following CAR T therapy receive NKX019 on Days 0, 3, and 7 following LD with fudarabine (fu) and cy.</w:t>
      </w:r>
    </w:p>
    <w:p>
      <w:pPr>
        <w:spacing w:after="0" w:line="122" w:lineRule="exact"/>
        <w:rPr>
          <w:rFonts w:ascii="Times New Roman" w:cs="Times New Roman" w:eastAsia="Times New Roman" w:hAnsi="Times New Roman"/>
          <w:sz w:val="22"/>
          <w:szCs w:val="22"/>
          <w:color w:val="auto"/>
        </w:rPr>
      </w:pPr>
    </w:p>
    <w:p>
      <w:pPr>
        <w:ind w:left="1020" w:right="340" w:hanging="503"/>
        <w:spacing w:after="0" w:line="235"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Nkarta has completed enrollment of patents into the 7-day dosing cohort in LBCL following CAR T and expects to announce data from this cohort in late-2024.</w:t>
      </w:r>
    </w:p>
    <w:p>
      <w:pPr>
        <w:spacing w:after="0" w:line="122" w:lineRule="exact"/>
        <w:rPr>
          <w:rFonts w:ascii="Times New Roman" w:cs="Times New Roman" w:eastAsia="Times New Roman" w:hAnsi="Times New Roman"/>
          <w:sz w:val="22"/>
          <w:szCs w:val="22"/>
          <w:color w:val="auto"/>
        </w:rPr>
      </w:pPr>
    </w:p>
    <w:p>
      <w:pPr>
        <w:ind w:left="1020" w:right="160" w:hanging="503"/>
        <w:spacing w:after="0" w:line="235"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Future development of NKX019 in NHL will be contngent on favorable outcomes from the seven patents that have been treated in the new cohort.</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Leadership Updates</w:t>
      </w:r>
    </w:p>
    <w:p>
      <w:pPr>
        <w:spacing w:after="0" w:line="120" w:lineRule="exact"/>
        <w:rPr>
          <w:sz w:val="20"/>
          <w:szCs w:val="20"/>
          <w:color w:val="auto"/>
        </w:rPr>
      </w:pPr>
    </w:p>
    <w:p>
      <w:pPr>
        <w:ind w:left="1020" w:hanging="503"/>
        <w:spacing w:after="0" w:line="237"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July 2024, Nadir Mahmood, Ph.D., joined Nkarta as President, and David R. Shook, M.D., was promoted to Chief Medical Ofcer, Head of Research &amp; Development, with both executves reportng to Paul J. Hastngs, Chief Executve Ofcer.</w:t>
      </w:r>
    </w:p>
    <w:p>
      <w:pPr>
        <w:spacing w:after="0" w:line="122" w:lineRule="exact"/>
        <w:rPr>
          <w:rFonts w:ascii="Times New Roman" w:cs="Times New Roman" w:eastAsia="Times New Roman" w:hAnsi="Times New Roman"/>
          <w:sz w:val="22"/>
          <w:szCs w:val="22"/>
          <w:color w:val="auto"/>
        </w:rPr>
      </w:pPr>
    </w:p>
    <w:p>
      <w:pPr>
        <w:ind w:left="1020" w:right="620" w:hanging="503"/>
        <w:spacing w:after="0" w:line="235"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June 2024, George Vratsanos, M.D., FACR, an accomplished biopharmaceutcal executve with scientfc and clinical expertse in immunology and autoimmunity, joined Nkarta’s Board of Directors.</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Second Quarter 2024 and Recent Financial Highlights</w:t>
      </w:r>
    </w:p>
    <w:p>
      <w:pPr>
        <w:spacing w:after="0" w:line="122" w:lineRule="exact"/>
        <w:rPr>
          <w:sz w:val="20"/>
          <w:szCs w:val="20"/>
          <w:color w:val="auto"/>
        </w:rPr>
      </w:pPr>
    </w:p>
    <w:p>
      <w:pPr>
        <w:ind w:left="1020" w:right="200" w:hanging="503"/>
        <w:spacing w:after="0" w:line="235" w:lineRule="auto"/>
        <w:tabs>
          <w:tab w:leader="none" w:pos="102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Nkarta had cash, cash equivalents, restricted cash, and investments in marketable securites of $426.7 million as of June 30, 2024.</w:t>
      </w:r>
    </w:p>
    <w:p>
      <w:pPr>
        <w:spacing w:after="0" w:line="122" w:lineRule="exact"/>
        <w:rPr>
          <w:rFonts w:ascii="Times New Roman" w:cs="Times New Roman" w:eastAsia="Times New Roman" w:hAnsi="Times New Roman"/>
          <w:sz w:val="22"/>
          <w:szCs w:val="22"/>
          <w:color w:val="auto"/>
        </w:rPr>
      </w:pPr>
    </w:p>
    <w:p>
      <w:pPr>
        <w:ind w:left="1020" w:right="500" w:hanging="503"/>
        <w:spacing w:after="0" w:line="252" w:lineRule="auto"/>
        <w:tabs>
          <w:tab w:leader="none" w:pos="1020" w:val="left"/>
        </w:tabs>
        <w:numPr>
          <w:ilvl w:val="0"/>
          <w:numId w:val="8"/>
        </w:numPr>
        <w:rPr>
          <w:rFonts w:ascii="Times New Roman" w:cs="Times New Roman" w:eastAsia="Times New Roman" w:hAnsi="Times New Roman"/>
          <w:sz w:val="21"/>
          <w:szCs w:val="21"/>
          <w:color w:val="auto"/>
        </w:rPr>
      </w:pPr>
      <w:r>
        <w:rPr>
          <w:rFonts w:ascii="Calibri" w:cs="Calibri" w:eastAsia="Calibri" w:hAnsi="Calibri"/>
          <w:sz w:val="21"/>
          <w:szCs w:val="21"/>
          <w:color w:val="auto"/>
        </w:rPr>
        <w:t>Research and development (R&amp;D) expenses were $23.1 million for the second quarter of 2024. Non-cash stock-based compensaton expense included in R&amp;D expense was $2.2 million for the second quarter of 2024.</w:t>
      </w:r>
    </w:p>
    <w:p>
      <w:pPr>
        <w:spacing w:after="0" w:line="109" w:lineRule="exact"/>
        <w:rPr>
          <w:rFonts w:ascii="Times New Roman" w:cs="Times New Roman" w:eastAsia="Times New Roman" w:hAnsi="Times New Roman"/>
          <w:sz w:val="21"/>
          <w:szCs w:val="21"/>
          <w:color w:val="auto"/>
        </w:rPr>
      </w:pPr>
    </w:p>
    <w:p>
      <w:pPr>
        <w:ind w:left="1020" w:right="80" w:hanging="503"/>
        <w:spacing w:after="0" w:line="235" w:lineRule="auto"/>
        <w:tabs>
          <w:tab w:leader="none" w:pos="102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General and administratve (G&amp;A) expenses were $7.6 million for the second quarter of 2024. Non-cash stock-based compensaton expense included in G&amp;A expense was $2.2 million for the second quarter of 2024.</w:t>
      </w:r>
    </w:p>
    <w:p>
      <w:pPr>
        <w:spacing w:after="0" w:line="122" w:lineRule="exact"/>
        <w:rPr>
          <w:rFonts w:ascii="Times New Roman" w:cs="Times New Roman" w:eastAsia="Times New Roman" w:hAnsi="Times New Roman"/>
          <w:sz w:val="22"/>
          <w:szCs w:val="22"/>
          <w:color w:val="auto"/>
        </w:rPr>
      </w:pPr>
    </w:p>
    <w:p>
      <w:pPr>
        <w:ind w:left="1020" w:right="320" w:hanging="503"/>
        <w:spacing w:after="0" w:line="237" w:lineRule="auto"/>
        <w:tabs>
          <w:tab w:leader="none" w:pos="102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Net loss was $25.0 million, or $0.34 per basic and diluted share, for the second quarter of 2024. This net loss includes non-cash charges of $6.7 million that consisted primarily of share-based compensaton and depreciaton expenses.</w:t>
      </w:r>
    </w:p>
    <w:p>
      <w:pPr>
        <w:spacing w:after="0" w:line="272"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Financial Guidance</w:t>
      </w:r>
    </w:p>
    <w:p>
      <w:pPr>
        <w:spacing w:after="0" w:line="122" w:lineRule="exact"/>
        <w:rPr>
          <w:sz w:val="20"/>
          <w:szCs w:val="20"/>
          <w:color w:val="auto"/>
        </w:rPr>
      </w:pPr>
    </w:p>
    <w:p>
      <w:pPr>
        <w:ind w:left="1020" w:right="440" w:hanging="503"/>
        <w:spacing w:after="0" w:line="235" w:lineRule="auto"/>
        <w:tabs>
          <w:tab w:leader="none" w:pos="1020"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Nkarta expects its current cash and cash equivalents will be sufcient to fund its current operatng plan into late 2027.</w:t>
      </w:r>
    </w:p>
    <w:p>
      <w:pPr>
        <w:spacing w:after="0" w:line="380"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NKX019</w:t>
      </w:r>
    </w:p>
    <w:p>
      <w:pPr>
        <w:spacing w:after="0" w:line="12" w:lineRule="exact"/>
        <w:rPr>
          <w:sz w:val="20"/>
          <w:szCs w:val="20"/>
          <w:color w:val="auto"/>
        </w:rPr>
      </w:pPr>
    </w:p>
    <w:p>
      <w:pPr>
        <w:ind w:right="160"/>
        <w:spacing w:after="0" w:line="239" w:lineRule="auto"/>
        <w:rPr>
          <w:sz w:val="20"/>
          <w:szCs w:val="20"/>
          <w:color w:val="auto"/>
        </w:rPr>
      </w:pPr>
      <w:r>
        <w:rPr>
          <w:rFonts w:ascii="Calibri" w:cs="Calibri" w:eastAsia="Calibri" w:hAnsi="Calibri"/>
          <w:sz w:val="22"/>
          <w:szCs w:val="22"/>
          <w:color w:val="auto"/>
        </w:rPr>
        <w:t>NKX019 is an allogeneic, cryopreserved, of-the-shelf immunotherapy candidate that uses natural killer (NK) cells derived from the peripheral blood of healthy adult donors. It is engineered with a humanized CD19-directed CAR for enhanced cell targetng and a proprietary, membrane-bound form of interleukin-15 (IL-15) for greater persistence and actvity without exogenous cytokine support. CD19 is a biomarker for normal B cells as well as those implicated in autoimmune disease and B cell-derived malignancies.</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Ntrust Clinical Trials in Autoimmune Disease</w:t>
      </w:r>
    </w:p>
    <w:p>
      <w:pPr>
        <w:spacing w:after="0" w:line="12" w:lineRule="exact"/>
        <w:rPr>
          <w:sz w:val="20"/>
          <w:szCs w:val="20"/>
          <w:color w:val="auto"/>
        </w:rPr>
      </w:pPr>
    </w:p>
    <w:p>
      <w:pPr>
        <w:ind w:right="60"/>
        <w:spacing w:after="0" w:line="239" w:lineRule="auto"/>
        <w:rPr>
          <w:sz w:val="20"/>
          <w:szCs w:val="20"/>
          <w:color w:val="auto"/>
        </w:rPr>
      </w:pPr>
      <w:r>
        <w:rPr>
          <w:rFonts w:ascii="Calibri" w:cs="Calibri" w:eastAsia="Calibri" w:hAnsi="Calibri"/>
          <w:sz w:val="22"/>
          <w:szCs w:val="22"/>
          <w:color w:val="auto"/>
        </w:rPr>
        <w:t>Ntrust-1 and Ntrust-2 are mult-center, open label, dose escalaton clinical trials that build on academic studies of durable, drug-free remissions in patents with autoimmune disease afer CD19-targeted cell therapy. Both trials will assess the safety of NKX019 in people living with autoimmune diseases as well as its ability to enable long-term remissions via a “reset” of the immune system through the eliminaton of pathogenic B cells. Per the trial protocols, patents receive three-dose cycles of NKX019 at 1 billion or 1.5 billion cells per dose following single-agent lymphodepleton with cyclophosphamide, an agent with an established safety profle across autoimmune diseases. Leveraging the engineering of NKX019, no patents in either trial will receive supplemental cytokines or antbody-based therapeutcs. This approach is designed to evaluate the single-agent actvity of NKX019 and facilitate a more rapid path to regulatory approval.</w:t>
      </w:r>
    </w:p>
    <w:p>
      <w:pPr>
        <w:spacing w:after="0" w:line="291" w:lineRule="exact"/>
        <w:rPr>
          <w:sz w:val="20"/>
          <w:szCs w:val="20"/>
          <w:color w:val="auto"/>
        </w:rPr>
      </w:pPr>
    </w:p>
    <w:p>
      <w:pPr>
        <w:ind w:right="120"/>
        <w:spacing w:after="0" w:line="235" w:lineRule="auto"/>
        <w:rPr>
          <w:sz w:val="20"/>
          <w:szCs w:val="20"/>
          <w:color w:val="auto"/>
        </w:rPr>
      </w:pPr>
      <w:r>
        <w:rPr>
          <w:rFonts w:ascii="Calibri" w:cs="Calibri" w:eastAsia="Calibri" w:hAnsi="Calibri"/>
          <w:sz w:val="22"/>
          <w:szCs w:val="22"/>
          <w:color w:val="auto"/>
        </w:rPr>
        <w:t>In the Ntrust-1 study, patents with refractory lupus nephrits receive NKX019 on Days 0, 7 and 14. Patents in Ntrust-1 may also receive additonal cycles to restore response.</w:t>
      </w:r>
    </w:p>
    <w:p>
      <w:pPr>
        <w:spacing w:after="0" w:line="284" w:lineRule="exact"/>
        <w:rPr>
          <w:sz w:val="20"/>
          <w:szCs w:val="20"/>
          <w:color w:val="auto"/>
        </w:rPr>
      </w:pPr>
    </w:p>
    <w:p>
      <w:pPr>
        <w:ind w:right="140"/>
        <w:spacing w:after="0" w:line="237" w:lineRule="auto"/>
        <w:rPr>
          <w:sz w:val="20"/>
          <w:szCs w:val="20"/>
          <w:color w:val="auto"/>
        </w:rPr>
      </w:pPr>
      <w:r>
        <w:rPr>
          <w:rFonts w:ascii="Calibri" w:cs="Calibri" w:eastAsia="Calibri" w:hAnsi="Calibri"/>
          <w:sz w:val="22"/>
          <w:szCs w:val="22"/>
          <w:color w:val="auto"/>
        </w:rPr>
        <w:t>Once initated, Ntrust-2 will enroll patents with systemic sclerosis (scleroderma), idiopathic infammatory myopathy (myosits), and ANCA-associated vasculits into parallel cohorts, and NKX019 will be dosed on Days 0, 3, and 7, a regimen that may be advantageous across all Nkarta clinical trials. Each trial is designed to initally enroll up to 12 patents.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Nkarta</w:t>
      </w:r>
    </w:p>
    <w:p>
      <w:pPr>
        <w:spacing w:after="0" w:line="12" w:lineRule="exact"/>
        <w:rPr>
          <w:sz w:val="20"/>
          <w:szCs w:val="20"/>
          <w:color w:val="auto"/>
        </w:rPr>
      </w:pPr>
    </w:p>
    <w:p>
      <w:pPr>
        <w:ind w:right="220"/>
        <w:spacing w:after="0" w:line="239" w:lineRule="auto"/>
        <w:rPr>
          <w:sz w:val="20"/>
          <w:szCs w:val="20"/>
          <w:color w:val="auto"/>
        </w:rPr>
      </w:pPr>
      <w:r>
        <w:rPr>
          <w:rFonts w:ascii="Calibri" w:cs="Calibri" w:eastAsia="Calibri" w:hAnsi="Calibri"/>
          <w:sz w:val="22"/>
          <w:szCs w:val="22"/>
          <w:color w:val="auto"/>
        </w:rPr>
        <w:t xml:space="preserve">Nkarta is a clinical-stage biotechnology company advancing the development of allogeneic, of-the-shelf natural killer (NK) cell therapies. By combining its cell expansion and cryopreservaton platorm with proprietary cell engineering technologies and CRISPR-based genome engineering capabilites, Nkarta is building a pipeline of future cell therapies engineered for deep therapeutc actvity and intended for broad access in the outpatent treatment setng. For more informaton, please visit the company’s website at </w:t>
      </w:r>
      <w:r>
        <w:rPr>
          <w:rFonts w:ascii="Calibri" w:cs="Calibri" w:eastAsia="Calibri" w:hAnsi="Calibri"/>
          <w:sz w:val="22"/>
          <w:szCs w:val="22"/>
          <w:u w:val="single" w:color="auto"/>
          <w:color w:val="0563C1"/>
        </w:rPr>
        <w:t>www.nkartatx.com</w:t>
      </w:r>
      <w:r>
        <w:rPr>
          <w:rFonts w:ascii="Calibri" w:cs="Calibri" w:eastAsia="Calibri" w:hAnsi="Calibri"/>
          <w:sz w:val="22"/>
          <w:szCs w:val="22"/>
          <w:color w:val="auto"/>
        </w:rPr>
        <w:t>.</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Cautonary Note on Forward-Looking Statements</w:t>
      </w:r>
    </w:p>
    <w:p>
      <w:pPr>
        <w:spacing w:after="0" w:line="12" w:lineRule="exact"/>
        <w:rPr>
          <w:sz w:val="20"/>
          <w:szCs w:val="20"/>
          <w:color w:val="auto"/>
        </w:rPr>
      </w:pPr>
    </w:p>
    <w:p>
      <w:pPr>
        <w:ind w:right="60"/>
        <w:spacing w:after="0" w:line="252" w:lineRule="auto"/>
        <w:rPr>
          <w:sz w:val="20"/>
          <w:szCs w:val="20"/>
          <w:color w:val="auto"/>
        </w:rPr>
      </w:pPr>
      <w:r>
        <w:rPr>
          <w:rFonts w:ascii="Calibri" w:cs="Calibri" w:eastAsia="Calibri" w:hAnsi="Calibri"/>
          <w:sz w:val="21"/>
          <w:szCs w:val="21"/>
          <w:color w:val="auto"/>
        </w:rPr>
        <w:t>Statements contained in this press release regarding maters that are not historical facts are “forward-looking statements” within the meaning of the Private Securites Litgaton Reform Act of 1995, as amended. Words such as "antcipates," "believes," "expects," "intends," “plans,” “potental,” "projects,” “would” and "future" or similar expressions are intended to identfy</w:t>
      </w:r>
    </w:p>
    <w:p>
      <w:pPr>
        <w:spacing w:after="0" w:line="368"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right="20"/>
        <w:spacing w:after="0"/>
        <w:rPr>
          <w:sz w:val="20"/>
          <w:szCs w:val="20"/>
          <w:color w:val="auto"/>
        </w:rPr>
      </w:pPr>
      <w:r>
        <w:rPr>
          <w:rFonts w:ascii="Calibri" w:cs="Calibri" w:eastAsia="Calibri" w:hAnsi="Calibri"/>
          <w:sz w:val="22"/>
          <w:szCs w:val="22"/>
          <w:color w:val="auto"/>
        </w:rPr>
        <w:t>forward-looking statements. Examples of these forward-looking statements include, but are not limited to, statements concerning Nkarta’s expectatons regarding any or all of the following: Nkarta’s positon, plans, strategies, and tmelines (including initaton of further clinical trials) for the contnued and future clinical development and commercial potental of its product candidates, including NKX019 for the treatment of autoimmune disease, including lupus, systemic sclerosis, myosits, and vasculits; the therapeutc potental, accessibility, tolerability, advantages, and safety profle of NK cell therapies, including NKX019 for the treatment of autoimmune diseases, including lupus, systemic sclerosis, myosits, and vasculits, and NHL; Nkarta’s plans and tmelines for the future availability and disclosure of clinical data from Ntrust-1 and Ntrust-2 or other updates regarding Nkarta’s clinical trials; and Nkarta’s expected cash runway. Interim clinical data for NKX019 included in this press release are subject to the risk that one or more of the clinical outcomes may materially change as patent enrollment contnues and more data on existng patents become available.</w:t>
      </w:r>
    </w:p>
    <w:p>
      <w:pPr>
        <w:spacing w:after="0" w:line="284" w:lineRule="exact"/>
        <w:rPr>
          <w:sz w:val="20"/>
          <w:szCs w:val="20"/>
          <w:color w:val="auto"/>
        </w:rPr>
      </w:pPr>
    </w:p>
    <w:p>
      <w:pPr>
        <w:ind w:right="80"/>
        <w:spacing w:after="0" w:line="239" w:lineRule="auto"/>
        <w:rPr>
          <w:sz w:val="20"/>
          <w:szCs w:val="20"/>
          <w:color w:val="auto"/>
        </w:rPr>
      </w:pPr>
      <w:r>
        <w:rPr>
          <w:rFonts w:ascii="Calibri" w:cs="Calibri" w:eastAsia="Calibri" w:hAnsi="Calibri"/>
          <w:sz w:val="22"/>
          <w:szCs w:val="22"/>
          <w:color w:val="auto"/>
        </w:rPr>
        <w:t>Because such statements are subject to risks and uncertaintes, actual results may difer materially from those expressed or implied by such forward-looking statements. These risks and uncertaintes include, among others: Nkarta’s limited operatng history and historical losses; Nkarta’s lack of any products approved for sale and its ability to achieve proftability; the risk that the results of preclinical studies and early-stage clinical trials may not be predictve of future results; Nkarta’s ability to raise additonal funding to complete the development and any commercializaton of its product candidates; Nkarta’s dependence on the clinical success of NKX019; that Nkarta may be delayed in initatng, enrolling or completng its clinical trials; competton from third partes that are developing products for similar uses; Nkarta’s ability to obtain, maintain and protect its intellectual property; Nkarta’s dependence on third partes in connecton with manufacturing, clinical trials and pre-clinical studies; and the complexity of the manufacturing process for CAR NK cell therapies.</w:t>
      </w:r>
    </w:p>
    <w:p>
      <w:pPr>
        <w:spacing w:after="0" w:line="293" w:lineRule="exact"/>
        <w:rPr>
          <w:sz w:val="20"/>
          <w:szCs w:val="20"/>
          <w:color w:val="auto"/>
        </w:rPr>
      </w:pPr>
    </w:p>
    <w:p>
      <w:pPr>
        <w:ind w:right="20"/>
        <w:spacing w:after="0" w:line="239" w:lineRule="auto"/>
        <w:rPr>
          <w:sz w:val="20"/>
          <w:szCs w:val="20"/>
          <w:color w:val="auto"/>
        </w:rPr>
      </w:pPr>
      <w:r>
        <w:rPr>
          <w:rFonts w:ascii="Calibri" w:cs="Calibri" w:eastAsia="Calibri" w:hAnsi="Calibri"/>
          <w:sz w:val="22"/>
          <w:szCs w:val="22"/>
          <w:color w:val="auto"/>
        </w:rPr>
        <w:t>These and other risks and uncertaintes are described more fully in Nkarta’s flings with the Securites and Exchange Commission (“SEC”), including the “Risk Factors” secton of Nkarta’s Quarterly Report on Form 10-Q for the quarter ended March 31, 2024, fled with the SEC on May 9, 2024, and Nkarta’s other documents subsequently fled with or furnished to the SEC. All forward-looking statements contained in this press release speak only as of the date on which they were made. Except to the extent required by law, Nkarta undertakes no obligaton to update such statements to refect events that occur or circumstances that exist afer the date on which they were made.</w:t>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Nkarta,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Statements of Operatons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and per share data)</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40" w:type="dxa"/>
            <w:vAlign w:val="bottom"/>
            <w:gridSpan w:val="7"/>
          </w:tcPr>
          <w:p>
            <w:pPr>
              <w:ind w:left="280"/>
              <w:spacing w:after="0"/>
              <w:rPr>
                <w:sz w:val="20"/>
                <w:szCs w:val="20"/>
                <w:color w:val="auto"/>
              </w:rPr>
            </w:pPr>
            <w:r>
              <w:rPr>
                <w:rFonts w:ascii="Calibri" w:cs="Calibri" w:eastAsia="Calibri" w:hAnsi="Calibri"/>
                <w:sz w:val="18"/>
                <w:szCs w:val="18"/>
                <w:b w:val="1"/>
                <w:bCs w:val="1"/>
                <w:color w:val="auto"/>
                <w:w w:val="96"/>
              </w:rPr>
              <w:t>Three Months Ended June 30,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40" w:type="dxa"/>
            <w:vAlign w:val="bottom"/>
            <w:gridSpan w:val="6"/>
          </w:tcPr>
          <w:p>
            <w:pPr>
              <w:jc w:val="right"/>
              <w:spacing w:after="0"/>
              <w:rPr>
                <w:sz w:val="20"/>
                <w:szCs w:val="20"/>
                <w:color w:val="auto"/>
              </w:rPr>
            </w:pPr>
            <w:r>
              <w:rPr>
                <w:rFonts w:ascii="Calibri" w:cs="Calibri" w:eastAsia="Calibri" w:hAnsi="Calibri"/>
                <w:sz w:val="18"/>
                <w:szCs w:val="18"/>
                <w:b w:val="1"/>
                <w:bCs w:val="1"/>
                <w:color w:val="auto"/>
                <w:w w:val="97"/>
              </w:rPr>
              <w:t>Six Months Ended June 30,</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ind w:left="240"/>
              <w:spacing w:after="0" w:line="208" w:lineRule="exact"/>
              <w:rPr>
                <w:sz w:val="20"/>
                <w:szCs w:val="20"/>
                <w:color w:val="auto"/>
              </w:rPr>
            </w:pPr>
            <w:r>
              <w:rPr>
                <w:rFonts w:ascii="Calibri" w:cs="Calibri" w:eastAsia="Calibri" w:hAnsi="Calibri"/>
                <w:sz w:val="18"/>
                <w:szCs w:val="18"/>
                <w:b w:val="1"/>
                <w:bCs w:val="1"/>
                <w:color w:val="auto"/>
              </w:rPr>
              <w:t>2024</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3"/>
          </w:tcPr>
          <w:p>
            <w:pPr>
              <w:ind w:left="10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70"/>
              <w:spacing w:after="0" w:line="208"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4"/>
          </w:tcPr>
          <w:p>
            <w:pPr>
              <w:jc w:val="right"/>
              <w:ind w:right="369"/>
              <w:spacing w:after="0" w:line="208" w:lineRule="exact"/>
              <w:rPr>
                <w:sz w:val="20"/>
                <w:szCs w:val="20"/>
                <w:color w:val="auto"/>
              </w:rPr>
            </w:pPr>
            <w:r>
              <w:rPr>
                <w:rFonts w:ascii="Calibri" w:cs="Calibri" w:eastAsia="Calibri" w:hAnsi="Calibri"/>
                <w:sz w:val="18"/>
                <w:szCs w:val="18"/>
                <w:b w:val="1"/>
                <w:bCs w:val="1"/>
                <w:color w:val="auto"/>
              </w:rPr>
              <w:t>2023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6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80" w:type="dxa"/>
            <w:vAlign w:val="bottom"/>
            <w:tcBorders>
              <w:bottom w:val="single" w:sz="8" w:color="CFF0FC"/>
            </w:tcBorders>
            <w:shd w:val="clear" w:color="auto" w:fill="CFF0FC"/>
          </w:tcPr>
          <w:p>
            <w:pPr>
              <w:ind w:left="120"/>
              <w:spacing w:after="0" w:line="208" w:lineRule="exact"/>
              <w:rPr>
                <w:sz w:val="20"/>
                <w:szCs w:val="20"/>
                <w:color w:val="auto"/>
              </w:rPr>
            </w:pPr>
            <w:r>
              <w:rPr>
                <w:rFonts w:ascii="Calibri" w:cs="Calibri" w:eastAsia="Calibri" w:hAnsi="Calibri"/>
                <w:sz w:val="18"/>
                <w:szCs w:val="18"/>
                <w:color w:val="auto"/>
              </w:rPr>
              <w:t>Operatng expenses</w:t>
            </w:r>
          </w:p>
        </w:tc>
        <w:tc>
          <w:tcPr>
            <w:tcW w:w="4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260"/>
              <w:spacing w:after="0" w:line="215" w:lineRule="exact"/>
              <w:rPr>
                <w:sz w:val="20"/>
                <w:szCs w:val="20"/>
                <w:color w:val="auto"/>
              </w:rPr>
            </w:pPr>
            <w:r>
              <w:rPr>
                <w:rFonts w:ascii="Calibri" w:cs="Calibri" w:eastAsia="Calibri" w:hAnsi="Calibri"/>
                <w:sz w:val="18"/>
                <w:szCs w:val="18"/>
                <w:color w:val="auto"/>
              </w:rPr>
              <w:t>Research and development</w:t>
            </w:r>
          </w:p>
        </w:tc>
        <w:tc>
          <w:tcPr>
            <w:tcW w:w="440" w:type="dxa"/>
            <w:vAlign w:val="bottom"/>
          </w:tcPr>
          <w:p>
            <w:pPr>
              <w:spacing w:after="0"/>
              <w:rPr>
                <w:sz w:val="18"/>
                <w:szCs w:val="18"/>
                <w:color w:val="auto"/>
              </w:rPr>
            </w:pPr>
          </w:p>
        </w:tc>
        <w:tc>
          <w:tcPr>
            <w:tcW w:w="420" w:type="dxa"/>
            <w:vAlign w:val="bottom"/>
          </w:tcPr>
          <w:p>
            <w:pPr>
              <w:ind w:left="22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95"/>
              </w:rPr>
              <w:t>23,130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ind w:left="1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25,122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2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48,367</w:t>
            </w:r>
          </w:p>
        </w:tc>
        <w:tc>
          <w:tcPr>
            <w:tcW w:w="11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51,257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80" w:type="dxa"/>
            <w:vAlign w:val="bottom"/>
            <w:tcBorders>
              <w:bottom w:val="single" w:sz="8" w:color="CFF0FC"/>
            </w:tcBorders>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General and administratve</w:t>
            </w:r>
          </w:p>
        </w:tc>
        <w:tc>
          <w:tcPr>
            <w:tcW w:w="4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7,585</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11,736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gridSpan w:val="3"/>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15,110</w:t>
            </w:r>
          </w:p>
        </w:tc>
        <w:tc>
          <w:tcPr>
            <w:tcW w:w="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19,914</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680" w:type="dxa"/>
            <w:vAlign w:val="bottom"/>
          </w:tcPr>
          <w:p>
            <w:pPr>
              <w:ind w:left="120"/>
              <w:spacing w:after="0" w:line="195" w:lineRule="exact"/>
              <w:rPr>
                <w:sz w:val="20"/>
                <w:szCs w:val="20"/>
                <w:color w:val="auto"/>
              </w:rPr>
            </w:pPr>
            <w:r>
              <w:rPr>
                <w:rFonts w:ascii="Calibri" w:cs="Calibri" w:eastAsia="Calibri" w:hAnsi="Calibri"/>
                <w:sz w:val="18"/>
                <w:szCs w:val="18"/>
                <w:color w:val="auto"/>
              </w:rPr>
              <w:t>Total operatng expenses</w:t>
            </w: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w w:val="95"/>
              </w:rPr>
              <w:t>30,715</w:t>
            </w: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36,858</w:t>
            </w:r>
          </w:p>
        </w:tc>
        <w:tc>
          <w:tcPr>
            <w:tcW w:w="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ind w:right="80"/>
              <w:spacing w:after="0" w:line="208" w:lineRule="exact"/>
              <w:rPr>
                <w:sz w:val="20"/>
                <w:szCs w:val="20"/>
                <w:color w:val="auto"/>
              </w:rPr>
            </w:pPr>
            <w:r>
              <w:rPr>
                <w:rFonts w:ascii="Calibri" w:cs="Calibri" w:eastAsia="Calibri" w:hAnsi="Calibri"/>
                <w:sz w:val="18"/>
                <w:szCs w:val="18"/>
                <w:color w:val="auto"/>
              </w:rPr>
              <w:t>63,477</w:t>
            </w: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71,171</w:t>
            </w: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6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80" w:type="dxa"/>
            <w:vAlign w:val="bottom"/>
            <w:tcBorders>
              <w:bottom w:val="single" w:sz="8" w:color="CFF0FC"/>
            </w:tcBorders>
            <w:shd w:val="clear" w:color="auto" w:fill="CFF0FC"/>
          </w:tcPr>
          <w:p>
            <w:pPr>
              <w:ind w:left="120"/>
              <w:spacing w:after="0" w:line="208" w:lineRule="exact"/>
              <w:rPr>
                <w:sz w:val="20"/>
                <w:szCs w:val="20"/>
                <w:color w:val="auto"/>
              </w:rPr>
            </w:pPr>
            <w:r>
              <w:rPr>
                <w:rFonts w:ascii="Calibri" w:cs="Calibri" w:eastAsia="Calibri" w:hAnsi="Calibri"/>
                <w:sz w:val="18"/>
                <w:szCs w:val="18"/>
                <w:color w:val="auto"/>
              </w:rPr>
              <w:t>Loss from operatons</w:t>
            </w:r>
          </w:p>
        </w:tc>
        <w:tc>
          <w:tcPr>
            <w:tcW w:w="4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(30,715)</w:t>
            </w:r>
          </w:p>
        </w:tc>
        <w:tc>
          <w:tcPr>
            <w:tcW w:w="3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4"/>
              </w:rPr>
              <w:t>(36,858)</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3"/>
            <w:shd w:val="clear" w:color="auto" w:fill="CFF0FC"/>
          </w:tcPr>
          <w:p>
            <w:pPr>
              <w:jc w:val="right"/>
              <w:ind w:right="40"/>
              <w:spacing w:after="0" w:line="208" w:lineRule="exact"/>
              <w:rPr>
                <w:sz w:val="20"/>
                <w:szCs w:val="20"/>
                <w:color w:val="auto"/>
              </w:rPr>
            </w:pPr>
            <w:r>
              <w:rPr>
                <w:rFonts w:ascii="Calibri" w:cs="Calibri" w:eastAsia="Calibri" w:hAnsi="Calibri"/>
                <w:sz w:val="18"/>
                <w:szCs w:val="18"/>
                <w:color w:val="auto"/>
              </w:rPr>
              <w:t>(63,477)</w:t>
            </w: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gridSpan w:val="2"/>
            <w:shd w:val="clear" w:color="auto" w:fill="CFF0FC"/>
          </w:tcPr>
          <w:p>
            <w:pPr>
              <w:jc w:val="right"/>
              <w:ind w:right="100"/>
              <w:spacing w:after="0" w:line="208" w:lineRule="exact"/>
              <w:rPr>
                <w:sz w:val="20"/>
                <w:szCs w:val="20"/>
                <w:color w:val="auto"/>
              </w:rPr>
            </w:pPr>
            <w:r>
              <w:rPr>
                <w:rFonts w:ascii="Calibri" w:cs="Calibri" w:eastAsia="Calibri" w:hAnsi="Calibri"/>
                <w:sz w:val="18"/>
                <w:szCs w:val="18"/>
                <w:color w:val="auto"/>
              </w:rPr>
              <w:t>(71,171)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120"/>
              <w:spacing w:after="0" w:line="215" w:lineRule="exact"/>
              <w:rPr>
                <w:sz w:val="20"/>
                <w:szCs w:val="20"/>
                <w:color w:val="auto"/>
              </w:rPr>
            </w:pPr>
            <w:r>
              <w:rPr>
                <w:rFonts w:ascii="Calibri" w:cs="Calibri" w:eastAsia="Calibri" w:hAnsi="Calibri"/>
                <w:sz w:val="18"/>
                <w:szCs w:val="18"/>
                <w:color w:val="auto"/>
              </w:rPr>
              <w:t>Other income, net:</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Borders>
              <w:bottom w:val="single" w:sz="8" w:color="CFF0FC"/>
            </w:tcBorders>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Interest income</w:t>
            </w:r>
          </w:p>
        </w:tc>
        <w:tc>
          <w:tcPr>
            <w:tcW w:w="4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5,724</w:t>
            </w:r>
          </w:p>
        </w:tc>
        <w:tc>
          <w:tcPr>
            <w:tcW w:w="3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3,570</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3"/>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8,970</w:t>
            </w: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7,035</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260"/>
              <w:spacing w:after="0" w:line="215" w:lineRule="exact"/>
              <w:rPr>
                <w:sz w:val="20"/>
                <w:szCs w:val="20"/>
                <w:color w:val="auto"/>
              </w:rPr>
            </w:pPr>
            <w:r>
              <w:rPr>
                <w:rFonts w:ascii="Calibri" w:cs="Calibri" w:eastAsia="Calibri" w:hAnsi="Calibri"/>
                <w:sz w:val="18"/>
                <w:szCs w:val="18"/>
                <w:color w:val="auto"/>
              </w:rPr>
              <w:t>Other (expense) income, net</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6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CFF0FC"/>
            </w:tcBorders>
            <w:shd w:val="clear" w:color="auto" w:fill="CFF0FC"/>
          </w:tcPr>
          <w:p>
            <w:pPr>
              <w:ind w:left="120"/>
              <w:spacing w:after="0" w:line="208" w:lineRule="exact"/>
              <w:rPr>
                <w:sz w:val="20"/>
                <w:szCs w:val="20"/>
                <w:color w:val="auto"/>
              </w:rPr>
            </w:pPr>
            <w:r>
              <w:rPr>
                <w:rFonts w:ascii="Calibri" w:cs="Calibri" w:eastAsia="Calibri" w:hAnsi="Calibri"/>
                <w:sz w:val="18"/>
                <w:szCs w:val="18"/>
                <w:color w:val="auto"/>
              </w:rPr>
              <w:t>Total other income, net</w:t>
            </w:r>
          </w:p>
        </w:tc>
        <w:tc>
          <w:tcPr>
            <w:tcW w:w="4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5,722</w:t>
            </w:r>
          </w:p>
        </w:tc>
        <w:tc>
          <w:tcPr>
            <w:tcW w:w="3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3,571</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gridSpan w:val="3"/>
            <w:shd w:val="clear" w:color="auto" w:fill="CFF0FC"/>
          </w:tcPr>
          <w:p>
            <w:pPr>
              <w:jc w:val="right"/>
              <w:ind w:right="80"/>
              <w:spacing w:after="0" w:line="208" w:lineRule="exact"/>
              <w:rPr>
                <w:sz w:val="20"/>
                <w:szCs w:val="20"/>
                <w:color w:val="auto"/>
              </w:rPr>
            </w:pPr>
            <w:r>
              <w:rPr>
                <w:rFonts w:ascii="Calibri" w:cs="Calibri" w:eastAsia="Calibri" w:hAnsi="Calibri"/>
                <w:sz w:val="18"/>
                <w:szCs w:val="18"/>
                <w:color w:val="auto"/>
              </w:rPr>
              <w:t>8,966</w:t>
            </w:r>
          </w:p>
        </w:tc>
        <w:tc>
          <w:tcPr>
            <w:tcW w:w="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7,069</w:t>
            </w: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80" w:type="dxa"/>
            <w:vAlign w:val="bottom"/>
          </w:tcPr>
          <w:p>
            <w:pPr>
              <w:ind w:left="120"/>
              <w:spacing w:after="0" w:line="195" w:lineRule="exact"/>
              <w:rPr>
                <w:sz w:val="20"/>
                <w:szCs w:val="20"/>
                <w:color w:val="auto"/>
              </w:rPr>
            </w:pPr>
            <w:r>
              <w:rPr>
                <w:rFonts w:ascii="Calibri" w:cs="Calibri" w:eastAsia="Calibri" w:hAnsi="Calibri"/>
                <w:sz w:val="18"/>
                <w:szCs w:val="18"/>
                <w:color w:val="auto"/>
              </w:rPr>
              <w:t>Net loss</w:t>
            </w: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ind w:left="160"/>
              <w:spacing w:after="0" w:line="208" w:lineRule="exact"/>
              <w:rPr>
                <w:sz w:val="20"/>
                <w:szCs w:val="20"/>
                <w:color w:val="auto"/>
              </w:rPr>
            </w:pPr>
            <w:r>
              <w:rPr>
                <w:rFonts w:ascii="Calibri" w:cs="Calibri" w:eastAsia="Calibri" w:hAnsi="Calibri"/>
                <w:sz w:val="18"/>
                <w:szCs w:val="18"/>
                <w:color w:val="auto"/>
              </w:rPr>
              <w:t>$</w:t>
            </w:r>
          </w:p>
        </w:tc>
        <w:tc>
          <w:tcPr>
            <w:tcW w:w="840" w:type="dxa"/>
            <w:vAlign w:val="bottom"/>
            <w:tcBorders>
              <w:top w:val="single" w:sz="8" w:color="auto"/>
            </w:tcBorders>
            <w:gridSpan w:val="2"/>
          </w:tcPr>
          <w:p>
            <w:pPr>
              <w:jc w:val="right"/>
              <w:ind w:right="10"/>
              <w:spacing w:after="0" w:line="208" w:lineRule="exact"/>
              <w:rPr>
                <w:sz w:val="20"/>
                <w:szCs w:val="20"/>
                <w:color w:val="auto"/>
              </w:rPr>
            </w:pPr>
            <w:r>
              <w:rPr>
                <w:rFonts w:ascii="Calibri" w:cs="Calibri" w:eastAsia="Calibri" w:hAnsi="Calibri"/>
                <w:sz w:val="18"/>
                <w:szCs w:val="18"/>
                <w:color w:val="auto"/>
              </w:rPr>
              <w:t>(24,993)</w:t>
            </w: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94"/>
              </w:rPr>
              <w:t>(33,287)</w:t>
            </w:r>
          </w:p>
        </w:tc>
        <w:tc>
          <w:tcPr>
            <w:tcW w:w="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(54,511)</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Borders>
              <w:top w:val="single" w:sz="8" w:color="auto"/>
            </w:tcBorders>
            <w:gridSpan w:val="2"/>
          </w:tcPr>
          <w:p>
            <w:pPr>
              <w:jc w:val="right"/>
              <w:ind w:right="309"/>
              <w:spacing w:after="0" w:line="208" w:lineRule="exact"/>
              <w:rPr>
                <w:sz w:val="20"/>
                <w:szCs w:val="20"/>
                <w:color w:val="auto"/>
              </w:rPr>
            </w:pPr>
            <w:r>
              <w:rPr>
                <w:rFonts w:ascii="Calibri" w:cs="Calibri" w:eastAsia="Calibri" w:hAnsi="Calibri"/>
                <w:sz w:val="18"/>
                <w:szCs w:val="18"/>
                <w:color w:val="auto"/>
              </w:rPr>
              <w:t>$  (64,102)</w:t>
            </w: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6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420" w:type="dxa"/>
            <w:vAlign w:val="bottom"/>
            <w:gridSpan w:val="3"/>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8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Net loss per share, basic and diluted</w:t>
            </w:r>
          </w:p>
        </w:tc>
        <w:tc>
          <w:tcPr>
            <w:tcW w:w="440" w:type="dxa"/>
            <w:vAlign w:val="bottom"/>
            <w:tcBorders>
              <w:bottom w:val="single" w:sz="8" w:color="auto"/>
            </w:tcBorders>
            <w:shd w:val="clear" w:color="auto" w:fill="CFF0FC"/>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Borders>
              <w:bottom w:val="single" w:sz="8" w:color="auto"/>
            </w:tcBorders>
            <w:gridSpan w:val="2"/>
            <w:shd w:val="clear" w:color="auto" w:fill="CFF0FC"/>
          </w:tcPr>
          <w:p>
            <w:pPr>
              <w:ind w:left="220"/>
              <w:spacing w:after="0" w:line="215" w:lineRule="exact"/>
              <w:rPr>
                <w:sz w:val="20"/>
                <w:szCs w:val="20"/>
                <w:color w:val="auto"/>
              </w:rPr>
            </w:pPr>
            <w:r>
              <w:rPr>
                <w:rFonts w:ascii="Calibri" w:cs="Calibri" w:eastAsia="Calibri" w:hAnsi="Calibri"/>
                <w:sz w:val="18"/>
                <w:szCs w:val="18"/>
                <w:color w:val="auto"/>
                <w:w w:val="97"/>
              </w:rPr>
              <w:t>(0.34)</w:t>
            </w:r>
          </w:p>
        </w:tc>
        <w:tc>
          <w:tcPr>
            <w:tcW w:w="600" w:type="dxa"/>
            <w:vAlign w:val="bottom"/>
            <w:tcBorders>
              <w:bottom w:val="single" w:sz="8" w:color="auto"/>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gridSpan w:val="3"/>
            <w:shd w:val="clear" w:color="auto" w:fill="CFF0FC"/>
          </w:tcPr>
          <w:p>
            <w:pPr>
              <w:jc w:val="right"/>
              <w:ind w:right="390"/>
              <w:spacing w:after="0" w:line="215" w:lineRule="exact"/>
              <w:rPr>
                <w:sz w:val="20"/>
                <w:szCs w:val="20"/>
                <w:color w:val="auto"/>
              </w:rPr>
            </w:pPr>
            <w:r>
              <w:rPr>
                <w:rFonts w:ascii="Calibri" w:cs="Calibri" w:eastAsia="Calibri" w:hAnsi="Calibri"/>
                <w:sz w:val="18"/>
                <w:szCs w:val="18"/>
                <w:color w:val="auto"/>
              </w:rPr>
              <w:t>(0.68)</w:t>
            </w:r>
          </w:p>
        </w:tc>
        <w:tc>
          <w:tcPr>
            <w:tcW w:w="100" w:type="dxa"/>
            <w:vAlign w:val="bottom"/>
            <w:tcBorders>
              <w:bottom w:val="single" w:sz="8" w:color="auto"/>
            </w:tcBorders>
            <w:shd w:val="clear" w:color="auto" w:fill="CFF0FC"/>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auto"/>
            </w:tcBorders>
            <w:gridSpan w:val="3"/>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(0.88)</w:t>
            </w:r>
          </w:p>
        </w:tc>
        <w:tc>
          <w:tcPr>
            <w:tcW w:w="60" w:type="dxa"/>
            <w:vAlign w:val="bottom"/>
            <w:tcBorders>
              <w:bottom w:val="single" w:sz="8" w:color="auto"/>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auto"/>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(1.31)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680" w:type="dxa"/>
            <w:vAlign w:val="bottom"/>
          </w:tcPr>
          <w:p>
            <w:pPr>
              <w:ind w:left="120"/>
              <w:spacing w:after="0" w:line="200" w:lineRule="exact"/>
              <w:rPr>
                <w:sz w:val="20"/>
                <w:szCs w:val="20"/>
                <w:color w:val="auto"/>
              </w:rPr>
            </w:pPr>
            <w:r>
              <w:rPr>
                <w:rFonts w:ascii="Calibri" w:cs="Calibri" w:eastAsia="Calibri" w:hAnsi="Calibri"/>
                <w:sz w:val="18"/>
                <w:szCs w:val="18"/>
                <w:color w:val="auto"/>
              </w:rPr>
              <w:t>Weighted average shares used to compute</w:t>
            </w:r>
          </w:p>
        </w:tc>
        <w:tc>
          <w:tcPr>
            <w:tcW w:w="440" w:type="dxa"/>
            <w:vAlign w:val="bottom"/>
          </w:tcPr>
          <w:p>
            <w:pPr>
              <w:spacing w:after="0"/>
              <w:rPr>
                <w:sz w:val="17"/>
                <w:szCs w:val="17"/>
                <w:color w:val="auto"/>
              </w:rPr>
            </w:pPr>
          </w:p>
        </w:tc>
        <w:tc>
          <w:tcPr>
            <w:tcW w:w="1260" w:type="dxa"/>
            <w:vAlign w:val="bottom"/>
            <w:gridSpan w:val="3"/>
            <w:vMerge w:val="restart"/>
          </w:tcPr>
          <w:p>
            <w:pPr>
              <w:jc w:val="right"/>
              <w:ind w:right="90"/>
              <w:spacing w:after="0"/>
              <w:rPr>
                <w:sz w:val="20"/>
                <w:szCs w:val="20"/>
                <w:color w:val="auto"/>
              </w:rPr>
            </w:pPr>
            <w:r>
              <w:rPr>
                <w:rFonts w:ascii="Calibri" w:cs="Calibri" w:eastAsia="Calibri" w:hAnsi="Calibri"/>
                <w:sz w:val="18"/>
                <w:szCs w:val="18"/>
                <w:color w:val="auto"/>
              </w:rPr>
              <w:t>73,494,523</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3"/>
            <w:vMerge w:val="restart"/>
          </w:tcPr>
          <w:p>
            <w:pPr>
              <w:ind w:left="80"/>
              <w:spacing w:after="0"/>
              <w:rPr>
                <w:sz w:val="20"/>
                <w:szCs w:val="20"/>
                <w:color w:val="auto"/>
              </w:rPr>
            </w:pPr>
            <w:r>
              <w:rPr>
                <w:rFonts w:ascii="Calibri" w:cs="Calibri" w:eastAsia="Calibri" w:hAnsi="Calibri"/>
                <w:sz w:val="18"/>
                <w:szCs w:val="18"/>
                <w:color w:val="auto"/>
              </w:rPr>
              <w:t>48,970,391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gridSpan w:val="3"/>
            <w:vMerge w:val="restart"/>
          </w:tcPr>
          <w:p>
            <w:pPr>
              <w:jc w:val="right"/>
              <w:ind w:right="80"/>
              <w:spacing w:after="0"/>
              <w:rPr>
                <w:sz w:val="20"/>
                <w:szCs w:val="20"/>
                <w:color w:val="auto"/>
              </w:rPr>
            </w:pPr>
            <w:r>
              <w:rPr>
                <w:rFonts w:ascii="Calibri" w:cs="Calibri" w:eastAsia="Calibri" w:hAnsi="Calibri"/>
                <w:sz w:val="18"/>
                <w:szCs w:val="18"/>
                <w:color w:val="auto"/>
                <w:w w:val="99"/>
              </w:rPr>
              <w:t>62,088,495</w:t>
            </w:r>
          </w:p>
        </w:tc>
        <w:tc>
          <w:tcPr>
            <w:tcW w:w="60" w:type="dxa"/>
            <w:vAlign w:val="bottom"/>
            <w:vMerge w:val="restart"/>
          </w:tcPr>
          <w:p>
            <w:pPr>
              <w:spacing w:after="0"/>
              <w:rPr>
                <w:sz w:val="17"/>
                <w:szCs w:val="17"/>
                <w:color w:val="auto"/>
              </w:rPr>
            </w:pPr>
          </w:p>
        </w:tc>
        <w:tc>
          <w:tcPr>
            <w:tcW w:w="300" w:type="dxa"/>
            <w:vAlign w:val="bottom"/>
            <w:vMerge w:val="restart"/>
          </w:tcPr>
          <w:p>
            <w:pPr>
              <w:spacing w:after="0"/>
              <w:rPr>
                <w:sz w:val="17"/>
                <w:szCs w:val="17"/>
                <w:color w:val="auto"/>
              </w:rPr>
            </w:pPr>
          </w:p>
        </w:tc>
        <w:tc>
          <w:tcPr>
            <w:tcW w:w="1540" w:type="dxa"/>
            <w:vAlign w:val="bottom"/>
            <w:gridSpan w:val="3"/>
            <w:vMerge w:val="restart"/>
          </w:tcPr>
          <w:p>
            <w:pPr>
              <w:jc w:val="right"/>
              <w:ind w:right="100"/>
              <w:spacing w:after="0"/>
              <w:rPr>
                <w:sz w:val="20"/>
                <w:szCs w:val="20"/>
                <w:color w:val="auto"/>
              </w:rPr>
            </w:pPr>
            <w:r>
              <w:rPr>
                <w:rFonts w:ascii="Calibri" w:cs="Calibri" w:eastAsia="Calibri" w:hAnsi="Calibri"/>
                <w:sz w:val="18"/>
                <w:szCs w:val="18"/>
                <w:color w:val="auto"/>
              </w:rPr>
              <w:t>48,946,018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80" w:type="dxa"/>
            <w:vAlign w:val="bottom"/>
          </w:tcPr>
          <w:p>
            <w:pPr>
              <w:ind w:left="120"/>
              <w:spacing w:after="0" w:line="216" w:lineRule="exact"/>
              <w:rPr>
                <w:sz w:val="20"/>
                <w:szCs w:val="20"/>
                <w:color w:val="auto"/>
              </w:rPr>
            </w:pPr>
            <w:r>
              <w:rPr>
                <w:rFonts w:ascii="Calibri" w:cs="Calibri" w:eastAsia="Calibri" w:hAnsi="Calibri"/>
                <w:sz w:val="18"/>
                <w:szCs w:val="18"/>
                <w:color w:val="auto"/>
              </w:rPr>
              <w:t>net loss per share, basic and diluted</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vMerge w:val="continue"/>
          </w:tcPr>
          <w:p>
            <w:pPr>
              <w:spacing w:after="0"/>
              <w:rPr>
                <w:sz w:val="19"/>
                <w:szCs w:val="19"/>
                <w:color w:val="auto"/>
              </w:rPr>
            </w:pPr>
          </w:p>
        </w:tc>
        <w:tc>
          <w:tcPr>
            <w:tcW w:w="60" w:type="dxa"/>
            <w:vAlign w:val="bottom"/>
            <w:tcBorders>
              <w:bottom w:val="single" w:sz="8" w:color="auto"/>
            </w:tcBorders>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jc w:val="center"/>
              <w:ind w:left="170"/>
              <w:spacing w:after="0"/>
              <w:rPr>
                <w:sz w:val="20"/>
                <w:szCs w:val="20"/>
                <w:color w:val="auto"/>
              </w:rPr>
            </w:pPr>
            <w:r>
              <w:rPr>
                <w:rFonts w:ascii="Calibri" w:cs="Calibri" w:eastAsia="Calibri" w:hAnsi="Calibri"/>
                <w:sz w:val="18"/>
                <w:szCs w:val="18"/>
                <w:b w:val="1"/>
                <w:bCs w:val="1"/>
                <w:color w:val="auto"/>
                <w:w w:val="97"/>
              </w:rPr>
              <w:t>Nkarta, Inc.</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20" w:type="dxa"/>
            <w:vAlign w:val="bottom"/>
            <w:gridSpan w:val="7"/>
          </w:tcPr>
          <w:p>
            <w:pPr>
              <w:jc w:val="center"/>
              <w:ind w:right="350"/>
              <w:spacing w:after="0" w:line="216" w:lineRule="exact"/>
              <w:rPr>
                <w:sz w:val="20"/>
                <w:szCs w:val="20"/>
                <w:color w:val="auto"/>
              </w:rPr>
            </w:pPr>
            <w:r>
              <w:rPr>
                <w:rFonts w:ascii="Calibri" w:cs="Calibri" w:eastAsia="Calibri" w:hAnsi="Calibri"/>
                <w:sz w:val="18"/>
                <w:szCs w:val="18"/>
                <w:b w:val="1"/>
                <w:bCs w:val="1"/>
                <w:color w:val="auto"/>
                <w:w w:val="97"/>
              </w:rPr>
              <w:t>Condensed Balance Sheets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170"/>
              <w:spacing w:after="0" w:line="216" w:lineRule="exact"/>
              <w:rPr>
                <w:sz w:val="20"/>
                <w:szCs w:val="20"/>
                <w:color w:val="auto"/>
              </w:rPr>
            </w:pPr>
            <w:r>
              <w:rPr>
                <w:rFonts w:ascii="Calibri" w:cs="Calibri" w:eastAsia="Calibri" w:hAnsi="Calibri"/>
                <w:sz w:val="18"/>
                <w:szCs w:val="18"/>
                <w:b w:val="1"/>
                <w:bCs w:val="1"/>
                <w:color w:val="auto"/>
                <w:w w:val="96"/>
              </w:rPr>
              <w:t>(in thousands)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170"/>
              <w:spacing w:after="0" w:line="216" w:lineRule="exact"/>
              <w:rPr>
                <w:sz w:val="20"/>
                <w:szCs w:val="20"/>
                <w:color w:val="auto"/>
              </w:rPr>
            </w:pPr>
            <w:r>
              <w:rPr>
                <w:rFonts w:ascii="Calibri" w:cs="Calibri" w:eastAsia="Calibri" w:hAnsi="Calibri"/>
                <w:sz w:val="18"/>
                <w:szCs w:val="18"/>
                <w:b w:val="1"/>
                <w:bCs w:val="1"/>
                <w:color w:val="auto"/>
                <w:w w:val="97"/>
              </w:rPr>
              <w:t>(Unaudited)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ind w:left="580"/>
              <w:spacing w:after="0"/>
              <w:rPr>
                <w:sz w:val="20"/>
                <w:szCs w:val="20"/>
                <w:color w:val="auto"/>
              </w:rPr>
            </w:pPr>
            <w:r>
              <w:rPr>
                <w:rFonts w:ascii="Calibri" w:cs="Calibri" w:eastAsia="Calibri" w:hAnsi="Calibri"/>
                <w:sz w:val="18"/>
                <w:szCs w:val="18"/>
                <w:b w:val="1"/>
                <w:bCs w:val="1"/>
                <w:color w:val="auto"/>
              </w:rPr>
              <w:t>June 30, 2024</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6"/>
          </w:tcPr>
          <w:p>
            <w:pPr>
              <w:jc w:val="right"/>
              <w:ind w:right="460"/>
              <w:spacing w:after="0"/>
              <w:rPr>
                <w:sz w:val="20"/>
                <w:szCs w:val="20"/>
                <w:color w:val="auto"/>
              </w:rPr>
            </w:pPr>
            <w:r>
              <w:rPr>
                <w:rFonts w:ascii="Calibri" w:cs="Calibri" w:eastAsia="Calibri" w:hAnsi="Calibri"/>
                <w:sz w:val="18"/>
                <w:szCs w:val="18"/>
                <w:b w:val="1"/>
                <w:bCs w:val="1"/>
                <w:color w:val="auto"/>
                <w:w w:val="99"/>
              </w:rPr>
              <w:t>December 31, 2023</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Assets</w:t>
            </w:r>
          </w:p>
        </w:tc>
        <w:tc>
          <w:tcPr>
            <w:tcW w:w="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Cash, cash equivalents, restricted cash and investments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426,650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590"/>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250,932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8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Property and equipment, net</w:t>
            </w:r>
          </w:p>
        </w:tc>
        <w:tc>
          <w:tcPr>
            <w:tcW w:w="4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60" w:type="dxa"/>
            <w:vAlign w:val="bottom"/>
            <w:gridSpan w:val="4"/>
            <w:shd w:val="clear" w:color="auto" w:fill="CFF0FC"/>
          </w:tcPr>
          <w:p>
            <w:pPr>
              <w:jc w:val="right"/>
              <w:ind w:right="490"/>
              <w:spacing w:after="0"/>
              <w:rPr>
                <w:sz w:val="20"/>
                <w:szCs w:val="20"/>
                <w:color w:val="auto"/>
              </w:rPr>
            </w:pPr>
            <w:r>
              <w:rPr>
                <w:rFonts w:ascii="Calibri" w:cs="Calibri" w:eastAsia="Calibri" w:hAnsi="Calibri"/>
                <w:sz w:val="18"/>
                <w:szCs w:val="18"/>
                <w:color w:val="auto"/>
              </w:rPr>
              <w:t>77,551</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79,326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68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lease right-of-use assets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39,374</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39,949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 assets</w:t>
            </w:r>
          </w:p>
        </w:tc>
        <w:tc>
          <w:tcPr>
            <w:tcW w:w="4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10,511</w:t>
            </w:r>
          </w:p>
        </w:tc>
        <w:tc>
          <w:tcPr>
            <w:tcW w:w="4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8,678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60"/>
              <w:spacing w:after="0" w:line="215" w:lineRule="exact"/>
              <w:rPr>
                <w:sz w:val="20"/>
                <w:szCs w:val="20"/>
                <w:color w:val="auto"/>
              </w:rPr>
            </w:pPr>
            <w:r>
              <w:rPr>
                <w:rFonts w:ascii="Calibri" w:cs="Calibri" w:eastAsia="Calibri" w:hAnsi="Calibri"/>
                <w:sz w:val="18"/>
                <w:szCs w:val="18"/>
                <w:color w:val="auto"/>
              </w:rPr>
              <w:t>Total assets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7"/>
              </w:rPr>
              <w:t>554,086</w:t>
            </w: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590"/>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378,885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Borders>
              <w:bottom w:val="single" w:sz="8" w:color="CFF0FC"/>
            </w:tcBorders>
            <w:shd w:val="clear" w:color="auto" w:fill="CFF0FC"/>
          </w:tcPr>
          <w:p>
            <w:pPr>
              <w:ind w:left="20"/>
              <w:spacing w:after="0" w:line="202" w:lineRule="exact"/>
              <w:rPr>
                <w:sz w:val="20"/>
                <w:szCs w:val="20"/>
                <w:color w:val="auto"/>
              </w:rPr>
            </w:pPr>
            <w:r>
              <w:rPr>
                <w:rFonts w:ascii="Calibri" w:cs="Calibri" w:eastAsia="Calibri" w:hAnsi="Calibri"/>
                <w:sz w:val="18"/>
                <w:szCs w:val="18"/>
                <w:b w:val="1"/>
                <w:bCs w:val="1"/>
                <w:color w:val="auto"/>
              </w:rPr>
              <w:t>Liabilites and stockholders' equity</w:t>
            </w:r>
          </w:p>
        </w:tc>
        <w:tc>
          <w:tcPr>
            <w:tcW w:w="4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tcPr>
          <w:p>
            <w:pPr>
              <w:ind w:left="20"/>
              <w:spacing w:after="0" w:line="215" w:lineRule="exact"/>
              <w:rPr>
                <w:sz w:val="20"/>
                <w:szCs w:val="20"/>
                <w:color w:val="auto"/>
              </w:rPr>
            </w:pPr>
            <w:r>
              <w:rPr>
                <w:rFonts w:ascii="Calibri" w:cs="Calibri" w:eastAsia="Calibri" w:hAnsi="Calibri"/>
                <w:sz w:val="18"/>
                <w:szCs w:val="18"/>
                <w:color w:val="auto"/>
              </w:rPr>
              <w:t>Accounts payable, accrued and other liabilites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15,329</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590"/>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17,261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Operatng lease liabilites</w:t>
            </w:r>
          </w:p>
        </w:tc>
        <w:tc>
          <w:tcPr>
            <w:tcW w:w="4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85,573</w:t>
            </w:r>
          </w:p>
        </w:tc>
        <w:tc>
          <w:tcPr>
            <w:tcW w:w="4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88,339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9"/>
        </w:trPr>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Calibri" w:cs="Calibri" w:eastAsia="Calibri" w:hAnsi="Calibri"/>
                <w:sz w:val="22"/>
                <w:szCs w:val="22"/>
                <w:color w:val="auto"/>
              </w:rPr>
              <w:t>5</w:t>
            </w:r>
          </w:p>
        </w:tc>
        <w:tc>
          <w:tcPr>
            <w:tcW w:w="0" w:type="dxa"/>
            <w:vAlign w:val="bottom"/>
          </w:tcPr>
          <w:p>
            <w:pPr>
              <w:spacing w:after="0"/>
              <w:rPr>
                <w:sz w:val="1"/>
                <w:szCs w:val="1"/>
                <w:color w:val="auto"/>
              </w:rPr>
            </w:pPr>
          </w:p>
        </w:tc>
      </w:tr>
      <w:tr>
        <w:trPr>
          <w:trHeight w:val="792"/>
        </w:trPr>
        <w:tc>
          <w:tcPr>
            <w:tcW w:w="3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-5078095</wp:posOffset>
            </wp:positionV>
            <wp:extent cx="213995"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995" cy="196850"/>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-5078095</wp:posOffset>
            </wp:positionV>
            <wp:extent cx="213995"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995" cy="196850"/>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-5078095</wp:posOffset>
            </wp:positionV>
            <wp:extent cx="213995"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995" cy="19685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-3616960</wp:posOffset>
            </wp:positionV>
            <wp:extent cx="1885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-3599815</wp:posOffset>
            </wp:positionV>
            <wp:extent cx="1885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-3616960</wp:posOffset>
            </wp:positionV>
            <wp:extent cx="1885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-3599815</wp:posOffset>
            </wp:positionV>
            <wp:extent cx="1885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-1542415</wp:posOffset>
            </wp:positionV>
            <wp:extent cx="257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-916305</wp:posOffset>
            </wp:positionV>
            <wp:extent cx="257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9"/>
        </w:trPr>
        <w:tc>
          <w:tcPr>
            <w:tcW w:w="6460" w:type="dxa"/>
            <w:vAlign w:val="bottom"/>
          </w:tcPr>
          <w:p>
            <w:pPr>
              <w:ind w:left="260"/>
              <w:spacing w:after="0"/>
              <w:rPr>
                <w:sz w:val="20"/>
                <w:szCs w:val="20"/>
                <w:color w:val="auto"/>
              </w:rPr>
            </w:pPr>
            <w:r>
              <w:rPr>
                <w:rFonts w:ascii="Calibri" w:cs="Calibri" w:eastAsia="Calibri" w:hAnsi="Calibri"/>
                <w:sz w:val="18"/>
                <w:szCs w:val="18"/>
                <w:color w:val="auto"/>
              </w:rPr>
              <w:t>Total liabilites</w:t>
            </w:r>
          </w:p>
        </w:tc>
        <w:tc>
          <w:tcPr>
            <w:tcW w:w="10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8"/>
                <w:szCs w:val="18"/>
                <w:color w:val="auto"/>
              </w:rPr>
              <w:t>100,902</w:t>
            </w:r>
          </w:p>
        </w:tc>
        <w:tc>
          <w:tcPr>
            <w:tcW w:w="4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18"/>
                <w:szCs w:val="18"/>
                <w:color w:val="auto"/>
              </w:rPr>
              <w:t>105,600</w:t>
            </w:r>
          </w:p>
        </w:tc>
      </w:tr>
      <w:tr>
        <w:trPr>
          <w:trHeight w:val="234"/>
        </w:trPr>
        <w:tc>
          <w:tcPr>
            <w:tcW w:w="646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Stockholders’ equity</w:t>
            </w:r>
          </w:p>
        </w:tc>
        <w:tc>
          <w:tcPr>
            <w:tcW w:w="10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453,184</w:t>
            </w:r>
          </w:p>
        </w:tc>
        <w:tc>
          <w:tcPr>
            <w:tcW w:w="400" w:type="dxa"/>
            <w:vAlign w:val="bottom"/>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273,285</w:t>
            </w:r>
          </w:p>
        </w:tc>
      </w:tr>
      <w:tr>
        <w:trPr>
          <w:trHeight w:val="216"/>
        </w:trPr>
        <w:tc>
          <w:tcPr>
            <w:tcW w:w="6460" w:type="dxa"/>
            <w:vAlign w:val="bottom"/>
          </w:tcPr>
          <w:p>
            <w:pPr>
              <w:ind w:left="260"/>
              <w:spacing w:after="0" w:line="195" w:lineRule="exact"/>
              <w:rPr>
                <w:sz w:val="20"/>
                <w:szCs w:val="20"/>
                <w:color w:val="auto"/>
              </w:rPr>
            </w:pPr>
            <w:r>
              <w:rPr>
                <w:rFonts w:ascii="Calibri" w:cs="Calibri" w:eastAsia="Calibri" w:hAnsi="Calibri"/>
                <w:sz w:val="18"/>
                <w:szCs w:val="18"/>
                <w:color w:val="auto"/>
              </w:rPr>
              <w:t>Total liabilites and stockholders’ equity</w:t>
            </w:r>
          </w:p>
        </w:tc>
        <w:tc>
          <w:tcPr>
            <w:tcW w:w="1080" w:type="dxa"/>
            <w:vAlign w:val="bottom"/>
            <w:tcBorders>
              <w:bottom w:val="single" w:sz="8" w:color="auto"/>
            </w:tcBorders>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554,086</w:t>
            </w:r>
          </w:p>
        </w:tc>
        <w:tc>
          <w:tcPr>
            <w:tcW w:w="400" w:type="dxa"/>
            <w:vAlign w:val="bottom"/>
          </w:tcPr>
          <w:p>
            <w:pPr>
              <w:spacing w:after="0"/>
              <w:rPr>
                <w:sz w:val="18"/>
                <w:szCs w:val="18"/>
                <w:color w:val="auto"/>
              </w:rPr>
            </w:pPr>
          </w:p>
        </w:tc>
        <w:tc>
          <w:tcPr>
            <w:tcW w:w="1340" w:type="dxa"/>
            <w:vAlign w:val="bottom"/>
            <w:tcBorders>
              <w:bottom w:val="single" w:sz="8" w:color="auto"/>
            </w:tcBorders>
          </w:tcPr>
          <w:p>
            <w:pPr>
              <w:jc w:val="right"/>
              <w:ind w:right="29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378,885</w:t>
            </w:r>
          </w:p>
        </w:tc>
      </w:tr>
      <w:tr>
        <w:trPr>
          <w:trHeight w:val="20"/>
        </w:trPr>
        <w:tc>
          <w:tcPr>
            <w:tcW w:w="6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Nkarta Media/Investor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Greg Mann</w:t>
      </w:r>
    </w:p>
    <w:p>
      <w:pPr>
        <w:spacing w:after="0" w:line="3" w:lineRule="exact"/>
        <w:rPr>
          <w:sz w:val="20"/>
          <w:szCs w:val="20"/>
          <w:color w:val="auto"/>
        </w:rPr>
      </w:pPr>
    </w:p>
    <w:p>
      <w:pPr>
        <w:spacing w:after="0"/>
        <w:rPr>
          <w:sz w:val="20"/>
          <w:szCs w:val="20"/>
          <w:color w:val="auto"/>
        </w:rPr>
      </w:pPr>
      <w:r>
        <w:rPr>
          <w:rFonts w:ascii="Calibri" w:cs="Calibri" w:eastAsia="Calibri" w:hAnsi="Calibri"/>
          <w:sz w:val="22"/>
          <w:szCs w:val="22"/>
          <w:color w:val="auto"/>
        </w:rPr>
        <w:t>Nkarta, Inc.</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gmann@nkartatx.com</w:t>
      </w:r>
    </w:p>
    <w:p>
      <w:pPr>
        <w:spacing w:after="0" w:line="379"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2024-08-16T05:18:01Z</dcterms:created>
  <dcterms:modified xsi:type="dcterms:W3CDTF">2024-08-16T05:18:01Z</dcterms:modified>
</cp:coreProperties>
</file>