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caps w:val="false"/>
          <w:smallCaps w:val="false"/>
        </w:rPr>
      </w:pPr>
      <w:bookmarkStart w:id="0" w:name="nktx-10q_20210630.htm"/>
      <w:bookmarkStart w:id="1" w:name="ksnktx10q_20210630"/>
      <w:bookmarkEnd w:id="0"/>
      <w:bookmarkEnd w:id="1"/>
      <w:r>
        <w:rPr>
          <w:caps w:val="false"/>
          <w:smallCaps w:val="false"/>
        </w:rPr>
        <w:t>  </w:t>
      </w:r>
    </w:p>
    <w:p>
      <w:pPr>
        <w:pStyle w:val="TextBody"/>
        <w:pBdr>
          <w:bottom w:val="double" w:sz="6" w:space="1" w:color="000000"/>
        </w:pBdr>
        <w:spacing w:before="0" w:after="0"/>
        <w:jc w:val="center"/>
        <w:rPr/>
      </w:pPr>
      <w:r>
        <w:rPr/>
        <w:t> </w:t>
      </w:r>
    </w:p>
    <w:p>
      <w:pPr>
        <w:pStyle w:val="TextBody"/>
        <w:spacing w:before="8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rPr>
          <w:rFonts w:ascii="Times New Roman" w:hAnsi="Times New Roman"/>
          <w:b/>
          <w:i w:val="false"/>
          <w:caps w:val="false"/>
          <w:smallCaps w:val="false"/>
          <w:sz w:val="16"/>
        </w:rPr>
      </w:pPr>
      <w:r>
        <w:rPr>
          <w:rFonts w:ascii="Times New Roman" w:hAnsi="Times New Roman"/>
          <w:b/>
          <w:i w:val="false"/>
          <w:caps w:val="false"/>
          <w:smallCaps w:val="false"/>
          <w:sz w:val="16"/>
        </w:rPr>
        <w:t>(Mark One)</w:t>
      </w:r>
    </w:p>
    <w:p>
      <w:pPr>
        <w:pStyle w:val="TextBody"/>
        <w:spacing w:before="0" w:after="0"/>
        <w:rPr/>
      </w:pPr>
      <w:r>
        <w:rPr/>
        <w:t> </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875" w:type="dxa"/>
            <w:tcBorders/>
            <w:shd w:fill="auto" w:val="clear"/>
          </w:tcPr>
          <w:p>
            <w:pPr>
              <w:pStyle w:val="TableContents"/>
              <w:spacing w:before="4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PURSUANT TO SECTION 13 OR 15(d) OF THE SECURITIES EXCHANGE ACT OF 1934</w:t>
            </w:r>
          </w:p>
        </w:tc>
      </w:tr>
    </w:tbl>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June 30, 2021</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p>
      <w:pPr>
        <w:pStyle w:val="TextBody"/>
        <w:spacing w:before="0" w:after="0"/>
        <w:jc w:val="center"/>
        <w:rPr/>
      </w:pPr>
      <w:r>
        <w:rPr/>
        <w:t> </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860" w:type="dxa"/>
            <w:tcBorders/>
            <w:shd w:fill="auto" w:val="clear"/>
          </w:tcPr>
          <w:p>
            <w:pPr>
              <w:pStyle w:val="TableContents"/>
              <w:spacing w:before="4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TRANSITION REPORT PURSUANT TO SECTION 13 OR 15(d) OF THE SECURITIES EXCHANGE ACT OF 1934</w:t>
            </w:r>
          </w:p>
        </w:tc>
      </w:tr>
    </w:tbl>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transition period from                      to                       </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001-39370</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48"/>
        </w:rPr>
      </w:pPr>
      <w:r>
        <w:rPr>
          <w:rFonts w:ascii="Times New Roman" w:hAnsi="Times New Roman"/>
          <w:b/>
          <w:i w:val="false"/>
          <w:caps w:val="false"/>
          <w:smallCaps w:val="false"/>
          <w:sz w:val="48"/>
        </w:rPr>
        <w:t>Nkarta,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jc w:val="center"/>
        <w:rPr/>
      </w:pPr>
      <w:r>
        <w:rPr/>
        <w:t> </w:t>
      </w:r>
    </w:p>
    <w:tbl>
      <w:tblPr>
        <w:tblW w:w="3820" w:type="dxa"/>
        <w:jc w:val="left"/>
        <w:tblInd w:w="0" w:type="dxa"/>
        <w:tblCellMar>
          <w:top w:w="0" w:type="dxa"/>
          <w:left w:w="0" w:type="dxa"/>
          <w:bottom w:w="0" w:type="dxa"/>
          <w:right w:w="0" w:type="dxa"/>
        </w:tblCellMar>
      </w:tblPr>
      <w:tblGrid>
        <w:gridCol w:w="2705"/>
        <w:gridCol w:w="1115"/>
      </w:tblGrid>
      <w:tr>
        <w:trPr/>
        <w:tc>
          <w:tcPr>
            <w:tcW w:w="270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Delaware</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47-4515206</w:t>
            </w:r>
          </w:p>
        </w:tc>
      </w:tr>
      <w:tr>
        <w:trPr/>
        <w:tc>
          <w:tcPr>
            <w:tcW w:w="270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(State or other jurisdiction of</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incorporation or organization)</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(I.R.S. Employer</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Identification No.)</w:t>
            </w:r>
          </w:p>
        </w:tc>
      </w:tr>
      <w:tr>
        <w:trPr/>
        <w:tc>
          <w:tcPr>
            <w:tcW w:w="270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6000 Shoreline Court, Suite 102</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South San Francisco, CA</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94080</w:t>
            </w:r>
          </w:p>
        </w:tc>
      </w:tr>
      <w:tr>
        <w:trPr/>
        <w:tc>
          <w:tcPr>
            <w:tcW w:w="270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(Address of principal executive offices)</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(Zip Code)</w:t>
            </w:r>
          </w:p>
        </w:tc>
      </w:tr>
    </w:tbl>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(415) 582-4923</w:t>
      </w:r>
    </w:p>
    <w:p>
      <w:pPr>
        <w:pStyle w:val="TextBody"/>
        <w:spacing w:before="0" w:after="0"/>
        <w:jc w:val="center"/>
        <w:rPr>
          <w:rFonts w:ascii="Times New Roman" w:hAnsi="Times New Roman"/>
          <w:b/>
          <w:i w:val="false"/>
          <w:caps w:val="false"/>
          <w:smallCaps w:val="false"/>
          <w:sz w:val="14"/>
        </w:rPr>
      </w:pPr>
      <w:r>
        <w:rPr>
          <w:rFonts w:ascii="Times New Roman" w:hAnsi="Times New Roman"/>
          <w:b/>
          <w:i w:val="false"/>
          <w:caps w:val="false"/>
          <w:smallCaps w:val="false"/>
          <w:sz w:val="14"/>
        </w:rPr>
        <w:t>(Registrant’s telephone number, including area code)</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 applicable</w:t>
      </w:r>
    </w:p>
    <w:p>
      <w:pPr>
        <w:pStyle w:val="TextBody"/>
        <w:spacing w:before="0" w:after="0"/>
        <w:jc w:val="center"/>
        <w:rPr>
          <w:rFonts w:ascii="Times New Roman" w:hAnsi="Times New Roman"/>
          <w:b/>
          <w:i w:val="false"/>
          <w:caps w:val="false"/>
          <w:smallCaps w:val="false"/>
          <w:sz w:val="14"/>
        </w:rPr>
      </w:pPr>
      <w:r>
        <w:rPr>
          <w:rFonts w:ascii="Times New Roman" w:hAnsi="Times New Roman"/>
          <w:b/>
          <w:i w:val="false"/>
          <w:caps w:val="false"/>
          <w:smallCaps w:val="false"/>
          <w:sz w:val="14"/>
        </w:rPr>
        <w:t>(Former name, former address and former fiscal year, if changed since last report)</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Securities registered pursuant to Section 12(b) of the Act: </w:t>
      </w:r>
    </w:p>
    <w:p>
      <w:pPr>
        <w:pStyle w:val="TextBody"/>
        <w:spacing w:before="0" w:after="0"/>
        <w:rPr/>
      </w:pPr>
      <w:r>
        <w:rPr/>
        <w:t> </w:t>
      </w:r>
    </w:p>
    <w:tbl>
      <w:tblPr>
        <w:tblW w:w="7230" w:type="dxa"/>
        <w:jc w:val="left"/>
        <w:tblInd w:w="0" w:type="dxa"/>
        <w:tblCellMar>
          <w:top w:w="0" w:type="dxa"/>
          <w:left w:w="0" w:type="dxa"/>
          <w:bottom w:w="28" w:type="dxa"/>
          <w:right w:w="0" w:type="dxa"/>
        </w:tblCellMar>
      </w:tblPr>
      <w:tblGrid>
        <w:gridCol w:w="3185"/>
        <w:gridCol w:w="60"/>
        <w:gridCol w:w="740"/>
        <w:gridCol w:w="60"/>
        <w:gridCol w:w="3185"/>
      </w:tblGrid>
      <w:tr>
        <w:trPr/>
        <w:tc>
          <w:tcPr>
            <w:tcW w:w="318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74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Trading</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18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Name of each exchange on which registered</w:t>
            </w:r>
          </w:p>
        </w:tc>
      </w:tr>
      <w:tr>
        <w:trPr/>
        <w:tc>
          <w:tcPr>
            <w:tcW w:w="3185"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Common Stock, $0.0001 par value per share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74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NKTX  </w:t>
            </w:r>
          </w:p>
          <w:p>
            <w:pPr>
              <w:pStyle w:val="TableContents"/>
              <w:spacing w:before="0" w:after="0"/>
              <w:ind w:left="0" w:right="0" w:hanging="0"/>
              <w:jc w:val="center"/>
              <w:rPr/>
            </w:pPr>
            <w:r>
              <w:rPr/>
              <w:t> </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185"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The Nasdaq Stock Market LLC</w:t>
            </w:r>
          </w:p>
          <w:p>
            <w:pPr>
              <w:pStyle w:val="TableContents"/>
              <w:spacing w:before="0" w:after="0"/>
              <w:ind w:left="0" w:right="0" w:hanging="0"/>
              <w:jc w:val="center"/>
              <w:rPr>
                <w:rFonts w:ascii="Times New Roman" w:hAnsi="Times New Roman"/>
                <w:b w:val="false"/>
                <w:i w:val="false"/>
                <w:caps w:val="false"/>
                <w:smallCaps w:val="false"/>
                <w:color w:val="212529"/>
                <w:sz w:val="18"/>
                <w:highlight w:val="white"/>
              </w:rPr>
            </w:pPr>
            <w:r>
              <w:rPr>
                <w:rFonts w:ascii="Times New Roman" w:hAnsi="Times New Roman"/>
                <w:b w:val="false"/>
                <w:i w:val="false"/>
                <w:caps w:val="false"/>
                <w:smallCaps w:val="false"/>
                <w:color w:val="212529"/>
                <w:sz w:val="18"/>
                <w:highlight w:val="white"/>
              </w:rPr>
              <w:t>(Nasdaq Global Select Market)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595" w:type="dxa"/>
        <w:jc w:val="left"/>
        <w:tblInd w:w="0" w:type="dxa"/>
        <w:tblCellMar>
          <w:top w:w="0" w:type="dxa"/>
          <w:left w:w="0" w:type="dxa"/>
          <w:bottom w:w="0" w:type="dxa"/>
          <w:right w:w="0" w:type="dxa"/>
        </w:tblCellMar>
      </w:tblPr>
      <w:tblGrid>
        <w:gridCol w:w="1955"/>
        <w:gridCol w:w="60"/>
        <w:gridCol w:w="230"/>
        <w:gridCol w:w="120"/>
        <w:gridCol w:w="1940"/>
        <w:gridCol w:w="60"/>
        <w:gridCol w:w="230"/>
      </w:tblGrid>
      <w:tr>
        <w:trPr/>
        <w:tc>
          <w:tcPr>
            <w:tcW w:w="195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55" w:type="dxa"/>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c>
          <w:tcPr>
            <w:tcW w:w="2060" w:type="dxa"/>
            <w:gridSpan w:val="2"/>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r>
      <w:tr>
        <w:trPr/>
        <w:tc>
          <w:tcPr>
            <w:tcW w:w="195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5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95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pPr>
            <w:r>
              <w:rPr/>
              <w:t> </w:t>
            </w:r>
          </w:p>
        </w:tc>
        <w:tc>
          <w:tcPr>
            <w:tcW w:w="19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shell company (as defined in Rule 12b-2 of the Exchange Act).     Yes  ☐    No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As of August 9, 2021, the registrant had 32,906,550 shares of common stock, par value $0.0001 per share, outstanding.</w:t>
      </w:r>
    </w:p>
    <w:p>
      <w:pPr>
        <w:pStyle w:val="TextBody"/>
        <w:pBdr>
          <w:bottom w:val="double" w:sz="6" w:space="1" w:color="000000"/>
        </w:pBdr>
        <w:spacing w:before="0" w:after="0"/>
        <w:rPr/>
      </w:pPr>
      <w:r>
        <w:rPr/>
        <w:t> </w:t>
      </w:r>
    </w:p>
    <w:p>
      <w:pPr>
        <w:pStyle w:val="TextBody"/>
        <w:spacing w:lineRule="atLeast" w:line="141" w:before="0" w:after="0"/>
        <w:jc w:val="center"/>
        <w:rPr/>
      </w:pPr>
      <w:r>
        <w:rPr/>
        <w:t> </w:t>
      </w:r>
    </w:p>
    <w:p>
      <w:pPr>
        <w:pStyle w:val="TextBody"/>
        <w:pBdr>
          <w:top w:val="single" w:sz="8" w:space="1" w:color="000000"/>
        </w:pBdr>
        <w:spacing w:lineRule="atLeast" w:line="141" w:before="0" w:after="0"/>
        <w:jc w:val="center"/>
        <w:rPr/>
      </w:pPr>
      <w:r>
        <w:rPr/>
        <w:t> </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04"/>
        <w:gridCol w:w="9120"/>
        <w:gridCol w:w="381"/>
      </w:tblGrid>
      <w:tr>
        <w:trPr/>
        <w:tc>
          <w:tcPr>
            <w:tcW w:w="704" w:type="dxa"/>
            <w:tcBorders>
              <w:bottom w:val="single" w:sz="6" w:space="0" w:color="000000"/>
            </w:tcBorders>
            <w:shd w:fill="FFFFFF" w:val="cle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912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1" w:type="dxa"/>
            <w:tcBorders>
              <w:bottom w:val="single" w:sz="6" w:space="0" w:color="000000"/>
            </w:tcBorders>
            <w:shd w:fill="FFFFFF" w:val="clear"/>
            <w:vAlign w:val="center"/>
          </w:tcPr>
          <w:p>
            <w:pPr>
              <w:pStyle w:val="TableContents"/>
              <w:spacing w:before="0" w:after="0"/>
              <w:ind w:left="137"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PART I.</w:t>
            </w:r>
          </w:p>
        </w:tc>
        <w:tc>
          <w:tcPr>
            <w:tcW w:w="9120" w:type="dxa"/>
            <w:tcBorders/>
            <w:shd w:fill="FFFFFF" w:val="clear"/>
            <w:tcMar>
              <w:bottom w:w="0" w:type="dxa"/>
            </w:tcMar>
            <w:vAlign w:val="center"/>
          </w:tcPr>
          <w:p>
            <w:pPr>
              <w:pStyle w:val="TableContents"/>
              <w:spacing w:before="0" w:after="0"/>
              <w:ind w:left="0" w:right="0" w:hanging="0"/>
              <w:rPr/>
            </w:pPr>
            <w:hyperlink w:anchor="PART_IFINANCIAL_INFORMATION">
              <w:r>
                <w:rPr>
                  <w:rStyle w:val="InternetLink"/>
                  <w:rFonts w:ascii="Times New Roman" w:hAnsi="Times New Roman"/>
                  <w:b w:val="false"/>
                  <w:i w:val="false"/>
                  <w:caps w:val="false"/>
                  <w:smallCaps w:val="false"/>
                  <w:sz w:val="20"/>
                  <w:u w:val="single"/>
                </w:rPr>
                <w:t>FINANCIAL INFORMATION</w:t>
              </w:r>
            </w:hyperlink>
          </w:p>
        </w:tc>
        <w:tc>
          <w:tcPr>
            <w:tcW w:w="38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9120" w:type="dxa"/>
            <w:tcBorders/>
            <w:shd w:fill="FFFFFF" w:val="clear"/>
            <w:tcMar>
              <w:bottom w:w="0" w:type="dxa"/>
            </w:tcMar>
            <w:vAlign w:val="center"/>
          </w:tcPr>
          <w:p>
            <w:pPr>
              <w:pStyle w:val="TableContents"/>
              <w:spacing w:before="0" w:after="0"/>
              <w:ind w:left="0" w:right="0" w:hanging="0"/>
              <w:rPr/>
            </w:pPr>
            <w:hyperlink w:anchor="ITEM_1_FINANCIAL_STATEMENTS">
              <w:r>
                <w:rPr>
                  <w:rStyle w:val="InternetLink"/>
                  <w:rFonts w:ascii="Times New Roman" w:hAnsi="Times New Roman"/>
                  <w:b w:val="false"/>
                  <w:i w:val="false"/>
                  <w:caps w:val="false"/>
                  <w:smallCaps w:val="false"/>
                  <w:sz w:val="20"/>
                  <w:u w:val="single"/>
                </w:rPr>
                <w:t>Financial Statements</w:t>
              </w:r>
            </w:hyperlink>
            <w:r>
              <w:rPr>
                <w:rFonts w:ascii="Times New Roman" w:hAnsi="Times New Roman"/>
                <w:b w:val="false"/>
                <w:i w:val="false"/>
                <w:caps w:val="false"/>
                <w:smallCaps w:val="false"/>
                <w:sz w:val="20"/>
                <w:u w:val="single"/>
              </w:rPr>
              <w:t>:</w:t>
            </w:r>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704"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9120" w:type="dxa"/>
            <w:tcBorders/>
            <w:shd w:fill="FFFFFF" w:val="clear"/>
            <w:tcMar>
              <w:bottom w:w="0" w:type="dxa"/>
            </w:tcMar>
            <w:vAlign w:val="center"/>
          </w:tcPr>
          <w:p>
            <w:pPr>
              <w:pStyle w:val="TableContents"/>
              <w:spacing w:before="0" w:after="0"/>
              <w:ind w:left="0" w:right="0" w:hanging="0"/>
              <w:rPr/>
            </w:pPr>
            <w:hyperlink w:anchor="CONDENSED_BALANCE_SHEETS">
              <w:r>
                <w:rPr>
                  <w:rStyle w:val="InternetLink"/>
                  <w:rFonts w:ascii="Times New Roman" w:hAnsi="Times New Roman"/>
                  <w:b w:val="false"/>
                  <w:i w:val="false"/>
                  <w:caps w:val="false"/>
                  <w:smallCaps w:val="false"/>
                  <w:sz w:val="20"/>
                  <w:u w:val="single"/>
                </w:rPr>
                <w:t>Condensed Balance Sheets as of June 30, 2021 and December 31, 2020 (unaudited)</w:t>
              </w:r>
            </w:hyperlink>
            <w:r>
              <w:rPr>
                <w:rFonts w:ascii="Times New Roman" w:hAnsi="Times New Roman"/>
                <w:b w:val="false"/>
                <w:i w:val="false"/>
                <w:caps w:val="false"/>
                <w:smallCaps w:val="false"/>
                <w:sz w:val="20"/>
                <w:u w:val="single"/>
              </w:rPr>
              <w:t xml:space="preserve"> </w:t>
            </w:r>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704"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9120" w:type="dxa"/>
            <w:tcBorders/>
            <w:shd w:fill="FFFFFF" w:val="clear"/>
            <w:tcMar>
              <w:bottom w:w="0" w:type="dxa"/>
            </w:tcMar>
            <w:vAlign w:val="center"/>
          </w:tcPr>
          <w:p>
            <w:pPr>
              <w:pStyle w:val="TableContents"/>
              <w:spacing w:before="0" w:after="0"/>
              <w:ind w:left="0" w:right="0" w:hanging="0"/>
              <w:rPr/>
            </w:pPr>
            <w:hyperlink w:anchor="CONDENSED_STATEMENTS_OPERATIONS_COMPREHE">
              <w:r>
                <w:rPr>
                  <w:rStyle w:val="InternetLink"/>
                  <w:rFonts w:ascii="Times New Roman" w:hAnsi="Times New Roman"/>
                  <w:b w:val="false"/>
                  <w:i w:val="false"/>
                  <w:caps w:val="false"/>
                  <w:smallCaps w:val="false"/>
                  <w:sz w:val="20"/>
                  <w:u w:val="single"/>
                </w:rPr>
                <w:t>Condensed Statements of Operations and Comprehensive Loss for the three and six months ended June 30, 2021 and 2020 (unaudited)</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r>
      <w:tr>
        <w:trPr/>
        <w:tc>
          <w:tcPr>
            <w:tcW w:w="704"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9120" w:type="dxa"/>
            <w:tcBorders/>
            <w:shd w:fill="FFFFFF" w:val="clear"/>
            <w:tcMar>
              <w:bottom w:w="0" w:type="dxa"/>
            </w:tcMar>
            <w:vAlign w:val="center"/>
          </w:tcPr>
          <w:p>
            <w:pPr>
              <w:pStyle w:val="TableContents"/>
              <w:spacing w:before="0" w:after="0"/>
              <w:ind w:left="0" w:right="0" w:hanging="0"/>
              <w:rPr/>
            </w:pPr>
            <w:hyperlink w:anchor="CONDENSED_STATEMENTS_CONVERTIBLE_PREFERR">
              <w:r>
                <w:rPr>
                  <w:rStyle w:val="InternetLink"/>
                  <w:rFonts w:ascii="Times New Roman" w:hAnsi="Times New Roman"/>
                  <w:b w:val="false"/>
                  <w:i w:val="false"/>
                  <w:caps w:val="false"/>
                  <w:smallCaps w:val="false"/>
                  <w:sz w:val="20"/>
                  <w:u w:val="single"/>
                </w:rPr>
                <w:t>Condensed Statements of Convertible Preferred Stock and Stockholders’ Equity (Deficit) for the three and six months ended June 30, 2021 and 2020 (unaudited)</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r>
      <w:tr>
        <w:trPr/>
        <w:tc>
          <w:tcPr>
            <w:tcW w:w="704"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9120" w:type="dxa"/>
            <w:tcBorders/>
            <w:shd w:fill="FFFFFF" w:val="clear"/>
            <w:tcMar>
              <w:bottom w:w="0" w:type="dxa"/>
            </w:tcMar>
            <w:vAlign w:val="center"/>
          </w:tcPr>
          <w:p>
            <w:pPr>
              <w:pStyle w:val="TableContents"/>
              <w:spacing w:before="0" w:after="0"/>
              <w:ind w:left="0" w:right="0" w:hanging="0"/>
              <w:rPr/>
            </w:pPr>
            <w:hyperlink w:anchor="CONDENSED_STATEMENT_CASH_FLOWS">
              <w:r>
                <w:rPr>
                  <w:rStyle w:val="InternetLink"/>
                  <w:rFonts w:ascii="Times New Roman" w:hAnsi="Times New Roman"/>
                  <w:b w:val="false"/>
                  <w:i w:val="false"/>
                  <w:caps w:val="false"/>
                  <w:smallCaps w:val="false"/>
                  <w:sz w:val="20"/>
                  <w:u w:val="single"/>
                </w:rPr>
                <w:t>Condensed Statements of Cash Flows for the six months ended June 30, 2021 and 2020 (unaudited)</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r>
      <w:tr>
        <w:trPr/>
        <w:tc>
          <w:tcPr>
            <w:tcW w:w="704"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9120" w:type="dxa"/>
            <w:tcBorders/>
            <w:shd w:fill="FFFFFF" w:val="clear"/>
            <w:tcMar>
              <w:bottom w:w="0" w:type="dxa"/>
            </w:tcMar>
            <w:vAlign w:val="center"/>
          </w:tcPr>
          <w:p>
            <w:pPr>
              <w:pStyle w:val="TableContents"/>
              <w:spacing w:before="0" w:after="0"/>
              <w:ind w:left="0" w:right="0" w:hanging="0"/>
              <w:rPr/>
            </w:pPr>
            <w:hyperlink w:anchor="NOTES_TO_FINANCIAL_STATEMENTS">
              <w:r>
                <w:rPr>
                  <w:rStyle w:val="InternetLink"/>
                  <w:rFonts w:ascii="Times New Roman" w:hAnsi="Times New Roman"/>
                  <w:b w:val="false"/>
                  <w:i w:val="false"/>
                  <w:caps w:val="false"/>
                  <w:smallCaps w:val="false"/>
                  <w:sz w:val="20"/>
                  <w:u w:val="single"/>
                </w:rPr>
                <w:t>Notes to Unaudited Condensed Financial Statements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9120" w:type="dxa"/>
            <w:tcBorders/>
            <w:shd w:fill="FFFFFF" w:val="clear"/>
            <w:tcMar>
              <w:bottom w:w="0" w:type="dxa"/>
            </w:tcMar>
            <w:vAlign w:val="center"/>
          </w:tcPr>
          <w:p>
            <w:pPr>
              <w:pStyle w:val="TableContents"/>
              <w:spacing w:before="0" w:after="0"/>
              <w:ind w:left="0" w:right="0" w:hanging="0"/>
              <w:rPr/>
            </w:pPr>
            <w:hyperlink w:anchor="ITEM_2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9120" w:type="dxa"/>
            <w:tcBorders/>
            <w:shd w:fill="FFFFFF" w:val="clear"/>
            <w:tcMar>
              <w:bottom w:w="0" w:type="dxa"/>
            </w:tcMar>
            <w:vAlign w:val="center"/>
          </w:tcPr>
          <w:p>
            <w:pPr>
              <w:pStyle w:val="TableContents"/>
              <w:spacing w:before="0" w:after="0"/>
              <w:ind w:left="0" w:right="0" w:hanging="0"/>
              <w:rPr/>
            </w:pPr>
            <w:hyperlink w:anchor="ITEM_3_QUANTITATIVE_QUALITATIVE_DISCLOSU">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9120" w:type="dxa"/>
            <w:tcBorders/>
            <w:shd w:fill="FFFFFF" w:val="clear"/>
            <w:tcMar>
              <w:bottom w:w="0" w:type="dxa"/>
            </w:tcMar>
          </w:tcPr>
          <w:p>
            <w:pPr>
              <w:pStyle w:val="TableContents"/>
              <w:spacing w:before="0" w:after="0"/>
              <w:ind w:left="0" w:right="0" w:hanging="0"/>
              <w:rPr/>
            </w:pPr>
            <w:hyperlink w:anchor="ITEM_4_CONTROLS_PROCEDURES">
              <w:r>
                <w:rPr>
                  <w:rStyle w:val="InternetLink"/>
                  <w:rFonts w:ascii="Times New Roman" w:hAnsi="Times New Roman"/>
                  <w:b w:val="false"/>
                  <w:i w:val="false"/>
                  <w:caps w:val="false"/>
                  <w:smallCaps w:val="false"/>
                  <w:sz w:val="20"/>
                  <w:u w:val="single"/>
                </w:rPr>
                <w:t>Controls and Procedures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PART II.</w:t>
            </w:r>
          </w:p>
        </w:tc>
        <w:tc>
          <w:tcPr>
            <w:tcW w:w="9120" w:type="dxa"/>
            <w:tcBorders/>
            <w:shd w:fill="FFFFFF" w:val="clear"/>
            <w:tcMar>
              <w:bottom w:w="0" w:type="dxa"/>
            </w:tcMar>
            <w:vAlign w:val="center"/>
          </w:tcPr>
          <w:p>
            <w:pPr>
              <w:pStyle w:val="TableContents"/>
              <w:spacing w:before="0" w:after="0"/>
              <w:ind w:left="0" w:right="0" w:hanging="0"/>
              <w:rPr/>
            </w:pPr>
            <w:hyperlink w:anchor="PART_IIOR_INFORMATION">
              <w:r>
                <w:rPr>
                  <w:rStyle w:val="InternetLink"/>
                  <w:rFonts w:ascii="Times New Roman" w:hAnsi="Times New Roman"/>
                  <w:b w:val="false"/>
                  <w:i w:val="false"/>
                  <w:caps w:val="false"/>
                  <w:smallCaps w:val="false"/>
                  <w:sz w:val="20"/>
                  <w:u w:val="single"/>
                </w:rPr>
                <w:t>OTHER INFORMATION</w:t>
              </w:r>
            </w:hyperlink>
          </w:p>
        </w:tc>
        <w:tc>
          <w:tcPr>
            <w:tcW w:w="381" w:type="dxa"/>
            <w:tcBorders/>
            <w:shd w:fill="FFFFFF" w:val="clear"/>
            <w:tcMar>
              <w:bottom w:w="0" w:type="dxa"/>
            </w:tcMar>
            <w:vAlign w:val="bottom"/>
          </w:tcPr>
          <w:p>
            <w:pPr>
              <w:pStyle w:val="TableContents"/>
              <w:spacing w:before="0" w:after="0"/>
              <w:ind w:left="0" w:right="0" w:hanging="0"/>
              <w:jc w:val="right"/>
              <w:rPr/>
            </w:pPr>
            <w:r>
              <w:rPr/>
              <w:t> </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9120" w:type="dxa"/>
            <w:tcBorders/>
            <w:shd w:fill="FFFFFF" w:val="clear"/>
            <w:tcMar>
              <w:bottom w:w="0" w:type="dxa"/>
            </w:tcMar>
            <w:vAlign w:val="center"/>
          </w:tcPr>
          <w:p>
            <w:pPr>
              <w:pStyle w:val="TableContents"/>
              <w:spacing w:before="0" w:after="0"/>
              <w:ind w:left="0" w:right="0" w:hanging="0"/>
              <w:rPr/>
            </w:pPr>
            <w:hyperlink w:anchor="ITEM_1_LEGAL_PROCEEDINGS">
              <w:r>
                <w:rPr>
                  <w:rStyle w:val="InternetLink"/>
                  <w:rFonts w:ascii="Times New Roman" w:hAnsi="Times New Roman"/>
                  <w:b w:val="false"/>
                  <w:i w:val="false"/>
                  <w:caps w:val="false"/>
                  <w:smallCaps w:val="false"/>
                  <w:sz w:val="20"/>
                  <w:u w:val="single"/>
                </w:rPr>
                <w:t>Legal Proceedings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9120" w:type="dxa"/>
            <w:tcBorders/>
            <w:shd w:fill="FFFFFF" w:val="clear"/>
            <w:tcMar>
              <w:bottom w:w="0" w:type="dxa"/>
            </w:tcMar>
            <w:vAlign w:val="center"/>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9120" w:type="dxa"/>
            <w:tcBorders/>
            <w:shd w:fill="FFFFFF" w:val="clear"/>
            <w:tcMar>
              <w:bottom w:w="0" w:type="dxa"/>
            </w:tcMar>
            <w:vAlign w:val="center"/>
          </w:tcPr>
          <w:p>
            <w:pPr>
              <w:pStyle w:val="TableContents"/>
              <w:spacing w:before="0" w:after="0"/>
              <w:ind w:left="0" w:right="0" w:hanging="0"/>
              <w:rPr/>
            </w:pPr>
            <w:hyperlink w:anchor="ITEM_2_UNREGISTERED_SALES_EQUITY_SECURIT">
              <w:r>
                <w:rPr>
                  <w:rStyle w:val="InternetLink"/>
                  <w:rFonts w:ascii="Times New Roman" w:hAnsi="Times New Roman"/>
                  <w:b w:val="false"/>
                  <w:i w:val="false"/>
                  <w:caps w:val="false"/>
                  <w:smallCaps w:val="false"/>
                  <w:sz w:val="20"/>
                  <w:u w:val="single"/>
                </w:rPr>
                <w:t>Unregistered Sales of Equity Securities and Use of Proceeds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9120" w:type="dxa"/>
            <w:tcBorders/>
            <w:shd w:fill="FFFFFF" w:val="clear"/>
            <w:tcMar>
              <w:bottom w:w="0" w:type="dxa"/>
            </w:tcMar>
            <w:vAlign w:val="center"/>
          </w:tcPr>
          <w:p>
            <w:pPr>
              <w:pStyle w:val="TableContents"/>
              <w:spacing w:before="0" w:after="0"/>
              <w:ind w:left="0" w:right="0" w:hanging="0"/>
              <w:rPr/>
            </w:pPr>
            <w:hyperlink w:anchor="ITEM_3_DEFAULTS_UPON_SENIOR_SECURITIES">
              <w:r>
                <w:rPr>
                  <w:rStyle w:val="InternetLink"/>
                  <w:rFonts w:ascii="Times New Roman" w:hAnsi="Times New Roman"/>
                  <w:b w:val="false"/>
                  <w:i w:val="false"/>
                  <w:caps w:val="false"/>
                  <w:smallCaps w:val="false"/>
                  <w:sz w:val="20"/>
                  <w:u w:val="single"/>
                </w:rPr>
                <w:t>Defaults Upon Senior Securities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9120" w:type="dxa"/>
            <w:tcBorders/>
            <w:shd w:fill="FFFFFF" w:val="clear"/>
            <w:tcMar>
              <w:bottom w:w="0" w:type="dxa"/>
            </w:tcMar>
            <w:vAlign w:val="center"/>
          </w:tcPr>
          <w:p>
            <w:pPr>
              <w:pStyle w:val="TableContents"/>
              <w:spacing w:before="0" w:after="0"/>
              <w:ind w:left="0" w:right="0" w:hanging="0"/>
              <w:rPr/>
            </w:pPr>
            <w:hyperlink w:anchor="ITEM_4_MINE_SAFETY_DISCLOSURES">
              <w:r>
                <w:rPr>
                  <w:rStyle w:val="InternetLink"/>
                  <w:rFonts w:ascii="Times New Roman" w:hAnsi="Times New Roman"/>
                  <w:b w:val="false"/>
                  <w:i w:val="false"/>
                  <w:caps w:val="false"/>
                  <w:smallCaps w:val="false"/>
                  <w:sz w:val="20"/>
                  <w:u w:val="single"/>
                </w:rPr>
                <w:t>Mine Safety Disclosures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9120" w:type="dxa"/>
            <w:tcBorders/>
            <w:shd w:fill="FFFFFF" w:val="clear"/>
            <w:tcMar>
              <w:bottom w:w="0" w:type="dxa"/>
            </w:tcMar>
            <w:vAlign w:val="center"/>
          </w:tcPr>
          <w:p>
            <w:pPr>
              <w:pStyle w:val="TableContents"/>
              <w:spacing w:before="0" w:after="0"/>
              <w:ind w:left="0" w:right="0" w:hanging="0"/>
              <w:rPr/>
            </w:pPr>
            <w:hyperlink w:anchor="ITEM_5_OR_INFORMATION">
              <w:r>
                <w:rPr>
                  <w:rStyle w:val="InternetLink"/>
                  <w:rFonts w:ascii="Times New Roman" w:hAnsi="Times New Roman"/>
                  <w:b w:val="false"/>
                  <w:i w:val="false"/>
                  <w:caps w:val="false"/>
                  <w:smallCaps w:val="false"/>
                  <w:sz w:val="20"/>
                  <w:u w:val="single"/>
                </w:rPr>
                <w:t>Other Information</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r>
      <w:tr>
        <w:trPr/>
        <w:tc>
          <w:tcPr>
            <w:tcW w:w="70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9120" w:type="dxa"/>
            <w:tcBorders/>
            <w:shd w:fill="FFFFFF" w:val="clear"/>
            <w:tcMar>
              <w:bottom w:w="0" w:type="dxa"/>
            </w:tcMar>
            <w:vAlign w:val="center"/>
          </w:tcPr>
          <w:p>
            <w:pPr>
              <w:pStyle w:val="TableContents"/>
              <w:spacing w:before="0" w:after="0"/>
              <w:ind w:left="0" w:right="0" w:hanging="0"/>
              <w:rPr/>
            </w:pPr>
            <w:hyperlink w:anchor="ITEM_6_EXHIBITS">
              <w:r>
                <w:rPr>
                  <w:rStyle w:val="InternetLink"/>
                  <w:rFonts w:ascii="Times New Roman" w:hAnsi="Times New Roman"/>
                  <w:b w:val="false"/>
                  <w:i w:val="false"/>
                  <w:caps w:val="false"/>
                  <w:smallCaps w:val="false"/>
                  <w:sz w:val="20"/>
                  <w:u w:val="single"/>
                </w:rPr>
                <w:t>Exhibits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w:t>
            </w:r>
          </w:p>
        </w:tc>
      </w:tr>
      <w:tr>
        <w:trPr/>
        <w:tc>
          <w:tcPr>
            <w:tcW w:w="9824" w:type="dxa"/>
            <w:gridSpan w:val="2"/>
            <w:tcBorders/>
            <w:shd w:fill="FFFFFF" w:val="clear"/>
            <w:tcMar>
              <w:bottom w:w="0" w:type="dxa"/>
            </w:tcMar>
            <w:vAlign w:val="cente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Signatures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w:t>
      </w:r>
    </w:p>
    <w:p>
      <w:pPr>
        <w:pStyle w:val="HorizontalLine"/>
        <w:rPr/>
      </w:pPr>
      <w:r>
        <w:rPr/>
      </w:r>
    </w:p>
    <w:p>
      <w:pPr>
        <w:pStyle w:val="TextBody"/>
        <w:spacing w:before="24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CAUTIONARY NOTE REGARDING FORWARD-LOOKING STATEMENTS</w:t>
      </w:r>
    </w:p>
    <w:p>
      <w:pPr>
        <w:pStyle w:val="TextBody"/>
        <w:spacing w:before="0" w:after="0"/>
        <w:rPr/>
      </w:pPr>
      <w:r>
        <w:rPr/>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or the Securities Act,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w:t>
      </w:r>
    </w:p>
    <w:p>
      <w:pPr>
        <w:pStyle w:val="HorizontalLine"/>
        <w:rPr/>
      </w:pPr>
      <w:r>
        <w:rPr/>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RISK FACTOR SUMMARY</w:t>
      </w:r>
    </w:p>
    <w:p>
      <w:pPr>
        <w:pStyle w:val="TextBody"/>
        <w:spacing w:before="0" w:after="0"/>
        <w:jc w:val="center"/>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spacing w:before="0" w:after="0"/>
        <w:rPr/>
      </w:pPr>
      <w:r>
        <w:rPr/>
        <w:t> </w:t>
      </w:r>
    </w:p>
    <w:tbl>
      <w:tblPr>
        <w:tblW w:w="7120" w:type="dxa"/>
        <w:jc w:val="left"/>
        <w:tblInd w:w="0" w:type="dxa"/>
        <w:tblCellMar>
          <w:top w:w="0" w:type="dxa"/>
          <w:left w:w="0" w:type="dxa"/>
          <w:bottom w:w="0" w:type="dxa"/>
          <w:right w:w="0" w:type="dxa"/>
        </w:tblCellMar>
      </w:tblPr>
      <w:tblGrid>
        <w:gridCol w:w="60"/>
        <w:gridCol w:w="110"/>
        <w:gridCol w:w="69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9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caps w:val="false"/>
                <w:smallCaps w:val="false"/>
                <w:sz w:val="20"/>
              </w:rPr>
              <w:t>We have a limited operating history and do not have any products approved for sale</w:t>
            </w:r>
            <w:r>
              <w:rPr>
                <w:rFonts w:ascii="Times New Roman" w:hAnsi="Times New Roman"/>
                <w:b w:val="false"/>
                <w:i w:val="false"/>
                <w:caps w:val="false"/>
                <w:smallCaps w:val="false"/>
                <w:sz w:val="20"/>
              </w:rPr>
              <w: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We have incurred significant losses since our inception and we expect to continue to incur significant losses for the foreseeable future.</w:t>
            </w:r>
          </w:p>
        </w:tc>
      </w:tr>
    </w:tbl>
    <w:tbl>
      <w:tblPr>
        <w:tblW w:w="8500" w:type="dxa"/>
        <w:jc w:val="left"/>
        <w:tblInd w:w="0" w:type="dxa"/>
        <w:tblCellMar>
          <w:top w:w="0" w:type="dxa"/>
          <w:left w:w="0" w:type="dxa"/>
          <w:bottom w:w="0" w:type="dxa"/>
          <w:right w:w="0" w:type="dxa"/>
        </w:tblCellMar>
      </w:tblPr>
      <w:tblGrid>
        <w:gridCol w:w="60"/>
        <w:gridCol w:w="110"/>
        <w:gridCol w:w="833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330"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We have never generated revenue from product sales and may never achieve or maintain profitability.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We will require additional capital, which, if available, may cause dilution to our stockholders, restrict our operations or require us to relinquish rights to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Our business and the business or operations of our research partners, including CRISPR, and other third parties with whom we conduct business could be adversely affected by the effects of health epidemics, including the recent COVID-19 pandemic, in regions where we or third parties on which we rely have business operations.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Our business depends upon the success of our chimeric antigen receptor-natural killer cell, or CAR-NK, cell technology platform.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Utilizing CAR-NK cells represents a novel approach to the treatment of cancer, and we must overcome significant challenges in order to develop, commercialize and manufacture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Clinical development involves a lengthy and expensive process with an uncertain outcome, and we may encounter substantial delays due to a variety of reasons outside our control.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Our preclinical programs may experience delays or may never advance to clinical trials, which would adversely affect our ability to obtain regulatory approvals or commercialize these programs on a timely basis or at all.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The results of preclinical studies and early-stage clinical trials may not be predictive of future results. Initial success in any clinical trials may not be indicative of results obtained when these trials are completed or in later stage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If any of our product candidates, or any competing product candidates, demonstrate relevant, serious adverse events, we may be required to halt or delay further clinical development.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If we fail to compete effectively with academic institutions and other biopharmaceutical companies that develop similar or alternatives to cellular immunotherapy product candidates, our business will be materially adversely affected.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tc>
      </w:tr>
    </w:tbl>
    <w:tbl>
      <w:tblPr>
        <w:tblW w:w="6730" w:type="dxa"/>
        <w:jc w:val="left"/>
        <w:tblInd w:w="0" w:type="dxa"/>
        <w:tblCellMar>
          <w:top w:w="0" w:type="dxa"/>
          <w:left w:w="0" w:type="dxa"/>
          <w:bottom w:w="0" w:type="dxa"/>
          <w:right w:w="0" w:type="dxa"/>
        </w:tblCellMar>
      </w:tblPr>
      <w:tblGrid>
        <w:gridCol w:w="60"/>
        <w:gridCol w:w="110"/>
        <w:gridCol w:w="65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560"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We are reliant on a sole supplier for certain steps of our manufacturing process.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Delays in commissioning and receiving regulatory approvals for our manufacturing facilities could delay our development plans and thereby limit our ability to develop our product candidates and generate revenues.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If our license agreement with National University of Singapore and St. Jude’s Children’s Research Hospital, Inc. is terminated, we could lose our rights to key components enabling our NK cell engineering platform.</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If any patent protection we obtain is not sufficiently robust, our competitors could develop and commercialize products and technology similar or identical to ours.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Our product candidates, including NKX101 and NKX019, could be subject to regulatory limitations following approval, if and when such approval is granted.</w:t>
            </w:r>
          </w:p>
        </w:tc>
      </w:tr>
    </w:tbl>
    <w:tbl>
      <w:tblPr>
        <w:tblW w:w="10195" w:type="dxa"/>
        <w:jc w:val="left"/>
        <w:tblInd w:w="0" w:type="dxa"/>
        <w:tblCellMar>
          <w:top w:w="0" w:type="dxa"/>
          <w:left w:w="0" w:type="dxa"/>
          <w:bottom w:w="0" w:type="dxa"/>
          <w:right w:w="0" w:type="dxa"/>
        </w:tblCellMar>
      </w:tblPr>
      <w:tblGrid>
        <w:gridCol w:w="60"/>
        <w:gridCol w:w="110"/>
        <w:gridCol w:w="100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2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The market price for our common stock may be volatile, which could contribute to the loss of all or part of your investment.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Concentration of ownership of our shares of common stock among our existing executive officers, directors and principal stockholders may prevent new investors from influencing significant corporate decisions.</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iii</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2" w:name="PART_IFINANCIAL_INFORMATION"/>
      <w:bookmarkEnd w:id="2"/>
      <w:r>
        <w:rPr>
          <w:rFonts w:ascii="Times New Roman" w:hAnsi="Times New Roman"/>
          <w:b/>
          <w:i w:val="false"/>
          <w:caps w:val="false"/>
          <w:smallCaps w:val="false"/>
          <w:sz w:val="20"/>
        </w:rPr>
        <w:t>PART I—FINANCIAL INFORMATION</w:t>
      </w:r>
    </w:p>
    <w:p>
      <w:pPr>
        <w:pStyle w:val="TextBody"/>
        <w:spacing w:before="240" w:after="0"/>
        <w:rPr>
          <w:rFonts w:ascii="Times New Roman" w:hAnsi="Times New Roman"/>
          <w:b/>
          <w:i w:val="false"/>
          <w:caps w:val="false"/>
          <w:smallCaps w:val="false"/>
          <w:sz w:val="20"/>
        </w:rPr>
      </w:pPr>
      <w:bookmarkStart w:id="3" w:name="ITEM_1_FINANCIAL_STATEMENTS"/>
      <w:bookmarkEnd w:id="3"/>
      <w:r>
        <w:rPr>
          <w:rFonts w:ascii="Times New Roman" w:hAnsi="Times New Roman"/>
          <w:b/>
          <w:i w:val="false"/>
          <w:caps w:val="false"/>
          <w:smallCaps w:val="false"/>
          <w:sz w:val="20"/>
        </w:rPr>
        <w:t>Item 1. Financial Statements.</w:t>
      </w:r>
    </w:p>
    <w:p>
      <w:pPr>
        <w:pStyle w:val="TextBody"/>
        <w:spacing w:before="3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NKARTA, INC. </w:t>
      </w:r>
    </w:p>
    <w:p>
      <w:pPr>
        <w:pStyle w:val="TextBody"/>
        <w:spacing w:before="0" w:after="0"/>
        <w:jc w:val="center"/>
        <w:rPr>
          <w:rFonts w:ascii="Times New Roman" w:hAnsi="Times New Roman"/>
          <w:b/>
          <w:i w:val="false"/>
          <w:caps w:val="false"/>
          <w:smallCaps w:val="false"/>
          <w:sz w:val="20"/>
        </w:rPr>
      </w:pPr>
      <w:bookmarkStart w:id="4" w:name="CONDENSED_BALANCE_SHEETS"/>
      <w:bookmarkEnd w:id="4"/>
      <w:r>
        <w:rPr>
          <w:rFonts w:ascii="Times New Roman" w:hAnsi="Times New Roman"/>
          <w:b/>
          <w:i w:val="false"/>
          <w:caps w:val="false"/>
          <w:smallCaps w:val="false"/>
          <w:sz w:val="20"/>
        </w:rPr>
        <w:t xml:space="preserve">CONDENSED BALANCE SHEETS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 except share data)</w:t>
      </w:r>
    </w:p>
    <w:p>
      <w:pPr>
        <w:pStyle w:val="TextBody"/>
        <w:spacing w:before="0" w:after="0"/>
        <w:rPr/>
      </w:pPr>
      <w:r>
        <w:rPr/>
        <w:t> </w:t>
      </w:r>
    </w:p>
    <w:tbl>
      <w:tblPr>
        <w:tblW w:w="6089" w:type="dxa"/>
        <w:jc w:val="left"/>
        <w:tblInd w:w="0" w:type="dxa"/>
        <w:tblCellMar>
          <w:top w:w="0" w:type="dxa"/>
          <w:left w:w="0" w:type="dxa"/>
          <w:bottom w:w="28" w:type="dxa"/>
          <w:right w:w="0" w:type="dxa"/>
        </w:tblCellMar>
      </w:tblPr>
      <w:tblGrid>
        <w:gridCol w:w="3920"/>
        <w:gridCol w:w="60"/>
        <w:gridCol w:w="125"/>
        <w:gridCol w:w="755"/>
        <w:gridCol w:w="80"/>
        <w:gridCol w:w="60"/>
        <w:gridCol w:w="143"/>
        <w:gridCol w:w="866"/>
        <w:gridCol w:w="80"/>
      </w:tblGrid>
      <w:tr>
        <w:trPr/>
        <w:tc>
          <w:tcPr>
            <w:tcW w:w="39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24,421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96,692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 available-for-sale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255,382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3,922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283,935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318,835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12,050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8,505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309,111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337,650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Liabilities and stockholders’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 portion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and other current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5,808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6,253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net of current portion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10,408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7,517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20,729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contingencies (Note 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447,302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439,235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other comprehensive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single" w:sz="6" w:space="0" w:color="000000"/>
            </w:tcBorders>
            <w:shd w:fill="CFF0FC"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(158,929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(118,021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equity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288,382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321,220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and stockholders’ equity</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309,111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337,650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NKARTA, INC. </w:t>
      </w:r>
    </w:p>
    <w:p>
      <w:pPr>
        <w:pStyle w:val="TextBody"/>
        <w:spacing w:before="0" w:after="0"/>
        <w:jc w:val="center"/>
        <w:rPr>
          <w:rFonts w:ascii="Times New Roman" w:hAnsi="Times New Roman"/>
          <w:b/>
          <w:i w:val="false"/>
          <w:caps w:val="false"/>
          <w:smallCaps w:val="false"/>
          <w:sz w:val="20"/>
        </w:rPr>
      </w:pPr>
      <w:bookmarkStart w:id="5" w:name="CONDENSED_STATEMENTS_OPERATIONS_COMPREHE"/>
      <w:bookmarkEnd w:id="5"/>
      <w:r>
        <w:rPr>
          <w:rFonts w:ascii="Times New Roman" w:hAnsi="Times New Roman"/>
          <w:b/>
          <w:i w:val="false"/>
          <w:caps w:val="false"/>
          <w:smallCaps w:val="false"/>
          <w:sz w:val="20"/>
        </w:rPr>
        <w:t xml:space="preserve">CONDENSED STATEMENTS OF OPERATIONS AND COMPREHENSIVE LOSS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(Unaudited, in thousands, except share and per share data) </w:t>
      </w:r>
    </w:p>
    <w:p>
      <w:pPr>
        <w:pStyle w:val="TextBody"/>
        <w:spacing w:before="0" w:after="0"/>
        <w:rPr/>
      </w:pPr>
      <w:r>
        <w:rPr/>
        <w:t> </w:t>
      </w:r>
    </w:p>
    <w:tbl>
      <w:tblPr>
        <w:tblW w:w="8720" w:type="dxa"/>
        <w:jc w:val="left"/>
        <w:tblInd w:w="0" w:type="dxa"/>
        <w:tblCellMar>
          <w:top w:w="0" w:type="dxa"/>
          <w:left w:w="0" w:type="dxa"/>
          <w:bottom w:w="28" w:type="dxa"/>
          <w:right w:w="0" w:type="dxa"/>
        </w:tblCellMar>
      </w:tblPr>
      <w:tblGrid>
        <w:gridCol w:w="4070"/>
        <w:gridCol w:w="60"/>
        <w:gridCol w:w="125"/>
        <w:gridCol w:w="950"/>
        <w:gridCol w:w="80"/>
        <w:gridCol w:w="60"/>
        <w:gridCol w:w="125"/>
        <w:gridCol w:w="845"/>
        <w:gridCol w:w="80"/>
        <w:gridCol w:w="60"/>
        <w:gridCol w:w="125"/>
        <w:gridCol w:w="950"/>
        <w:gridCol w:w="80"/>
        <w:gridCol w:w="60"/>
        <w:gridCol w:w="125"/>
        <w:gridCol w:w="845"/>
        <w:gridCol w:w="80"/>
      </w:tblGrid>
      <w:tr>
        <w:trPr/>
        <w:tc>
          <w:tcPr>
            <w:tcW w:w="407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8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15,957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7,862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29,496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5,677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11,618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21,634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41,114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19,764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(21,634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(41,114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(19,764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preferred stock</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purchase right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(40,741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(40,163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income (expense),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(40,710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(40,007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(21,535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(51,065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(40,908</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(59,771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(21,535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(51,065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(40,908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(59,771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comprehensive gain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(21,563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(51,061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(40,905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(59,768</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(0.66</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(30.06</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(36.13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doub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shares used to compute net loss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per share,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32,827,365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1,698,560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32,783,730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1,654,304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NKARTA, INC. </w:t>
      </w:r>
    </w:p>
    <w:p>
      <w:pPr>
        <w:pStyle w:val="TextBody"/>
        <w:spacing w:before="0" w:after="0"/>
        <w:jc w:val="center"/>
        <w:rPr>
          <w:rFonts w:ascii="Times New Roman" w:hAnsi="Times New Roman"/>
          <w:b/>
          <w:i w:val="false"/>
          <w:caps w:val="false"/>
          <w:smallCaps w:val="false"/>
          <w:sz w:val="20"/>
        </w:rPr>
      </w:pPr>
      <w:bookmarkStart w:id="6" w:name="CONDENSED_STATEMENTS_CONVERTIBLE_PREFERR"/>
      <w:bookmarkEnd w:id="6"/>
      <w:r>
        <w:rPr>
          <w:rFonts w:ascii="Times New Roman" w:hAnsi="Times New Roman"/>
          <w:b/>
          <w:i w:val="false"/>
          <w:caps w:val="false"/>
          <w:smallCaps w:val="false"/>
          <w:sz w:val="20"/>
        </w:rPr>
        <w:t>CONDENSED STATEMENTS OF CONVERTIBLE PREFERRED STOCK AND STOCKHOLDERS’ EQUITY (DEFICIT)</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 except share data)</w:t>
      </w:r>
    </w:p>
    <w:p>
      <w:pPr>
        <w:pStyle w:val="TextBody"/>
        <w:spacing w:before="0" w:after="0"/>
        <w:rPr/>
      </w:pPr>
      <w:r>
        <w:rPr/>
        <w:t> </w:t>
      </w:r>
    </w:p>
    <w:tbl>
      <w:tblPr>
        <w:tblW w:w="10147" w:type="dxa"/>
        <w:jc w:val="left"/>
        <w:tblInd w:w="0" w:type="dxa"/>
        <w:tblCellMar>
          <w:top w:w="0" w:type="dxa"/>
          <w:left w:w="0" w:type="dxa"/>
          <w:bottom w:w="28" w:type="dxa"/>
          <w:right w:w="0" w:type="dxa"/>
        </w:tblCellMar>
      </w:tblPr>
      <w:tblGrid>
        <w:gridCol w:w="2390"/>
        <w:gridCol w:w="60"/>
        <w:gridCol w:w="93"/>
        <w:gridCol w:w="407"/>
        <w:gridCol w:w="84"/>
        <w:gridCol w:w="84"/>
        <w:gridCol w:w="194"/>
        <w:gridCol w:w="411"/>
        <w:gridCol w:w="60"/>
        <w:gridCol w:w="60"/>
        <w:gridCol w:w="60"/>
        <w:gridCol w:w="60"/>
        <w:gridCol w:w="950"/>
        <w:gridCol w:w="60"/>
        <w:gridCol w:w="60"/>
        <w:gridCol w:w="196"/>
        <w:gridCol w:w="409"/>
        <w:gridCol w:w="60"/>
        <w:gridCol w:w="60"/>
        <w:gridCol w:w="125"/>
        <w:gridCol w:w="695"/>
        <w:gridCol w:w="60"/>
        <w:gridCol w:w="60"/>
        <w:gridCol w:w="340"/>
        <w:gridCol w:w="790"/>
        <w:gridCol w:w="80"/>
        <w:gridCol w:w="60"/>
        <w:gridCol w:w="137"/>
        <w:gridCol w:w="828"/>
        <w:gridCol w:w="80"/>
        <w:gridCol w:w="60"/>
        <w:gridCol w:w="150"/>
        <w:gridCol w:w="844"/>
        <w:gridCol w:w="80"/>
      </w:tblGrid>
      <w:tr>
        <w:trPr/>
        <w:tc>
          <w:tcPr>
            <w:tcW w:w="23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Income</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32,627,963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439,235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(118,021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321,220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Vesting of shares of common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stock subject to repurchase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15,802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upon exercise of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option, net of repurchase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154,489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3,347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gain 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short-term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(19,373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(19,373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9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March 31,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32,798,254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443,347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(137,394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305,990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Vesting of shares of common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stock subject to repurchase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15,575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upon exercise of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option, net of repurchase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39,032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3,690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gain 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short-term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(21,535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(21,535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9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June 30,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32,852,861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447,302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(158,929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288,382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2028"/>
        <w:gridCol w:w="60"/>
        <w:gridCol w:w="60"/>
        <w:gridCol w:w="950"/>
        <w:gridCol w:w="60"/>
        <w:gridCol w:w="60"/>
        <w:gridCol w:w="125"/>
        <w:gridCol w:w="590"/>
        <w:gridCol w:w="60"/>
        <w:gridCol w:w="60"/>
        <w:gridCol w:w="60"/>
        <w:gridCol w:w="60"/>
        <w:gridCol w:w="845"/>
        <w:gridCol w:w="60"/>
        <w:gridCol w:w="60"/>
        <w:gridCol w:w="196"/>
        <w:gridCol w:w="409"/>
        <w:gridCol w:w="60"/>
        <w:gridCol w:w="60"/>
        <w:gridCol w:w="160"/>
        <w:gridCol w:w="625"/>
        <w:gridCol w:w="60"/>
        <w:gridCol w:w="60"/>
        <w:gridCol w:w="366"/>
        <w:gridCol w:w="764"/>
        <w:gridCol w:w="80"/>
        <w:gridCol w:w="60"/>
        <w:gridCol w:w="155"/>
        <w:gridCol w:w="810"/>
        <w:gridCol w:w="80"/>
        <w:gridCol w:w="60"/>
        <w:gridCol w:w="157"/>
        <w:gridCol w:w="823"/>
        <w:gridCol w:w="82"/>
      </w:tblGrid>
      <w:tr>
        <w:trPr/>
        <w:tc>
          <w:tcPr>
            <w:tcW w:w="2028"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2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2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27,283,973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59,815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1,600,601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(26,660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(25,482</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28"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Vesting of shares of common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stock subject to repurchase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17,494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2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upon exercise of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option, net of repurchase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28"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482</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2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loss on short-term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28"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(8,706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(8,706</w:t>
            </w:r>
          </w:p>
        </w:tc>
        <w:tc>
          <w:tcPr>
            <w:tcW w:w="8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28"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March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27,283,973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59,815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1,620,966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(35,366</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(33,692</w:t>
            </w:r>
          </w:p>
        </w:tc>
        <w:tc>
          <w:tcPr>
            <w:tcW w:w="82"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28"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Vesting of shares of common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stock subject to repurchase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19,110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2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upon exercise of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option, net of repurchase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110,425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28"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566</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2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loss on short-term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28"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(51,065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(51,065</w:t>
            </w:r>
          </w:p>
        </w:tc>
        <w:tc>
          <w:tcPr>
            <w:tcW w:w="8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28"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June 30,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27,283,973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59,815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1,750,501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(86,431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(83,890</w:t>
            </w:r>
          </w:p>
        </w:tc>
        <w:tc>
          <w:tcPr>
            <w:tcW w:w="82"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NKARTA, INC. </w:t>
      </w:r>
    </w:p>
    <w:p>
      <w:pPr>
        <w:pStyle w:val="TextBody"/>
        <w:spacing w:before="0" w:after="0"/>
        <w:jc w:val="center"/>
        <w:rPr>
          <w:rFonts w:ascii="Times New Roman" w:hAnsi="Times New Roman"/>
          <w:b/>
          <w:i w:val="false"/>
          <w:caps w:val="false"/>
          <w:smallCaps w:val="false"/>
          <w:sz w:val="20"/>
        </w:rPr>
      </w:pPr>
      <w:bookmarkStart w:id="7" w:name="CONDENSED_STATEMENT_CASH_FLOWS"/>
      <w:bookmarkEnd w:id="7"/>
      <w:r>
        <w:rPr>
          <w:rFonts w:ascii="Times New Roman" w:hAnsi="Times New Roman"/>
          <w:b/>
          <w:i w:val="false"/>
          <w:caps w:val="false"/>
          <w:smallCaps w:val="false"/>
          <w:sz w:val="20"/>
        </w:rPr>
        <w:t xml:space="preserve">CONDENSED STATEMENT OF CASH FLOWS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w:t>
      </w:r>
    </w:p>
    <w:p>
      <w:pPr>
        <w:pStyle w:val="TextBody"/>
        <w:spacing w:before="0" w:after="0"/>
        <w:rPr/>
      </w:pPr>
      <w:r>
        <w:rPr/>
        <w:t> </w:t>
      </w:r>
    </w:p>
    <w:tbl>
      <w:tblPr>
        <w:tblW w:w="8375" w:type="dxa"/>
        <w:jc w:val="left"/>
        <w:tblInd w:w="0" w:type="dxa"/>
        <w:tblCellMar>
          <w:top w:w="0" w:type="dxa"/>
          <w:left w:w="0" w:type="dxa"/>
          <w:bottom w:w="28" w:type="dxa"/>
          <w:right w:w="0" w:type="dxa"/>
        </w:tblCellMar>
      </w:tblPr>
      <w:tblGrid>
        <w:gridCol w:w="6545"/>
        <w:gridCol w:w="60"/>
        <w:gridCol w:w="125"/>
        <w:gridCol w:w="650"/>
        <w:gridCol w:w="80"/>
        <w:gridCol w:w="60"/>
        <w:gridCol w:w="125"/>
        <w:gridCol w:w="650"/>
        <w:gridCol w:w="80"/>
      </w:tblGrid>
      <w:tr>
        <w:trPr/>
        <w:tc>
          <w:tcPr>
            <w:tcW w:w="65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from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(40,908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(59,771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54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7,037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CFF0FC"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Accretion and amortization of premiums and discounts on investments,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545" w:type="dxa"/>
            <w:tcBorders/>
            <w:shd w:fill="CFF0FC"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lease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preferred stock purchase right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40,163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operating assets and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545" w:type="dxa"/>
            <w:tcBorders>
              <w:bottom w:val="single" w:sz="6" w:space="0" w:color="000000"/>
            </w:tcBorders>
            <w:shd w:fill="CFF0FC" w:val="cle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and accrued and other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5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(32,099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(18,528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5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from 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Purchases of property and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(2,411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(4,812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54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Purchases of short-term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(86,234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(3,577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545"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Maturities of short-term investments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47,500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16,100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(used in) investing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(41,145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7,711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flows from 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stock option exercises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early exercise of 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Liability to related party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10,245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Payments of deferred offering costs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5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8,104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decrease in cash and 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(72,232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5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cash equivalents, and restricted cash beginning of period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97,105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20,875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cash equivalents, and restricted cash end of period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24,873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18,162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Reconciliation of cash, cash equivalents and restricted cash to the balance sheet: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17,749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cash</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545" w:type="dxa"/>
            <w:tcBorders>
              <w:bottom w:val="doub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cash equivalents and restricted cash</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24,873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18,162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NKARTA, INC. </w:t>
      </w:r>
    </w:p>
    <w:p>
      <w:pPr>
        <w:pStyle w:val="TextBody"/>
        <w:spacing w:before="0" w:after="0"/>
        <w:jc w:val="center"/>
        <w:rPr>
          <w:rFonts w:ascii="Times New Roman" w:hAnsi="Times New Roman"/>
          <w:b/>
          <w:i w:val="false"/>
          <w:caps w:val="false"/>
          <w:smallCaps w:val="false"/>
          <w:sz w:val="20"/>
        </w:rPr>
      </w:pPr>
      <w:bookmarkStart w:id="8" w:name="NOTES_TO_FINANCIAL_STATEMENTS"/>
      <w:bookmarkEnd w:id="8"/>
      <w:r>
        <w:rPr>
          <w:rFonts w:ascii="Times New Roman" w:hAnsi="Times New Roman"/>
          <w:b/>
          <w:i w:val="false"/>
          <w:caps w:val="false"/>
          <w:smallCaps w:val="false"/>
          <w:sz w:val="20"/>
        </w:rPr>
        <w:t xml:space="preserve">NOTES TO FINANCIAL STATEMENTS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(Unaudited)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 Organization and Description of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Description</w:t>
      </w:r>
      <w:r>
        <w:rPr>
          <w:rFonts w:ascii="Times New Roman" w:hAnsi="Times New Roman"/>
          <w:b/>
          <w:i/>
          <w:caps w:val="false"/>
          <w:smallCaps w:val="false"/>
          <w:color w:val="000000"/>
          <w:sz w:val="20"/>
          <w:highlight w:val="white"/>
        </w:rPr>
        <w:t xml:space="preserve"> of the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Nkarta, Inc. (“Nkarta” or the “Company”) was incorporated in the State of Delaware in July 2015. The Company is a biopharmaceutical company developing engineered natural killer (“NK”) cells to treat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w:t>
      </w:r>
      <w:r>
        <w:rPr>
          <w:rFonts w:ascii="Times New Roman" w:hAnsi="Times New Roman"/>
          <w:b w:val="false"/>
          <w:i w:val="false"/>
          <w:caps w:val="false"/>
          <w:smallCaps w:val="false"/>
          <w:color w:val="000000"/>
          <w:sz w:val="20"/>
          <w:highlight w:val="white"/>
        </w:rPr>
        <w:t>The Company’s operations are based in South San Francisco, California and it operates in one segment.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Liquidity and Management Plans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accompanying unaudited condensed financial statements have been prepared assuming that the Company will continue as a going concern. However,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June 30, 2021, the Company had an accumulated deficit of $158.9 million and cash, cash equivalents, restricted cash and short-term investments of $280.3 million.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Management plans to continue to incur substantial costs in order to conduct research and development activities and additional capital will be needed to undertake these activities. </w:t>
      </w:r>
      <w:r>
        <w:rPr>
          <w:rFonts w:ascii="Times New Roman" w:hAnsi="Times New Roman"/>
          <w:b w:val="false"/>
          <w:i w:val="false"/>
          <w:caps w:val="false"/>
          <w:smallCaps w:val="false"/>
          <w:color w:val="000000"/>
          <w:sz w:val="20"/>
          <w:highlight w:val="white"/>
        </w:rPr>
        <w:t>The Company intends to raise such capital through d</w:t>
      </w:r>
      <w:r>
        <w:rPr>
          <w:rFonts w:ascii="Times New Roman" w:hAnsi="Times New Roman"/>
          <w:b w:val="false"/>
          <w:i w:val="false"/>
          <w:caps w:val="false"/>
          <w:smallCaps w:val="false"/>
          <w:color w:val="000000"/>
          <w:sz w:val="20"/>
        </w:rPr>
        <w:t>ebt or equity financings or other arrangements to fund operations. Management believes that the Company’s current cash, cash equivalents, restricted cash and short-term investments will provide sufficient funds to enable the Company to meet its obligations for at least twelve months from the filing date of this report.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2. Basis of Presentation and Significant Accounting Policies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unaudited condensed financial statements as of June 30, 2021 and for the three and six months ended June 30, 2021 and 2020 have been prepared in accordance with U.S. generally accepted accounting principle (“U.S. GAAP”) for interim financial information and pursuant to Article 10 of Regulation S-X of the Securities Act of 1933, as amended (the “Securities Act”).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results for the three and six months ended June 30, 2021 are not necessarily indicative of the results expected for the full year or any subsequent interim period. The condensed balance sheet at December 31, 2020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2020, contained in the Company’s Annual Report on Form 10-K for the year ended December 31, 2020 filed by the Company with the Securities and Exchange Commission (the “SEC”) on March 25, 2021.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COVID-19 Pandemic</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COVID-19 pandemic has caused disruptions in the global economy and has affected and may continue to affect the Company’s business and operations. The extent of the impact of the COVID-19 pandemic on the Company’s operational and financial performance will depend on certain developments, including the duration and spread of the outbreak, the development and spread of more contagious and/or vaccine-resistant variants, the effectiveness of actions taken in the United States and other countries to contain, vaccinate against, and treat the disease, and its impact on the Company’s current and planned preclinical studies and clinical trials, employees and vendors, all of which are uncertain and cannot be predicted. The extent to which the COVID-19 pandemic may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impact the Company’s financial condition or results of operations is uncertain.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2020. The Company continues to evaluate the impact of the CARES Act on its financial position, results of operations and cash flows. The Company currently does not expect to apply for loans or grants under the CARES Act.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Net Loss Per Share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convertible preferred stock prior to the conversion of such shares to common stock, unvested common stock, and outstanding stock options under the Company’s equity incentive plan,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Recent Accounting Pronouncements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Income Taxes. </w:t>
      </w:r>
      <w:r>
        <w:rPr>
          <w:rFonts w:ascii="Times New Roman" w:hAnsi="Times New Roman"/>
          <w:b w:val="false"/>
          <w:i w:val="false"/>
          <w:caps w:val="false"/>
          <w:smallCaps w:val="false"/>
          <w:sz w:val="20"/>
        </w:rPr>
        <w:t xml:space="preserve">In December 2019, the Financial Accounting Standards Board (“FASB”) issued Accounting Standards Update (“ASU”) 2019-12—Income Taxes (Topic 740): </w:t>
      </w:r>
      <w:r>
        <w:rPr>
          <w:rFonts w:ascii="Times New Roman" w:hAnsi="Times New Roman"/>
          <w:b w:val="false"/>
          <w:i/>
          <w:caps w:val="false"/>
          <w:smallCaps w:val="false"/>
          <w:sz w:val="20"/>
        </w:rPr>
        <w:t>Simplifying the Accounting for Income Taxes, </w:t>
      </w:r>
      <w:r>
        <w:rPr>
          <w:rFonts w:ascii="Times New Roman" w:hAnsi="Times New Roman"/>
          <w:b w:val="false"/>
          <w:i w:val="false"/>
          <w:caps w:val="false"/>
          <w:smallCaps w:val="false"/>
          <w:sz w:val="20"/>
        </w:rPr>
        <w:t>which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This standard is effective for fiscal years beginning after December 15, 2020, with early adoption permitted. The Company adopted this standard in the first quarter of 2021 using the prospective method, and the adoption did not have a material impact on the Company’s financial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were no other significant updates to the recently issued accounting standards other than as disclosed herewith for the six months ended June 30, 2021. Although there are several other new accounting pronouncements issued or proposed by the FASB, the Company does not believe any of those accounting pronouncements have had or will have a material impact on its financial position or operating results.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3. Net Loss Per Share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tables summarize the computation of the basic and diluted net loss per share (in thousands except share and per share data): </w:t>
      </w:r>
    </w:p>
    <w:p>
      <w:pPr>
        <w:pStyle w:val="TextBody"/>
        <w:spacing w:before="0" w:after="0"/>
        <w:rPr/>
      </w:pPr>
      <w:r>
        <w:rPr/>
        <w:t> </w:t>
      </w:r>
    </w:p>
    <w:tbl>
      <w:tblPr>
        <w:tblW w:w="9530" w:type="dxa"/>
        <w:jc w:val="left"/>
        <w:tblInd w:w="0" w:type="dxa"/>
        <w:tblCellMar>
          <w:top w:w="0" w:type="dxa"/>
          <w:left w:w="0" w:type="dxa"/>
          <w:bottom w:w="28" w:type="dxa"/>
          <w:right w:w="0" w:type="dxa"/>
        </w:tblCellMar>
      </w:tblPr>
      <w:tblGrid>
        <w:gridCol w:w="4880"/>
        <w:gridCol w:w="60"/>
        <w:gridCol w:w="125"/>
        <w:gridCol w:w="950"/>
        <w:gridCol w:w="80"/>
        <w:gridCol w:w="60"/>
        <w:gridCol w:w="125"/>
        <w:gridCol w:w="845"/>
        <w:gridCol w:w="80"/>
        <w:gridCol w:w="60"/>
        <w:gridCol w:w="125"/>
        <w:gridCol w:w="950"/>
        <w:gridCol w:w="80"/>
        <w:gridCol w:w="60"/>
        <w:gridCol w:w="125"/>
        <w:gridCol w:w="845"/>
        <w:gridCol w:w="80"/>
      </w:tblGrid>
      <w:tr>
        <w:trPr/>
        <w:tc>
          <w:tcPr>
            <w:tcW w:w="48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8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Numerator: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(21,535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(51,065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(40,908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(59,771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8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Denominator: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8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shares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32,879,406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1,815,833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32,843,343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1,775,961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8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weighted average unvested common stock issued</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upon early exercise of common stock options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(52,041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(117,273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(59,613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(121,657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8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shares used to compute net loss per share,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32,827,365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1,698,560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32,783,730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1,654,304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(36.13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the outstanding potentially dilutive securities that have been excluded in the calculation of diluted net loss per share because their inclusion would be anti-dilutive: </w:t>
      </w:r>
    </w:p>
    <w:p>
      <w:pPr>
        <w:pStyle w:val="TextBody"/>
        <w:spacing w:before="0" w:after="0"/>
        <w:rPr/>
      </w:pPr>
      <w:r>
        <w:rPr/>
        <w:t> </w:t>
      </w:r>
    </w:p>
    <w:tbl>
      <w:tblPr>
        <w:tblW w:w="7785" w:type="dxa"/>
        <w:jc w:val="left"/>
        <w:tblInd w:w="0" w:type="dxa"/>
        <w:tblCellMar>
          <w:top w:w="0" w:type="dxa"/>
          <w:left w:w="0" w:type="dxa"/>
          <w:bottom w:w="28" w:type="dxa"/>
          <w:right w:w="0" w:type="dxa"/>
        </w:tblCellMar>
      </w:tblPr>
      <w:tblGrid>
        <w:gridCol w:w="5735"/>
        <w:gridCol w:w="60"/>
        <w:gridCol w:w="60"/>
        <w:gridCol w:w="845"/>
        <w:gridCol w:w="60"/>
        <w:gridCol w:w="60"/>
        <w:gridCol w:w="60"/>
        <w:gridCol w:w="845"/>
        <w:gridCol w:w="60"/>
      </w:tblGrid>
      <w:tr>
        <w:trPr/>
        <w:tc>
          <w:tcPr>
            <w:tcW w:w="573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4,293,442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2,424,747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common stock upon early exercise of common 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46,849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124,888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Convertible preferred stock</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7,374,034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4,340,291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9,923,669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rPr/>
      </w:pPr>
      <w:r>
        <w:rPr/>
        <w:t> </w:t>
      </w:r>
    </w:p>
    <w:p>
      <w:pPr>
        <w:pStyle w:val="TextBody"/>
        <w:spacing w:before="16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4. Fair Value of Financial Instruments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tables summarize the fair value of the Company’s financial instruments (in thousands): </w:t>
      </w:r>
    </w:p>
    <w:p>
      <w:pPr>
        <w:pStyle w:val="TextBody"/>
        <w:spacing w:before="0" w:after="0"/>
        <w:rPr/>
      </w:pPr>
      <w:r>
        <w:rPr/>
        <w:t> </w:t>
      </w:r>
    </w:p>
    <w:tbl>
      <w:tblPr>
        <w:tblW w:w="6684" w:type="dxa"/>
        <w:jc w:val="left"/>
        <w:tblInd w:w="0" w:type="dxa"/>
        <w:tblCellMar>
          <w:top w:w="0" w:type="dxa"/>
          <w:left w:w="0" w:type="dxa"/>
          <w:bottom w:w="28" w:type="dxa"/>
          <w:right w:w="0" w:type="dxa"/>
        </w:tblCellMar>
      </w:tblPr>
      <w:tblGrid>
        <w:gridCol w:w="2345"/>
        <w:gridCol w:w="60"/>
        <w:gridCol w:w="125"/>
        <w:gridCol w:w="695"/>
        <w:gridCol w:w="60"/>
        <w:gridCol w:w="60"/>
        <w:gridCol w:w="197"/>
        <w:gridCol w:w="933"/>
        <w:gridCol w:w="64"/>
        <w:gridCol w:w="64"/>
        <w:gridCol w:w="134"/>
        <w:gridCol w:w="749"/>
        <w:gridCol w:w="64"/>
        <w:gridCol w:w="64"/>
        <w:gridCol w:w="327"/>
        <w:gridCol w:w="683"/>
        <w:gridCol w:w="60"/>
      </w:tblGrid>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279"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 Using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Quoted Prices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Active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Markets for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Identical Assets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Significant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Observable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Inputs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Significant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Unobservable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Inputs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9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21,331</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3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32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9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3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4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2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89,989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9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3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89,989</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44,981</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120,412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9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120,412</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32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CFF0FC"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investments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255,382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9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255,382</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32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276,713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9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21,331</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255,382</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3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tbl>
      <w:tblPr>
        <w:tblW w:w="6873" w:type="dxa"/>
        <w:jc w:val="left"/>
        <w:tblInd w:w="0" w:type="dxa"/>
        <w:tblCellMar>
          <w:top w:w="0" w:type="dxa"/>
          <w:left w:w="0" w:type="dxa"/>
          <w:bottom w:w="28" w:type="dxa"/>
          <w:right w:w="0" w:type="dxa"/>
        </w:tblCellMar>
      </w:tblPr>
      <w:tblGrid>
        <w:gridCol w:w="2345"/>
        <w:gridCol w:w="60"/>
        <w:gridCol w:w="153"/>
        <w:gridCol w:w="856"/>
        <w:gridCol w:w="60"/>
        <w:gridCol w:w="60"/>
        <w:gridCol w:w="197"/>
        <w:gridCol w:w="933"/>
        <w:gridCol w:w="64"/>
        <w:gridCol w:w="64"/>
        <w:gridCol w:w="134"/>
        <w:gridCol w:w="749"/>
        <w:gridCol w:w="64"/>
        <w:gridCol w:w="64"/>
        <w:gridCol w:w="327"/>
        <w:gridCol w:w="683"/>
        <w:gridCol w:w="60"/>
      </w:tblGrid>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279"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 Using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Quoted Prices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Active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Markets for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Identical Assets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Significant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Observable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Inputs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Significant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Unobservable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Inputs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94,631</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48,614</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63,445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63,445</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106,162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106,162</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investments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312,852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94,631</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Cash Equivalents and Short-Term Investments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Financial assets measured at fair value on a recurring basis consist of the Company’s cash equivalents and short-term investments. Cash equivalents consisted of money market funds and short-term investments consisted of commercial paper, U.S. Government securities and corporate bonds. The Company obtains pricing information from its investment manager and generally determines the fair value of investment securities using standard observable inputs, including reported trades, broker/dealer quotes, and bids and/or offers.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Investments are classified as Level 1 within the fair value hierarchy if their quoted prices are available in active markets for identical securities. Investments in money market funds of $21.3 million and $94.6 million as of June 30, 2021 and December 31, 2020, respectively, were classified as Level 1 instruments and were included in cash and cash equivalents.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Investments in marketable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$255.4 million and $218.2 million as of June 30, 2021 and December 31, 2020, respectively, were classified as Level 2 instruments and were included in short-term investments. Accrued interest receivable related to short-term investments was $1.4 million and $1.1 million as of June 30, 2021 and December 31, 2020, respectively, and included as part of prepaid expenses and other current assets in the condensed balance sheets.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tables summarize the Company’s short-term investments accounted for as available-for-sale securities as of June 30, 2021 and December 31, 2020 (in thousands):</w:t>
      </w:r>
    </w:p>
    <w:p>
      <w:pPr>
        <w:pStyle w:val="TextBody"/>
        <w:spacing w:before="0" w:after="0"/>
        <w:rPr/>
      </w:pPr>
      <w:r>
        <w:rPr/>
        <w:t> </w:t>
      </w:r>
    </w:p>
    <w:tbl>
      <w:tblPr>
        <w:tblW w:w="7080" w:type="dxa"/>
        <w:jc w:val="left"/>
        <w:tblInd w:w="0" w:type="dxa"/>
        <w:tblCellMar>
          <w:top w:w="0" w:type="dxa"/>
          <w:left w:w="0" w:type="dxa"/>
          <w:bottom w:w="28" w:type="dxa"/>
          <w:right w:w="0" w:type="dxa"/>
        </w:tblCellMar>
      </w:tblPr>
      <w:tblGrid>
        <w:gridCol w:w="2210"/>
        <w:gridCol w:w="60"/>
        <w:gridCol w:w="1070"/>
        <w:gridCol w:w="60"/>
        <w:gridCol w:w="125"/>
        <w:gridCol w:w="695"/>
        <w:gridCol w:w="60"/>
        <w:gridCol w:w="60"/>
        <w:gridCol w:w="240"/>
        <w:gridCol w:w="560"/>
        <w:gridCol w:w="80"/>
        <w:gridCol w:w="60"/>
        <w:gridCol w:w="259"/>
        <w:gridCol w:w="541"/>
        <w:gridCol w:w="60"/>
        <w:gridCol w:w="60"/>
        <w:gridCol w:w="125"/>
        <w:gridCol w:w="695"/>
        <w:gridCol w:w="60"/>
      </w:tblGrid>
      <w:tr>
        <w:trPr/>
        <w:tc>
          <w:tcPr>
            <w:tcW w:w="221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20"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Maturity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years)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Gains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Estimated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89,989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44,981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44,981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single" w:sz="6" w:space="0" w:color="000000"/>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120,395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4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560" w:type="dxa"/>
            <w:tcBorders>
              <w:bottom w:val="single" w:sz="6" w:space="0" w:color="000000"/>
            </w:tcBorders>
            <w:shd w:fill="CFF0FC" w:val="clear"/>
            <w:vAlign w:val="bottom"/>
          </w:tcPr>
          <w:p>
            <w:pPr>
              <w:pStyle w:val="TableContents"/>
              <w:spacing w:before="0" w:after="0"/>
              <w:ind w:left="0" w:right="0" w:hanging="0"/>
              <w:jc w:val="right"/>
              <w:rPr>
                <w:caps w:val="false"/>
                <w:smallCaps w:val="false"/>
              </w:rPr>
            </w:pPr>
            <w:r>
              <w:rPr>
                <w:caps w:val="false"/>
                <w:smallCaps w:val="false"/>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rPr>
            </w:pPr>
            <w:r>
              <w:rPr>
                <w:caps w:val="false"/>
                <w:smallCaps w:val="false"/>
              </w:rPr>
              <w:t> </w:t>
            </w:r>
          </w:p>
        </w:tc>
        <w:tc>
          <w:tcPr>
            <w:tcW w:w="2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120,412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255,376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2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2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255,382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7080" w:type="dxa"/>
        <w:jc w:val="left"/>
        <w:tblInd w:w="0" w:type="dxa"/>
        <w:tblCellMar>
          <w:top w:w="0" w:type="dxa"/>
          <w:left w:w="0" w:type="dxa"/>
          <w:bottom w:w="28" w:type="dxa"/>
          <w:right w:w="0" w:type="dxa"/>
        </w:tblCellMar>
      </w:tblPr>
      <w:tblGrid>
        <w:gridCol w:w="2210"/>
        <w:gridCol w:w="60"/>
        <w:gridCol w:w="1070"/>
        <w:gridCol w:w="60"/>
        <w:gridCol w:w="125"/>
        <w:gridCol w:w="695"/>
        <w:gridCol w:w="60"/>
        <w:gridCol w:w="60"/>
        <w:gridCol w:w="240"/>
        <w:gridCol w:w="560"/>
        <w:gridCol w:w="80"/>
        <w:gridCol w:w="60"/>
        <w:gridCol w:w="259"/>
        <w:gridCol w:w="541"/>
        <w:gridCol w:w="60"/>
        <w:gridCol w:w="60"/>
        <w:gridCol w:w="125"/>
        <w:gridCol w:w="695"/>
        <w:gridCol w:w="60"/>
      </w:tblGrid>
      <w:tr>
        <w:trPr/>
        <w:tc>
          <w:tcPr>
            <w:tcW w:w="221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20"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Maturity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Gains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Estimated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48,616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63,445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63,445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single" w:sz="6" w:space="0" w:color="000000"/>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106,157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106,162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218,218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classified all of its available-for-sale investment securities as current assets on the condensed balance sheets based on the highly liquid nature of these investment securities and because these investment securities are considered available for use in current operations.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The Company considers whether unrealized losses have resulted from a credit loss or other factors. The unrealized losses on the Company’s available-for-sale securities as of </w:t>
      </w:r>
      <w:r>
        <w:rPr>
          <w:rFonts w:ascii="Times New Roman" w:hAnsi="Times New Roman"/>
          <w:b w:val="false"/>
          <w:i w:val="false"/>
          <w:caps w:val="false"/>
          <w:smallCaps w:val="false"/>
          <w:color w:val="000000"/>
          <w:sz w:val="20"/>
        </w:rPr>
        <w:t>June 30, 2021</w:t>
      </w:r>
      <w:r>
        <w:rPr>
          <w:rFonts w:ascii="Times New Roman" w:hAnsi="Times New Roman"/>
          <w:b w:val="false"/>
          <w:i w:val="false"/>
          <w:caps w:val="false"/>
          <w:smallCaps w:val="false"/>
          <w:color w:val="000000"/>
          <w:sz w:val="20"/>
          <w:highlight w:val="white"/>
        </w:rPr>
        <w:t xml:space="preserve"> and December 31, 2020 were caused by fluctuations in market value and interest rates as a result of the economic environment and not credit risk. The Company concluded that an allowance for credit losses was unnecessary as of </w:t>
      </w:r>
      <w:r>
        <w:rPr>
          <w:rFonts w:ascii="Times New Roman" w:hAnsi="Times New Roman"/>
          <w:b w:val="false"/>
          <w:i w:val="false"/>
          <w:caps w:val="false"/>
          <w:smallCaps w:val="false"/>
          <w:color w:val="000000"/>
          <w:sz w:val="20"/>
        </w:rPr>
        <w:t>June 30, 2021</w:t>
      </w:r>
      <w:r>
        <w:rPr>
          <w:rFonts w:ascii="Times New Roman" w:hAnsi="Times New Roman"/>
          <w:b w:val="false"/>
          <w:i w:val="false"/>
          <w:caps w:val="false"/>
          <w:smallCaps w:val="false"/>
          <w:color w:val="000000"/>
          <w:sz w:val="20"/>
          <w:highlight w:val="white"/>
        </w:rPr>
        <w:t xml:space="preserve"> and </w:t>
      </w:r>
      <w:r>
        <w:rPr>
          <w:rFonts w:ascii="Times New Roman" w:hAnsi="Times New Roman"/>
          <w:b w:val="false"/>
          <w:i w:val="false"/>
          <w:caps w:val="false"/>
          <w:smallCaps w:val="false"/>
          <w:color w:val="000000"/>
          <w:sz w:val="20"/>
        </w:rPr>
        <w:t xml:space="preserve">that there were no impairments as of December 31, 2020. It is neither management’s intention to sell nor is it more likely than not that the Company will be required to sell these investments prior to recovery of their cost basis or recovery of fair value. Unrealized gains and losses are included in accumulated other comprehensive income.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was no realized gain or loss on available-for-sale securities in the periods presented. The Company uses the specific identification method to determine the cost basis of investments sold.</w:t>
      </w:r>
    </w:p>
    <w:p>
      <w:pPr>
        <w:pStyle w:val="TextBody"/>
        <w:spacing w:before="24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5. Balance Sheet Components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Prepaid Expenses and Other Current Assets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Prepaid expenses and other current assets are comprised of the following (in thousands): </w:t>
      </w:r>
    </w:p>
    <w:p>
      <w:pPr>
        <w:pStyle w:val="TextBody"/>
        <w:spacing w:before="0" w:after="0"/>
        <w:rPr/>
      </w:pPr>
      <w:r>
        <w:rPr/>
        <w:t> </w:t>
      </w:r>
    </w:p>
    <w:tbl>
      <w:tblPr>
        <w:tblW w:w="5713" w:type="dxa"/>
        <w:jc w:val="left"/>
        <w:tblInd w:w="0" w:type="dxa"/>
        <w:tblCellMar>
          <w:top w:w="0" w:type="dxa"/>
          <w:left w:w="0" w:type="dxa"/>
          <w:bottom w:w="28" w:type="dxa"/>
          <w:right w:w="0" w:type="dxa"/>
        </w:tblCellMar>
      </w:tblPr>
      <w:tblGrid>
        <w:gridCol w:w="3830"/>
        <w:gridCol w:w="60"/>
        <w:gridCol w:w="130"/>
        <w:gridCol w:w="504"/>
        <w:gridCol w:w="60"/>
        <w:gridCol w:w="60"/>
        <w:gridCol w:w="206"/>
        <w:gridCol w:w="803"/>
        <w:gridCol w:w="60"/>
      </w:tblGrid>
      <w:tr>
        <w:trPr/>
        <w:tc>
          <w:tcPr>
            <w:tcW w:w="38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prepaid expenses and other current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 xml:space="preserve">Property and Equipment, Net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Property and equipment, net is comprised of the following (in thousands): </w:t>
      </w:r>
    </w:p>
    <w:p>
      <w:pPr>
        <w:pStyle w:val="TextBody"/>
        <w:spacing w:before="0" w:after="0"/>
        <w:rPr/>
      </w:pPr>
      <w:r>
        <w:rPr/>
        <w:t> </w:t>
      </w:r>
    </w:p>
    <w:tbl>
      <w:tblPr>
        <w:tblW w:w="5954" w:type="dxa"/>
        <w:jc w:val="left"/>
        <w:tblInd w:w="0" w:type="dxa"/>
        <w:tblCellMar>
          <w:top w:w="0" w:type="dxa"/>
          <w:left w:w="0" w:type="dxa"/>
          <w:bottom w:w="28" w:type="dxa"/>
          <w:right w:w="0" w:type="dxa"/>
        </w:tblCellMar>
      </w:tblPr>
      <w:tblGrid>
        <w:gridCol w:w="3950"/>
        <w:gridCol w:w="60"/>
        <w:gridCol w:w="125"/>
        <w:gridCol w:w="590"/>
        <w:gridCol w:w="80"/>
        <w:gridCol w:w="60"/>
        <w:gridCol w:w="175"/>
        <w:gridCol w:w="834"/>
        <w:gridCol w:w="80"/>
      </w:tblGrid>
      <w:tr>
        <w:trPr/>
        <w:tc>
          <w:tcPr>
            <w:tcW w:w="395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Leasehold improvements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3,413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Furniture and fixtures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8,051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Computers and software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Construction in progress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3,459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accumulated depreciation and amortization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5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property and equipment, net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11,350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9,350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Depreciation and amortization expense were $0.4 million and $0.7 million for the three and six months ended June 30, 2021, respectively, and $0.1 million and $0.3 million for the three and six months ended June 30, 2020, respectively.</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Accrued and Other Current Liabilities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Accrued other current liabilities are comprised of the following (in thousands): </w:t>
      </w:r>
    </w:p>
    <w:p>
      <w:pPr>
        <w:pStyle w:val="TextBody"/>
        <w:spacing w:before="0" w:after="0"/>
        <w:rPr/>
      </w:pPr>
      <w:r>
        <w:rPr/>
        <w:t> </w:t>
      </w:r>
    </w:p>
    <w:tbl>
      <w:tblPr>
        <w:tblW w:w="5188" w:type="dxa"/>
        <w:jc w:val="left"/>
        <w:tblInd w:w="0" w:type="dxa"/>
        <w:tblCellMar>
          <w:top w:w="0" w:type="dxa"/>
          <w:left w:w="0" w:type="dxa"/>
          <w:bottom w:w="28" w:type="dxa"/>
          <w:right w:w="0" w:type="dxa"/>
        </w:tblCellMar>
      </w:tblPr>
      <w:tblGrid>
        <w:gridCol w:w="3305"/>
        <w:gridCol w:w="60"/>
        <w:gridCol w:w="130"/>
        <w:gridCol w:w="504"/>
        <w:gridCol w:w="60"/>
        <w:gridCol w:w="60"/>
        <w:gridCol w:w="206"/>
        <w:gridCol w:w="803"/>
        <w:gridCol w:w="60"/>
      </w:tblGrid>
      <w:tr>
        <w:trPr/>
        <w:tc>
          <w:tcPr>
            <w:tcW w:w="330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research and development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accrued and current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accrued and other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5,808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6,253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16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6. Leases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operating leases for its corporate office, laboratory space, manufacturing facility, and dedicated space in a vivarium in South San Francisco, California. Rent expense, which is recognized on a straight-line basis over the term of each lease, was $0.7 million and $1.2 million for the three and six months ended June 30, 2021, respectively, and $0.5 million and $0.9 million for the three and six months ended June 30, 2020, respectively. The total cash paid for operating leases included in the operating cash flows was $0.6 million and $1.0 million for the three and six months ended June 30, 2021, respectively, and $0.4 million and $0.8 million for the three and six months ended June 20, 2020, respectively. The weighted-average remaining lease term was 7.2 years for the corporate office and laboratory space leases as of June 30, 2021. The weighted-average discount rate was 9.2% as of June 30, 2021.</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May 2020, the Company signed an amendment to its office and laboratory facilities lease. The amended lease provides for an eight-year non-cancelable lease of additional office and laboratory space in the same building. The lease for additional office and laboratory space provides for abatement of rent during the first three months of the lease and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lease agreement includes an option to extend the lease for an additional seven-year term.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January 2021, the Company signed a third amendment to its corporate office and laboratory facilities lease which provides for lease of additional space in the same building. The lease of this additional space commenced in April 2021 and expires in March 2024. The other terms of the existing lease remain unchanged.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2021, the Company entered into a new lease for </w:t>
      </w:r>
      <w:r>
        <w:rPr>
          <w:rFonts w:ascii="Times New Roman" w:hAnsi="Times New Roman"/>
          <w:b w:val="false"/>
          <w:i w:val="false"/>
          <w:caps w:val="false"/>
          <w:smallCaps w:val="false"/>
          <w:color w:val="000000"/>
          <w:sz w:val="20"/>
        </w:rPr>
        <w:t>corporate office, manufacturing and laboratory space located in South San Francisco, California. See Note 11, “Subsequent Events” for additional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Maturities of operating lease liabilities under existing operating leases as of June 30, 2021 were as follows (in thousands): </w:t>
      </w:r>
    </w:p>
    <w:p>
      <w:pPr>
        <w:pStyle w:val="TextBody"/>
        <w:spacing w:before="0" w:after="0"/>
        <w:rPr/>
      </w:pPr>
      <w:r>
        <w:rPr/>
        <w:t> </w:t>
      </w:r>
    </w:p>
    <w:tbl>
      <w:tblPr>
        <w:tblW w:w="4565" w:type="dxa"/>
        <w:jc w:val="left"/>
        <w:tblInd w:w="0" w:type="dxa"/>
        <w:tblCellMar>
          <w:top w:w="0" w:type="dxa"/>
          <w:left w:w="0" w:type="dxa"/>
          <w:bottom w:w="28" w:type="dxa"/>
          <w:right w:w="0" w:type="dxa"/>
        </w:tblCellMar>
      </w:tblPr>
      <w:tblGrid>
        <w:gridCol w:w="3710"/>
        <w:gridCol w:w="60"/>
        <w:gridCol w:w="125"/>
        <w:gridCol w:w="590"/>
        <w:gridCol w:w="80"/>
      </w:tblGrid>
      <w:tr>
        <w:trPr/>
        <w:tc>
          <w:tcPr>
            <w:tcW w:w="37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ending December 31,</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 (remaining six months)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 and thereafter</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7,322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future minimum lease payments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interest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1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Present value of net minimum lease payments</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12,695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Non-current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10,408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liability</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12,695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rPr>
          <w:caps w:val="false"/>
          <w:smallCaps w:val="false"/>
        </w:rPr>
      </w:pPr>
      <w:r>
        <w:rPr>
          <w:caps w:val="false"/>
          <w:smallCaps w:val="false"/>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7. Commitments &amp; Contingencies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Guarantee Agreement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June 30, 2021 and December 31, 2020.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Letters of Credit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2021, the Company has a $0.5 million letter of credit agreement with a financial institution that is used as collateral for the Company’s corporate headquarters’ operating lease. The letter of credit automatically renews annually without amendment unless cancelled by the financial institutions within 30 days of the annual expiration date.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8. CRISPR Collaboration Agreement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5, 2021, the Company entered into a research collaboration agreement (the “CRISPR Agreement”) with CRISPR Therapeutics (“CRISPR”) to co-develop and co-commercialize an engineered CAR-NK product candidate targeting the CD70 tumor antigen and a second novel NK plus T cell (“NK+T”) product candidate. In addition, the Company will receive a license from CRISPR for up to five CRISPR-Cas9 gene editing targets that can be engineered into an unlimited number of its own NK cell products. CRISPR also has an option to co-develop and co-commercialize a future CAR-NK program.</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terms of the CRISPR Agreement, the Company and CRISPR share equally all research and development costs and potential profits worldwide related to the CD70 CAR-NK product candidate, NK+T product candidate, and the potential future CAR-NK program (collectively, “Collaboration Products”). For the NK+T program, CRISPR is responsible for gene-editing activities and T cell related activities, and Nkarta is responsible for NK cell related activities. There were an insignificant amount of costs incurred pursuant to the CRISPR agreement in the quarter ended June 30, 2021. For each non-collaboration product candidate incorporating a gene editing target licensed from CRISPR, the Company would retain worldwide rights and may be required to make potential future payments based on the achievement of development and regulatory approval milestones totaling less than mid-twenty million dollars for each non-collaboration product, as well as tiered royalties up to the mid-single digits on net product sales of such product. As of June 30, 2021, the Company has not paid any amounts nor are any amounts owed under the agreement, and no milestones have been achieved.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9. Share-Based Compensation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Equity Incentive Plan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The Company’s 2020 Performance Incentive Plan (the “2020 Plan”) </w:t>
      </w:r>
      <w:r>
        <w:rPr>
          <w:rFonts w:ascii="Times New Roman" w:hAnsi="Times New Roman"/>
          <w:b w:val="false"/>
          <w:i w:val="false"/>
          <w:caps w:val="false"/>
          <w:smallCaps w:val="false"/>
          <w:color w:val="000000"/>
          <w:sz w:val="20"/>
        </w:rPr>
        <w:t xml:space="preserve">which was adopted by the Company’s board of directors in June 2020 and approved by the Company’s stockholders in July 2020, </w:t>
      </w:r>
      <w:r>
        <w:rPr>
          <w:rFonts w:ascii="Times New Roman" w:hAnsi="Times New Roman"/>
          <w:b w:val="false"/>
          <w:i w:val="false"/>
          <w:caps w:val="false"/>
          <w:smallCaps w:val="false"/>
          <w:color w:val="000000"/>
          <w:sz w:val="20"/>
          <w:highlight w:val="white"/>
        </w:rPr>
        <w:t xml:space="preserve">became effective upon the consummation of the Company’s initial public offering (“IPO”). Upon the effectiveness of the 2020 Plan, no further grants may be made under the Company’s 2015 Equity Incentive Plan (the “2015 Plan”). </w:t>
      </w:r>
      <w:r>
        <w:rPr>
          <w:rFonts w:ascii="Times New Roman" w:hAnsi="Times New Roman"/>
          <w:b w:val="false"/>
          <w:i w:val="false"/>
          <w:caps w:val="false"/>
          <w:smallCaps w:val="false"/>
          <w:color w:val="000000"/>
          <w:sz w:val="20"/>
        </w:rPr>
        <w:t>The Company’s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A total of 4,295,638 shares of the Company’s common stock is authorized for issuance with respect to awards granted under the 2020 Plan. The share limit will automatically increase on the first trading day in January of each year (commencing in 2021)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w:t>
      </w:r>
      <w:r>
        <w:rPr>
          <w:rFonts w:ascii="Times New Roman" w:hAnsi="Times New Roman"/>
          <w:b w:val="false"/>
          <w:i w:val="false"/>
          <w:caps w:val="false"/>
          <w:smallCaps w:val="false"/>
          <w:color w:val="000000"/>
          <w:sz w:val="20"/>
        </w:rPr>
        <w:t xml:space="preserv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option activity under the 2020 Plan and 2015 Plan during the six months ended June 30, 2021:</w:t>
      </w:r>
    </w:p>
    <w:tbl>
      <w:tblPr>
        <w:tblW w:w="6968" w:type="dxa"/>
        <w:jc w:val="left"/>
        <w:tblInd w:w="0" w:type="dxa"/>
        <w:tblCellMar>
          <w:top w:w="0" w:type="dxa"/>
          <w:left w:w="0" w:type="dxa"/>
          <w:bottom w:w="28" w:type="dxa"/>
          <w:right w:w="0" w:type="dxa"/>
        </w:tblCellMar>
      </w:tblPr>
      <w:tblGrid>
        <w:gridCol w:w="3665"/>
        <w:gridCol w:w="60"/>
        <w:gridCol w:w="85"/>
        <w:gridCol w:w="1209"/>
        <w:gridCol w:w="80"/>
        <w:gridCol w:w="60"/>
        <w:gridCol w:w="157"/>
        <w:gridCol w:w="612"/>
        <w:gridCol w:w="60"/>
        <w:gridCol w:w="60"/>
        <w:gridCol w:w="154"/>
        <w:gridCol w:w="706"/>
        <w:gridCol w:w="60"/>
      </w:tblGrid>
      <w:tr>
        <w:trPr/>
        <w:tc>
          <w:tcPr>
            <w:tcW w:w="36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 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contractual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term</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3,640,715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862,847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48.74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06"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(194,354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06"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(15,766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54"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706" w:type="dxa"/>
            <w:tcBorders>
              <w:bottom w:val="sing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June 30,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4,293,442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Exercisable at June 30, 2021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1,079,227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57"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54"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w:t>
            </w:r>
          </w:p>
        </w:tc>
        <w:tc>
          <w:tcPr>
            <w:tcW w:w="6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 and expected to vest at June 30,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4,293,442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5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54"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w:t>
            </w:r>
          </w:p>
        </w:tc>
        <w:tc>
          <w:tcPr>
            <w:tcW w:w="6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weighted-average grant date fair value of stock option grants was $</w:t>
      </w:r>
      <w:r>
        <w:rPr>
          <w:rFonts w:ascii="Times New Roman" w:hAnsi="Times New Roman"/>
          <w:b w:val="false"/>
          <w:i w:val="false"/>
          <w:caps w:val="false"/>
          <w:smallCaps w:val="false"/>
          <w:color w:val="000000"/>
          <w:sz w:val="20"/>
          <w:highlight w:val="white"/>
        </w:rPr>
        <w:t>33.04</w:t>
      </w:r>
      <w:r>
        <w:rPr>
          <w:rFonts w:ascii="Times New Roman" w:hAnsi="Times New Roman"/>
          <w:b w:val="false"/>
          <w:i w:val="false"/>
          <w:caps w:val="false"/>
          <w:smallCaps w:val="false"/>
          <w:sz w:val="20"/>
        </w:rPr>
        <w:t xml:space="preserve"> per share for the six months ended June 30, 2021.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highlight w:val="white"/>
        </w:rPr>
        <w:t xml:space="preserve">Employee </w:t>
      </w:r>
      <w:r>
        <w:rPr>
          <w:rFonts w:ascii="Times New Roman" w:hAnsi="Times New Roman"/>
          <w:b/>
          <w:i/>
          <w:caps w:val="false"/>
          <w:smallCaps w:val="false"/>
          <w:color w:val="000000"/>
          <w:sz w:val="20"/>
        </w:rPr>
        <w:t>Stock</w:t>
      </w:r>
      <w:r>
        <w:rPr>
          <w:rFonts w:ascii="Times New Roman" w:hAnsi="Times New Roman"/>
          <w:b/>
          <w:i/>
          <w:caps w:val="false"/>
          <w:smallCaps w:val="false"/>
          <w:color w:val="000000"/>
          <w:sz w:val="20"/>
          <w:highlight w:val="white"/>
        </w:rPr>
        <w:t xml:space="preserve"> Purchase Plan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The Company’s 2020 Employee Stock Purchase Plan (the “ESPP”), </w:t>
      </w:r>
      <w:r>
        <w:rPr>
          <w:rFonts w:ascii="Times New Roman" w:hAnsi="Times New Roman"/>
          <w:b w:val="false"/>
          <w:i w:val="false"/>
          <w:caps w:val="false"/>
          <w:smallCaps w:val="false"/>
          <w:color w:val="000000"/>
          <w:sz w:val="20"/>
        </w:rPr>
        <w:t xml:space="preserve">which was adopted by the Company’s board of directors in June 2020 and approved by the Company’s stockholders in July 2020, </w:t>
      </w:r>
      <w:r>
        <w:rPr>
          <w:rFonts w:ascii="Times New Roman" w:hAnsi="Times New Roman"/>
          <w:b w:val="false"/>
          <w:i w:val="false"/>
          <w:caps w:val="false"/>
          <w:smallCaps w:val="false"/>
          <w:color w:val="000000"/>
          <w:sz w:val="20"/>
          <w:highlight w:val="white"/>
        </w:rPr>
        <w:t xml:space="preserve">became effective upon the consummation of the IPO. A total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622,652 shares of the Company’s common stock is initially available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As of </w:t>
      </w:r>
      <w:r>
        <w:rPr>
          <w:rFonts w:ascii="Times New Roman" w:hAnsi="Times New Roman"/>
          <w:b w:val="false"/>
          <w:i w:val="false"/>
          <w:caps w:val="false"/>
          <w:smallCaps w:val="false"/>
          <w:color w:val="000000"/>
          <w:sz w:val="20"/>
        </w:rPr>
        <w:t>June 30, 2021</w:t>
      </w:r>
      <w:r>
        <w:rPr>
          <w:rFonts w:ascii="Times New Roman" w:hAnsi="Times New Roman"/>
          <w:b w:val="false"/>
          <w:i w:val="false"/>
          <w:caps w:val="false"/>
          <w:smallCaps w:val="false"/>
          <w:color w:val="000000"/>
          <w:sz w:val="20"/>
          <w:highlight w:val="white"/>
        </w:rPr>
        <w:t>, no shares had been issued under the ESPP, and the full number of shares authorized under the ESPP Plan was available for issuance purposes.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Liability for Early Exercise of Restricted Stock Options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Shares subject to repurchase by the Company were </w:t>
      </w:r>
      <w:r>
        <w:rPr>
          <w:rFonts w:ascii="Times New Roman" w:hAnsi="Times New Roman"/>
          <w:b w:val="false"/>
          <w:i w:val="false"/>
          <w:caps w:val="false"/>
          <w:smallCaps w:val="false"/>
          <w:color w:val="000000"/>
          <w:sz w:val="20"/>
          <w:highlight w:val="white"/>
        </w:rPr>
        <w:t>46,849</w:t>
      </w:r>
      <w:r>
        <w:rPr>
          <w:rFonts w:ascii="Times New Roman" w:hAnsi="Times New Roman"/>
          <w:b w:val="false"/>
          <w:i w:val="false"/>
          <w:caps w:val="false"/>
          <w:smallCaps w:val="false"/>
          <w:sz w:val="20"/>
        </w:rPr>
        <w:t xml:space="preserve"> shares and 77,393 shares, with the related liability of $0.1 million and $0.1 million recorded under other long-term liabilities in the condensed balance sheets as of June 30, 2021 and December 31, 2020, respectively.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Share-Based Compensation Expense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Share-based compensation expense for the three and six months ended June 30, 2021 and 2020 was as follows (in thousands):    </w:t>
      </w:r>
    </w:p>
    <w:p>
      <w:pPr>
        <w:pStyle w:val="TextBody"/>
        <w:spacing w:before="0" w:after="0"/>
        <w:rPr/>
      </w:pPr>
      <w:r>
        <w:rPr/>
        <w:t> </w:t>
      </w:r>
    </w:p>
    <w:tbl>
      <w:tblPr>
        <w:tblW w:w="5726" w:type="dxa"/>
        <w:jc w:val="left"/>
        <w:tblInd w:w="0" w:type="dxa"/>
        <w:tblCellMar>
          <w:top w:w="0" w:type="dxa"/>
          <w:left w:w="0" w:type="dxa"/>
          <w:bottom w:w="28" w:type="dxa"/>
          <w:right w:w="0" w:type="dxa"/>
        </w:tblCellMar>
      </w:tblPr>
      <w:tblGrid>
        <w:gridCol w:w="2630"/>
        <w:gridCol w:w="60"/>
        <w:gridCol w:w="159"/>
        <w:gridCol w:w="619"/>
        <w:gridCol w:w="76"/>
        <w:gridCol w:w="76"/>
        <w:gridCol w:w="159"/>
        <w:gridCol w:w="427"/>
        <w:gridCol w:w="60"/>
        <w:gridCol w:w="60"/>
        <w:gridCol w:w="125"/>
        <w:gridCol w:w="485"/>
        <w:gridCol w:w="60"/>
        <w:gridCol w:w="60"/>
        <w:gridCol w:w="125"/>
        <w:gridCol w:w="485"/>
        <w:gridCol w:w="60"/>
      </w:tblGrid>
      <w:tr>
        <w:trPr/>
        <w:tc>
          <w:tcPr>
            <w:tcW w:w="26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4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1,744</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1,946</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3,723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share-based compensation</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3,690</w:t>
            </w:r>
          </w:p>
        </w:tc>
        <w:tc>
          <w:tcPr>
            <w:tcW w:w="7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566</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7,037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total unrecognized compensation cost related to unvested share-based awards was $43.5 million, which is expected to be recognized over a weighted-average remaining service period of 3.22 years as of June 30, 2021.</w:t>
      </w:r>
    </w:p>
    <w:p>
      <w:pPr>
        <w:pStyle w:val="TextBody"/>
        <w:spacing w:before="0" w:after="0"/>
        <w:rPr>
          <w:caps w:val="false"/>
          <w:smallCaps w:val="false"/>
        </w:rPr>
      </w:pPr>
      <w:r>
        <w:rPr>
          <w:caps w:val="false"/>
          <w:smallCaps w:val="false"/>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10. Income Taxes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was no provision for income taxes recorded during the three and six months ended June 30, 2021 and 2020. The Company’s deferred tax assets continue to be fully offset by a valuation allowance</w:t>
      </w:r>
      <w:r>
        <w:rPr>
          <w:rFonts w:ascii="Times New Roman" w:hAnsi="Times New Roman"/>
          <w:b w:val="false"/>
          <w:i w:val="false"/>
          <w:caps w:val="false"/>
          <w:smallCaps w:val="false"/>
          <w:color w:val="212529"/>
          <w:sz w:val="20"/>
          <w:highlight w:val="white"/>
        </w:rPr>
        <w:t>.</w:t>
      </w:r>
    </w:p>
    <w:p>
      <w:pPr>
        <w:pStyle w:val="TextBody"/>
        <w:spacing w:before="12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11. Subsequent Events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July 9, 2021, </w:t>
      </w:r>
      <w:r>
        <w:rPr>
          <w:rFonts w:ascii="Times New Roman" w:hAnsi="Times New Roman"/>
          <w:b w:val="false"/>
          <w:i w:val="false"/>
          <w:caps w:val="false"/>
          <w:smallCaps w:val="false"/>
          <w:color w:val="000000"/>
          <w:sz w:val="20"/>
        </w:rPr>
        <w:t xml:space="preserve">the Company entered into a lease agreement for corporate office, manufacturing and laboratory space located in South San Francisco, California with an expiration date approximately twelve years after the lease commencement date. </w:t>
      </w:r>
      <w:r>
        <w:rPr>
          <w:rFonts w:ascii="Times New Roman" w:hAnsi="Times New Roman"/>
          <w:b w:val="false"/>
          <w:i w:val="false"/>
          <w:caps w:val="false"/>
          <w:smallCaps w:val="false"/>
          <w:color w:val="212529"/>
          <w:sz w:val="20"/>
        </w:rPr>
        <w:t>The Company will become responsible for paying rent on the lease commencement date. The Company’s monthly installment of base rent for the new premises will start at approximately $0.6 million commencing on the lease commencement date and will increase on an annual basis up to a maximum monthly base rent of approximately $0.8 million. The Company expects to pay base rent of approximately $98.8 million over the lease term. In addition to base rent, the Company is responsible for payment of direct expenses, which include operating, insurance and tax expenses. The lease also provides for certain tenant improvement allowances of up to approximately $25.2 million for tenant improvements and certain infrastructure upgrades in connection with the initial buildout of the premises, approximately $4.4 million of which, if utilized, would need to be repaid by the Company over the lease term</w:t>
      </w:r>
      <w:r>
        <w:rPr>
          <w:rFonts w:ascii="Times New Roman" w:hAnsi="Times New Roman"/>
          <w:b w:val="false"/>
          <w:i w:val="false"/>
          <w:caps w:val="false"/>
          <w:smallCaps w:val="false"/>
          <w:sz w:val="20"/>
        </w:rPr>
        <w:t>. The Company is required to deliver a security deposit in the form of a letter of credit of $1.6 million to the Landlord in connection with the lease agreement.   </w:t>
      </w:r>
    </w:p>
    <w:p>
      <w:pPr>
        <w:pStyle w:val="TextBody"/>
        <w:spacing w:before="12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9" w:name="ITEM_2_MANAGEMENTS_DISCUSSION_ANALYSIS_F"/>
      <w:bookmarkEnd w:id="9"/>
      <w:r>
        <w:rPr>
          <w:rFonts w:ascii="Times New Roman" w:hAnsi="Times New Roman"/>
          <w:b/>
          <w:i w:val="false"/>
          <w:caps w:val="false"/>
          <w:smallCaps w:val="false"/>
          <w:sz w:val="20"/>
        </w:rPr>
        <w:t>Item 2. Management’s Discussion and Analysis of Financial Condition and Results of Operations.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Securities and Exchange Commission (the “SEC”), on March 25, 2021 for the fiscal year ended December 31, 2020,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a biopharmaceutical company focused on the discovery, development and commercialization of allogeneic, off-the-shelf engineered natural killer (“NK”), cell therapies to treat cancer. Our NK cell engineering platform builds on prior experience and success with engineering T cells and includes proprietary technologies that enable us to generate an abundant supply of NK cells, improve the persistence of these cells for sustained activity in the body, engineer enhanced NK cell recognition of tumor targets and to freeze, store and thaw our engineered NK cells for off-the-shelf use for the treatment of cancer. All of our product candidates are designed to be allogeneic, meaning they are produced using cells from a different person than the patient treated, as well as off-the-shelf, meaning they are produced in quantity, then frozen and therefore available for treating patients without delay, unlike existing autologous cell therapies, or cell therapies derived from a patient’s own cells. Based on recently published data and data presented at medical conferences from a number of clinical trials of certain NK cell therapies, we believe that engineered NK cells have the potential to be an effective cancer therapy, be well tolerated, and avoid some of the toxicities observed with other cell therapies. Our two co-lead product candidates are NKX101 and NKX019.</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Investigational New Drug Application (“IND”) for NKX101 for the treatment of relapsed/refractory acute myeloid leukemia (“AML”) and higher-risk myelodysplastic syndromes (“MDS”) was accepted by the U.S. Food and Drug Administration (the “FDA”) in July 2020. On November 12, 2020, we announced that the first patient was treated in the multi-center Phase 1 clinical trial of NKX101 for the treatment of relapsed/refractory AML or higher risk MDS. In the first quarter of 2021, the FDA approved a protocol amendment to the clinical trial of NKX101, which includes an overall shorter waiting period between enrollment of patients, an additional two-dose regimen which increases patient convenience and delivers more CAR NK cells earlier in each treatment cycle, and the earlier introduction of non haplo-related, off-the-shelf NKX101 in the ongoing dose finding cohort. This first-in-human study evaluates the safety, pharmacokinetics, and preliminary anti-tumor activity of NKX101, administered in a cycle of either three weekly infusions (Regimen A) or two weekly infusions (Regimen B) following lymphodepletion in multiple centers in the US. The clinical trial consists of parallel dose-finding in both Regimens followed by dose-expansion and is designed to identify the recommended Phase 2 dose.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IND for NKX019 for the treatment of B-cell malignancies was accepted by the FDA in April 2021, and the clinical trial notification was filed with Therapeutic Goods Administration - Australia (“TGA”) following appropriate Human Research Ethics Committees (“HREC”) approval in Australia in May 2021. We plan to begin dosing the first patient with NKX019 in the second half of 2021. This first-in-human study evaluates the safety, pharmacokinetics, and preliminary anti-tumor activity of NKX019, administered in a cycle of three weekly infusions following lymphodepletion in multiple centers in the U.S. and Australia. The clinical trial consists of dose-finding followed by dose-expansion and is designed to identify the recommended Phase 2 dose.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May 5, 2021, we entered into a Research Collaboration Agreement (the “Agreement”) with CRISPR Therapeutics AG (“CRISPR”). Pursuant to the Agreement, CRISPR and the Company will establish research plans for the purpose of collaboratively designing and advancing up to two (2) allogeneic, gene-edited NK cell therapies and one (1) allogeneic, gene-edited NK+T cell therapy for use in the treatment of oncology, autoimmune disease, and infectious disease up to the filing of an application to a regulatory authority to request the ability to start a clinical trial. Additionally, CRISPR will also grant non-exclusive licenses to us on up to five gene-editing targets to enable us to independently research, develop and commercialize NK cell therapies that have been gene-edited using CRISPR’s gene-editing technology.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initial public offering (“IPO”) completed in July 2020, the issuance of convertible promissory notes, private placements of our preferred stock and with proceeds from our previous collaboration. We incurred a net loss of $91.4 million and $21.1 million during the years ended December 31, 2020 and 2019, respectively, and $40.9 million and $59.8 million during the six months ended June 30, 2021 and 2020, respectively, and we expect to continue to incur significant losses for the foreseeable future. As of June 30, 2021, we had an accumulated deficit of $158.9 million. At June 30, 2021, we had cash, cash equivalents, restricted cash and short-term investments of $280.3 million.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will need substantial additional funding to support our continuing operations and pursue our long-term development strategy. We may seek additional funding through the issuance of our common stock,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Any failure to raise capital as and when needed would compromise our ability to execute on our business plan and may cause us to significantly delay, scale back or discontinue the development of some of our programs or curtail any efforts to expand our product pipeline.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issued shares of our Series B convertible preferred stock for aggregate gross proceeds of $64.4 million on July 1, 2020 in connection with the exercise by the holders of at least one-third of our Series B convertible preferred stock prior to the completion of our IPO (the “Series B Milestone Closing”). On July 14, 2020, we completed our IPO. In connection with the IPO, we issued and sold 16,100,000 shares of our common stock, including 2,100,000 shares associated with the full exercise of the underwriters’ option to purchase additional shares, at a price to the public of $18.00 per share. We received approximately $265.1 million in net proceeds, after deducting underwriting discounts and commissions and other offering costs of $24.7 million. The shares began trading on the Nasdaq Global Select Market on July 10, 2020. Upon completion of the IPO, all of our outstanding shares of convertible preferred stock converted into 14,689,215 shares of our common stock.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COVID-19 pandemic has affected and may continue to affect our business and operations and those of third parties on which we rely, including by causing disruptions in the supply of our product candidates and the conduct of current and future clinical trials. We have taken certain precautionary measures to minimize exposure of our employees to the virus and to comply with directives from public health officials. This includes work from home policies for our employees as well as enhanced safety measures for our employees and other personnel working in our offices, labs and manufacturing facility. We have mandated vaccination for our employees working on site and have encouraged vaccination of our employees working remotely. Some of the third-party vendors that we use, including some of our contract manufacturing sites, and our contract research organizations (“CROs”), have experienced employee turnover/attrition, delays or other disruptions during this pandemic and the accompanying flexible work options and, in some instances, costs have increased. We have incorporated remote monitoring of clinical trial sites, where feasible, for our ongoing NKX101 Phase 1 trial in the U.S. and will utilize a similar approach for the upcoming NKX019 Phase 1 trial with sites in both the U.S. and Australia. In addition, we have experienced some internal delays due to COVID-19, including some delays in construction of our current good manufacturing practices (“cGMP”) manufacturing facility and in our internal research efforts. COVID-19 has also caused global supply shortages of certain materials that we and our contract development and manufacturing organization (“CDMO”) partners use for research and cGMP manufacturing, such as certain raw materials, cell culture media, and disposable plastics. We will continue to monitor the impact of COVID-19 and any additional waves of the pandemic on the Company’s operations including continued enrollment in the NKX101 clinical trial and the current timeline for dosing of the first patient with NKX019, as well as on our CROs, CDMOs, and clinical trial sites with respect to COVID-19 related shutdowns, restrictions on travel, and restrictions on hospital visits for clinical trial participants or clinical research staff. In response to the pandemic, the Coronavirus Aid, Relief and Economic Security Act (the “CARES Act”) was signed into law on March 27, 2020. The CARES Act, among other things, includes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We continue to evaluate the impact of the CARES Act on our financial position, results of operations and cash flows. We currently do not believe the CARES Act will have a material impact on our financial condition, results of operations, or liquidity. A discussion of the risks and uncertainties that we face as a result of the COVID-19 pandemic can be found under Part II, Item 1A, “Risk Factors” in this Quarterly Report on Form 10-Q.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Financial Operations Overview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Operating Expenses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Research and Development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costs consist primarily of costs incurred for the discovery and clinical development of our drug candidates, which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employee-related expenses, including salaries, related benefits, travel and share-based compensation expenses for employees engaged in research and development functions; </w:t>
            </w:r>
          </w:p>
        </w:tc>
      </w:tr>
    </w:tbl>
    <w:tbl>
      <w:tblPr>
        <w:tblW w:w="9550" w:type="dxa"/>
        <w:jc w:val="left"/>
        <w:tblInd w:w="0" w:type="dxa"/>
        <w:tblCellMar>
          <w:top w:w="0" w:type="dxa"/>
          <w:left w:w="0" w:type="dxa"/>
          <w:bottom w:w="0" w:type="dxa"/>
          <w:right w:w="0" w:type="dxa"/>
        </w:tblCellMar>
      </w:tblPr>
      <w:tblGrid>
        <w:gridCol w:w="60"/>
        <w:gridCol w:w="110"/>
        <w:gridCol w:w="938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38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expenses incurred in connection with research, laboratory consumables, sponsored research, and preclinical studies;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 of consultants engaged in research and development related services and the cost to manufacture drug products for use in our preclinical studies and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facilities, depreciation and other expenses, which include allocated expenses for rent and maintenance of facilities, insurance and supplies; </w:t>
            </w:r>
          </w:p>
        </w:tc>
      </w:tr>
    </w:tbl>
    <w:tbl>
      <w:tblPr>
        <w:tblW w:w="3730" w:type="dxa"/>
        <w:jc w:val="left"/>
        <w:tblInd w:w="0" w:type="dxa"/>
        <w:tblCellMar>
          <w:top w:w="0" w:type="dxa"/>
          <w:left w:w="0" w:type="dxa"/>
          <w:bottom w:w="0" w:type="dxa"/>
          <w:right w:w="0" w:type="dxa"/>
        </w:tblCellMar>
      </w:tblPr>
      <w:tblGrid>
        <w:gridCol w:w="60"/>
        <w:gridCol w:w="110"/>
        <w:gridCol w:w="35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56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costs related to regulatory compliance; and </w:t>
            </w:r>
          </w:p>
        </w:tc>
      </w:tr>
    </w:tbl>
    <w:tbl>
      <w:tblPr>
        <w:tblW w:w="2695" w:type="dxa"/>
        <w:jc w:val="left"/>
        <w:tblInd w:w="0" w:type="dxa"/>
        <w:tblCellMar>
          <w:top w:w="0" w:type="dxa"/>
          <w:left w:w="0" w:type="dxa"/>
          <w:bottom w:w="0" w:type="dxa"/>
          <w:right w:w="0" w:type="dxa"/>
        </w:tblCellMar>
      </w:tblPr>
      <w:tblGrid>
        <w:gridCol w:w="60"/>
        <w:gridCol w:w="110"/>
        <w:gridCol w:w="25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252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 of annual license fees.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typically have various early 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 stage research and drug discovery programs on a project-specific basis.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our research and development expenses for the three and six months ended June 30, 2021 and 2020.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w:t>
      </w:r>
    </w:p>
    <w:p>
      <w:pPr>
        <w:pStyle w:val="TextBody"/>
        <w:spacing w:before="0" w:after="0"/>
        <w:rPr/>
      </w:pPr>
      <w:r>
        <w:rPr/>
        <w:t> </w:t>
      </w:r>
    </w:p>
    <w:tbl>
      <w:tblPr>
        <w:tblW w:w="7858" w:type="dxa"/>
        <w:jc w:val="left"/>
        <w:tblInd w:w="0" w:type="dxa"/>
        <w:tblCellMar>
          <w:top w:w="0" w:type="dxa"/>
          <w:left w:w="0" w:type="dxa"/>
          <w:bottom w:w="28" w:type="dxa"/>
          <w:right w:w="0" w:type="dxa"/>
        </w:tblCellMar>
      </w:tblPr>
      <w:tblGrid>
        <w:gridCol w:w="4550"/>
        <w:gridCol w:w="60"/>
        <w:gridCol w:w="131"/>
        <w:gridCol w:w="620"/>
        <w:gridCol w:w="63"/>
        <w:gridCol w:w="63"/>
        <w:gridCol w:w="131"/>
        <w:gridCol w:w="510"/>
        <w:gridCol w:w="60"/>
        <w:gridCol w:w="60"/>
        <w:gridCol w:w="125"/>
        <w:gridCol w:w="590"/>
        <w:gridCol w:w="60"/>
        <w:gridCol w:w="60"/>
        <w:gridCol w:w="125"/>
        <w:gridCol w:w="590"/>
        <w:gridCol w:w="60"/>
      </w:tblGrid>
      <w:tr>
        <w:trPr/>
        <w:tc>
          <w:tcPr>
            <w:tcW w:w="45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5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8" w:type="dxa"/>
            <w:gridSpan w:val="14"/>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 external development program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NKX101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3,066</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5,074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NKX019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1,489</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2,474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Program 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Program 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352</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Unallocated internal research and development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Personnel related (including share-based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6,973</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7,094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4,068</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4,077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bottom w:val="doub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research and development costs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15,957</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7,862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29,496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General and Administrative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Other Income (Expense)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Change in Fair Value of Preferred Stock Purchase Right Liability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August 2019, we entered into a Series B Preferred Stock Purchase Agreement that contained future purchase rights that were required to be accounted for as liabilities and remeasured to fair value at each reporting date, with any change in the fair value reported as a component of other expense, net. We recorded adjustments to the estimated fair value of the preferred stock purchase rights until they were exercised in July 2020 in connection with our IPO. At that time, the convertible preferred stock purchase right liability was reclassified to additional paid-in capital and we will no longer record any related periodic fair value adjustments.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Interest Income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Interest income consists of interest earned on our cash, cash equivalents and short-term investments and adjustments related to amortization of purchase premiums and accretion of discounts of short-term investments.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results of operations for the periods indicated (in thousands):</w:t>
      </w:r>
    </w:p>
    <w:p>
      <w:pPr>
        <w:pStyle w:val="TextBody"/>
        <w:spacing w:before="120" w:after="0"/>
        <w:rPr/>
      </w:pPr>
      <w:r>
        <w:rPr/>
        <w:t> </w:t>
      </w:r>
    </w:p>
    <w:tbl>
      <w:tblPr>
        <w:tblW w:w="7835" w:type="dxa"/>
        <w:jc w:val="left"/>
        <w:tblInd w:w="0" w:type="dxa"/>
        <w:tblCellMar>
          <w:top w:w="0" w:type="dxa"/>
          <w:left w:w="0" w:type="dxa"/>
          <w:bottom w:w="28" w:type="dxa"/>
          <w:right w:w="0" w:type="dxa"/>
        </w:tblCellMar>
      </w:tblPr>
      <w:tblGrid>
        <w:gridCol w:w="2345"/>
        <w:gridCol w:w="60"/>
        <w:gridCol w:w="125"/>
        <w:gridCol w:w="650"/>
        <w:gridCol w:w="80"/>
        <w:gridCol w:w="60"/>
        <w:gridCol w:w="125"/>
        <w:gridCol w:w="650"/>
        <w:gridCol w:w="80"/>
        <w:gridCol w:w="60"/>
        <w:gridCol w:w="125"/>
        <w:gridCol w:w="650"/>
        <w:gridCol w:w="80"/>
        <w:gridCol w:w="60"/>
        <w:gridCol w:w="125"/>
        <w:gridCol w:w="650"/>
        <w:gridCol w:w="80"/>
        <w:gridCol w:w="60"/>
        <w:gridCol w:w="125"/>
        <w:gridCol w:w="650"/>
        <w:gridCol w:w="80"/>
        <w:gridCol w:w="60"/>
        <w:gridCol w:w="125"/>
        <w:gridCol w:w="650"/>
        <w:gridCol w:w="80"/>
      </w:tblGrid>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0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 June 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15,957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7,862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29,496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14,374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5,677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3,184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11,618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6,976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21,634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11,279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41,114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19,764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21,350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(21,634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(11,279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(41,114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(19,764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(21,350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preferred stock purchase</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right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(40,741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40,741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(40,163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40,163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income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(expense),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(40,710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40,809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(40,007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40,213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(21,535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(51,065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29,530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(40,908</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(59,771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18,863</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6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Comparison of the Three and Six Months Ended June 30, 2021 and 2020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Research and development expenses</w:t>
      </w:r>
      <w:r>
        <w:rPr>
          <w:rFonts w:ascii="Times New Roman" w:hAnsi="Times New Roman"/>
          <w:b w:val="false"/>
          <w:i w:val="false"/>
          <w:caps w:val="false"/>
          <w:smallCaps w:val="false"/>
          <w:sz w:val="20"/>
        </w:rPr>
        <w:t xml:space="preserve">. Research and development expenses were $16.0 million and $7.9 million for the three months ended June 30, 2021 and 2020, respectively. The increase of $8.1 million was primarily due to an increase in personnel costs of $3.1 million, including an increase in share-based compensation expense of $1.5 million as a result of continued growth in headcount, an increase of $3.1 million in program costs primarily relating to NKX101 and NKX019 and $1.9 million in other internal research costs, primarily consisting of research and laboratory supplies and facilities expenses.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 were $29.5 million and $15.1 million for the six months ended June 30, 2021 and 2020, respectively. The increase of $14.4 million was primarily due to an increase in personnel costs of $6.8 million, including an increase in share-based compensation expense of $2.9 million as a result of continued growth in headcount, an increase of $4.3 million in program costs primarily relating to NKX101 and NKX019 and $3.3 million in other internal research costs, primarily consisting of research and laboratory supplies and facilities expenses. We expect our research and development expenses will increase in future periods as we progress our product candidates and conduct our clinical trials and development activities.</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General and administrative expenses</w:t>
      </w:r>
      <w:r>
        <w:rPr>
          <w:rFonts w:ascii="Times New Roman" w:hAnsi="Times New Roman"/>
          <w:b w:val="false"/>
          <w:i w:val="false"/>
          <w:caps w:val="false"/>
          <w:smallCaps w:val="false"/>
          <w:sz w:val="20"/>
        </w:rPr>
        <w:t xml:space="preserve">. General and administrative expenses were $5.7 million and $2.5 million for the three months ended June 30, 2021 and 2020, respectively. The increase of $3.2 million was primarily due to an increase in personnel costs of $2.1 million, including an increase of $1.6 million in share-based compensation expense as a result of continued growth in headcount, a $0.3 million increase in professional services related to accounting services, corporate legal fees, other consulting and patent legal fees, and a $0.8 million increase in other general and administrative expenses that included insurance, rent, depreciation expense and other facilities expense.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were $11.6 million and $4.6 million for the six months ended June 30, 2021 and 2020, respectively. The increase of $7.0 million was primarily due to an increase in personnel costs of $4.1 million, including an increase of $3.1 million in share-based compensation expense as a result of continued growth in headcount, a $1.2 million increase in professional services related to accounting services, corporate legal fees, other consulting and patent legal fees, and a $1.7 million increase in other general and administrative expenses that included insurance, rent, depreciation expense and other facilities expense. We expect to incur additional exp</w:t>
      </w:r>
      <w:r>
        <w:rPr>
          <w:rFonts w:ascii="Times New Roman" w:hAnsi="Times New Roman"/>
          <w:b w:val="false"/>
          <w:i w:val="false"/>
          <w:caps w:val="false"/>
          <w:smallCaps w:val="false"/>
          <w:color w:val="000000"/>
          <w:sz w:val="20"/>
          <w:highlight w:val="white"/>
        </w:rPr>
        <w:t>enses as a result of being a public company following the completion of our IPO in July 2020, which we expect will further increase when we no longer qualify as an “emerging growth company” under the JOBS Act. In addition, we have incurred and expect to continue to incur increased expenses related to additional insurance, investor relations and other increases related to needs for additional human resources and professional services associated with being a public company.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Change in fair value of preferred stock purchase right liability</w:t>
      </w:r>
      <w:r>
        <w:rPr>
          <w:rFonts w:ascii="Times New Roman" w:hAnsi="Times New Roman"/>
          <w:b w:val="false"/>
          <w:i w:val="false"/>
          <w:caps w:val="false"/>
          <w:smallCaps w:val="false"/>
          <w:sz w:val="20"/>
        </w:rPr>
        <w:t>.</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We recognized a remeasurement adjustment for the change in fair value of preferred stock purchase right liability</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of $40.7</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million in other expense</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and $40.2 million in other income</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for the three and six months ended June 30, 2020, respectively. This was related to the Series B Preferred Stock Purchase Agreement that we entered into in August 2019, which contained</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future purchase rights that were</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required to be accounted for as liabilities and remeasured to fair value at each reporting date, with any change in the fair value reported as a component of other</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expense, net. Upon the completion of the Series B Milestone Closing</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in July 2020,</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which resulted in</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 xml:space="preserve">the issuance of </w:t>
      </w:r>
      <w:r>
        <w:rPr>
          <w:rFonts w:ascii="Times New Roman" w:hAnsi="Times New Roman"/>
          <w:b w:val="false"/>
          <w:i w:val="false"/>
          <w:caps w:val="false"/>
          <w:smallCaps w:val="false"/>
          <w:color w:val="000000"/>
          <w:sz w:val="20"/>
        </w:rPr>
        <w:t xml:space="preserve">27,066,206 shares of our Series B convertible preferred stock for an aggregate gross proceeds of $64.4 million, the </w:t>
      </w:r>
      <w:r>
        <w:rPr>
          <w:rFonts w:ascii="Times New Roman" w:hAnsi="Times New Roman"/>
          <w:b w:val="false"/>
          <w:i w:val="false"/>
          <w:caps w:val="false"/>
          <w:smallCaps w:val="false"/>
          <w:sz w:val="20"/>
        </w:rPr>
        <w:t xml:space="preserve">final remeasurement adjustment of the </w:t>
      </w:r>
      <w:r>
        <w:rPr>
          <w:rFonts w:ascii="Times New Roman" w:hAnsi="Times New Roman"/>
          <w:b w:val="false"/>
          <w:i w:val="false"/>
          <w:caps w:val="false"/>
          <w:smallCaps w:val="false"/>
          <w:color w:val="000000"/>
          <w:sz w:val="20"/>
        </w:rPr>
        <w:t>preferred stock purchase right liability</w:t>
      </w:r>
      <w:r>
        <w:rPr>
          <w:rFonts w:ascii="Times New Roman" w:hAnsi="Times New Roman"/>
          <w:b/>
          <w:i w:val="false"/>
          <w:caps w:val="false"/>
          <w:smallCaps w:val="false"/>
          <w:color w:val="000000"/>
          <w:sz w:val="20"/>
        </w:rPr>
        <w:t xml:space="preserve"> </w:t>
      </w:r>
      <w:r>
        <w:rPr>
          <w:rFonts w:ascii="Times New Roman" w:hAnsi="Times New Roman"/>
          <w:b w:val="false"/>
          <w:i w:val="false"/>
          <w:caps w:val="false"/>
          <w:smallCaps w:val="false"/>
          <w:color w:val="000000"/>
          <w:sz w:val="20"/>
        </w:rPr>
        <w:t>was</w:t>
      </w:r>
      <w:r>
        <w:rPr>
          <w:rFonts w:ascii="Times New Roman" w:hAnsi="Times New Roman"/>
          <w:b/>
          <w:i w:val="false"/>
          <w:caps w:val="false"/>
          <w:smallCaps w:val="false"/>
          <w:color w:val="000000"/>
          <w:sz w:val="20"/>
        </w:rPr>
        <w:t xml:space="preserve"> </w:t>
      </w:r>
      <w:r>
        <w:rPr>
          <w:rFonts w:ascii="Times New Roman" w:hAnsi="Times New Roman"/>
          <w:b w:val="false"/>
          <w:i w:val="false"/>
          <w:caps w:val="false"/>
          <w:smallCaps w:val="false"/>
          <w:color w:val="000000"/>
          <w:sz w:val="20"/>
        </w:rPr>
        <w:t>recorded</w:t>
      </w:r>
      <w:r>
        <w:rPr>
          <w:rFonts w:ascii="Times New Roman" w:hAnsi="Times New Roman"/>
          <w:b/>
          <w:i w:val="false"/>
          <w:caps w:val="false"/>
          <w:smallCaps w:val="false"/>
          <w:color w:val="000000"/>
          <w:sz w:val="20"/>
        </w:rPr>
        <w:t xml:space="preserve"> </w:t>
      </w:r>
      <w:r>
        <w:rPr>
          <w:rFonts w:ascii="Times New Roman" w:hAnsi="Times New Roman"/>
          <w:b w:val="false"/>
          <w:i w:val="false"/>
          <w:caps w:val="false"/>
          <w:smallCaps w:val="false"/>
          <w:color w:val="000000"/>
          <w:sz w:val="20"/>
        </w:rPr>
        <w:t>and reclassified to additional paid-in capital on the balance sheet</w:t>
      </w:r>
      <w:r>
        <w:rPr>
          <w:rFonts w:ascii="Times New Roman" w:hAnsi="Times New Roman"/>
          <w:b/>
          <w:i w:val="false"/>
          <w:caps w:val="false"/>
          <w:smallCaps w:val="false"/>
          <w:color w:val="000000"/>
          <w:sz w:val="20"/>
        </w:rPr>
        <w:t xml:space="preserve"> </w:t>
      </w:r>
      <w:r>
        <w:rPr>
          <w:rFonts w:ascii="Times New Roman" w:hAnsi="Times New Roman"/>
          <w:b w:val="false"/>
          <w:i w:val="false"/>
          <w:caps w:val="false"/>
          <w:smallCaps w:val="false"/>
          <w:color w:val="000000"/>
          <w:sz w:val="20"/>
        </w:rPr>
        <w:t>upon the exercise of the preferred stock purchase right.</w:t>
      </w:r>
      <w:r>
        <w:rPr>
          <w:rFonts w:ascii="Times New Roman" w:hAnsi="Times New Roman"/>
          <w:b/>
          <w:i w:val="false"/>
          <w:caps w:val="false"/>
          <w:smallCaps w:val="false"/>
          <w:color w:val="000000"/>
          <w:sz w:val="20"/>
        </w:rPr>
        <w:t xml:space="preserve">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Interest income</w:t>
      </w:r>
      <w:r>
        <w:rPr>
          <w:rFonts w:ascii="Times New Roman" w:hAnsi="Times New Roman"/>
          <w:b w:val="false"/>
          <w:i w:val="false"/>
          <w:caps w:val="false"/>
          <w:smallCaps w:val="false"/>
          <w:sz w:val="20"/>
        </w:rPr>
        <w:t>. Interest income was $0.1 million for the three months ended June 30, 2021. Interest income was not significant for the three months ended June 30, 2020. The slight increase in interest income was due to interest earned from short-term investments, partially offset by amortization of purchase premiums and accretion of discounts of short-term investments.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Interest income was $0.2 million and $0.2 million for the six months ended June 30, 2021 and 2020, respectively. The slight increase in interest income was due to interest earned from short-term investments, partially offset by amortization of purchase premiums and accretion of discounts of short-term investments.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Sources of Liquidity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2021, we had cash, cash equivalents, restricted cash and short-term investments of $280.3 million. In connection with our IPO which closed on July 14, 2020, we received $265.1 million in net proceeds, after deducting underwriting discounts and commissions and other offering expenses. We issued and sold 16,100,000 shares of our common stock, including 2,100,000 shares associated with the full exercise of the underwriters’ option to purchase additional shares, at a price to the public of $18.00 per share. On July 1, 2020, we issued 27,066,206 shares of our Series B convertible preferred stock at a price of $2.37935 per share for gross proceeds of $64.4 million in connection with the Series B Milestone Closing.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Prior to our IPO, we funded our operations primarily through the issuance of convertible promissory notes and private placements of our convertible preferred stock with a total gross proceeds of $126.0 million, and from our previous collaboration agreement with GSK which terminated in December 2018 of $7.9 million.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will need substantial additional funding to support our continuing operations and pursue our development strategy. Until such time as we can generate significant revenue from sales of our drug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that our </w:t>
      </w:r>
      <w:r>
        <w:rPr>
          <w:rFonts w:ascii="Times New Roman" w:hAnsi="Times New Roman"/>
          <w:b w:val="false"/>
          <w:i w:val="false"/>
          <w:caps w:val="false"/>
          <w:smallCaps w:val="false"/>
          <w:color w:val="000000"/>
          <w:sz w:val="20"/>
        </w:rPr>
        <w:t xml:space="preserve">current cash, cash equivalents, restricted cash and short-term investments </w:t>
      </w:r>
      <w:r>
        <w:rPr>
          <w:rFonts w:ascii="Times New Roman" w:hAnsi="Times New Roman"/>
          <w:b w:val="false"/>
          <w:i w:val="false"/>
          <w:caps w:val="false"/>
          <w:smallCaps w:val="false"/>
          <w:sz w:val="20"/>
        </w:rPr>
        <w:t>as of June 30, 2021 will be sufficient to meet our cash needs for at least 12 months following the issuance date of this Quarterly Report on Form 10-Q.</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Cash Flows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a summary of our cash flows for the periods indicated (in thousands): </w:t>
      </w:r>
    </w:p>
    <w:p>
      <w:pPr>
        <w:pStyle w:val="TextBody"/>
        <w:spacing w:before="0" w:after="0"/>
        <w:rPr/>
      </w:pPr>
      <w:r>
        <w:rPr/>
        <w:t> </w:t>
      </w:r>
    </w:p>
    <w:tbl>
      <w:tblPr>
        <w:tblW w:w="5930" w:type="dxa"/>
        <w:jc w:val="left"/>
        <w:tblInd w:w="0" w:type="dxa"/>
        <w:tblCellMar>
          <w:top w:w="0" w:type="dxa"/>
          <w:left w:w="0" w:type="dxa"/>
          <w:bottom w:w="28" w:type="dxa"/>
          <w:right w:w="0" w:type="dxa"/>
        </w:tblCellMar>
      </w:tblPr>
      <w:tblGrid>
        <w:gridCol w:w="4100"/>
        <w:gridCol w:w="60"/>
        <w:gridCol w:w="125"/>
        <w:gridCol w:w="650"/>
        <w:gridCol w:w="80"/>
        <w:gridCol w:w="60"/>
        <w:gridCol w:w="125"/>
        <w:gridCol w:w="650"/>
        <w:gridCol w:w="80"/>
      </w:tblGrid>
      <w:tr>
        <w:trPr/>
        <w:tc>
          <w:tcPr>
            <w:tcW w:w="41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0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(32,099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(18,528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(used in) 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(41,145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0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8,104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0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decrease in cash and cash equivalents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(72,232</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1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Operating Activities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used in operating activities was $32.0 million and $18.5 million for the six months ended June 30, 2021 and 2020, respectively. The net cash used in operating activities for the six months ended June 30, 2021 was primarily due to our net loss of $40.9 million, adjusted for $9.5 million of net non-cash charges consisting primarily of share-based compensation of $7.0 million, depreciation and amortization of $0.7 million, and investment accretion and amortization of $1.6 million, and a $0.7 million net change in operating assets and liabilities. The net cash used in operating activities for the six months ended June 30, 2020 was primarily due to our net loss of $59.8 million, adjusted for $41.6 million of net non-cash charges for share-based compensation of $1.0 million, depreciation and amortization of $0.3 million, change in fair value of our preferred stock purchase right liability of $40.2 million, and a $0.4 million net change in operating assets and liabilities.</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Investing Activities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used in investing activities was $41.1 million and net cash provided by investing activities was $7.7 million for the six months ended June 30, 2021 and 2020, respectively. The net cash used in investing activities for the six months ended June 30, 2021 was primarily due to purchases of short-term investments of $86.2 million, partially offset by proceeds from maturities of short-term investments of $47.5 million and purchases of property and equipment of $2.4 million primarily related to the construction of our manufacturing facility. The net cash provided by investing activities for the six months ended June 30, 2020 was primarily due to proceeds from maturities of short-term investments of $16.1 million, partially offset by purchases of property and equipment of $4.8 million and purchases of short-term investments of $3.6 million.</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Financing Activities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financing activities was $1.0 million for the six months ended June 30, 2021, primarily due to proceeds from the exercise of stock options. Net cash provided by financing activities was $8.1 million for the six months ended June 30, 2020, primarily due to the proceeds of $10.2 million received from the issuance of our Series B convertible preferred stock, payments made for deferred offering costs of $2.4 million and proceeds of $0.3 million from the exercise of stock options.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Funding Requirements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upon our current operating plans, we believe that our existing cash, cash equivalents, restricted cash and short-term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future capital requirements will depend on many factors,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type, number, scope, progress, expansions, results, costs and timing of, our clinical trials and preclinical studies for our product candidates or other potential product candidates or indications which we are pursuing or may choose to pursue in the future; </w:t>
            </w:r>
          </w:p>
        </w:tc>
      </w:tr>
    </w:tbl>
    <w:tbl>
      <w:tblPr>
        <w:tblW w:w="6520" w:type="dxa"/>
        <w:jc w:val="left"/>
        <w:tblInd w:w="0" w:type="dxa"/>
        <w:tblCellMar>
          <w:top w:w="0" w:type="dxa"/>
          <w:left w:w="0" w:type="dxa"/>
          <w:bottom w:w="0" w:type="dxa"/>
          <w:right w:w="0" w:type="dxa"/>
        </w:tblCellMar>
      </w:tblPr>
      <w:tblGrid>
        <w:gridCol w:w="60"/>
        <w:gridCol w:w="110"/>
        <w:gridCol w:w="63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3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outcome, timing and costs of regulatory review of our product candidates;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costs and timing of manufacturing for our product candidates, including commercial manufacturing and the costs associated with building our manufacturing facility;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efforts to enhance operational systems and hire additional personnel to satisfy our obligations as a public company, including enhanced internal controls over financial reporting; </w:t>
            </w:r>
          </w:p>
        </w:tc>
      </w:tr>
    </w:tbl>
    <w:tbl>
      <w:tblPr>
        <w:tblW w:w="9820" w:type="dxa"/>
        <w:jc w:val="left"/>
        <w:tblInd w:w="0" w:type="dxa"/>
        <w:tblCellMar>
          <w:top w:w="0" w:type="dxa"/>
          <w:left w:w="0" w:type="dxa"/>
          <w:bottom w:w="0" w:type="dxa"/>
          <w:right w:w="0" w:type="dxa"/>
        </w:tblCellMar>
      </w:tblPr>
      <w:tblGrid>
        <w:gridCol w:w="60"/>
        <w:gridCol w:w="110"/>
        <w:gridCol w:w="96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6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costs associated with hiring additional personnel and consultants as our preclinical and clinical activities increase; </w:t>
            </w:r>
          </w:p>
        </w:tc>
      </w:tr>
    </w:tbl>
    <w:tbl>
      <w:tblPr>
        <w:tblW w:w="9775" w:type="dxa"/>
        <w:jc w:val="left"/>
        <w:tblInd w:w="0" w:type="dxa"/>
        <w:tblCellMar>
          <w:top w:w="0" w:type="dxa"/>
          <w:left w:w="0" w:type="dxa"/>
          <w:bottom w:w="0" w:type="dxa"/>
          <w:right w:w="0" w:type="dxa"/>
        </w:tblCellMar>
      </w:tblPr>
      <w:tblGrid>
        <w:gridCol w:w="60"/>
        <w:gridCol w:w="110"/>
        <w:gridCol w:w="96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6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costs and timing of establishing or securing sales and marketing capabilities if any product candidate is approved;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achieve sufficient market acceptance, coverage and adequate reimbursement from third-party payors and adequate market share and revenue for any approved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patients’ willingness or ability to pay out-of-pocket for any approved products in the absence of coverage and/or adequate reimbursement from third-party payors;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terms and timing of establishing and maintaining collaborations, licenses and other similar arrangements, including payments required for meeting regulatory and commercial milestones or sales based royalties; </w:t>
            </w:r>
          </w:p>
        </w:tc>
      </w:tr>
    </w:tbl>
    <w:tbl>
      <w:tblPr>
        <w:tblW w:w="8545" w:type="dxa"/>
        <w:jc w:val="left"/>
        <w:tblInd w:w="0" w:type="dxa"/>
        <w:tblCellMar>
          <w:top w:w="0" w:type="dxa"/>
          <w:left w:w="0" w:type="dxa"/>
          <w:bottom w:w="0" w:type="dxa"/>
          <w:right w:w="0" w:type="dxa"/>
        </w:tblCellMar>
      </w:tblPr>
      <w:tblGrid>
        <w:gridCol w:w="60"/>
        <w:gridCol w:w="110"/>
        <w:gridCol w:w="837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37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costs of obtaining, maintaining and enforcing our patent and other intellectual property rights; and </w:t>
            </w:r>
          </w:p>
        </w:tc>
      </w:tr>
    </w:tbl>
    <w:tbl>
      <w:tblPr>
        <w:tblW w:w="8680" w:type="dxa"/>
        <w:jc w:val="left"/>
        <w:tblInd w:w="0" w:type="dxa"/>
        <w:tblCellMar>
          <w:top w:w="0" w:type="dxa"/>
          <w:left w:w="0" w:type="dxa"/>
          <w:bottom w:w="0" w:type="dxa"/>
          <w:right w:w="0" w:type="dxa"/>
        </w:tblCellMar>
      </w:tblPr>
      <w:tblGrid>
        <w:gridCol w:w="60"/>
        <w:gridCol w:w="110"/>
        <w:gridCol w:w="85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5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associated with any product candidates, products or technologies that we may in-license or acquire.</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Until such time as we can generate significant revenue from sales of our therapeutic product candidates, if ever, we expect to finance our cash needs through public or private equity or debt financings or other capital sources, including potential collaborations, licenses and other similar arrangements.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Contractual Obligations and Commitments </w:t>
      </w:r>
    </w:p>
    <w:p>
      <w:pPr>
        <w:pStyle w:val="TextBody"/>
        <w:spacing w:before="8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May 2018, we entered into a lease agreement for our corporate office and laboratory space located in South San Francisco, California with an expiration date in May 2025. In April 2019, we executed the first amendment to the lease agreement for additional corporate space, laboratory space and manufacturing capabilities and an extension to the lease term through April 2026. The terms of the lease contain a rent abatement for the first month and rent escalation provisions. In addition to the base rent payments, we will be obligated to pay certain customary amounts for our share of operating expenses and tax obligations related to the facilities.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May 2020, we executed the second amendment to the lease agreement for an eight-year non-cancelable lease for additional office and laboratory space in the same building. The lease for the additional space provided for abatement of rent during the first three months of the lease and contained rent escalations during the term of the lease. The lease for this additional space commenced in January 2021 and expires in January 2029. The lease also includes an extension of the lease term of our existing office and laboratory space beginning May 1, 2020 and expiring in January 2029, with an option to extend the lease for an additional seven-year term.</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January 2021, we executed the third amendment to the lease agreement for a three-year non-cancelable lease for additional office space in the same building. The lease for this additional space commenced in the second quarter of 2021 and expires in March 2024. The other terms of the existing lease remain unchanged.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July 2021, we entered into a lease agreement for corporate office, manufacturing and laboratory space located in South San Francisco, California with an expiration date approximately twelve years after the lease commencement date. </w:t>
      </w:r>
      <w:r>
        <w:rPr>
          <w:rFonts w:ascii="Times New Roman" w:hAnsi="Times New Roman"/>
          <w:b w:val="false"/>
          <w:i w:val="false"/>
          <w:caps w:val="false"/>
          <w:smallCaps w:val="false"/>
          <w:color w:val="212529"/>
          <w:sz w:val="20"/>
        </w:rPr>
        <w:t xml:space="preserve">We will become responsible for paying rent on the lease commencement date. The Company expects to pay base rent of approximately $98.8 million over the lease term. In addition to the base rent payments, we will be obligated to pay certain customary amounts for our share of operating expenses and tax obligations related to the facilities. The lease also provides for certain tenant improvement allowances for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212529"/>
          <w:sz w:val="20"/>
        </w:rPr>
      </w:pPr>
      <w:r>
        <w:rPr>
          <w:rFonts w:ascii="Times New Roman" w:hAnsi="Times New Roman"/>
          <w:b w:val="false"/>
          <w:i w:val="false"/>
          <w:caps w:val="false"/>
          <w:smallCaps w:val="false"/>
          <w:color w:val="212529"/>
          <w:sz w:val="20"/>
        </w:rPr>
        <w:t xml:space="preserve">tenant improvements and certain infrastructure upgrades in connection with the initial buildout of the premises, a portion of which, if utilized, would need to be repaid by us over the lease term.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See Note 6 and Note 11 to our financial statements included elsewhere in this Quarterly Report on Form 10-Q for additional information regarding our lease liability.</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Off-Balance Sheet Arrangements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periods presented, we did not have, nor do we currently have, any off-balance sheet arrangements as defined under the rules and regulations of the SEC.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Significant Judgments and Estimates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accrued expenses, preferred stock purchase right liability,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have been no significant changes in our critical accounting policies and estimates during the six months ended June 30, 2021, as compared to the critical accounting policies and estimates disclosed in “Management’s Discussion and Analysis of Financial Condition and Results of Operations” included in our Annual Report on Form 10-K.</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Recently Issued Accounting Pronouncements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See Note 2 to our financial statements included elsewhere in this Quarterly Report on Form 10-Q for recently issued accounting pronouncements.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Indemnification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2021 and December 31, 2020.</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Segment Information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one business activity and operate in one reportable segment.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JOBS Act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spacing w:before="240" w:after="0"/>
        <w:rPr/>
      </w:pPr>
      <w:r>
        <w:rPr/>
        <w:t> </w:t>
      </w:r>
    </w:p>
    <w:p>
      <w:pPr>
        <w:pStyle w:val="TextBody"/>
        <w:spacing w:before="240" w:after="0"/>
        <w:rPr/>
      </w:pPr>
      <w:r>
        <w:rPr/>
        <w:t> </w:t>
      </w:r>
    </w:p>
    <w:p>
      <w:pPr>
        <w:pStyle w:val="TextBody"/>
        <w:spacing w:before="24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0" w:name="ITEM_3_QUANTITATIVE_QUALITATIVE_DISCLOSU"/>
      <w:bookmarkEnd w:id="10"/>
      <w:r>
        <w:rPr>
          <w:rFonts w:ascii="Times New Roman" w:hAnsi="Times New Roman"/>
          <w:b/>
          <w:i w:val="false"/>
          <w:caps w:val="false"/>
          <w:smallCaps w:val="false"/>
          <w:sz w:val="20"/>
        </w:rPr>
        <w:t>Item 3. Quantitative and Qualitative Disclosures About Market Risk.</w:t>
      </w:r>
    </w:p>
    <w:p>
      <w:pPr>
        <w:pStyle w:val="TextBody"/>
        <w:spacing w:before="8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short-term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June 30, 2021, this change would not have had a material effect on the fair value of our investment portfolio as of that date.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Inflation generally affects us by increasing our cost of labor and research and development contract costs. We do not believe inflation has had a material effect on our results of operations during the periods presented.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do not believe that inflation, interest rate changes, or exchange rate fluctuations had a significant impact on our results of operations for any periods presented herein. </w:t>
      </w:r>
    </w:p>
    <w:p>
      <w:pPr>
        <w:pStyle w:val="TextBody"/>
        <w:spacing w:before="360" w:after="0"/>
        <w:rPr>
          <w:rFonts w:ascii="Times New Roman" w:hAnsi="Times New Roman"/>
          <w:b/>
          <w:i w:val="false"/>
          <w:caps w:val="false"/>
          <w:smallCaps w:val="false"/>
          <w:sz w:val="20"/>
        </w:rPr>
      </w:pPr>
      <w:bookmarkStart w:id="11" w:name="ITEM_4_CONTROLS_PROCEDURES"/>
      <w:bookmarkEnd w:id="11"/>
      <w:r>
        <w:rPr>
          <w:rFonts w:ascii="Times New Roman" w:hAnsi="Times New Roman"/>
          <w:b/>
          <w:i w:val="false"/>
          <w:caps w:val="false"/>
          <w:smallCaps w:val="false"/>
          <w:sz w:val="20"/>
        </w:rPr>
        <w:t>Item 4. Controls and Procedures.</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Disclosure Controls and Procedures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management, with the participation of our chief executive and financial officers, evaluated the effectiveness of our disclosures controls and procedures, as defined in Rules 13a-15(e) and 15d-15(e) under the Exchange Act, as of June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2021, our chief executive officer and chief financial and business officer concluded that, as of such date, our disclosure controls and procedures were effective at a reasonable assurance level.</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Changes in Internal Control over Financial Reporting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Management determined that, as of June 30, 2021, there were no changes in our internal control over financial reporting that occurred during the fiscal quarter then ended that have materially affected, or are reasonably likely to materially affect, our internal control over financial reporting.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360" w:after="0"/>
        <w:jc w:val="center"/>
        <w:rPr>
          <w:rFonts w:ascii="Times New Roman" w:hAnsi="Times New Roman"/>
          <w:b/>
          <w:i w:val="false"/>
          <w:caps w:val="false"/>
          <w:smallCaps w:val="false"/>
          <w:sz w:val="20"/>
        </w:rPr>
      </w:pPr>
      <w:bookmarkStart w:id="12" w:name="PART_IIOR_INFORMATION"/>
      <w:bookmarkEnd w:id="12"/>
      <w:r>
        <w:rPr>
          <w:rFonts w:ascii="Times New Roman" w:hAnsi="Times New Roman"/>
          <w:b/>
          <w:i w:val="false"/>
          <w:caps w:val="false"/>
          <w:smallCaps w:val="false"/>
          <w:sz w:val="20"/>
        </w:rPr>
        <w:t>PART II—OTHER INFORMATION</w:t>
      </w:r>
    </w:p>
    <w:p>
      <w:pPr>
        <w:pStyle w:val="TextBody"/>
        <w:spacing w:before="240" w:after="0"/>
        <w:rPr>
          <w:rFonts w:ascii="Times New Roman" w:hAnsi="Times New Roman"/>
          <w:b/>
          <w:i w:val="false"/>
          <w:caps w:val="false"/>
          <w:smallCaps w:val="false"/>
          <w:sz w:val="20"/>
        </w:rPr>
      </w:pPr>
      <w:bookmarkStart w:id="13" w:name="ITEM_1_LEGAL_PROCEEDINGS"/>
      <w:bookmarkEnd w:id="13"/>
      <w:r>
        <w:rPr>
          <w:rFonts w:ascii="Times New Roman" w:hAnsi="Times New Roman"/>
          <w:b/>
          <w:i w:val="false"/>
          <w:caps w:val="false"/>
          <w:smallCaps w:val="false"/>
          <w:sz w:val="20"/>
        </w:rPr>
        <w:t>Item 1. Legal Proceedings.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From </w:t>
      </w:r>
      <w:r>
        <w:rPr>
          <w:rFonts w:ascii="Times New Roman" w:hAnsi="Times New Roman"/>
          <w:b w:val="false"/>
          <w:i w:val="false"/>
          <w:caps w:val="false"/>
          <w:smallCaps w:val="false"/>
          <w:color w:val="000000"/>
          <w:sz w:val="20"/>
        </w:rPr>
        <w:t>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There is one ongoing ex parte reexamination for one of our patents.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2018-2021, a third party requested ex parte reexaminations of U.S. Patent No. 9,511,092, which relates generally to chimeric receptor complexes that bind certain specific natural killer cell ligands and methods of using natural killer cells. U.S. Patent No. 9,511,092 does not relate to our current product candidates but may relate to future product candidates or alternative technologies. Two of the three reexaminations are pending.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pStyle w:val="TextBody"/>
        <w:spacing w:before="360" w:after="0"/>
        <w:rPr>
          <w:rFonts w:ascii="Times New Roman" w:hAnsi="Times New Roman"/>
          <w:b/>
          <w:i w:val="false"/>
          <w:caps w:val="false"/>
          <w:smallCaps w:val="false"/>
          <w:sz w:val="20"/>
        </w:rPr>
      </w:pPr>
      <w:bookmarkStart w:id="14" w:name="ITEM_1A_RISK_FACTORS"/>
      <w:bookmarkEnd w:id="14"/>
      <w:r>
        <w:rPr>
          <w:rFonts w:ascii="Times New Roman" w:hAnsi="Times New Roman"/>
          <w:b/>
          <w:i w:val="false"/>
          <w:caps w:val="false"/>
          <w:smallCaps w:val="false"/>
          <w:sz w:val="20"/>
        </w:rPr>
        <w:t>Item 1A. Risk Factors.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2020 and filed with the SEC on March 25, 2021 and in our Quarterly Report on Form 10-Q for the quarter ended March 31, 2021 and filed with the SEC on May 13, 2021, are set forth below and are unchanged substantively as of the date of this Quarterly Report on Form 10-Q, except for those risks designated by an asterisk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disclose further changes to the factors below or disclose additional factors from time to time in our future filings with the SEC.</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Financial Position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have a limited operating history and do not have any products approved for sale.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have incurred significant losses since our inception and we expect to continue to incur significant losses for the foreseeable future.*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our inception in 2015, we have incurred significant operating losses. Our net losses were $40.9 million, $91.4 million and $21.1 million for the six months ended June 30, 2021 and the years ended December 31, 2020 and 2019, respectively. Our accumulated deficit was $158.9 million as of June 30, 2021. We expect to continue to incur increasing operating losses for the foreseeable future as we continue to develop our product candidates. In addition, we anticipate that our expenses will increase substantially if, and as, we: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tbl>
      <w:tblPr>
        <w:tblW w:w="4060" w:type="dxa"/>
        <w:jc w:val="left"/>
        <w:tblInd w:w="0" w:type="dxa"/>
        <w:tblCellMar>
          <w:top w:w="0" w:type="dxa"/>
          <w:left w:w="0" w:type="dxa"/>
          <w:bottom w:w="0" w:type="dxa"/>
          <w:right w:w="0" w:type="dxa"/>
        </w:tblCellMar>
      </w:tblPr>
      <w:tblGrid>
        <w:gridCol w:w="60"/>
        <w:gridCol w:w="110"/>
        <w:gridCol w:w="38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8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continue the clinical development of NKX101; </w:t>
            </w:r>
          </w:p>
        </w:tc>
      </w:tr>
    </w:tbl>
    <w:tbl>
      <w:tblPr>
        <w:tblW w:w="6415" w:type="dxa"/>
        <w:jc w:val="left"/>
        <w:tblInd w:w="0" w:type="dxa"/>
        <w:tblCellMar>
          <w:top w:w="0" w:type="dxa"/>
          <w:left w:w="0" w:type="dxa"/>
          <w:bottom w:w="0" w:type="dxa"/>
          <w:right w:w="0" w:type="dxa"/>
        </w:tblCellMar>
      </w:tblPr>
      <w:tblGrid>
        <w:gridCol w:w="60"/>
        <w:gridCol w:w="110"/>
        <w:gridCol w:w="62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2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advance additional product candidates to clinical trials, including NKX019; </w:t>
            </w:r>
          </w:p>
        </w:tc>
      </w:tr>
    </w:tbl>
    <w:tbl>
      <w:tblPr>
        <w:tblW w:w="6175" w:type="dxa"/>
        <w:jc w:val="left"/>
        <w:tblInd w:w="0" w:type="dxa"/>
        <w:tblCellMar>
          <w:top w:w="0" w:type="dxa"/>
          <w:left w:w="0" w:type="dxa"/>
          <w:bottom w:w="0" w:type="dxa"/>
          <w:right w:w="0" w:type="dxa"/>
        </w:tblCellMar>
      </w:tblPr>
      <w:tblGrid>
        <w:gridCol w:w="60"/>
        <w:gridCol w:w="110"/>
        <w:gridCol w:w="60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0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 our current product candidates for additional disease indications;</w:t>
            </w:r>
          </w:p>
        </w:tc>
      </w:tr>
    </w:tbl>
    <w:tbl>
      <w:tblPr>
        <w:tblW w:w="5080" w:type="dxa"/>
        <w:jc w:val="left"/>
        <w:tblInd w:w="0" w:type="dxa"/>
        <w:tblCellMar>
          <w:top w:w="0" w:type="dxa"/>
          <w:left w:w="0" w:type="dxa"/>
          <w:bottom w:w="0" w:type="dxa"/>
          <w:right w:w="0" w:type="dxa"/>
        </w:tblCellMar>
      </w:tblPr>
      <w:tblGrid>
        <w:gridCol w:w="60"/>
        <w:gridCol w:w="110"/>
        <w:gridCol w:w="49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9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seek to discover and develop additional product candidates;</w:t>
            </w:r>
          </w:p>
        </w:tc>
      </w:tr>
    </w:tbl>
    <w:tbl>
      <w:tblPr>
        <w:tblW w:w="6520" w:type="dxa"/>
        <w:jc w:val="left"/>
        <w:tblInd w:w="0" w:type="dxa"/>
        <w:tblCellMar>
          <w:top w:w="0" w:type="dxa"/>
          <w:left w:w="0" w:type="dxa"/>
          <w:bottom w:w="0" w:type="dxa"/>
          <w:right w:w="0" w:type="dxa"/>
        </w:tblCellMar>
      </w:tblPr>
      <w:tblGrid>
        <w:gridCol w:w="60"/>
        <w:gridCol w:w="110"/>
        <w:gridCol w:w="63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3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 and qualify our own clinical- and commercial-scale cGMP facilities;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submit a biologics license application (“BLA”), or marketing authorization application, (“MAA”), for NKX101 and/or NKX019 and/or seek marketing approvals for any of our other product candidates that successfully complete clinical trials; </w:t>
            </w:r>
          </w:p>
        </w:tc>
      </w:tr>
    </w:tbl>
    <w:tbl>
      <w:tblPr>
        <w:tblW w:w="7915" w:type="dxa"/>
        <w:jc w:val="left"/>
        <w:tblInd w:w="0" w:type="dxa"/>
        <w:tblCellMar>
          <w:top w:w="0" w:type="dxa"/>
          <w:left w:w="0" w:type="dxa"/>
          <w:bottom w:w="0" w:type="dxa"/>
          <w:right w:w="0" w:type="dxa"/>
        </w:tblCellMar>
      </w:tblPr>
      <w:tblGrid>
        <w:gridCol w:w="60"/>
        <w:gridCol w:w="110"/>
        <w:gridCol w:w="77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7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seek regulatory approval of our product candidates in various jurisdictions for commercial sale;</w:t>
            </w:r>
          </w:p>
        </w:tc>
      </w:tr>
    </w:tbl>
    <w:tbl>
      <w:tblPr>
        <w:tblW w:w="5455" w:type="dxa"/>
        <w:jc w:val="left"/>
        <w:tblInd w:w="0" w:type="dxa"/>
        <w:tblCellMar>
          <w:top w:w="0" w:type="dxa"/>
          <w:left w:w="0" w:type="dxa"/>
          <w:bottom w:w="0" w:type="dxa"/>
          <w:right w:w="0" w:type="dxa"/>
        </w:tblCellMar>
      </w:tblPr>
      <w:tblGrid>
        <w:gridCol w:w="60"/>
        <w:gridCol w:w="110"/>
        <w:gridCol w:w="528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28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maintain, expand and protect our intellectual property portfolio; </w:t>
            </w:r>
          </w:p>
        </w:tc>
      </w:tr>
    </w:tbl>
    <w:tbl>
      <w:tblPr>
        <w:tblW w:w="5440" w:type="dxa"/>
        <w:jc w:val="left"/>
        <w:tblInd w:w="0" w:type="dxa"/>
        <w:tblCellMar>
          <w:top w:w="0" w:type="dxa"/>
          <w:left w:w="0" w:type="dxa"/>
          <w:bottom w:w="0" w:type="dxa"/>
          <w:right w:w="0" w:type="dxa"/>
        </w:tblCellMar>
      </w:tblPr>
      <w:tblGrid>
        <w:gridCol w:w="60"/>
        <w:gridCol w:w="110"/>
        <w:gridCol w:w="527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2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acquire or in-license other product candidates and technologies; </w:t>
            </w:r>
          </w:p>
        </w:tc>
      </w:tr>
    </w:tbl>
    <w:tbl>
      <w:tblPr>
        <w:tblW w:w="5875" w:type="dxa"/>
        <w:jc w:val="left"/>
        <w:tblInd w:w="0" w:type="dxa"/>
        <w:tblCellMar>
          <w:top w:w="0" w:type="dxa"/>
          <w:left w:w="0" w:type="dxa"/>
          <w:bottom w:w="0" w:type="dxa"/>
          <w:right w:w="0" w:type="dxa"/>
        </w:tblCellMar>
      </w:tblPr>
      <w:tblGrid>
        <w:gridCol w:w="60"/>
        <w:gridCol w:w="110"/>
        <w:gridCol w:w="57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7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incur additional costs associated with operating as a public company; </w:t>
            </w:r>
          </w:p>
        </w:tc>
      </w:tr>
    </w:tbl>
    <w:tbl>
      <w:tblPr>
        <w:tblW w:w="7165" w:type="dxa"/>
        <w:jc w:val="left"/>
        <w:tblInd w:w="0" w:type="dxa"/>
        <w:tblCellMar>
          <w:top w:w="0" w:type="dxa"/>
          <w:left w:w="0" w:type="dxa"/>
          <w:bottom w:w="0" w:type="dxa"/>
          <w:right w:w="0" w:type="dxa"/>
        </w:tblCellMar>
      </w:tblPr>
      <w:tblGrid>
        <w:gridCol w:w="60"/>
        <w:gridCol w:w="110"/>
        <w:gridCol w:w="69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9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increase our employee headcount and related expenses to support these activities;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 or secure marketing, sales and distribution capabilities, either internally or with third parties, to support commercialization.</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never succeed in any or all of these activities and, even if we do, we may never generate revenues that are significant or large enough to achieve profitability.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have never generated revenue from product sales and may never achieve or maintain profitability.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continue to incur significant research and development and other expenses related to ongoing operations and the development of our co-lead product candidates, NKX101 and NKX019. All of our product candidates will require substantial additional development time and resources before we would be able to apply for or receive regulatory approvals and begin generating revenue from product sales. Neither the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tbl>
      <w:tblPr>
        <w:tblW w:w="5110" w:type="dxa"/>
        <w:jc w:val="left"/>
        <w:tblInd w:w="0" w:type="dxa"/>
        <w:tblCellMar>
          <w:top w:w="0" w:type="dxa"/>
          <w:left w:w="0" w:type="dxa"/>
          <w:bottom w:w="0" w:type="dxa"/>
          <w:right w:w="0" w:type="dxa"/>
        </w:tblCellMar>
      </w:tblPr>
      <w:tblGrid>
        <w:gridCol w:w="60"/>
        <w:gridCol w:w="110"/>
        <w:gridCol w:w="494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94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completing clinical development of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seeking and obtaining regulatory approvals for product candidates for which we successfully complete positive clinical trials, if any;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launching and commercializing product candidates, by establishing a commercial infrastructure or, alternatively, collaborating with a commercialization partner; </w:t>
            </w:r>
          </w:p>
        </w:tc>
      </w:tr>
    </w:tbl>
    <w:tbl>
      <w:tblPr>
        <w:tblW w:w="9865" w:type="dxa"/>
        <w:jc w:val="left"/>
        <w:tblInd w:w="0" w:type="dxa"/>
        <w:tblCellMar>
          <w:top w:w="0" w:type="dxa"/>
          <w:left w:w="0" w:type="dxa"/>
          <w:bottom w:w="0" w:type="dxa"/>
          <w:right w:w="0" w:type="dxa"/>
        </w:tblCellMar>
      </w:tblPr>
      <w:tblGrid>
        <w:gridCol w:w="60"/>
        <w:gridCol w:w="110"/>
        <w:gridCol w:w="96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6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qualifying for adequate coverage and reimbursement by government and third-party payors for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establishing, maintaining and enhancing a sustainable, scalable, reproducible and transferable manufacturing process for each of our cell therapy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tc>
      </w:tr>
    </w:tbl>
    <w:tbl>
      <w:tblPr>
        <w:tblW w:w="7045" w:type="dxa"/>
        <w:jc w:val="left"/>
        <w:tblInd w:w="0" w:type="dxa"/>
        <w:tblCellMar>
          <w:top w:w="0" w:type="dxa"/>
          <w:left w:w="0" w:type="dxa"/>
          <w:bottom w:w="0" w:type="dxa"/>
          <w:right w:w="0" w:type="dxa"/>
        </w:tblCellMar>
      </w:tblPr>
      <w:tblGrid>
        <w:gridCol w:w="60"/>
        <w:gridCol w:w="110"/>
        <w:gridCol w:w="687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87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obtaining market acceptance of our product candidates as a viable treatment option; </w:t>
            </w:r>
          </w:p>
        </w:tc>
      </w:tr>
    </w:tbl>
    <w:tbl>
      <w:tblPr>
        <w:tblW w:w="5725" w:type="dxa"/>
        <w:jc w:val="left"/>
        <w:tblInd w:w="0" w:type="dxa"/>
        <w:tblCellMar>
          <w:top w:w="0" w:type="dxa"/>
          <w:left w:w="0" w:type="dxa"/>
          <w:bottom w:w="0" w:type="dxa"/>
          <w:right w:w="0" w:type="dxa"/>
        </w:tblCellMar>
      </w:tblPr>
      <w:tblGrid>
        <w:gridCol w:w="60"/>
        <w:gridCol w:w="110"/>
        <w:gridCol w:w="555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55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addressing any competing technological and market developments;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tbl>
      <w:tblPr>
        <w:tblW w:w="6025" w:type="dxa"/>
        <w:jc w:val="left"/>
        <w:tblInd w:w="0" w:type="dxa"/>
        <w:tblCellMar>
          <w:top w:w="0" w:type="dxa"/>
          <w:left w:w="0" w:type="dxa"/>
          <w:bottom w:w="0" w:type="dxa"/>
          <w:right w:w="0" w:type="dxa"/>
        </w:tblCellMar>
      </w:tblPr>
      <w:tblGrid>
        <w:gridCol w:w="60"/>
        <w:gridCol w:w="110"/>
        <w:gridCol w:w="585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85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implementing additional internal systems and infrastructure, as needed;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negotiating favorable terms in any collaboration, licensing or other arrangements into which we may enter and performing our obligations in such collaborations;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maintaining, protecting and expanding our portfolio of intellectual property rights, including patents, trade secrets, know-how, and trademarks; </w:t>
            </w:r>
          </w:p>
        </w:tc>
      </w:tr>
    </w:tbl>
    <w:tbl>
      <w:tblPr>
        <w:tblW w:w="7015" w:type="dxa"/>
        <w:jc w:val="left"/>
        <w:tblInd w:w="0" w:type="dxa"/>
        <w:tblCellMar>
          <w:top w:w="0" w:type="dxa"/>
          <w:left w:w="0" w:type="dxa"/>
          <w:bottom w:w="0" w:type="dxa"/>
          <w:right w:w="0" w:type="dxa"/>
        </w:tblCellMar>
      </w:tblPr>
      <w:tblGrid>
        <w:gridCol w:w="60"/>
        <w:gridCol w:w="110"/>
        <w:gridCol w:w="68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8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avoiding and defending against third-party interference or infringement claims; and </w:t>
            </w:r>
          </w:p>
        </w:tc>
      </w:tr>
    </w:tbl>
    <w:tbl>
      <w:tblPr>
        <w:tblW w:w="4390" w:type="dxa"/>
        <w:jc w:val="left"/>
        <w:tblInd w:w="0" w:type="dxa"/>
        <w:tblCellMar>
          <w:top w:w="0" w:type="dxa"/>
          <w:left w:w="0" w:type="dxa"/>
          <w:bottom w:w="0" w:type="dxa"/>
          <w:right w:w="0" w:type="dxa"/>
        </w:tblCellMar>
      </w:tblPr>
      <w:tblGrid>
        <w:gridCol w:w="60"/>
        <w:gridCol w:w="110"/>
        <w:gridCol w:w="42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22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attracting, hiring and retaining qualified personnel.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 other preclinical studies in addition to those that we currently anticipate.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will require additional capital, which, if available, may cause dilution to our stockholders, restrict our operations or require us to relinquish rights to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financed our operations primarily through private placements of our preferred stock, proceeds from our previous collaboration with GlaxoSmithKline, or GSK, and from our IPO in July 2020. We intend to use the proceeds from our IPO to, among other uses, advance NKX101 and NKX019 through clinical development. Developing pharmaceutical products and conducting preclinical studies and clinical trials is expensive. As of June 30, 2021, we had cash, cash equivalents, restricted cash and short-term investments of $280.3 million. Our research and development expenses increased from $17.2 million for the year ended December 31, 2019 to $36.2 million for the year ended December 31, 2020 and increased from $15.1 million for the six months ended June 30, 2020 to $29.5 million for the six months ended June 30, 2021.</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Until and unless we can generate substantial product revenue, we expect to finance our cash needs through the proceeds from our IPO,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and the business or operations of our research partners, including CRISPR, and other third parties with whom we conduct business could be adversely affected by the effects of health epidemics, including the recent COVID-19 pandemic, in regions where we or third parties on which we rely have business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COVID-19 pandemic has disrupted economic activity and business operations worldwide, including the San Francisco Bay Area, where our primary operations are located. The coronavirus pandemic is evolving, and multiple variants of the virus that causes COVID-19 are circulating globally, including the more virulent and contagious Delta variant. To date the pandemic has led to the implementation of various responses, including government-imposed stay-at-home orders and quarantines, travel restrictions and other public health safety measures to mitigate the impact of the pandemic. We continue to monitor these changes and update our operations as necessary to comply with any state, county or local health orders.</w:t>
      </w:r>
    </w:p>
    <w:p>
      <w:pPr>
        <w:pStyle w:val="TextBody"/>
        <w:spacing w:before="120" w:after="0"/>
        <w:rPr/>
      </w:pPr>
      <w:r>
        <w:rPr/>
        <w:t> </w:t>
      </w:r>
    </w:p>
    <w:p>
      <w:pPr>
        <w:pStyle w:val="TextBody"/>
        <w:spacing w:before="0" w:after="20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response to government-imposed stay-at-home orders and quarantines, we have implemented work-from-home policies for employees and adjusted our operations to maximize employee safety and to comply with directives from health authorities. The effects of quarantines, stay-at-home, executive and similar government orders, or the perception that such orders, shutdowns or other restrictions on the conduct of business operations could occur, in the United States and other countries, could negatively impact our operations and the operations of third parties we rely on, such as our contract manufacturing sites in Colorado, Ohio, and Ontario, and disrupt or delay the enrollment of patients at our clinical sites. For example, at some of our contract manufacturing sites, COVID-19-related restrictions, including temporary shutdowns, and instances of COVID-19 cases impacting personnel have resulted in some delays. Some of our CROs have also experienced employee turnover/attrition, delays, or disruptions during the pandemic. In addition, we experienced some delays in construction of our cGMP manufacturing facility and in our internal research efforts. COVID-19 has also caused global supply shortages of certain materials, such as certain raw materials, cell culture media, and disposable plastics, that we and our CDMOs use for research and GMP manufacturing. If we are not able to obtain sufficient quantities of cell culture media for our purposes due to the shortage, we may need to reduce the number of manufacturing runs we have planned. We will continue to monitor the impact of COVID-19 and any additional waves of the pandemic on our operations including continued enrollment in the NKX101 clinical trial and the current timeline for dosing of the first patient with NKX019, as well as on our collaboration partners, CROs, CDMOs, and clinical trial sites with respect to COVID-19 related shutdowns, restrictions on travel, and restrictions on hospital visits for clinical trial participants or clinical research staff.  Although most COVID-19 restrictions have been lifted in the State of California and the County of San Mateo, restrictions similar to those previously imposed or new restrictions could be imposed again later.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the COVID-19 pandemic has significantly disrupted global financial markets and could continue to restrict the level of economic activity, and may limit our ability to access capital, which could in the future negatively affect our liquidity now or in the future. A recession or market correction resulting from the spread of COVID-19 could materially affect our business and the value of our common stock.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predict the potential future impacts of COVID-19, including its variants, on us and third parties with whom we conduct business. </w:t>
      </w:r>
      <w:r>
        <w:rPr>
          <w:rFonts w:ascii="Times New Roman" w:hAnsi="Times New Roman"/>
          <w:b w:val="false"/>
          <w:i w:val="false"/>
          <w:caps w:val="false"/>
          <w:smallCaps w:val="false"/>
          <w:color w:val="000000"/>
          <w:sz w:val="20"/>
        </w:rPr>
        <w:t xml:space="preserve">The extent of the impact of the COVID-19 pandemic on our operational and financial performance will depend on certain developments, including the duration and spread of the outbreak, the development and spread of more contagious and/or vaccine-resistant variants, the effectiveness of actions taken in the U.S. and other countries to contain, vaccinate against, and treat the disease, and its impact on our current and planned preclinical studies and clinical trials, employees and vendors, all of which are uncertain. </w:t>
      </w:r>
      <w:r>
        <w:rPr>
          <w:rFonts w:ascii="Times New Roman" w:hAnsi="Times New Roman"/>
          <w:b w:val="false"/>
          <w:i w:val="false"/>
          <w:caps w:val="false"/>
          <w:smallCaps w:val="false"/>
          <w:sz w:val="20"/>
        </w:rPr>
        <w:t xml:space="preserve">As a result of the COVID-19 pandemic or other pandemic, epidemic or outbreak of an infectious disease, we may experience disruptions that could severely impact our business, preclinical studies and clinical trials,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or difficulties in enrolling patients in our clinical trials, including our ongoing NKX101 clinical trial and our upcoming NKX019 clinical trial;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or difficulties in clinical site initiation, including difficulties in recruiting clinical site investigators and clinical site staff and in training medical personnel on how to properly thaw and administer our product candidates;</w:t>
            </w:r>
          </w:p>
        </w:tc>
      </w:tr>
    </w:tbl>
    <w:tbl>
      <w:tblPr>
        <w:tblW w:w="4495" w:type="dxa"/>
        <w:jc w:val="left"/>
        <w:tblInd w:w="0" w:type="dxa"/>
        <w:tblCellMar>
          <w:top w:w="0" w:type="dxa"/>
          <w:left w:w="0" w:type="dxa"/>
          <w:bottom w:w="0" w:type="dxa"/>
          <w:right w:w="0" w:type="dxa"/>
        </w:tblCellMar>
      </w:tblPr>
      <w:tblGrid>
        <w:gridCol w:w="60"/>
        <w:gridCol w:w="110"/>
        <w:gridCol w:w="43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32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or difficulties in recruitment of key personnel;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diversion of healthcare resources away from the conduct of clinical trials, including the diversion of hospitals serving as our clinical trial sites and hospital staff supporting the conduct of our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interruption or delays in the operations of the FDA or other regulatory authorities, which may impact review and approval timelines, including the review of IND or other regulatory submissions for our product candidates;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or disruptions in the planning, construction or qualification of our cGMP facility for commercial-scale manufacture of our product candidates;</w:t>
            </w:r>
          </w:p>
        </w:tc>
      </w:tr>
    </w:tbl>
    <w:tbl>
      <w:tblPr>
        <w:tblW w:w="8155" w:type="dxa"/>
        <w:jc w:val="left"/>
        <w:tblInd w:w="0" w:type="dxa"/>
        <w:tblCellMar>
          <w:top w:w="0" w:type="dxa"/>
          <w:left w:w="0" w:type="dxa"/>
          <w:bottom w:w="0" w:type="dxa"/>
          <w:right w:w="0" w:type="dxa"/>
        </w:tblCellMar>
      </w:tblPr>
      <w:tblGrid>
        <w:gridCol w:w="60"/>
        <w:gridCol w:w="110"/>
        <w:gridCol w:w="798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98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interruptions in preclinical studies due to restricted or limited operations at our laboratory facility;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interruptions, or delays in receiving supplies and materials necessary for our business operations, and research and development activities;</w:t>
            </w:r>
          </w:p>
        </w:tc>
      </w:tr>
    </w:tbl>
    <w:tbl>
      <w:tblPr>
        <w:tblW w:w="8065" w:type="dxa"/>
        <w:jc w:val="left"/>
        <w:tblInd w:w="0" w:type="dxa"/>
        <w:tblCellMar>
          <w:top w:w="0" w:type="dxa"/>
          <w:left w:w="0" w:type="dxa"/>
          <w:bottom w:w="0" w:type="dxa"/>
          <w:right w:w="0" w:type="dxa"/>
        </w:tblCellMar>
      </w:tblPr>
      <w:tblGrid>
        <w:gridCol w:w="60"/>
        <w:gridCol w:w="110"/>
        <w:gridCol w:w="78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8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increases in the cost of services or supplies necessary for our research and development activities;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limitations on employee resources that would otherwise be focused on the conduct of our preclinical studies and clinical trials, including because of sickness of employees or their families or the desire of employees to avoid contact with large groups of people; and </w:t>
            </w:r>
          </w:p>
        </w:tc>
      </w:tr>
    </w:tbl>
    <w:tbl>
      <w:tblPr>
        <w:tblW w:w="5200" w:type="dxa"/>
        <w:jc w:val="left"/>
        <w:tblInd w:w="0" w:type="dxa"/>
        <w:tblCellMar>
          <w:top w:w="0" w:type="dxa"/>
          <w:left w:w="0" w:type="dxa"/>
          <w:bottom w:w="0" w:type="dxa"/>
          <w:right w:w="0" w:type="dxa"/>
        </w:tblCellMar>
      </w:tblPr>
      <w:tblGrid>
        <w:gridCol w:w="60"/>
        <w:gridCol w:w="110"/>
        <w:gridCol w:w="503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03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interruption or delays to our discovery and clinical activities.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magnitude of these disruptions will depend, in part, on the length and severity of the COVID-19 restrictions and other limitations on our ability and the ability of others to conduct business in the ordinary course.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ultimate impact of the COVID-19 outbreak or a similar health epidemic is highly uncertain. </w:t>
      </w:r>
      <w:r>
        <w:rPr>
          <w:rFonts w:ascii="Times New Roman" w:hAnsi="Times New Roman"/>
          <w:b w:val="false"/>
          <w:i w:val="false"/>
          <w:caps w:val="false"/>
          <w:smallCaps w:val="false"/>
          <w:color w:val="000000"/>
          <w:sz w:val="20"/>
        </w:rPr>
        <w:t xml:space="preserve">These impacts will depend on future developments that are highly uncertain and cannot be predicted with confidence, such as the duration of the outbreak and the effectiveness of actions taken in the United States and other countries to contain, vaccinate against, and treat the disease. </w:t>
      </w:r>
      <w:r>
        <w:rPr>
          <w:rFonts w:ascii="Times New Roman" w:hAnsi="Times New Roman"/>
          <w:b w:val="false"/>
          <w:i w:val="false"/>
          <w:caps w:val="false"/>
          <w:smallCaps w:val="false"/>
          <w:sz w:val="20"/>
        </w:rPr>
        <w:t xml:space="preserve">We do not yet know the full extent of potential delays or impacts on our business, our clinical trials, healthcare systems or the global economy as a whole, but these delays could have a material impact on our business, financial condition, and/or results of operations.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Business and Industry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depends upon the success of our CAR-NK cell technology platform.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on our ability to utilize our CAR-NK technology platform to generate product candidates, to obtain regulatory approval for product candidates derived from it, and to then commercialize our product candidates addressing one or more indications. A Phase 1 clinical trial to evaluate our first CAR NK product in humans has commenced.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CAR-NK engineering technology.</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Utilizing CAR-NK cells represents a novel approach to the treatment of cancer, and we must overcome significant challenges in order to develop, commercialize and manufacture our product candidates.*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concentrated our research and development efforts on utilizing CAR-NK cells as an immuno-oncology therapy. To date, the FDA has approved only a few cell-based therapies for commercialization and no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CAR-NK platform product candidates are novel, and cell-based therapies are relatively new, regulatory agencies may lack precedents for evaluating product candidates like our CAR-NK product candidates. This novelty may lengthen the regulatory review process, including the time it takes for the FDA to review our IND applications if and when submitted, increase our development costs and delay or prevent approval and commercialization of our CAR-NK platform product candidates. Additionally, advancing novel immuno-oncology therapies creates significant challenges for us, including:</w:t>
      </w:r>
    </w:p>
    <w:tbl>
      <w:tblPr>
        <w:tblW w:w="4765" w:type="dxa"/>
        <w:jc w:val="left"/>
        <w:tblInd w:w="0" w:type="dxa"/>
        <w:tblCellMar>
          <w:top w:w="0" w:type="dxa"/>
          <w:left w:w="0" w:type="dxa"/>
          <w:bottom w:w="0" w:type="dxa"/>
          <w:right w:w="0" w:type="dxa"/>
        </w:tblCellMar>
      </w:tblPr>
      <w:tblGrid>
        <w:gridCol w:w="60"/>
        <w:gridCol w:w="110"/>
        <w:gridCol w:w="45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5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enrolling sufficient numbers of patients in clinical trials;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training a sufficient number of medical personnel on how to properly thaw and administer our cells, especially in our planned solid tumor trial wherein the cells are given through a procedure by trained medical doctors;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educating medical personnel regarding the potential side-effect profile of our cells and, as the clinical program progresses, on observed side effects with the therapy;</w:t>
            </w:r>
          </w:p>
        </w:tc>
      </w:tr>
    </w:tbl>
    <w:tbl>
      <w:tblPr>
        <w:tblW w:w="7420" w:type="dxa"/>
        <w:jc w:val="left"/>
        <w:tblInd w:w="0" w:type="dxa"/>
        <w:tblCellMar>
          <w:top w:w="0" w:type="dxa"/>
          <w:left w:w="0" w:type="dxa"/>
          <w:bottom w:w="0" w:type="dxa"/>
          <w:right w:w="0" w:type="dxa"/>
        </w:tblCellMar>
      </w:tblPr>
      <w:tblGrid>
        <w:gridCol w:w="60"/>
        <w:gridCol w:w="110"/>
        <w:gridCol w:w="72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2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developing a reliable and safe and an effective means of genetically modifying our cells; </w:t>
            </w:r>
          </w:p>
        </w:tc>
      </w:tr>
    </w:tbl>
    <w:tbl>
      <w:tblPr>
        <w:tblW w:w="7690" w:type="dxa"/>
        <w:jc w:val="left"/>
        <w:tblInd w:w="0" w:type="dxa"/>
        <w:tblCellMar>
          <w:top w:w="0" w:type="dxa"/>
          <w:left w:w="0" w:type="dxa"/>
          <w:bottom w:w="0" w:type="dxa"/>
          <w:right w:w="0" w:type="dxa"/>
        </w:tblCellMar>
      </w:tblPr>
      <w:tblGrid>
        <w:gridCol w:w="60"/>
        <w:gridCol w:w="110"/>
        <w:gridCol w:w="75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52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manufacturing and cryopreservation our cells on a large scale and in a cost-effective manner;</w:t>
            </w:r>
          </w:p>
        </w:tc>
      </w:tr>
    </w:tbl>
    <w:tbl>
      <w:tblPr>
        <w:tblW w:w="6895" w:type="dxa"/>
        <w:jc w:val="left"/>
        <w:tblInd w:w="0" w:type="dxa"/>
        <w:tblCellMar>
          <w:top w:w="0" w:type="dxa"/>
          <w:left w:w="0" w:type="dxa"/>
          <w:bottom w:w="0" w:type="dxa"/>
          <w:right w:w="0" w:type="dxa"/>
        </w:tblCellMar>
      </w:tblPr>
      <w:tblGrid>
        <w:gridCol w:w="60"/>
        <w:gridCol w:w="110"/>
        <w:gridCol w:w="67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72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sourcing starting material suitable for clinical and commercial manufacturing;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establishing sales and marketing capabilities, as well as developing a manufacturing process and distribution network to support the commercialization of any approved products.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must be able to overcome these challenges in order for us to develop, commercialize and manufacture our product candidates utilizing CAR-NK cells.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Certain aspects of the function and production of CAR-NK cells are currently unknown or poorly understood, and may only become known through further preclinical testing and clinical trials. Any potential re-engineering required may result in delays and additional expenses.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Current clinical experience with NK cell therapy is predominantly based on cells from haplomatched donors, i.e., at least half of the major Human Leukocyte Antigen (“HLA”), types matched between donor and recipient. Our clinical development plan for NKX101 will seek to establish what degree of HLA matching, if any, is required for NKX101 to exhibit necessary levels of clinical activity and duration of response. While we believe that a high degree of HLA matching will not be required for clinically meaningful activity and durability of response, if it becomes apparent through preclinical testing or clinical trials that such matching is required, the production of NKX101 as standardized product for all patients will not be achievable. Instead, we would need to establish a bank of engineered CAR-NK cells for each of our product candidates where dozens of different donors will be required to achieve coverage of a large fraction of the addressable patient population.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If we discover that a KIR mismatch is required to achieve clinically meaningful activity and durability of response, we will need to factor KIR mismatch into the donor and product selection process for patients enrolled in our clinical trials.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tumors are sometimes able to evade detection by naturally occurring NK cells by shedding the NKG2D ligands found on malignant cells. While NKX101 has been engineered to overcome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Finally, there is limited history of CAR-NK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Clinical development involves a lengthy and expensive process with an uncertain outcome, and we may encounter substantial delays due to a variety of reasons outside our control.*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tbl>
      <w:tblPr>
        <w:tblW w:w="5815" w:type="dxa"/>
        <w:jc w:val="left"/>
        <w:tblInd w:w="0" w:type="dxa"/>
        <w:tblCellMar>
          <w:top w:w="0" w:type="dxa"/>
          <w:left w:w="0" w:type="dxa"/>
          <w:bottom w:w="0" w:type="dxa"/>
          <w:right w:w="0" w:type="dxa"/>
        </w:tblCellMar>
      </w:tblPr>
      <w:tblGrid>
        <w:gridCol w:w="60"/>
        <w:gridCol w:w="110"/>
        <w:gridCol w:w="56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6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delays in obtaining regulatory approval to commence a clinical trial;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delays in reaching agreement on acceptable terms with prospective clinical trial sites or CROs, the terms of which can be subject to extensive negotiation and may vary significantly among different trial sites and CROs; </w:t>
            </w:r>
          </w:p>
        </w:tc>
      </w:tr>
    </w:tbl>
    <w:tbl>
      <w:tblPr>
        <w:tblW w:w="7510" w:type="dxa"/>
        <w:jc w:val="left"/>
        <w:tblInd w:w="0" w:type="dxa"/>
        <w:tblCellMar>
          <w:top w:w="0" w:type="dxa"/>
          <w:left w:w="0" w:type="dxa"/>
          <w:bottom w:w="0" w:type="dxa"/>
          <w:right w:w="0" w:type="dxa"/>
        </w:tblCellMar>
      </w:tblPr>
      <w:tblGrid>
        <w:gridCol w:w="60"/>
        <w:gridCol w:w="110"/>
        <w:gridCol w:w="734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34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inability to recruit sufficient patients for our clinical trials in a timely manner or at all;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delays in achieving a sufficient number of clinical trial sites or obtaining the required institutional review board (“IRB”), approval at each clinical trial site;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imposition of a temporary or permanent clinical hold by us or by the FDA or other regulatory agencies based on emerging data; </w:t>
            </w:r>
          </w:p>
        </w:tc>
      </w:tr>
    </w:tbl>
    <w:tbl>
      <w:tblPr>
        <w:tblW w:w="5710" w:type="dxa"/>
        <w:jc w:val="left"/>
        <w:tblInd w:w="0" w:type="dxa"/>
        <w:tblCellMar>
          <w:top w:w="0" w:type="dxa"/>
          <w:left w:w="0" w:type="dxa"/>
          <w:bottom w:w="0" w:type="dxa"/>
          <w:right w:w="0" w:type="dxa"/>
        </w:tblCellMar>
      </w:tblPr>
      <w:tblGrid>
        <w:gridCol w:w="60"/>
        <w:gridCol w:w="110"/>
        <w:gridCol w:w="554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54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sites deviating from trial protocol or dropping out of a trial;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inability to obtain long-term follow-up data due to patient drop out or in cases where patients elect to receive post-protocol treatment for their disease before it progresses;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suspension or termination of a clinical trial by the IRB of the institutions in which such trials are being conducted or by the Data Safety Monitoring Board (“DSMB”) (where applicable);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delays in sufficiently developing, characterizing or controlling a manufacturing process suitable for clinical trials, or production delays, shutdowns or setbacks at any of our contract manufacturers;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due to additional regulatory, site and clinical trial participant approvals required if a product candidate, especially a product candidate custom manufactured for a specific patient, does not meet the required specifications;</w:t>
            </w:r>
          </w:p>
        </w:tc>
      </w:tr>
    </w:tbl>
    <w:tbl>
      <w:tblPr>
        <w:tblW w:w="9145" w:type="dxa"/>
        <w:jc w:val="left"/>
        <w:tblInd w:w="0" w:type="dxa"/>
        <w:tblCellMar>
          <w:top w:w="0" w:type="dxa"/>
          <w:left w:w="0" w:type="dxa"/>
          <w:bottom w:w="0" w:type="dxa"/>
          <w:right w:w="0" w:type="dxa"/>
        </w:tblCellMar>
      </w:tblPr>
      <w:tblGrid>
        <w:gridCol w:w="60"/>
        <w:gridCol w:w="110"/>
        <w:gridCol w:w="897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97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delays in reaching a consensus with regulatory agencies on the design or implementation of our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changes in regulatory requirements or guidance that may require us to amend or submit new clinical protocols, or such requirements may not be as we anticipate;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changes in the standard of care on which a clinical development plan was based, which may require new or additional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insufficient quantities or inadequate quality of our product candidates or other materials necessary to conduct preclinical studies or clinical trials of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trials of our product candidates producing negative or inconclusive results, which may result in our deciding, or regulators requiring us, to conduct additional clinical trials or abandon product development programs;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disruptions caused by the COVID-19 pandemic may increase the likelihood that we encounter such difficulties or delays in initiating, enrolling, conducting or completing our planned and ongoing preclinical studies and clinical trials, as applicable. For example, the FDA temporarily postponed routine surveillance inspections of domestic manufacturing facilities in response to the COVID-19 pandemic, and in July 2020, it began to work toward resuming prioritized domestic inspections of mission-critical inspections on a case-by-case basis.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global health concerns continue to prevent the FDA or other regulatory authorities from conducting their regular inspections, reviews or other regulatory activities, it could significantly impact the ability of the FDA to timely review and process our regulatory submissions. 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will be successful in clinical trials or receive regulatory approval. The FDA, and other comparable global regulatory authorities can delay, limit or deny approval of a product candidate for many reasons. For further details about such reasons, see “—Clinical development involves a lengthy and expensive process with an uncertain outcome, and we may encounter substantial delays due to a variety of reasons outside our control.” Any delay in obtaining, or inability to obtain, applicable regulatory approval will delay or harm our ability to successfully commercialize NKX101 and NKX019 and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NKX101 is in an early-stage clinical trial and is subject to the risks inherent in drug development. In November 2020, the first patient in the first-in-human Phase 1 clinical trial of NKX101 for the treatment of relapsed/refractory AML or higher risk MDS was treated. If our Phase 1 or our later clinical trials of NKX101 encounter safety, efficacy,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because NKX101 is our most advanced product candidate, and because our other product candidates are based on similar technology, if our clinical trials of NKX101 encounter safety, efficacy, manufacturing problems, enrollment issues, development delays, regulatory issues, or other problems, our development plans for our other product candidates in our pipeline could also be significantly impaired, which could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plan to develop NKX101 for additional indications if we are able to obtain clinical proof-of-concept from our NKX101 Phase 1 trials for blood cancers including AML and MDS, as well as hepatocellular carcinomas and other cancers localized to the liver.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the development of NKX101 for treating solid tumors is subject to a number of risks related to use of cell therapies in general including a hostile tumor micro-environment and trafficking to tumor site. Additional risks from direct liver delivery using a catheter through the hepatic artery generally include potential damage to arteries from the catheter placement itself, from use of imaging contrast, radiation exposure, and differences between catheter models potentially introducing variability into the observed clinical effects. The development of treatments to treat solid tumors often requires larger and more expensive clinical trials than for treating blood cancers.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IND for NKX019 for the treatment of B-cell malignancies was accepted by the FDA in April 2021, and the clinical trial notification was filed with TGA in Australia following appropriate HREC approval in May 2021. We plan to begin dosing the first patient with NKX019 in the second half of 2021. Due to the availability of seven commercially available agents that target CD19 including four autologous CAR-T products, two monoclonal antibody products, and one antibody-drug conjugate, we may have difficulty enrolling subjects into trials with NKX019 who have not previously been exposed to a CD19 directed agent. This could impact the ability to obtain data about NKX019 activity and slow enrollment. For these reasons, the Phase 1 clinical trial of NKX019 includes clinical trial sites outside the United States. If our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Enrollment and retention of patients in clinical trials is an expensive and time-consuming process and could be delayed, made more difficult or rendered impossible by multiple factors outside our control.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tbl>
      <w:tblPr>
        <w:tblW w:w="3250" w:type="dxa"/>
        <w:jc w:val="left"/>
        <w:tblInd w:w="0" w:type="dxa"/>
        <w:tblCellMar>
          <w:top w:w="0" w:type="dxa"/>
          <w:left w:w="0" w:type="dxa"/>
          <w:bottom w:w="0" w:type="dxa"/>
          <w:right w:w="0" w:type="dxa"/>
        </w:tblCellMar>
      </w:tblPr>
      <w:tblGrid>
        <w:gridCol w:w="60"/>
        <w:gridCol w:w="110"/>
        <w:gridCol w:w="308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08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open clinical trial sites; </w:t>
            </w:r>
          </w:p>
        </w:tc>
      </w:tr>
    </w:tbl>
    <w:tbl>
      <w:tblPr>
        <w:tblW w:w="3880" w:type="dxa"/>
        <w:jc w:val="left"/>
        <w:tblInd w:w="0" w:type="dxa"/>
        <w:tblCellMar>
          <w:top w:w="0" w:type="dxa"/>
          <w:left w:w="0" w:type="dxa"/>
          <w:bottom w:w="0" w:type="dxa"/>
          <w:right w:w="0" w:type="dxa"/>
        </w:tblCellMar>
      </w:tblPr>
      <w:tblGrid>
        <w:gridCol w:w="60"/>
        <w:gridCol w:w="110"/>
        <w:gridCol w:w="37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7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size and nature of the patient population; </w:t>
            </w:r>
          </w:p>
        </w:tc>
      </w:tr>
    </w:tbl>
    <w:tbl>
      <w:tblPr>
        <w:tblW w:w="4510" w:type="dxa"/>
        <w:jc w:val="left"/>
        <w:tblInd w:w="0" w:type="dxa"/>
        <w:tblCellMar>
          <w:top w:w="0" w:type="dxa"/>
          <w:left w:w="0" w:type="dxa"/>
          <w:bottom w:w="0" w:type="dxa"/>
          <w:right w:w="0" w:type="dxa"/>
        </w:tblCellMar>
      </w:tblPr>
      <w:tblGrid>
        <w:gridCol w:w="60"/>
        <w:gridCol w:w="110"/>
        <w:gridCol w:w="434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34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design and eligibility criteria of the clinical trial; </w:t>
            </w:r>
          </w:p>
        </w:tc>
      </w:tr>
    </w:tbl>
    <w:tbl>
      <w:tblPr>
        <w:tblW w:w="3595" w:type="dxa"/>
        <w:jc w:val="left"/>
        <w:tblInd w:w="0" w:type="dxa"/>
        <w:tblCellMar>
          <w:top w:w="0" w:type="dxa"/>
          <w:left w:w="0" w:type="dxa"/>
          <w:bottom w:w="0" w:type="dxa"/>
          <w:right w:w="0" w:type="dxa"/>
        </w:tblCellMar>
      </w:tblPr>
      <w:tblGrid>
        <w:gridCol w:w="60"/>
        <w:gridCol w:w="110"/>
        <w:gridCol w:w="34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42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proximity of subjects to clinical sites; </w:t>
            </w:r>
          </w:p>
        </w:tc>
      </w:tr>
    </w:tbl>
    <w:tbl>
      <w:tblPr>
        <w:tblW w:w="3670" w:type="dxa"/>
        <w:jc w:val="left"/>
        <w:tblInd w:w="0" w:type="dxa"/>
        <w:tblCellMar>
          <w:top w:w="0" w:type="dxa"/>
          <w:left w:w="0" w:type="dxa"/>
          <w:bottom w:w="0" w:type="dxa"/>
          <w:right w:w="0" w:type="dxa"/>
        </w:tblCellMar>
      </w:tblPr>
      <w:tblGrid>
        <w:gridCol w:w="60"/>
        <w:gridCol w:w="110"/>
        <w:gridCol w:w="35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50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patient referral practices of physicians; </w:t>
            </w:r>
          </w:p>
        </w:tc>
      </w:tr>
    </w:tbl>
    <w:tbl>
      <w:tblPr>
        <w:tblW w:w="7990" w:type="dxa"/>
        <w:jc w:val="left"/>
        <w:tblInd w:w="0" w:type="dxa"/>
        <w:tblCellMar>
          <w:top w:w="0" w:type="dxa"/>
          <w:left w:w="0" w:type="dxa"/>
          <w:bottom w:w="0" w:type="dxa"/>
          <w:right w:w="0" w:type="dxa"/>
        </w:tblCellMar>
      </w:tblPr>
      <w:tblGrid>
        <w:gridCol w:w="60"/>
        <w:gridCol w:w="110"/>
        <w:gridCol w:w="78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82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changing medical practice patterns or guidelines related to the indications we are investigating; </w:t>
            </w:r>
          </w:p>
        </w:tc>
      </w:tr>
    </w:tbl>
    <w:tbl>
      <w:tblPr>
        <w:tblW w:w="9790" w:type="dxa"/>
        <w:jc w:val="left"/>
        <w:tblInd w:w="0" w:type="dxa"/>
        <w:tblCellMar>
          <w:top w:w="0" w:type="dxa"/>
          <w:left w:w="0" w:type="dxa"/>
          <w:bottom w:w="0" w:type="dxa"/>
          <w:right w:w="0" w:type="dxa"/>
        </w:tblCellMar>
      </w:tblPr>
      <w:tblGrid>
        <w:gridCol w:w="60"/>
        <w:gridCol w:w="110"/>
        <w:gridCol w:w="96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62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competing clinical trials or approved therapies which present an attractive alternative to patients and their physicians;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perceived risks and benefits of the product candidate under study, including as a result of adverse effects observed in similar or competing therapies;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obtain and maintain patient consents due to various reasons, including but not limited to, patients’ unwillingness to participate due to the ongoing COVID-19 pandemic; </w:t>
            </w:r>
          </w:p>
        </w:tc>
      </w:tr>
    </w:tbl>
    <w:tbl>
      <w:tblPr>
        <w:tblW w:w="6700" w:type="dxa"/>
        <w:jc w:val="left"/>
        <w:tblInd w:w="0" w:type="dxa"/>
        <w:tblCellMar>
          <w:top w:w="0" w:type="dxa"/>
          <w:left w:w="0" w:type="dxa"/>
          <w:bottom w:w="0" w:type="dxa"/>
          <w:right w:w="0" w:type="dxa"/>
        </w:tblCellMar>
      </w:tblPr>
      <w:tblGrid>
        <w:gridCol w:w="60"/>
        <w:gridCol w:w="110"/>
        <w:gridCol w:w="653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53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risk that enrolled subjects will drop out or die before completion of the trial; </w:t>
            </w:r>
          </w:p>
        </w:tc>
      </w:tr>
    </w:tbl>
    <w:tbl>
      <w:tblPr>
        <w:tblW w:w="7375" w:type="dxa"/>
        <w:jc w:val="left"/>
        <w:tblInd w:w="0" w:type="dxa"/>
        <w:tblCellMar>
          <w:top w:w="0" w:type="dxa"/>
          <w:left w:w="0" w:type="dxa"/>
          <w:bottom w:w="0" w:type="dxa"/>
          <w:right w:w="0" w:type="dxa"/>
        </w:tblCellMar>
      </w:tblPr>
      <w:tblGrid>
        <w:gridCol w:w="60"/>
        <w:gridCol w:w="110"/>
        <w:gridCol w:w="72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2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patients failing to complete a clinical trial or returning for post-treatment follow-up; and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manufacture the requisite materials for a patient and clinical trial, including to custom manufacture haplomatched clinical trial material.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need to compete with many ongoing clinical trials to recruit patients into our expected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commercializing our product candidates.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preclinical programs may experience delays or may never advance to clinical trials, which would adversely affect our ability to obtain regulatory approvals or commercialize these programs on a timely basis or at all.*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order to obtain FDA or other regulatory authority approval to market a new biological product we must demonstrate proof of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we plan to begin dosing the first patient with our second product candidate, NKX019, in the second half of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tbl>
      <w:tblPr>
        <w:tblW w:w="9520" w:type="dxa"/>
        <w:jc w:val="left"/>
        <w:tblInd w:w="0" w:type="dxa"/>
        <w:tblCellMar>
          <w:top w:w="0" w:type="dxa"/>
          <w:left w:w="0" w:type="dxa"/>
          <w:bottom w:w="0" w:type="dxa"/>
          <w:right w:w="0" w:type="dxa"/>
        </w:tblCellMar>
      </w:tblPr>
      <w:tblGrid>
        <w:gridCol w:w="60"/>
        <w:gridCol w:w="110"/>
        <w:gridCol w:w="93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3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inability to generate sufficient preclinical or other in vivo or in vitro data to support the initiation of clinical trials; </w:t>
            </w:r>
          </w:p>
        </w:tc>
      </w:tr>
    </w:tbl>
    <w:tbl>
      <w:tblPr>
        <w:tblW w:w="10045" w:type="dxa"/>
        <w:jc w:val="left"/>
        <w:tblInd w:w="0" w:type="dxa"/>
        <w:tblCellMar>
          <w:top w:w="0" w:type="dxa"/>
          <w:left w:w="0" w:type="dxa"/>
          <w:bottom w:w="0" w:type="dxa"/>
          <w:right w:w="0" w:type="dxa"/>
        </w:tblCellMar>
      </w:tblPr>
      <w:tblGrid>
        <w:gridCol w:w="60"/>
        <w:gridCol w:w="110"/>
        <w:gridCol w:w="987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10" w:type="dxa"/>
            <w:tcBorders/>
            <w:shd w:fill="auto" w:val="clear"/>
          </w:tcPr>
          <w:p>
            <w:pPr>
              <w:pStyle w:val="TableContents"/>
              <w:spacing w:before="0" w:after="0"/>
              <w:rPr>
                <w:caps w:val="false"/>
                <w:smallCaps w:val="false"/>
              </w:rPr>
            </w:pPr>
            <w:r>
              <w:rPr>
                <w:caps w:val="false"/>
                <w:smallCaps w:val="false"/>
              </w:rPr>
              <w:t>•</w:t>
            </w:r>
          </w:p>
        </w:tc>
        <w:tc>
          <w:tcPr>
            <w:tcW w:w="987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delays in reaching a consensus with regulatory agencies on acceptable clinical trial design or manufacturing process;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10" w:type="dxa"/>
            <w:tcBorders/>
            <w:shd w:fill="auto" w:val="clear"/>
          </w:tcPr>
          <w:p>
            <w:pPr>
              <w:pStyle w:val="TableContents"/>
              <w:spacing w:before="0" w:after="0"/>
              <w:rPr>
                <w:caps w:val="false"/>
                <w:smallCaps w:val="false"/>
              </w:rPr>
            </w:pPr>
            <w:r>
              <w:rPr>
                <w:caps w:val="false"/>
                <w:smallCaps w:val="false"/>
              </w:rPr>
              <w:t>•</w:t>
            </w:r>
          </w:p>
        </w:tc>
        <w:tc>
          <w:tcPr>
            <w:tcW w:w="1003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not allowing us to rely on previous findings of safety and efficacy for other similar but approved products and published scientific literature.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results of preclinical studies and early-stage clinical trials may not be predictive of future results. Initial success in any clinical trials may not be indicative of results obtained when these trials are completed or in later stage trials.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results of preclinical studies may not be predictive of the results of clinical trials, and the results of any early 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In addition, initial success in clinical trials may not be indicative of results obtained when such trials are completed. Interim or top line data from clinical trials that we may conduct are subject to the risk that one or more of the clinical outcomes may materially change as patient enrollment continues and more patient data become available. Preliminary data such as interim or top line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If any of our product candidates, or any competing product candidates, demonstrate relevant, serious adverse events, we may be required to halt or delay further clinical development.*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the date of this Quarterly Report on Form 10-Q, only one of our product candidates (NKX101) has been tested in cancer patients.  The first patient was dosed with NKX101 in November 2020. Prior to initiation of that clinical trial, we had only evaluated our product candidates in preclinical mouse models and had observed fatalities in mice as a result of lung toxicity when NKX101 was administered in extremely high doses that were significantly higher than those we would expect to use in humans. We therefore do not yet know if NKX101, NKX019, or our other product candidates will have an acceptable safety profile in humans. As such, there can be no guarantee that any toxicity, or other adverse events, will not occur in human subjects during clinical trials. Results of our clinical trials could reveal a high and unacceptable severity and prevalence of side effects or unexpected characteristics.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studies indicate that NK cell-based therapies may be better-tolerated as compared to T cell-based therapies due to biologic differences between these cell types, there can be no assurance that patients will not experience cytokine release syndrome, or CRS, neurotoxicity, graft-versus-host disease (“GVHD”), or other serious adverse events. Severe adverse events associated with our product candidates NKX101 or NKX019 or lymphodepleting chemotherapy may also develop. NKX101 targets NKG2D ligands, which is not yet a well-characterized modality. NKG2D targets multiple ligands, and the landscape of ligand expression is currently not fully understood. For example, there are risks that ligands may be expressed on either known or an as-yet-underappreciated population of healthy cells. Therefore, such cells may also be targeted by NKX101 and lead to adverse events of unknown frequency and severity. Such adverse events may cause delays in completion of our clinical programs. 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seek special designations by the regulatory authorities to expedite regulatory approvals, but may not be successful in receiving such designations, and even if received, they may not benefit the development and regulatory approval process.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seek various expedited programs available through regulatory authority such as Regenerative Medicine Advanced Therapy (“RMAT”), designation, Breakthrough Therapy Designation, Fast Track Designation, or PRIority Medicine (“PRIME”), from regulatory authorities, for any product candidate that we develop. A product candidate may receive RMAT designation from the FDA if it is a regenerative medicine therapy that is intended to treat, modify, reverse or cure a serious or life 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seek Orphan Drug Designation for our product candidates, and we may be unsuccessful or may be unable to maintain the benefits associated with Orphan Drug Designation, including the potential for market exclusivity.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Public opinion and scrutiny of cell-based immuno-oncology therapies for treating cancer may impact public perception of our company and product candidates, or impair our ability to conduct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platform utilizes a relatively novel technology involving the genetic modification of human NK cells and utilization of those modified cells in other individuals, and no 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identify or discover other product candidates and may fail to capitalize on programs or product candidates that may present a greater commercial opportunity or for which there is a greater likelihood of success.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tbl>
      <w:tblPr>
        <w:tblW w:w="10090" w:type="dxa"/>
        <w:jc w:val="left"/>
        <w:tblInd w:w="0" w:type="dxa"/>
        <w:tblCellMar>
          <w:top w:w="0" w:type="dxa"/>
          <w:left w:w="0" w:type="dxa"/>
          <w:bottom w:w="0" w:type="dxa"/>
          <w:right w:w="0" w:type="dxa"/>
        </w:tblCellMar>
      </w:tblPr>
      <w:tblGrid>
        <w:gridCol w:w="60"/>
        <w:gridCol w:w="110"/>
        <w:gridCol w:w="99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92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research methodology or technology platform used may not be successful in identifying potential product candidates; </w:t>
            </w:r>
          </w:p>
        </w:tc>
      </w:tr>
    </w:tbl>
    <w:tbl>
      <w:tblPr>
        <w:tblW w:w="8260" w:type="dxa"/>
        <w:jc w:val="left"/>
        <w:tblInd w:w="0" w:type="dxa"/>
        <w:tblCellMar>
          <w:top w:w="0" w:type="dxa"/>
          <w:left w:w="0" w:type="dxa"/>
          <w:bottom w:w="0" w:type="dxa"/>
          <w:right w:w="0" w:type="dxa"/>
        </w:tblCellMar>
      </w:tblPr>
      <w:tblGrid>
        <w:gridCol w:w="60"/>
        <w:gridCol w:w="110"/>
        <w:gridCol w:w="80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0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competitors may develop alternatives that render our product candidates obsolete or less attractive; </w:t>
            </w:r>
          </w:p>
        </w:tc>
      </w:tr>
    </w:tbl>
    <w:tbl>
      <w:tblPr>
        <w:tblW w:w="7930" w:type="dxa"/>
        <w:jc w:val="left"/>
        <w:tblInd w:w="0" w:type="dxa"/>
        <w:tblCellMar>
          <w:top w:w="0" w:type="dxa"/>
          <w:left w:w="0" w:type="dxa"/>
          <w:bottom w:w="0" w:type="dxa"/>
          <w:right w:w="0" w:type="dxa"/>
        </w:tblCellMar>
      </w:tblPr>
      <w:tblGrid>
        <w:gridCol w:w="60"/>
        <w:gridCol w:w="110"/>
        <w:gridCol w:w="77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76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choose to cease development if we determine that clinical results do not show promise; </w:t>
            </w:r>
          </w:p>
        </w:tc>
      </w:tr>
    </w:tbl>
    <w:tbl>
      <w:tblPr>
        <w:tblW w:w="9160" w:type="dxa"/>
        <w:jc w:val="left"/>
        <w:tblInd w:w="0" w:type="dxa"/>
        <w:tblCellMar>
          <w:top w:w="0" w:type="dxa"/>
          <w:left w:w="0" w:type="dxa"/>
          <w:bottom w:w="0" w:type="dxa"/>
          <w:right w:w="0" w:type="dxa"/>
        </w:tblCellMar>
      </w:tblPr>
      <w:tblGrid>
        <w:gridCol w:w="60"/>
        <w:gridCol w:w="110"/>
        <w:gridCol w:w="89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9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candidates we develop may nevertheless be covered by third parties’ patents or other exclusive rights;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product candidate may be shown to have harmful side effects or other characteristics that indicate it is unlikely to be effective or otherwise does not meet applicable regulatory criteria; and </w:t>
            </w:r>
          </w:p>
        </w:tc>
      </w:tr>
    </w:tbl>
    <w:tbl>
      <w:tblPr>
        <w:tblW w:w="9925" w:type="dxa"/>
        <w:jc w:val="left"/>
        <w:tblInd w:w="0" w:type="dxa"/>
        <w:tblCellMar>
          <w:top w:w="0" w:type="dxa"/>
          <w:left w:w="0" w:type="dxa"/>
          <w:bottom w:w="0" w:type="dxa"/>
          <w:right w:w="0" w:type="dxa"/>
        </w:tblCellMar>
      </w:tblPr>
      <w:tblGrid>
        <w:gridCol w:w="60"/>
        <w:gridCol w:w="110"/>
        <w:gridCol w:w="975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75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product candidate may not be accepted as safe and effective by patients, the medical community or third-party payors.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these events occur, we may be forced to abandon or delay our development efforts with respect to a particular product candidate or fail to develop a potentially successful product candidate.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third parties that we rely on to conduct clinical trials do not successfully carry out their contractual duties, comply with regulatory requirements or meet expected deadlines, we may not be able to obtain marketing approval for or commercialize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have the ability to independently conduct clinical trials. We rely on medical institutions, clinical investigators, contract laboratories, and other third parties, such as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and the third parties on which we rely for clinical trials are required to comply with regulations and requirements,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tbl>
      <w:tblPr>
        <w:tblW w:w="2275" w:type="dxa"/>
        <w:jc w:val="left"/>
        <w:tblInd w:w="0" w:type="dxa"/>
        <w:tblCellMar>
          <w:top w:w="0" w:type="dxa"/>
          <w:left w:w="0" w:type="dxa"/>
          <w:bottom w:w="0" w:type="dxa"/>
          <w:right w:w="0" w:type="dxa"/>
        </w:tblCellMar>
      </w:tblPr>
      <w:tblGrid>
        <w:gridCol w:w="60"/>
        <w:gridCol w:w="110"/>
        <w:gridCol w:w="21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21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have staffing difficulties; </w:t>
            </w:r>
          </w:p>
        </w:tc>
      </w:tr>
    </w:tbl>
    <w:tbl>
      <w:tblPr>
        <w:tblW w:w="3775" w:type="dxa"/>
        <w:jc w:val="left"/>
        <w:tblInd w:w="0" w:type="dxa"/>
        <w:tblCellMar>
          <w:top w:w="0" w:type="dxa"/>
          <w:left w:w="0" w:type="dxa"/>
          <w:bottom w:w="0" w:type="dxa"/>
          <w:right w:w="0" w:type="dxa"/>
        </w:tblCellMar>
      </w:tblPr>
      <w:tblGrid>
        <w:gridCol w:w="60"/>
        <w:gridCol w:w="110"/>
        <w:gridCol w:w="36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6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fail to comply with contractual obligations; </w:t>
            </w:r>
          </w:p>
        </w:tc>
      </w:tr>
    </w:tbl>
    <w:tbl>
      <w:tblPr>
        <w:tblW w:w="3580" w:type="dxa"/>
        <w:jc w:val="left"/>
        <w:tblInd w:w="0" w:type="dxa"/>
        <w:tblCellMar>
          <w:top w:w="0" w:type="dxa"/>
          <w:left w:w="0" w:type="dxa"/>
          <w:bottom w:w="0" w:type="dxa"/>
          <w:right w:w="0" w:type="dxa"/>
        </w:tblCellMar>
      </w:tblPr>
      <w:tblGrid>
        <w:gridCol w:w="60"/>
        <w:gridCol w:w="110"/>
        <w:gridCol w:w="34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4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experience regulatory compliance issues; </w:t>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36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undergo changes in priorities or become financially distressed; or </w:t>
            </w:r>
          </w:p>
        </w:tc>
      </w:tr>
    </w:tbl>
    <w:tbl>
      <w:tblPr>
        <w:tblW w:w="6475" w:type="dxa"/>
        <w:jc w:val="left"/>
        <w:tblInd w:w="0" w:type="dxa"/>
        <w:tblCellMar>
          <w:top w:w="0" w:type="dxa"/>
          <w:left w:w="0" w:type="dxa"/>
          <w:bottom w:w="0" w:type="dxa"/>
          <w:right w:w="0" w:type="dxa"/>
        </w:tblCellMar>
      </w:tblPr>
      <w:tblGrid>
        <w:gridCol w:w="60"/>
        <w:gridCol w:w="110"/>
        <w:gridCol w:w="63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3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form relationships with other entities, some of which may be our competitors.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If we are not able to establish pharmaceutical or biotechnology collaborations on commercially reasonable terms, or at all, we may have to alter our development and commercialization plans.*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recent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have entered into a research collaboration with CRISPR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May 5, 2021, we entered into a research collaboration agreement with CRISPR to establish research plans for the purpose of collaboratively designing and advancing allogeneic, gene-edited NK cell therapies and an allogeneic, gene-edited NK+T cell therapy for use in the treatment of oncology, autoimmune disease, or infectious disease up to the filing of an application to a regulatory authority to request the ability to start a clinical trial. The parties will share equally the costs incurred in connection with the research activities for the product candidates under the collaboration.  Under our agreement with CRISPR, we have also agreed to negotiate to reach agreement regarding the terms governing co-development and co-commercialization of the NK cell or NK+T cell therapies that are advanced under the research collaboration. 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terminate the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Whenever we enter into collaborations with third parties, we could face the following risks: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collaborators have significant discretion in determining the efforts and resources that they will apply to these collaborations;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collaborators could independently develop, or develop with third parties, products and processes that compete directly or indirectly with our products or product candidates;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tc>
      </w:tr>
    </w:tbl>
    <w:tbl>
      <w:tblPr>
        <w:tblW w:w="8065" w:type="dxa"/>
        <w:jc w:val="left"/>
        <w:tblInd w:w="0" w:type="dxa"/>
        <w:tblCellMar>
          <w:top w:w="0" w:type="dxa"/>
          <w:left w:w="0" w:type="dxa"/>
          <w:bottom w:w="0" w:type="dxa"/>
          <w:right w:w="0" w:type="dxa"/>
        </w:tblCellMar>
      </w:tblPr>
      <w:tblGrid>
        <w:gridCol w:w="60"/>
        <w:gridCol w:w="110"/>
        <w:gridCol w:w="78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8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collaboration agreements may restrict our right to independently pursue new product candidates.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fail to compete effectively with academic institutions and other biopharmaceutical companies that develop similar or alternatives to cellular immunotherapy product candidates, our business will be materially adversely affected.*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 Yescarta®, Tecartus™ and Breyanzi®, which have been commercially approved, are direct competitors to our product candidate NKX019. Our known biopharmaceutical competitors developing allogeneic CAR-NK or CAR-T therapies currently include Allogene, Cellectis, Celularity, Celyad, CRISPR Therapeutics, Gamida Cell, Glycostem, Sanofi, Fate Therapeutics, ImmunityBio, Precision BioSciences and Takeda, each of which has clinical-stage allogeneic programs, as well as numerous other biopharmaceutical companies including Astellas, Artiva Biosciences, Bristol-Myers Squibb, NKGen, ONK Therapeutics, Surface Oncology, Novartis and Gilead with earlier-stage allogeneic programs. Furthermore, many companies are seeking to harness NK biology through engagers that seek to direct a patient’s own NK cells to the site of a tumor. Such competitors include Affimed, Amgen, Compass, Cytovia, Dragonfly Therapeutics, Genentech, A Roche Group company, GT Biopharma, Innate Pharma, QureBio, Servier, and Synaffix. In addition, numerous academic institutions are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will need to increase the size of our organization, and we may experience difficulties in managing growth.*</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2021, we had 116 full-time employees. We will need to continue to expand our managerial, operational, clinical, quality, human resources, legal, manufacturing,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 </w:t>
            </w:r>
          </w:p>
        </w:tc>
      </w:tr>
    </w:tbl>
    <w:tbl>
      <w:tblPr>
        <w:tblW w:w="3265" w:type="dxa"/>
        <w:jc w:val="left"/>
        <w:tblInd w:w="0" w:type="dxa"/>
        <w:tblCellMar>
          <w:top w:w="0" w:type="dxa"/>
          <w:left w:w="0" w:type="dxa"/>
          <w:bottom w:w="0" w:type="dxa"/>
          <w:right w:w="0" w:type="dxa"/>
        </w:tblCellMar>
      </w:tblPr>
      <w:tblGrid>
        <w:gridCol w:w="60"/>
        <w:gridCol w:w="110"/>
        <w:gridCol w:w="30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0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manage our clinical trials effectively; </w:t>
            </w:r>
          </w:p>
        </w:tc>
      </w:tr>
    </w:tbl>
    <w:tbl>
      <w:tblPr>
        <w:tblW w:w="6025" w:type="dxa"/>
        <w:jc w:val="left"/>
        <w:tblInd w:w="0" w:type="dxa"/>
        <w:tblCellMar>
          <w:top w:w="0" w:type="dxa"/>
          <w:left w:w="0" w:type="dxa"/>
          <w:bottom w:w="0" w:type="dxa"/>
          <w:right w:w="0" w:type="dxa"/>
        </w:tblCellMar>
      </w:tblPr>
      <w:tblGrid>
        <w:gridCol w:w="60"/>
        <w:gridCol w:w="110"/>
        <w:gridCol w:w="585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85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identify, recruit, retain, incentivize and integrate additional employees; </w:t>
            </w:r>
          </w:p>
        </w:tc>
      </w:tr>
    </w:tbl>
    <w:tbl>
      <w:tblPr>
        <w:tblW w:w="6835" w:type="dxa"/>
        <w:jc w:val="left"/>
        <w:tblInd w:w="0" w:type="dxa"/>
        <w:tblCellMar>
          <w:top w:w="0" w:type="dxa"/>
          <w:left w:w="0" w:type="dxa"/>
          <w:bottom w:w="0" w:type="dxa"/>
          <w:right w:w="0" w:type="dxa"/>
        </w:tblCellMar>
      </w:tblPr>
      <w:tblGrid>
        <w:gridCol w:w="60"/>
        <w:gridCol w:w="110"/>
        <w:gridCol w:w="666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66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expand into additional office and laboratory space as we grow our employee base;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complete the qualification of our in-house clinical GMP manufacturing facility and establish and validate a commercial GMP manufacturing facility; and</w:t>
            </w:r>
          </w:p>
        </w:tc>
      </w:tr>
    </w:tbl>
    <w:tbl>
      <w:tblPr>
        <w:tblW w:w="8755" w:type="dxa"/>
        <w:jc w:val="left"/>
        <w:tblInd w:w="0" w:type="dxa"/>
        <w:tblCellMar>
          <w:top w:w="0" w:type="dxa"/>
          <w:left w:w="0" w:type="dxa"/>
          <w:bottom w:w="0" w:type="dxa"/>
          <w:right w:w="0" w:type="dxa"/>
        </w:tblCellMar>
      </w:tblPr>
      <w:tblGrid>
        <w:gridCol w:w="60"/>
        <w:gridCol w:w="110"/>
        <w:gridCol w:w="858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58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continue to improve our operational, financial and management controls, reports systems and procedures.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fail to attract and retain senior management, clinical, and key scientific personnel, we may be unable to successfully develop our product candidates, conduct our clinical trials and commercialize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Product liability lawsuits against us could cause us to incur substantial liabilities and could limit commercialization of any product candidate that we may develop.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tbl>
      <w:tblPr>
        <w:tblW w:w="5635" w:type="dxa"/>
        <w:jc w:val="left"/>
        <w:tblInd w:w="0" w:type="dxa"/>
        <w:tblCellMar>
          <w:top w:w="0" w:type="dxa"/>
          <w:left w:w="0" w:type="dxa"/>
          <w:bottom w:w="0" w:type="dxa"/>
          <w:right w:w="0" w:type="dxa"/>
        </w:tblCellMar>
      </w:tblPr>
      <w:tblGrid>
        <w:gridCol w:w="60"/>
        <w:gridCol w:w="110"/>
        <w:gridCol w:w="546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46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decreased demand for any product candidate that we may develop; </w:t>
            </w:r>
          </w:p>
        </w:tc>
      </w:tr>
    </w:tbl>
    <w:tbl>
      <w:tblPr>
        <w:tblW w:w="1510" w:type="dxa"/>
        <w:jc w:val="left"/>
        <w:tblInd w:w="0" w:type="dxa"/>
        <w:tblCellMar>
          <w:top w:w="0" w:type="dxa"/>
          <w:left w:w="0" w:type="dxa"/>
          <w:bottom w:w="0" w:type="dxa"/>
          <w:right w:w="0" w:type="dxa"/>
        </w:tblCellMar>
      </w:tblPr>
      <w:tblGrid>
        <w:gridCol w:w="60"/>
        <w:gridCol w:w="110"/>
        <w:gridCol w:w="134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34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loss of revenue; </w:t>
            </w:r>
          </w:p>
        </w:tc>
      </w:tr>
    </w:tbl>
    <w:tbl>
      <w:tblPr>
        <w:tblW w:w="5080" w:type="dxa"/>
        <w:jc w:val="left"/>
        <w:tblInd w:w="0" w:type="dxa"/>
        <w:tblCellMar>
          <w:top w:w="0" w:type="dxa"/>
          <w:left w:w="0" w:type="dxa"/>
          <w:bottom w:w="0" w:type="dxa"/>
          <w:right w:w="0" w:type="dxa"/>
        </w:tblCellMar>
      </w:tblPr>
      <w:tblGrid>
        <w:gridCol w:w="60"/>
        <w:gridCol w:w="110"/>
        <w:gridCol w:w="49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9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substantial monetary awards to trial participants or patients; </w:t>
            </w:r>
          </w:p>
        </w:tc>
      </w:tr>
    </w:tbl>
    <w:tbl>
      <w:tblPr>
        <w:tblW w:w="4885" w:type="dxa"/>
        <w:jc w:val="left"/>
        <w:tblInd w:w="0" w:type="dxa"/>
        <w:tblCellMar>
          <w:top w:w="0" w:type="dxa"/>
          <w:left w:w="0" w:type="dxa"/>
          <w:bottom w:w="0" w:type="dxa"/>
          <w:right w:w="0" w:type="dxa"/>
        </w:tblCellMar>
      </w:tblPr>
      <w:tblGrid>
        <w:gridCol w:w="60"/>
        <w:gridCol w:w="110"/>
        <w:gridCol w:w="471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71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significant time and costs to defend the related litigation; </w:t>
            </w:r>
          </w:p>
        </w:tc>
      </w:tr>
    </w:tbl>
    <w:tbl>
      <w:tblPr>
        <w:tblW w:w="3445" w:type="dxa"/>
        <w:jc w:val="left"/>
        <w:tblInd w:w="0" w:type="dxa"/>
        <w:tblCellMar>
          <w:top w:w="0" w:type="dxa"/>
          <w:left w:w="0" w:type="dxa"/>
          <w:bottom w:w="0" w:type="dxa"/>
          <w:right w:w="0" w:type="dxa"/>
        </w:tblCellMar>
      </w:tblPr>
      <w:tblGrid>
        <w:gridCol w:w="60"/>
        <w:gridCol w:w="110"/>
        <w:gridCol w:w="327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27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withdrawal of clinical trial participants; </w:t>
            </w:r>
          </w:p>
        </w:tc>
      </w:tr>
    </w:tbl>
    <w:tbl>
      <w:tblPr>
        <w:tblW w:w="2335" w:type="dxa"/>
        <w:jc w:val="left"/>
        <w:tblInd w:w="0" w:type="dxa"/>
        <w:tblCellMar>
          <w:top w:w="0" w:type="dxa"/>
          <w:left w:w="0" w:type="dxa"/>
          <w:bottom w:w="0" w:type="dxa"/>
          <w:right w:w="0" w:type="dxa"/>
        </w:tblCellMar>
      </w:tblPr>
      <w:tblGrid>
        <w:gridCol w:w="60"/>
        <w:gridCol w:w="110"/>
        <w:gridCol w:w="216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216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increased insurance costs; </w:t>
            </w:r>
          </w:p>
        </w:tc>
      </w:tr>
    </w:tbl>
    <w:tbl>
      <w:tblPr>
        <w:tblW w:w="6670" w:type="dxa"/>
        <w:jc w:val="left"/>
        <w:tblInd w:w="0" w:type="dxa"/>
        <w:tblCellMar>
          <w:top w:w="0" w:type="dxa"/>
          <w:left w:w="0" w:type="dxa"/>
          <w:bottom w:w="0" w:type="dxa"/>
          <w:right w:w="0" w:type="dxa"/>
        </w:tblCellMar>
      </w:tblPr>
      <w:tblGrid>
        <w:gridCol w:w="60"/>
        <w:gridCol w:w="110"/>
        <w:gridCol w:w="65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50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inability to commercialize any product candidate that we may develop; and </w:t>
            </w:r>
          </w:p>
        </w:tc>
      </w:tr>
    </w:tbl>
    <w:tbl>
      <w:tblPr>
        <w:tblW w:w="5515" w:type="dxa"/>
        <w:jc w:val="left"/>
        <w:tblInd w:w="0" w:type="dxa"/>
        <w:tblCellMar>
          <w:top w:w="0" w:type="dxa"/>
          <w:left w:w="0" w:type="dxa"/>
          <w:bottom w:w="0" w:type="dxa"/>
          <w:right w:w="0" w:type="dxa"/>
        </w:tblCellMar>
      </w:tblPr>
      <w:tblGrid>
        <w:gridCol w:w="60"/>
        <w:gridCol w:w="110"/>
        <w:gridCol w:w="53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3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injury to our reputation and significant negative media attention.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such outcomes could materially adversely affect our business, financial condition, results of operations and growth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insurance policies may be inadequate, may not cover all of our potential liabilities and may potentially expose us to unrecoverable risks.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involves the use of hazardous materials and we and our third-party manufacturers and suppliers must comply with environmental laws and regulations, which can be expensive and restrict how we do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research and development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Manufacturing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introducing a gamma-retrovirus with genes encoding the proteins we wish to express, cryopreservation, storage and eventually shipment. As a result of these complexities, the cost to manufacture our cellular product candidates, engineered K562 cells and viral vector is generally higher than traditional small-molecule chemical compounds or biologics, and the manufacturing process is presently less reliable and more difficult to reproduce. Furthermore, for certain patients in the early portion of our Phase 1 study of NKX101, we plan to dose patients with haplomatched NKX101. This requires custom manufacturing for each patient, which is especially complex.</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delays related to obtaining additional regulatory, site and patient approvals to continue dosing the patient in the clinical trial. If the required additional approvals cannot be obtained, additional delays may occur as manufacturing would need to be restarted and/or the patient may be unable to remain in the study. We may lose the starting material for a manufactured product for one of our clinical trial patients at any point in the process, the manufacturing process for that patient would need to be restarted and the resulting delay could require restarting the manufacturing process or could result in such patient no longer participating in our clinical trial. Any delay in the clinical development or commercialization of NKX101, NKX019, or our other product candidates could materially adversely affect our business, financial condition, results of operations and growth prospects.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validate process changes during the scale up to commercialization.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we are manufacturing NKX019 in our own internal manufacturing facility for the NKX019 Phase 1 clinical trial, and plan to manufacture other product candidates in our internal manufacturing facilities in the future, we may encounter problems with the internal production of our product candidates.  We have completed the construction of a cGMP facility for the production of certain of our product candidates for our early-stage clinical trials, but we do not yet have a cGMP facility for the commercial-scale manufacture of our product candidates. Our manufacturing facilities will be subject to compliance with regulatory requirements, which we may struggle to meet.  Building a commercial-scale facility and manufacturing product candidates in our own facilities will require an increase in staff and significant internal resources. We may encounter problems with properly staffing our internal manufacturing facilities due to hiring challenges or other issues.  For example, factors such as the COVID-19 pandemic and COVID-19-related restrictions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In addition, we may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we are planning to build a commercial-scale manufacturing facility, we do not yet operate our own cGMP facility for the production of commercial supplies of the product candidates that we are developing or evaluating in our development programs. We have limited personnel with experience in drug manufacturing and currently lack the resources and the capabilities to manufacture any of our product candidates on a commercial scale. If we are unable to successfully build, maintain and staff our own commercial-scale cGMP facility, we will need to rely on third parties for commercial-scale manufacture of our product candidates. We also currently rely on a third-party manufacturer for our clinical supply of NKX101. We expect to continue to outsource NKX101 manufacturing even though we have an internal cGMP facility for clinical supply, at least for a certain amount of time. We compete with other companies for access to third party cGMP facilities and cannot assure continued access.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currently outsource manufacturing of certain critical materials necessary for production of our product candidates, including K562 cells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at least for a certain amount of time.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tbl>
      <w:tblPr>
        <w:tblW w:w="6355" w:type="dxa"/>
        <w:jc w:val="left"/>
        <w:tblInd w:w="0" w:type="dxa"/>
        <w:tblCellMar>
          <w:top w:w="0" w:type="dxa"/>
          <w:left w:w="0" w:type="dxa"/>
          <w:bottom w:w="0" w:type="dxa"/>
          <w:right w:w="0" w:type="dxa"/>
        </w:tblCellMar>
      </w:tblPr>
      <w:tblGrid>
        <w:gridCol w:w="60"/>
        <w:gridCol w:w="110"/>
        <w:gridCol w:w="618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18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reliance on the third-party for regulatory compliance and quality assurance; </w:t>
            </w:r>
          </w:p>
        </w:tc>
      </w:tr>
    </w:tbl>
    <w:tbl>
      <w:tblPr>
        <w:tblW w:w="5950" w:type="dxa"/>
        <w:jc w:val="left"/>
        <w:tblInd w:w="0" w:type="dxa"/>
        <w:tblCellMar>
          <w:top w:w="0" w:type="dxa"/>
          <w:left w:w="0" w:type="dxa"/>
          <w:bottom w:w="0" w:type="dxa"/>
          <w:right w:w="0" w:type="dxa"/>
        </w:tblCellMar>
      </w:tblPr>
      <w:tblGrid>
        <w:gridCol w:w="60"/>
        <w:gridCol w:w="110"/>
        <w:gridCol w:w="578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78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possible breach of the manufacturing agreement by the third-party; </w:t>
            </w:r>
          </w:p>
        </w:tc>
      </w:tr>
    </w:tbl>
    <w:tbl>
      <w:tblPr>
        <w:tblW w:w="9010" w:type="dxa"/>
        <w:jc w:val="left"/>
        <w:tblInd w:w="0" w:type="dxa"/>
        <w:tblCellMar>
          <w:top w:w="0" w:type="dxa"/>
          <w:left w:w="0" w:type="dxa"/>
          <w:bottom w:w="0" w:type="dxa"/>
          <w:right w:w="0" w:type="dxa"/>
        </w:tblCellMar>
      </w:tblPr>
      <w:tblGrid>
        <w:gridCol w:w="60"/>
        <w:gridCol w:w="110"/>
        <w:gridCol w:w="884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84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possible misappropriation of our proprietary information, including our trade secrets and know-how; and </w:t>
            </w:r>
          </w:p>
        </w:tc>
      </w:tr>
    </w:tbl>
    <w:tbl>
      <w:tblPr>
        <w:tblW w:w="9955" w:type="dxa"/>
        <w:jc w:val="left"/>
        <w:tblInd w:w="0" w:type="dxa"/>
        <w:tblCellMar>
          <w:top w:w="0" w:type="dxa"/>
          <w:left w:w="0" w:type="dxa"/>
          <w:bottom w:w="0" w:type="dxa"/>
          <w:right w:w="0" w:type="dxa"/>
        </w:tblCellMar>
      </w:tblPr>
      <w:tblGrid>
        <w:gridCol w:w="60"/>
        <w:gridCol w:w="110"/>
        <w:gridCol w:w="978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78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possible termination or nonrenewal of the agreement by the third-party at a time that is costly or inconvenient for us.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are reliant on a sole supplier for certain steps of our manufacturing process.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disruption in supply of these instruments and reagents could result in delays in our clinical trials, which would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Delays in commissioning and receiving regulatory approvals for our manufacturing facilities could delay our development plans and thereby limit our ability to develop our product candidates and generate revenues.*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internal cGMP manufacturing is important to facilitate clinical product supply, lower the risk of manufacturing disruptions and enable more cost-effective manufacturing. We have completed the construction of a cGMP facility in South San Francisco, California that will allow us to supply the product candidates needed for our early-stage clinical trials. We have also leased a property where we plan to build a facility for the commercial-scale manufacture of our product candidates. The design, construction, qualification and regulatory approvals for such facilities require substantial capital and technical expertise and any delay would limit our development activities and our opportunities for growth.</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may encounter problems with the following: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complying with regulations regarding evolving donor infectious disease testing, traceability, manufacturing, release of product candidates and other requirements from regulatory authorities outside the United States;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achieving adequate or clinical-grade materials that meet regulatory agency standards or specifications with consistent and acceptable production yield and costs; </w:t>
            </w:r>
          </w:p>
        </w:tc>
      </w:tr>
    </w:tbl>
    <w:tbl>
      <w:tblPr>
        <w:tblW w:w="5980" w:type="dxa"/>
        <w:jc w:val="left"/>
        <w:tblInd w:w="0" w:type="dxa"/>
        <w:tblCellMar>
          <w:top w:w="0" w:type="dxa"/>
          <w:left w:w="0" w:type="dxa"/>
          <w:bottom w:w="0" w:type="dxa"/>
          <w:right w:w="0" w:type="dxa"/>
        </w:tblCellMar>
      </w:tblPr>
      <w:tblGrid>
        <w:gridCol w:w="60"/>
        <w:gridCol w:w="110"/>
        <w:gridCol w:w="58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8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bacterial, fungal or viral contamination in our manufacturing facilities; </w:t>
            </w:r>
          </w:p>
        </w:tc>
      </w:tr>
    </w:tbl>
    <w:tbl>
      <w:tblPr>
        <w:tblW w:w="5860" w:type="dxa"/>
        <w:jc w:val="left"/>
        <w:tblInd w:w="0" w:type="dxa"/>
        <w:tblCellMar>
          <w:top w:w="0" w:type="dxa"/>
          <w:left w:w="0" w:type="dxa"/>
          <w:bottom w:w="0" w:type="dxa"/>
          <w:right w:w="0" w:type="dxa"/>
        </w:tblCellMar>
      </w:tblPr>
      <w:tblGrid>
        <w:gridCol w:w="60"/>
        <w:gridCol w:w="110"/>
        <w:gridCol w:w="56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6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disruptions due to natural disasters or supply chain interruptions; and </w:t>
            </w:r>
          </w:p>
        </w:tc>
      </w:tr>
    </w:tbl>
    <w:tbl>
      <w:tblPr>
        <w:tblW w:w="5485" w:type="dxa"/>
        <w:jc w:val="left"/>
        <w:tblInd w:w="0" w:type="dxa"/>
        <w:tblCellMar>
          <w:top w:w="0" w:type="dxa"/>
          <w:left w:w="0" w:type="dxa"/>
          <w:bottom w:w="0" w:type="dxa"/>
          <w:right w:w="0" w:type="dxa"/>
        </w:tblCellMar>
      </w:tblPr>
      <w:tblGrid>
        <w:gridCol w:w="60"/>
        <w:gridCol w:w="110"/>
        <w:gridCol w:w="531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31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shortages of qualified personnel, raw materials or key contractors.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optimal donor and manufacturing parameters for our product candidates have not been definitively established, which may hinder our ability to optimize our product candidates or to address any safety or efficacy issues that may arise.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are dependent on third parties to store our CAR-NK cells, viral vector, master and working cell banks of the engineered K562 cells, and any damage or loss would cause delays in replacement, and our business could suffer.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CAR-NK cells, the viral vector, and the master and working cell banks of the engineered K562 cells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CAR-NK cells, viral vector, and master and working cell banks of the engineered K562 cells,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have not yet developed a validated methodology for freezing and thawing commercial-scale quantities of CAR-NK cells, which we believe will be required for the storage and distribution of our CAR-NK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not yet demonstrated that CAR-NK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 If we are unable to freeze CAR-NK cells for shipping purposes, our ability to promote adoption and standardization of our products, as well as achieve economies of scale by centralizing our production facility, will be limited. Even if we are able to successfully freeze and thaw CAR-NK cells in large quantities, we will still need to develop a cost-effective and reliable distribution and logistics network, which we may be unable to accomplish.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we have not yet demonstrated long-term stability of cryopreserved CAR-NK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these and other reasons, we have not yet established the long-term stability of our cryopreserved CAR-NK Cells and we may not be able to commercialize CAR-NK cells on a large scale or in a cost-effective manner. If such product is found to be instable, we would be required to conduct more frequent manufacturing runs, which could cause us to incur significant additional expenses.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Intellectual Property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If our license agreement with National University of Singapore and St. Jude’s Children’s Research Hospital, Inc. is terminated, we could lose our rights to key components enabling our NK cell engineering platform.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August 2016, we entered into a license agreement with the National University of Singapore and St. Jude Children’s Research Hospital, Inc., (the “Licensors”). Pursuant to this license, the Licensors granted to us an exclusive, worldwide, royalty-bearing, sublicensable license under specified patents and patent applications related to NK cell technology in the field of therapeutics.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which could impede or prevent our successful commercialization of such product candidates and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our patent license agreement with the Licensors is field-specific and has been granted to us in the field of therapeutics. This license agreement permits to Licensors to practice the licensed rights, and to allow non-profit academic third parties to practice the licensed rights for certain academic purposes. As such, certain patents in a patent family that is licensed to us by the Licensors have been licensed to at least one other third party. Although these patents should not be overlapping with our licensed patents,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development and commercialization rights to our current and future product candidates and technology are subject, in part, to the terms and conditions of licenses granted to us by others.*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patent portfolio consists of a combination of issued patents and pending patent applications licensed from third parties, jointly owned with third parties and assigned solely to us based on our ongoing development activities. We are reliant upon certain of these rights and proprietary technology from third parties for the engineering and development of our current and future product candidates. However, these and other licenses may not provide exclusive rights to use such intellectual property and technology in all relevant fields of use and in all territories in which we choose to develop or commercialize our technology and products in the future. As a result, we may not be able to prevent competitors from developing and commercializing competitive products in territories included in all of our licenses.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an institution.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also may in some instances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have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certain circumstances such as a material breach of terms, our licensors could terminate our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Duration of patent terms may be inadequate to protect our competitive position on our product candidates for an adequate amount of time, and the expiration of our patents may subject us to increased competition.*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2021, the patent portfolio that is assigned to us, jointly owned with others or licensed to us includes nine issued U.S. patents, one issued European patent, one issued Chinese patent, one issued Japanese patent, one issued Korean patent, one issued Australian patent, ten pending U.S. patent applications and approximately 49 pending international patent applications, across our Platform, NKX101 and NKX019 families. Our portfolio of issued patents, excluding pending patent applications, has expiration dates between 2024 and 2035. Our portfolio, including issued patents, and including pending applications if they issue, has expiration dates between 2024 and 2042. At least 50 of our issued patents and pending patent applications relate to supporting commercialization of our current product candidates, while the remaining issued patents and pending patent applications relate to future product candidates and alternative technologies. We plan to file additional patent applications that could potentially allow for further increase of the exclusive market protection for use of NKX101 and NKX019. However, we can provide no assurance that we will be able to file or receive additional patent protection for these or other product candidates.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or USPTO in the United States, and any equivalent regulatory authority in other countries, may not agree with our assessment of whether such extensions are available, and may refuse to grant extensions to our patents, or may grant more limited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any patent protection we obtain is not sufficiently robust, our competitors could develop and commercialize products and technology similar or identical to ours.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patent prosecution process is expensive, time-consuming and complex, and we may not be able to file, prosecute, maintain, enforce or license all necessary or desirable patent applications at a reasonable cost or in a timely manner. We may also fail to identify patentable aspects of our research and development output before it is too late to obtain patent protection.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Claim scope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our patents are determined to be valid and enforceable, they may not be interpreted sufficiently broadly to prevent others from marketing products similar to ours or designing around our patents.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2018-2021, a third party requested ex parte reexaminations of U.S. Patent No. 9,511,092, which relates generally to chimeric receptor complexes that bind certain specific natural killer cell ligands and methods of using natural killer cells. U.S. Patent No. 9,511,092 does not relate to our current product candidates but may relate to future product candidates or alternative technologies. Two of the three reexaminations are pending.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identify relevant third-party patents or may incorrectly interpret the relevance, scope or expiration of a third-party patent, which could materially adversely affect our ability to develop, manufacture and market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are many patents issued or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products or technology similar to ours. Any such patent application may have priority over our patent applications or patents, which could further require us to obtain rights to patents directed to such technologies. If third parties have filed such patent applications, an interference proceeding in the United States can be initiated by such third party, or by the USPTO itself, to determine who was the first to invent any of the subject matter recited by the patent claims of our applications.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are not covered by a third party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success depends in part on our ability to develop, manufacture and market our technology and use our technology without infringing the proprietary rights of third parties. As the relevant product industries expand and more patents are issued, the risk increases that there may be patents issued to third parties that relate to our products and technology of which we are not aware or that we may need to challenge to continue our operations as currently contemplated. As a result, our technology and any future products that we commercialize could be alleged to infringe patent rights and other proprietary rights of third parties, which may require costly litigation and, if we are not successful, could cause us to pay substantial damages and/or limit our ability to commercialize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face allegations that we have infringed the trademarks, copyrights, patents and other intellectual property rights of third parties. 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Results of any such litigation are difficult to predict and may require us to stop treating certain conditions, obtain licenses or modify our product candidates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or require us to take a license from a third party, which the third party is not required to do at a commercially reasonable price or at all. If a license is available from a third party, we may have to pay substantial royalties, upfront fees, milestone fees, or grant cross-licenses to intellectual property rights for our products. We may also have to redesign our products so they do not infringe third-party intellectual property rights, which may not be possible or may require substantial monetary expenditures and time, during which our products may not be available for manufacture, use, or sale.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or service features, which could in turn reduce demand for our products.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will not seek to protect our intellectual property rights in all jurisdictions throughout the world and we may not be able to adequately enforce our intellectual property rights even in the jurisdictions where we seek protection.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a number of international patents and patent applications and expect to continue to pursue patent protection in many of the significant markets in which we intend to do business. However, filing, prosecuting and defending patents relating to our product candidates,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Changes in U.S. patent law or the patent law of other jurisdictions could decrease the certainty of our ability to obtain patents and diminish the value of patents in general, thereby impairing our ability to protect our current and any future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Changes in either the patent laws or interpretation of the patent laws in the United States could increase the uncertainties and costs surrounding the prosecution of patent applications and the enforcement or defense of issued patents. Under the Leahy-Smith America Invents Act, or the America Invents Act,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However, the America Invents Act and its implementation could increase the uncertainties and costs surrounding the prosecution of our patent applications and the enforcement or defense of our issued patents, all of which could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fail to obtain or enforce assignments of intellectual property rights from our employees and contractors.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are not able to adequately prevent disclosure of trade secrets and other proprietary information, the value of our technology and products could be materially diminished.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outside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U.S. government could choose to exercise certain rights in technology developed under government-funded research, which could eliminate our exclusive use of such technology or require us to commercialize our product candidates in a way we consider sub-optimal.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future in-licensed intellectual property is generated through the use of U.S. government funding, these provisions of the Bayh-Dole Act may apply.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Commercialization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have no sales, marketing or distribution organizational infrastructure. We will need to develop internal sales, marketing and distribution capabilities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product candidates, including NKX101 and NKX019, could be subject to regulatory limitations following approval, if and when such approval is granted.*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restrictions on our ability to conduct clinical trials, including full or partial clinical holds on ongoing or planned clinical trials; </w:t>
            </w:r>
          </w:p>
        </w:tc>
      </w:tr>
    </w:tbl>
    <w:tbl>
      <w:tblPr>
        <w:tblW w:w="4720" w:type="dxa"/>
        <w:jc w:val="left"/>
        <w:tblInd w:w="0" w:type="dxa"/>
        <w:tblCellMar>
          <w:top w:w="0" w:type="dxa"/>
          <w:left w:w="0" w:type="dxa"/>
          <w:bottom w:w="0" w:type="dxa"/>
          <w:right w:w="0" w:type="dxa"/>
        </w:tblCellMar>
      </w:tblPr>
      <w:tblGrid>
        <w:gridCol w:w="60"/>
        <w:gridCol w:w="110"/>
        <w:gridCol w:w="45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5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restrictions on such products’ manufacturing processes; </w:t>
            </w:r>
          </w:p>
        </w:tc>
      </w:tr>
    </w:tbl>
    <w:tbl>
      <w:tblPr>
        <w:tblW w:w="2590" w:type="dxa"/>
        <w:jc w:val="left"/>
        <w:tblInd w:w="0" w:type="dxa"/>
        <w:tblCellMar>
          <w:top w:w="0" w:type="dxa"/>
          <w:left w:w="0" w:type="dxa"/>
          <w:bottom w:w="0" w:type="dxa"/>
          <w:right w:w="0" w:type="dxa"/>
        </w:tblCellMar>
      </w:tblPr>
      <w:tblGrid>
        <w:gridCol w:w="60"/>
        <w:gridCol w:w="110"/>
        <w:gridCol w:w="24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242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changes to the product label; </w:t>
            </w:r>
          </w:p>
        </w:tc>
      </w:tr>
    </w:tbl>
    <w:tbl>
      <w:tblPr>
        <w:tblW w:w="3640" w:type="dxa"/>
        <w:jc w:val="left"/>
        <w:tblInd w:w="0" w:type="dxa"/>
        <w:tblCellMar>
          <w:top w:w="0" w:type="dxa"/>
          <w:left w:w="0" w:type="dxa"/>
          <w:bottom w:w="0" w:type="dxa"/>
          <w:right w:w="0" w:type="dxa"/>
        </w:tblCellMar>
      </w:tblPr>
      <w:tblGrid>
        <w:gridCol w:w="60"/>
        <w:gridCol w:w="110"/>
        <w:gridCol w:w="347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4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restrictions on the marketing of a product; </w:t>
            </w:r>
          </w:p>
        </w:tc>
      </w:tr>
    </w:tbl>
    <w:tbl>
      <w:tblPr>
        <w:tblW w:w="3130" w:type="dxa"/>
        <w:jc w:val="left"/>
        <w:tblInd w:w="0" w:type="dxa"/>
        <w:tblCellMar>
          <w:top w:w="0" w:type="dxa"/>
          <w:left w:w="0" w:type="dxa"/>
          <w:bottom w:w="0" w:type="dxa"/>
          <w:right w:w="0" w:type="dxa"/>
        </w:tblCellMar>
      </w:tblPr>
      <w:tblGrid>
        <w:gridCol w:w="60"/>
        <w:gridCol w:w="110"/>
        <w:gridCol w:w="29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296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restrictions on product distribution; </w:t>
            </w:r>
          </w:p>
        </w:tc>
      </w:tr>
    </w:tbl>
    <w:tbl>
      <w:tblPr>
        <w:tblW w:w="4645" w:type="dxa"/>
        <w:jc w:val="left"/>
        <w:tblInd w:w="0" w:type="dxa"/>
        <w:tblCellMar>
          <w:top w:w="0" w:type="dxa"/>
          <w:left w:w="0" w:type="dxa"/>
          <w:bottom w:w="0" w:type="dxa"/>
          <w:right w:w="0" w:type="dxa"/>
        </w:tblCellMar>
      </w:tblPr>
      <w:tblGrid>
        <w:gridCol w:w="60"/>
        <w:gridCol w:w="110"/>
        <w:gridCol w:w="447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47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requirements to conduct post-marketing clinical trials; </w:t>
            </w:r>
          </w:p>
        </w:tc>
      </w:tr>
    </w:tbl>
    <w:tbl>
      <w:tblPr>
        <w:tblW w:w="3670" w:type="dxa"/>
        <w:jc w:val="left"/>
        <w:tblInd w:w="0" w:type="dxa"/>
        <w:tblCellMar>
          <w:top w:w="0" w:type="dxa"/>
          <w:left w:w="0" w:type="dxa"/>
          <w:bottom w:w="0" w:type="dxa"/>
          <w:right w:w="0" w:type="dxa"/>
        </w:tblCellMar>
      </w:tblPr>
      <w:tblGrid>
        <w:gridCol w:w="60"/>
        <w:gridCol w:w="110"/>
        <w:gridCol w:w="35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50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Untitled or Warning Letters from the FDA; </w:t>
            </w:r>
          </w:p>
        </w:tc>
      </w:tr>
    </w:tbl>
    <w:tbl>
      <w:tblPr>
        <w:tblW w:w="3700" w:type="dxa"/>
        <w:jc w:val="left"/>
        <w:tblInd w:w="0" w:type="dxa"/>
        <w:tblCellMar>
          <w:top w:w="0" w:type="dxa"/>
          <w:left w:w="0" w:type="dxa"/>
          <w:bottom w:w="0" w:type="dxa"/>
          <w:right w:w="0" w:type="dxa"/>
        </w:tblCellMar>
      </w:tblPr>
      <w:tblGrid>
        <w:gridCol w:w="60"/>
        <w:gridCol w:w="110"/>
        <w:gridCol w:w="353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53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withdrawal of the product from the market; </w:t>
            </w:r>
          </w:p>
        </w:tc>
      </w:tr>
    </w:tbl>
    <w:tbl>
      <w:tblPr>
        <w:tblW w:w="8095" w:type="dxa"/>
        <w:jc w:val="left"/>
        <w:tblInd w:w="0" w:type="dxa"/>
        <w:tblCellMar>
          <w:top w:w="0" w:type="dxa"/>
          <w:left w:w="0" w:type="dxa"/>
          <w:bottom w:w="0" w:type="dxa"/>
          <w:right w:w="0" w:type="dxa"/>
        </w:tblCellMar>
      </w:tblPr>
      <w:tblGrid>
        <w:gridCol w:w="60"/>
        <w:gridCol w:w="110"/>
        <w:gridCol w:w="79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92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refusal to approve pending applications or supplements to approved applications that we submit; </w:t>
            </w:r>
          </w:p>
        </w:tc>
      </w:tr>
    </w:tbl>
    <w:tbl>
      <w:tblPr>
        <w:tblW w:w="1705" w:type="dxa"/>
        <w:jc w:val="left"/>
        <w:tblInd w:w="0" w:type="dxa"/>
        <w:tblCellMar>
          <w:top w:w="0" w:type="dxa"/>
          <w:left w:w="0" w:type="dxa"/>
          <w:bottom w:w="0" w:type="dxa"/>
          <w:right w:w="0" w:type="dxa"/>
        </w:tblCellMar>
      </w:tblPr>
      <w:tblGrid>
        <w:gridCol w:w="60"/>
        <w:gridCol w:w="110"/>
        <w:gridCol w:w="15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5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recall of products;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p>
    <w:p>
      <w:pPr>
        <w:pStyle w:val="HorizontalLine"/>
        <w:rPr/>
      </w:pPr>
      <w:r>
        <w:rPr/>
      </w:r>
    </w:p>
    <w:p>
      <w:pPr>
        <w:pStyle w:val="TextBody"/>
        <w:spacing w:before="0" w:after="0"/>
        <w:rPr/>
      </w:pPr>
      <w:r>
        <w:rPr/>
        <w:t> </w:t>
      </w:r>
    </w:p>
    <w:tbl>
      <w:tblPr>
        <w:tblW w:w="4660" w:type="dxa"/>
        <w:jc w:val="left"/>
        <w:tblInd w:w="0" w:type="dxa"/>
        <w:tblCellMar>
          <w:top w:w="0" w:type="dxa"/>
          <w:left w:w="0" w:type="dxa"/>
          <w:bottom w:w="0" w:type="dxa"/>
          <w:right w:w="0" w:type="dxa"/>
        </w:tblCellMar>
      </w:tblPr>
      <w:tblGrid>
        <w:gridCol w:w="60"/>
        <w:gridCol w:w="110"/>
        <w:gridCol w:w="44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4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fines, restitution or disgorgement of profits or revenue; </w:t>
            </w:r>
          </w:p>
        </w:tc>
      </w:tr>
    </w:tbl>
    <w:tbl>
      <w:tblPr>
        <w:tblW w:w="4285" w:type="dxa"/>
        <w:jc w:val="left"/>
        <w:tblInd w:w="0" w:type="dxa"/>
        <w:tblCellMar>
          <w:top w:w="0" w:type="dxa"/>
          <w:left w:w="0" w:type="dxa"/>
          <w:bottom w:w="0" w:type="dxa"/>
          <w:right w:w="0" w:type="dxa"/>
        </w:tblCellMar>
      </w:tblPr>
      <w:tblGrid>
        <w:gridCol w:w="60"/>
        <w:gridCol w:w="110"/>
        <w:gridCol w:w="411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11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suspension or withdrawal of regulatory approvals; </w:t>
            </w:r>
          </w:p>
        </w:tc>
      </w:tr>
    </w:tbl>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38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refusal to permit the import or export of our products; </w:t>
            </w:r>
          </w:p>
        </w:tc>
      </w:tr>
    </w:tbl>
    <w:tbl>
      <w:tblPr>
        <w:tblW w:w="1540" w:type="dxa"/>
        <w:jc w:val="left"/>
        <w:tblInd w:w="0" w:type="dxa"/>
        <w:tblCellMar>
          <w:top w:w="0" w:type="dxa"/>
          <w:left w:w="0" w:type="dxa"/>
          <w:bottom w:w="0" w:type="dxa"/>
          <w:right w:w="0" w:type="dxa"/>
        </w:tblCellMar>
      </w:tblPr>
      <w:tblGrid>
        <w:gridCol w:w="60"/>
        <w:gridCol w:w="110"/>
        <w:gridCol w:w="137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3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seizure; </w:t>
            </w:r>
          </w:p>
        </w:tc>
      </w:tr>
    </w:tbl>
    <w:tbl>
      <w:tblPr>
        <w:tblW w:w="1435" w:type="dxa"/>
        <w:jc w:val="left"/>
        <w:tblInd w:w="0" w:type="dxa"/>
        <w:tblCellMar>
          <w:top w:w="0" w:type="dxa"/>
          <w:left w:w="0" w:type="dxa"/>
          <w:bottom w:w="0" w:type="dxa"/>
          <w:right w:w="0" w:type="dxa"/>
        </w:tblCellMar>
      </w:tblPr>
      <w:tblGrid>
        <w:gridCol w:w="60"/>
        <w:gridCol w:w="110"/>
        <w:gridCol w:w="126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26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injunctions; or </w:t>
            </w:r>
          </w:p>
        </w:tc>
      </w:tr>
    </w:tbl>
    <w:tbl>
      <w:tblPr>
        <w:tblW w:w="3505" w:type="dxa"/>
        <w:jc w:val="left"/>
        <w:tblInd w:w="0" w:type="dxa"/>
        <w:tblCellMar>
          <w:top w:w="0" w:type="dxa"/>
          <w:left w:w="0" w:type="dxa"/>
          <w:bottom w:w="0" w:type="dxa"/>
          <w:right w:w="0" w:type="dxa"/>
        </w:tblCellMar>
      </w:tblPr>
      <w:tblGrid>
        <w:gridCol w:w="60"/>
        <w:gridCol w:w="110"/>
        <w:gridCol w:w="33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3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imposition of civil or criminal penalties.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market opportunities for our product candidates, if and when approved, may be limited, and if such market opportunities are smaller than we expect, our revenues could be materially adversely affected and our business could suffer.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commercial success of any of our product candidates will depend upon such product candidate’s degree of market acceptance by physicians, patients, third-party payors and others in the medical community.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tbl>
      <w:tblPr>
        <w:tblW w:w="7000" w:type="dxa"/>
        <w:jc w:val="left"/>
        <w:tblInd w:w="0" w:type="dxa"/>
        <w:tblCellMar>
          <w:top w:w="0" w:type="dxa"/>
          <w:left w:w="0" w:type="dxa"/>
          <w:bottom w:w="0" w:type="dxa"/>
          <w:right w:w="0" w:type="dxa"/>
        </w:tblCellMar>
      </w:tblPr>
      <w:tblGrid>
        <w:gridCol w:w="60"/>
        <w:gridCol w:w="110"/>
        <w:gridCol w:w="683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83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efficacy and safety of such product candidates as demonstrated in clinical trials; </w:t>
            </w:r>
          </w:p>
        </w:tc>
      </w:tr>
    </w:tbl>
    <w:tbl>
      <w:tblPr>
        <w:tblW w:w="7480" w:type="dxa"/>
        <w:jc w:val="left"/>
        <w:tblInd w:w="0" w:type="dxa"/>
        <w:tblCellMar>
          <w:top w:w="0" w:type="dxa"/>
          <w:left w:w="0" w:type="dxa"/>
          <w:bottom w:w="0" w:type="dxa"/>
          <w:right w:w="0" w:type="dxa"/>
        </w:tblCellMar>
      </w:tblPr>
      <w:tblGrid>
        <w:gridCol w:w="60"/>
        <w:gridCol w:w="110"/>
        <w:gridCol w:w="73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3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potential and perceived advantages of product candidates over alternative treatments; </w:t>
            </w:r>
          </w:p>
        </w:tc>
      </w:tr>
    </w:tbl>
    <w:tbl>
      <w:tblPr>
        <w:tblW w:w="4615" w:type="dxa"/>
        <w:jc w:val="left"/>
        <w:tblInd w:w="0" w:type="dxa"/>
        <w:tblCellMar>
          <w:top w:w="0" w:type="dxa"/>
          <w:left w:w="0" w:type="dxa"/>
          <w:bottom w:w="0" w:type="dxa"/>
          <w:right w:w="0" w:type="dxa"/>
        </w:tblCellMar>
      </w:tblPr>
      <w:tblGrid>
        <w:gridCol w:w="60"/>
        <w:gridCol w:w="110"/>
        <w:gridCol w:w="44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4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 of treatment relative to alternative treatments; </w:t>
            </w:r>
          </w:p>
        </w:tc>
      </w:tr>
    </w:tbl>
    <w:tbl>
      <w:tblPr>
        <w:tblW w:w="6760" w:type="dxa"/>
        <w:jc w:val="left"/>
        <w:tblInd w:w="0" w:type="dxa"/>
        <w:tblCellMar>
          <w:top w:w="0" w:type="dxa"/>
          <w:left w:w="0" w:type="dxa"/>
          <w:bottom w:w="0" w:type="dxa"/>
          <w:right w:w="0" w:type="dxa"/>
        </w:tblCellMar>
      </w:tblPr>
      <w:tblGrid>
        <w:gridCol w:w="60"/>
        <w:gridCol w:w="110"/>
        <w:gridCol w:w="65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5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clinical indications for which the product candidate is approved by the FDA; </w:t>
            </w:r>
          </w:p>
        </w:tc>
      </w:tr>
    </w:tbl>
    <w:tbl>
      <w:tblPr>
        <w:tblW w:w="6235" w:type="dxa"/>
        <w:jc w:val="left"/>
        <w:tblInd w:w="0" w:type="dxa"/>
        <w:tblCellMar>
          <w:top w:w="0" w:type="dxa"/>
          <w:left w:w="0" w:type="dxa"/>
          <w:bottom w:w="0" w:type="dxa"/>
          <w:right w:w="0" w:type="dxa"/>
        </w:tblCellMar>
      </w:tblPr>
      <w:tblGrid>
        <w:gridCol w:w="60"/>
        <w:gridCol w:w="110"/>
        <w:gridCol w:w="606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06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willingness of physicians to refer patients and prescribe new therapies; </w:t>
            </w:r>
          </w:p>
        </w:tc>
      </w:tr>
    </w:tbl>
    <w:tbl>
      <w:tblPr>
        <w:tblW w:w="5740" w:type="dxa"/>
        <w:jc w:val="left"/>
        <w:tblInd w:w="0" w:type="dxa"/>
        <w:tblCellMar>
          <w:top w:w="0" w:type="dxa"/>
          <w:left w:w="0" w:type="dxa"/>
          <w:bottom w:w="0" w:type="dxa"/>
          <w:right w:w="0" w:type="dxa"/>
        </w:tblCellMar>
      </w:tblPr>
      <w:tblGrid>
        <w:gridCol w:w="60"/>
        <w:gridCol w:w="110"/>
        <w:gridCol w:w="557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5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willingness of the target patient population to try new therapies;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p>
      <w:pPr>
        <w:pStyle w:val="HorizontalLine"/>
        <w:rPr/>
      </w:pPr>
      <w:r>
        <w:rPr/>
      </w:r>
    </w:p>
    <w:p>
      <w:pPr>
        <w:pStyle w:val="TextBody"/>
        <w:spacing w:before="0" w:after="0"/>
        <w:rPr/>
      </w:pPr>
      <w:r>
        <w:rPr/>
        <w:t> </w:t>
      </w:r>
    </w:p>
    <w:tbl>
      <w:tblPr>
        <w:tblW w:w="4615" w:type="dxa"/>
        <w:jc w:val="left"/>
        <w:tblInd w:w="0" w:type="dxa"/>
        <w:tblCellMar>
          <w:top w:w="0" w:type="dxa"/>
          <w:left w:w="0" w:type="dxa"/>
          <w:bottom w:w="0" w:type="dxa"/>
          <w:right w:w="0" w:type="dxa"/>
        </w:tblCellMar>
      </w:tblPr>
      <w:tblGrid>
        <w:gridCol w:w="60"/>
        <w:gridCol w:w="110"/>
        <w:gridCol w:w="44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4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nature, prevalence and severity of any side effects;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labeling or product insert requirements imposed by the FDA or other regulatory authorities, including any limitations or warnings contained in a product’s approved labeling; </w:t>
            </w:r>
          </w:p>
        </w:tc>
      </w:tr>
    </w:tbl>
    <w:tbl>
      <w:tblPr>
        <w:tblW w:w="4165" w:type="dxa"/>
        <w:jc w:val="left"/>
        <w:tblInd w:w="0" w:type="dxa"/>
        <w:tblCellMar>
          <w:top w:w="0" w:type="dxa"/>
          <w:left w:w="0" w:type="dxa"/>
          <w:bottom w:w="0" w:type="dxa"/>
          <w:right w:w="0" w:type="dxa"/>
        </w:tblCellMar>
      </w:tblPr>
      <w:tblGrid>
        <w:gridCol w:w="60"/>
        <w:gridCol w:w="110"/>
        <w:gridCol w:w="39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9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relative convenience and ease of administration; </w:t>
            </w:r>
          </w:p>
        </w:tc>
      </w:tr>
    </w:tbl>
    <w:tbl>
      <w:tblPr>
        <w:tblW w:w="4990" w:type="dxa"/>
        <w:jc w:val="left"/>
        <w:tblInd w:w="0" w:type="dxa"/>
        <w:tblCellMar>
          <w:top w:w="0" w:type="dxa"/>
          <w:left w:w="0" w:type="dxa"/>
          <w:bottom w:w="0" w:type="dxa"/>
          <w:right w:w="0" w:type="dxa"/>
        </w:tblCellMar>
      </w:tblPr>
      <w:tblGrid>
        <w:gridCol w:w="60"/>
        <w:gridCol w:w="110"/>
        <w:gridCol w:w="48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82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timing of market introduction of competitive products; </w:t>
            </w:r>
          </w:p>
        </w:tc>
      </w:tr>
    </w:tbl>
    <w:tbl>
      <w:tblPr>
        <w:tblW w:w="9790" w:type="dxa"/>
        <w:jc w:val="left"/>
        <w:tblInd w:w="0" w:type="dxa"/>
        <w:tblCellMar>
          <w:top w:w="0" w:type="dxa"/>
          <w:left w:w="0" w:type="dxa"/>
          <w:bottom w:w="0" w:type="dxa"/>
          <w:right w:w="0" w:type="dxa"/>
        </w:tblCellMar>
      </w:tblPr>
      <w:tblGrid>
        <w:gridCol w:w="60"/>
        <w:gridCol w:w="110"/>
        <w:gridCol w:w="96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62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adverse publicity concerning our product candidates or favorable publicity about competing products and treatments;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sufficient third-party payor coverage, any limitations in terms of center or personnel training requirement imposed by third parties and adequate reimbursement; </w:t>
            </w:r>
          </w:p>
        </w:tc>
      </w:tr>
    </w:tbl>
    <w:tbl>
      <w:tblPr>
        <w:tblW w:w="7675" w:type="dxa"/>
        <w:jc w:val="left"/>
        <w:tblInd w:w="0" w:type="dxa"/>
        <w:tblCellMar>
          <w:top w:w="0" w:type="dxa"/>
          <w:left w:w="0" w:type="dxa"/>
          <w:bottom w:w="0" w:type="dxa"/>
          <w:right w:w="0" w:type="dxa"/>
        </w:tblCellMar>
      </w:tblPr>
      <w:tblGrid>
        <w:gridCol w:w="60"/>
        <w:gridCol w:w="110"/>
        <w:gridCol w:w="75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5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limitations or warnings contained in the FDA-approved labeling for our product candidates; </w:t>
            </w:r>
          </w:p>
        </w:tc>
      </w:tr>
    </w:tbl>
    <w:tbl>
      <w:tblPr>
        <w:tblW w:w="3820" w:type="dxa"/>
        <w:jc w:val="left"/>
        <w:tblInd w:w="0" w:type="dxa"/>
        <w:tblCellMar>
          <w:top w:w="0" w:type="dxa"/>
          <w:left w:w="0" w:type="dxa"/>
          <w:bottom w:w="0" w:type="dxa"/>
          <w:right w:w="0" w:type="dxa"/>
        </w:tblCellMar>
      </w:tblPr>
      <w:tblGrid>
        <w:gridCol w:w="60"/>
        <w:gridCol w:w="110"/>
        <w:gridCol w:w="36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6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FDA requirement to undertake a REMS; </w:t>
            </w:r>
          </w:p>
        </w:tc>
      </w:tr>
    </w:tbl>
    <w:tbl>
      <w:tblPr>
        <w:tblW w:w="5770" w:type="dxa"/>
        <w:jc w:val="left"/>
        <w:tblInd w:w="0" w:type="dxa"/>
        <w:tblCellMar>
          <w:top w:w="0" w:type="dxa"/>
          <w:left w:w="0" w:type="dxa"/>
          <w:bottom w:w="0" w:type="dxa"/>
          <w:right w:w="0" w:type="dxa"/>
        </w:tblCellMar>
      </w:tblPr>
      <w:tblGrid>
        <w:gridCol w:w="60"/>
        <w:gridCol w:w="110"/>
        <w:gridCol w:w="56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60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effectiveness of our sales, marketing and distribution efforts; and </w:t>
            </w:r>
          </w:p>
        </w:tc>
      </w:tr>
    </w:tbl>
    <w:tbl>
      <w:tblPr>
        <w:tblW w:w="2965" w:type="dxa"/>
        <w:jc w:val="left"/>
        <w:tblInd w:w="0" w:type="dxa"/>
        <w:tblCellMar>
          <w:top w:w="0" w:type="dxa"/>
          <w:left w:w="0" w:type="dxa"/>
          <w:bottom w:w="0" w:type="dxa"/>
          <w:right w:w="0" w:type="dxa"/>
        </w:tblCellMar>
      </w:tblPr>
      <w:tblGrid>
        <w:gridCol w:w="60"/>
        <w:gridCol w:w="110"/>
        <w:gridCol w:w="27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27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potential product liability claims.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insurance coverage and reimbursement status of newly approved products is uncertain. Failure to obtain or maintain adequate coverage and reimbursement for our product candidates, if approved, could limit our ability to market such products and to generate product revenue.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CMS the agency responsible for administering Medicare. It is difficult to predict what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 It is difficult to predict what third-party payors will decide with respect to the coverage and reimbursement for our product candidates.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Healthcare reform initiatives and other administrative and legislative proposals may harm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(“the ACA”), was enacted, which substantially changed the way healthcare is financed by both governmental and private payors. Among the provisions of the ACA, those of greatest importance to the pharmaceutical and biotechnology industries include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new methodology by which rebates owed by manufacturers under the Medicaid Drug Rebate Program are calculated for drugs that are inhaled, infused, instilled, implanted or injected;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tc>
      </w:tr>
    </w:tbl>
    <w:tbl>
      <w:tblPr>
        <w:tblW w:w="4660" w:type="dxa"/>
        <w:jc w:val="left"/>
        <w:tblInd w:w="0" w:type="dxa"/>
        <w:tblCellMar>
          <w:top w:w="0" w:type="dxa"/>
          <w:left w:w="0" w:type="dxa"/>
          <w:bottom w:w="0" w:type="dxa"/>
          <w:right w:w="0" w:type="dxa"/>
        </w:tblCellMar>
      </w:tblPr>
      <w:tblGrid>
        <w:gridCol w:w="60"/>
        <w:gridCol w:w="110"/>
        <w:gridCol w:w="44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4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licensure framework for follow-on biologic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new Patient-Centered Outcomes Research Institute to oversee, identify priorities in, and conduct comparative clinical effectiveness research, along with funding for such research;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establishment of the CMS to test innovative payment and service delivery models to lower Medicare and Medicaid spending, potentially including prescription drug spending.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its enactment, there have been judicial and Congressional challenges to certain aspects of the ACA, and we expect there will be additional challenges and amendments to the ACA. For example, the Tax Cuts and Jobs Act of 2017 (the “Tax Act”)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eliminated, effective January 1, 2020, the ACA-mandated “Cadillac” tax on high-cost employer-sponsored health coverage and medical device tax and, effective January 1, 2021, also eliminated the health insurer. On December 14, 2018, a U.S. District Court Judge in the Northern District of Texas ruled that the individual mandate is an inseverable feature of the ACA, and therefore, because it was repealed as part of the Tax Act, the remaining provisions of the ACA are invalid as well. The U.S. Supreme Court is currently reviewing this case, but it is unknown when a decision will be reached.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March 31, 2021 due to the COVID-19 pandemic. Proposed legislation, if passed, would extend this suspension until the end of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Recent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Congress and the Trump administration have each indicated that it will continue to seek new legislative and/or administrative measures to control drug costs. On May 11, 2018, the Trump administration issued a plan to lower drug prices.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 On July 24, 2020 and September 13, 2020, former President Trump signed several executive orders aimed at lowering drug prices. As a result, the FDA released a final rule on September 24, 2020, effective November 30, 2020, providing guidance for states to build and submit importation plans for drugs from Canada. Further, on November 20, 2020, the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changes may adversely impact the prices we or our future collaborators may charge for our products candidates, if commercialized.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marketing approval or commercialization of our product candidates in one jurisdiction does not mean that we will be successful in obtaining marketing approval of our product candidates in other jurisdictions.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market approved products outside the United States, we expect that we will be subject to additional risks in commercialization, including: </w:t>
      </w:r>
    </w:p>
    <w:tbl>
      <w:tblPr>
        <w:tblW w:w="6625" w:type="dxa"/>
        <w:jc w:val="left"/>
        <w:tblInd w:w="0" w:type="dxa"/>
        <w:tblCellMar>
          <w:top w:w="0" w:type="dxa"/>
          <w:left w:w="0" w:type="dxa"/>
          <w:bottom w:w="0" w:type="dxa"/>
          <w:right w:w="0" w:type="dxa"/>
        </w:tblCellMar>
      </w:tblPr>
      <w:tblGrid>
        <w:gridCol w:w="60"/>
        <w:gridCol w:w="110"/>
        <w:gridCol w:w="645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45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different regulatory requirements for approval of therapies in foreign countries; </w:t>
            </w:r>
          </w:p>
        </w:tc>
      </w:tr>
    </w:tbl>
    <w:tbl>
      <w:tblPr>
        <w:tblW w:w="4315" w:type="dxa"/>
        <w:jc w:val="left"/>
        <w:tblInd w:w="0" w:type="dxa"/>
        <w:tblCellMar>
          <w:top w:w="0" w:type="dxa"/>
          <w:left w:w="0" w:type="dxa"/>
          <w:bottom w:w="0" w:type="dxa"/>
          <w:right w:w="0" w:type="dxa"/>
        </w:tblCellMar>
      </w:tblPr>
      <w:tblGrid>
        <w:gridCol w:w="60"/>
        <w:gridCol w:w="110"/>
        <w:gridCol w:w="41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1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reduced protection for intellectual property rights; </w:t>
            </w:r>
          </w:p>
        </w:tc>
      </w:tr>
    </w:tbl>
    <w:tbl>
      <w:tblPr>
        <w:tblW w:w="6130" w:type="dxa"/>
        <w:jc w:val="left"/>
        <w:tblInd w:w="0" w:type="dxa"/>
        <w:tblCellMar>
          <w:top w:w="0" w:type="dxa"/>
          <w:left w:w="0" w:type="dxa"/>
          <w:bottom w:w="0" w:type="dxa"/>
          <w:right w:w="0" w:type="dxa"/>
        </w:tblCellMar>
      </w:tblPr>
      <w:tblGrid>
        <w:gridCol w:w="60"/>
        <w:gridCol w:w="110"/>
        <w:gridCol w:w="59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96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unexpected changes in tariffs, trade barriers and regulatory requirements; </w:t>
            </w:r>
          </w:p>
        </w:tc>
      </w:tr>
    </w:tbl>
    <w:tbl>
      <w:tblPr>
        <w:tblW w:w="9010" w:type="dxa"/>
        <w:jc w:val="left"/>
        <w:tblInd w:w="0" w:type="dxa"/>
        <w:tblCellMar>
          <w:top w:w="0" w:type="dxa"/>
          <w:left w:w="0" w:type="dxa"/>
          <w:bottom w:w="0" w:type="dxa"/>
          <w:right w:w="0" w:type="dxa"/>
        </w:tblCellMar>
      </w:tblPr>
      <w:tblGrid>
        <w:gridCol w:w="60"/>
        <w:gridCol w:w="110"/>
        <w:gridCol w:w="884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84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economic weakness, including inflation, or political instability in particular foreign economies and markets; </w:t>
            </w:r>
          </w:p>
        </w:tc>
      </w:tr>
    </w:tbl>
    <w:tbl>
      <w:tblPr>
        <w:tblW w:w="8680" w:type="dxa"/>
        <w:jc w:val="left"/>
        <w:tblInd w:w="0" w:type="dxa"/>
        <w:tblCellMar>
          <w:top w:w="0" w:type="dxa"/>
          <w:left w:w="0" w:type="dxa"/>
          <w:bottom w:w="0" w:type="dxa"/>
          <w:right w:w="0" w:type="dxa"/>
        </w:tblCellMar>
      </w:tblPr>
      <w:tblGrid>
        <w:gridCol w:w="60"/>
        <w:gridCol w:w="110"/>
        <w:gridCol w:w="85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5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compliance with tax, employment, immigration and labor laws for employees living or traveling abroad;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foreign currency fluctuations, which could result in increased operating expenses and reduced revenues, and other obligations incident to doing business in another country; </w:t>
            </w:r>
          </w:p>
        </w:tc>
      </w:tr>
    </w:tbl>
    <w:tbl>
      <w:tblPr>
        <w:tblW w:w="4645" w:type="dxa"/>
        <w:jc w:val="left"/>
        <w:tblInd w:w="0" w:type="dxa"/>
        <w:tblCellMar>
          <w:top w:w="0" w:type="dxa"/>
          <w:left w:w="0" w:type="dxa"/>
          <w:bottom w:w="0" w:type="dxa"/>
          <w:right w:w="0" w:type="dxa"/>
        </w:tblCellMar>
      </w:tblPr>
      <w:tblGrid>
        <w:gridCol w:w="60"/>
        <w:gridCol w:w="110"/>
        <w:gridCol w:w="447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47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foreign reimbursement, pricing and insurance regimes; </w:t>
            </w:r>
          </w:p>
        </w:tc>
      </w:tr>
    </w:tbl>
    <w:tbl>
      <w:tblPr>
        <w:tblW w:w="8035" w:type="dxa"/>
        <w:jc w:val="left"/>
        <w:tblInd w:w="0" w:type="dxa"/>
        <w:tblCellMar>
          <w:top w:w="0" w:type="dxa"/>
          <w:left w:w="0" w:type="dxa"/>
          <w:bottom w:w="0" w:type="dxa"/>
          <w:right w:w="0" w:type="dxa"/>
        </w:tblCellMar>
      </w:tblPr>
      <w:tblGrid>
        <w:gridCol w:w="60"/>
        <w:gridCol w:w="110"/>
        <w:gridCol w:w="786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86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workforce uncertainty in countries where labor unrest is more common than in the United States; </w:t>
            </w:r>
          </w:p>
        </w:tc>
      </w:tr>
    </w:tbl>
    <w:tbl>
      <w:tblPr>
        <w:tblW w:w="9880" w:type="dxa"/>
        <w:jc w:val="left"/>
        <w:tblInd w:w="0" w:type="dxa"/>
        <w:tblCellMar>
          <w:top w:w="0" w:type="dxa"/>
          <w:left w:w="0" w:type="dxa"/>
          <w:bottom w:w="0" w:type="dxa"/>
          <w:right w:w="0" w:type="dxa"/>
        </w:tblCellMar>
      </w:tblPr>
      <w:tblGrid>
        <w:gridCol w:w="60"/>
        <w:gridCol w:w="110"/>
        <w:gridCol w:w="97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7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production shortages resulting from any events affecting raw material supply or manufacturing capabilities abroad;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business interruptions resulting from geopolitical actions, including war and terrorism, natural disasters including earthquakes, typhoons, floods and fires, and other public health crises, illnesses, epidemics or pandemics, such as the potential impact of the COVID-19 outbreak.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operations and relationships with investigators, healthcare professionals, consultants, third-party payors, patient organizations and customers will be subject to applicable fraud and abuse and other healthcare laws and regulations, which could expose us to penalties.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fail to comply with evolving European and other privacy laws.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Common Stock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The market price for our common stock may be volatile, which could contribute to the loss of all or part of your investment.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trading price of our common stock is likely to be highly volatile and subject to wide fluctuations in response to various factors, some of which are beyond our control.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Factors affecting the trading price of our common stock may include, but are not limited to: </w:t>
      </w:r>
    </w:p>
    <w:tbl>
      <w:tblPr>
        <w:tblW w:w="9250" w:type="dxa"/>
        <w:jc w:val="left"/>
        <w:tblInd w:w="0" w:type="dxa"/>
        <w:tblCellMar>
          <w:top w:w="0" w:type="dxa"/>
          <w:left w:w="0" w:type="dxa"/>
          <w:bottom w:w="0" w:type="dxa"/>
          <w:right w:w="0" w:type="dxa"/>
        </w:tblCellMar>
      </w:tblPr>
      <w:tblGrid>
        <w:gridCol w:w="60"/>
        <w:gridCol w:w="110"/>
        <w:gridCol w:w="908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08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decision to initiate a clinical study, not to initiate a clinical study or to terminate an existing clinical study; </w:t>
            </w:r>
          </w:p>
        </w:tc>
      </w:tr>
    </w:tbl>
    <w:tbl>
      <w:tblPr>
        <w:tblW w:w="7885" w:type="dxa"/>
        <w:jc w:val="left"/>
        <w:tblInd w:w="0" w:type="dxa"/>
        <w:tblCellMar>
          <w:top w:w="0" w:type="dxa"/>
          <w:left w:w="0" w:type="dxa"/>
          <w:bottom w:w="0" w:type="dxa"/>
          <w:right w:w="0" w:type="dxa"/>
        </w:tblCellMar>
      </w:tblPr>
      <w:tblGrid>
        <w:gridCol w:w="60"/>
        <w:gridCol w:w="110"/>
        <w:gridCol w:w="771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71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adverse regulatory decisions, including failure to receive regulatory approval for our products; </w:t>
            </w:r>
          </w:p>
        </w:tc>
      </w:tr>
    </w:tbl>
    <w:tbl>
      <w:tblPr>
        <w:tblW w:w="8440" w:type="dxa"/>
        <w:jc w:val="left"/>
        <w:tblInd w:w="0" w:type="dxa"/>
        <w:tblCellMar>
          <w:top w:w="0" w:type="dxa"/>
          <w:left w:w="0" w:type="dxa"/>
          <w:bottom w:w="0" w:type="dxa"/>
          <w:right w:w="0" w:type="dxa"/>
        </w:tblCellMar>
      </w:tblPr>
      <w:tblGrid>
        <w:gridCol w:w="60"/>
        <w:gridCol w:w="110"/>
        <w:gridCol w:w="827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2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success or failure of competitive products, immunotherapy drugs or cellular therapies more generally; </w:t>
            </w:r>
          </w:p>
        </w:tc>
      </w:tr>
    </w:tbl>
    <w:tbl>
      <w:tblPr>
        <w:tblW w:w="6850" w:type="dxa"/>
        <w:jc w:val="left"/>
        <w:tblInd w:w="0" w:type="dxa"/>
        <w:tblCellMar>
          <w:top w:w="0" w:type="dxa"/>
          <w:left w:w="0" w:type="dxa"/>
          <w:bottom w:w="0" w:type="dxa"/>
          <w:right w:w="0" w:type="dxa"/>
        </w:tblCellMar>
      </w:tblPr>
      <w:tblGrid>
        <w:gridCol w:w="60"/>
        <w:gridCol w:w="110"/>
        <w:gridCol w:w="668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68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adverse developments concerning our manufacturers or our strategic partnerships;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tc>
      </w:tr>
    </w:tbl>
    <w:tbl>
      <w:tblPr>
        <w:tblW w:w="8035" w:type="dxa"/>
        <w:jc w:val="left"/>
        <w:tblInd w:w="0" w:type="dxa"/>
        <w:tblCellMar>
          <w:top w:w="0" w:type="dxa"/>
          <w:left w:w="0" w:type="dxa"/>
          <w:bottom w:w="0" w:type="dxa"/>
          <w:right w:w="0" w:type="dxa"/>
        </w:tblCellMar>
      </w:tblPr>
      <w:tblGrid>
        <w:gridCol w:w="60"/>
        <w:gridCol w:w="110"/>
        <w:gridCol w:w="786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86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operating and stock price performance of other companies that investors deem comparable to us;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of substantial amounts of common stock by our directors, executive officers or significant stockholders or the perception that such sales could occur;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economic and political conditions such as recessions, interest rates, fuel prices, elections, drug pricing policies, international currency fluctuations, acts of war or terrorism, and other public health crises, illnesses, epidemics or pandemics, such as the potential impact of the COVID-19 outbreak; and </w:t>
            </w:r>
          </w:p>
        </w:tc>
      </w:tr>
    </w:tbl>
    <w:tbl>
      <w:tblPr>
        <w:tblW w:w="3715" w:type="dxa"/>
        <w:jc w:val="left"/>
        <w:tblInd w:w="0" w:type="dxa"/>
        <w:tblCellMar>
          <w:top w:w="0" w:type="dxa"/>
          <w:left w:w="0" w:type="dxa"/>
          <w:bottom w:w="0" w:type="dxa"/>
          <w:right w:w="0" w:type="dxa"/>
        </w:tblCellMar>
      </w:tblPr>
      <w:tblGrid>
        <w:gridCol w:w="60"/>
        <w:gridCol w:w="110"/>
        <w:gridCol w:w="35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35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 factors discussed in these risk factors.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example, the trading prices for common stock of other biopharmaceutical and biotechnology companies have been highly volatile as a result of the COVID-19 pandemic. The COVID-19 outbreak continues to rapidly evolve. The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Concentration of ownership of our shares of common stock among our existing executive officers, directors and principal stockholders may prevent new investors from influencing significant corporate decisions.*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August 9, 2021, our directors and executive officers, and entities affiliated with them, as well as holders of more than 5% of our outstanding shares of common stock, in the aggregate beneficially own 63%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 significant portion of our total outstanding shares are eligible to be sold into the market, which could cause the market price of our common stock to drop significantly.*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August 9, 2021, we had 32,906,550 shares of common stock outstanding.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Holders of an aggregate of 14,689,215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are an “emerging growth company” under the Jumpstart Our Business Startups Act, or JOBS Act, and a “smaller reporting company” and we rely on exemptions from certain disclosure and governance requirements applicable to emerging growth companies and smaller reporting companies, as a result of which our common stock may be less attractive to investors.*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$1.07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taken advantage of reduced reporting burdens in this Quarterly Report on Form 10-Q. In addition, Section 107 of the JOBS Act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We have an irrevocable election not to take advantage of the benefits of this extended transition period.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after either (i) the market value of our stock held by non-affiliates is less than $250 million or (ii) our annual revenue is less than $100 million during the most recently completed fiscal year and the market value of our stock held by non-affiliates is less than $700 million.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severance and change in control agreements with our executive officers may require us to pay severance benefits to any of those persons who are terminated, which could materially adversely affect our financial condition or results of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ability to use our net operating loss carryovers and certain other tax attributes may be limited.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or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do not expect to pay any cash dividends to the holders of our common stock for the foreseeable future.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certificate of incorporation, bylaws and Delaware law contain provisions that may have the effect of delaying or preventing a change in control of us or changes in our management. Our certificate of incorporation and bylaws include provisions that:</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authorize “blank check” preferred stock, which could be issued by our board of directors without stockholder approval and may contain voting, liquidation, dividend and other rights superior to our common stock;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10" w:type="dxa"/>
            <w:tcBorders/>
            <w:shd w:fill="auto" w:val="clear"/>
          </w:tcPr>
          <w:p>
            <w:pPr>
              <w:pStyle w:val="TableContents"/>
              <w:spacing w:before="0" w:after="0"/>
              <w:rPr>
                <w:caps w:val="false"/>
                <w:smallCaps w:val="false"/>
              </w:rPr>
            </w:pPr>
            <w:r>
              <w:rPr>
                <w:caps w:val="false"/>
                <w:smallCaps w:val="false"/>
              </w:rPr>
              <w:t>•</w:t>
            </w:r>
          </w:p>
        </w:tc>
        <w:tc>
          <w:tcPr>
            <w:tcW w:w="1003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 a classified board of directors such that not all members of the board are elected at one time, which may delay the ability of our stockholders to change the membership of a majority of our board of directors;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10" w:type="dxa"/>
            <w:tcBorders/>
            <w:shd w:fill="auto" w:val="clear"/>
          </w:tcPr>
          <w:p>
            <w:pPr>
              <w:pStyle w:val="TableContents"/>
              <w:spacing w:before="0" w:after="0"/>
              <w:rPr>
                <w:caps w:val="false"/>
                <w:smallCaps w:val="false"/>
              </w:rPr>
            </w:pPr>
            <w:r>
              <w:rPr>
                <w:caps w:val="false"/>
                <w:smallCaps w:val="false"/>
              </w:rPr>
              <w:t>•</w:t>
            </w:r>
          </w:p>
        </w:tc>
        <w:tc>
          <w:tcPr>
            <w:tcW w:w="1003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specify that only our board of directors, the Chairperson of our board of directors, our Chief Executive Officer or the President, or holders of greater than 10% of our common stock can call special meetings of our stockholders;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10" w:type="dxa"/>
            <w:tcBorders/>
            <w:shd w:fill="auto" w:val="clear"/>
          </w:tcPr>
          <w:p>
            <w:pPr>
              <w:pStyle w:val="TableContents"/>
              <w:spacing w:before="0" w:after="0"/>
              <w:rPr>
                <w:caps w:val="false"/>
                <w:smallCaps w:val="false"/>
              </w:rPr>
            </w:pPr>
            <w:r>
              <w:rPr>
                <w:caps w:val="false"/>
                <w:smallCaps w:val="false"/>
              </w:rPr>
              <w:t>•</w:t>
            </w:r>
          </w:p>
        </w:tc>
        <w:tc>
          <w:tcPr>
            <w:tcW w:w="1003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establish an advance notice procedure for stockholder approvals to be brought before an annual meeting of our stockholders, including proposed nominations of persons for election to our board of directors;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provide that a majority of directors then in office, even though less than a quorum, may fill vacancies on our board of directors; </w:t>
            </w:r>
          </w:p>
        </w:tc>
      </w:tr>
    </w:tbl>
    <w:tbl>
      <w:tblPr>
        <w:tblW w:w="7195" w:type="dxa"/>
        <w:jc w:val="left"/>
        <w:tblInd w:w="0" w:type="dxa"/>
        <w:tblCellMar>
          <w:top w:w="0" w:type="dxa"/>
          <w:left w:w="0" w:type="dxa"/>
          <w:bottom w:w="0" w:type="dxa"/>
          <w:right w:w="0" w:type="dxa"/>
        </w:tblCellMar>
      </w:tblPr>
      <w:tblGrid>
        <w:gridCol w:w="60"/>
        <w:gridCol w:w="110"/>
        <w:gridCol w:w="70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02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specify that no stockholder is permitted to cumulate votes at any election of directors; </w:t>
            </w:r>
          </w:p>
        </w:tc>
      </w:tr>
    </w:tbl>
    <w:tbl>
      <w:tblPr>
        <w:tblW w:w="6970" w:type="dxa"/>
        <w:jc w:val="left"/>
        <w:tblInd w:w="0" w:type="dxa"/>
        <w:tblCellMar>
          <w:top w:w="0" w:type="dxa"/>
          <w:left w:w="0" w:type="dxa"/>
          <w:bottom w:w="0" w:type="dxa"/>
          <w:right w:w="0" w:type="dxa"/>
        </w:tblCellMar>
      </w:tblPr>
      <w:tblGrid>
        <w:gridCol w:w="60"/>
        <w:gridCol w:w="110"/>
        <w:gridCol w:w="68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80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expressly authorize our board of directors to modify, alter or repeal our bylaws;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require supermajority votes of the holders of our common stock to amend specified provisions of our Certificate of Incorporation and bylaws.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provisions, alone or together, could delay or prevent hostile takeovers and changes in control or changes in our management.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certificate of incorporation includes a forum selection clause, which could limit our stockholders’ ability to obtain a favorable judicial forum for disputes with us.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tbl>
      <w:tblPr>
        <w:tblW w:w="4660" w:type="dxa"/>
        <w:jc w:val="left"/>
        <w:tblInd w:w="0" w:type="dxa"/>
        <w:tblCellMar>
          <w:top w:w="0" w:type="dxa"/>
          <w:left w:w="0" w:type="dxa"/>
          <w:bottom w:w="0" w:type="dxa"/>
          <w:right w:w="0" w:type="dxa"/>
        </w:tblCellMar>
      </w:tblPr>
      <w:tblGrid>
        <w:gridCol w:w="60"/>
        <w:gridCol w:w="110"/>
        <w:gridCol w:w="44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4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derivative action or proceeding brought on our behalf;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action asserting a claim of breach of a fiduciary duty owed by any of our directors, officers or other employees to us or our stockholders;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action asserting a claim against us arising pursuant to any provision of the Delaware General Corporation Law, our certificate of incorporation or our bylaws; or </w:t>
            </w:r>
          </w:p>
        </w:tc>
      </w:tr>
    </w:tbl>
    <w:tbl>
      <w:tblPr>
        <w:tblW w:w="7345" w:type="dxa"/>
        <w:jc w:val="left"/>
        <w:tblInd w:w="0" w:type="dxa"/>
        <w:tblCellMar>
          <w:top w:w="0" w:type="dxa"/>
          <w:left w:w="0" w:type="dxa"/>
          <w:bottom w:w="0" w:type="dxa"/>
          <w:right w:w="0" w:type="dxa"/>
        </w:tblCellMar>
      </w:tblPr>
      <w:tblGrid>
        <w:gridCol w:w="60"/>
        <w:gridCol w:w="110"/>
        <w:gridCol w:w="717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17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 action asserting a claim against us that is governed by the internal affairs doctrine.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General Risk Factors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Any acquisitions or strategic collaborations may increase our capital requirements, dilute our stockholders, cause us to incur debt or assume contingent liabilities or subject us to other risks.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tbl>
      <w:tblPr>
        <w:tblW w:w="4510" w:type="dxa"/>
        <w:jc w:val="left"/>
        <w:tblInd w:w="0" w:type="dxa"/>
        <w:tblCellMar>
          <w:top w:w="0" w:type="dxa"/>
          <w:left w:w="0" w:type="dxa"/>
          <w:bottom w:w="0" w:type="dxa"/>
          <w:right w:w="0" w:type="dxa"/>
        </w:tblCellMar>
      </w:tblPr>
      <w:tblGrid>
        <w:gridCol w:w="60"/>
        <w:gridCol w:w="110"/>
        <w:gridCol w:w="434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434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increased operating expenses and cash requirements; </w:t>
            </w:r>
          </w:p>
        </w:tc>
      </w:tr>
    </w:tbl>
    <w:tbl>
      <w:tblPr>
        <w:tblW w:w="5830" w:type="dxa"/>
        <w:jc w:val="left"/>
        <w:tblInd w:w="0" w:type="dxa"/>
        <w:tblCellMar>
          <w:top w:w="0" w:type="dxa"/>
          <w:left w:w="0" w:type="dxa"/>
          <w:bottom w:w="0" w:type="dxa"/>
          <w:right w:w="0" w:type="dxa"/>
        </w:tblCellMar>
      </w:tblPr>
      <w:tblGrid>
        <w:gridCol w:w="60"/>
        <w:gridCol w:w="110"/>
        <w:gridCol w:w="56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66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assumption of indebtedness or contingent or unknown liabilities;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assimilation of operations, intellectual property and drugs of an acquired company, including difficulties associated with integrating new personnel; </w:t>
            </w:r>
          </w:p>
        </w:tc>
      </w:tr>
    </w:tbl>
    <w:tbl>
      <w:tblPr>
        <w:tblW w:w="7945" w:type="dxa"/>
        <w:jc w:val="left"/>
        <w:tblInd w:w="0" w:type="dxa"/>
        <w:tblCellMar>
          <w:top w:w="0" w:type="dxa"/>
          <w:left w:w="0" w:type="dxa"/>
          <w:bottom w:w="0" w:type="dxa"/>
          <w:right w:w="0" w:type="dxa"/>
        </w:tblCellMar>
      </w:tblPr>
      <w:tblGrid>
        <w:gridCol w:w="60"/>
        <w:gridCol w:w="110"/>
        <w:gridCol w:w="777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77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adequately prosecuting and maintaining protection of any acquired intellectual property rights;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diversion of our management’s attention from our existing drug programs and initiatives in pursuing such a strategic partnership, merger or acquisition;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retention of key employees, the loss of key personnel, and uncertainties about our ability to maintain key business relationships;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risks and uncertainties associated with the other party to such a transaction, including the prospects of that party and their existing drugs or product candidates and regulatory approvals;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could be subject to securities class action litigation.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securities analysts do not publish research or reports about our business or if they publish negative reports or downgrade our stock, the price of our common stock could decline.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incur significant increased costs as a result of operating as a public company, and our management is required to devote substantial time to new compliance initiatives.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Sarbanes-Oxley Act requires, among other things, that we maintain effective internal control over financial reporting and disclosure controls and procedures following an initial transition period available to public companies. In particular, beginning with our fiscal year ending December 31, 2021,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will be required to report upon the effectiveness of our internal control over financial reporting beginning with the annual report for our fiscal year ending December 31, 2021.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disclosure controls and procedures may not prevent or detect all errors or acts of fraud.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Changes to, or interpretations of, financial accounting standards may affect our results of operations and could cause us to change our business practices.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Computer system interruptions or security breaches could significantly disrupt our product development programs and our ability to operate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internal computer systems, cloud-based computing services and those of our current and any future collaborators and other contractors or consultants are vulnerable to damage or interruption from computer viruses, ransomware, malware, data corruption, cyber-based attacks, unauthorized access, natural disasters, terrorism, war and telecommunication and electrical failures. If a significant system failure, accident or security breach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California Consumer Protection Act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pStyle w:val="TextBody"/>
        <w:spacing w:before="360" w:after="0"/>
        <w:rPr>
          <w:rFonts w:ascii="Times New Roman" w:hAnsi="Times New Roman"/>
          <w:b/>
          <w:i w:val="false"/>
          <w:caps w:val="false"/>
          <w:smallCaps w:val="false"/>
          <w:sz w:val="20"/>
        </w:rPr>
      </w:pPr>
      <w:bookmarkStart w:id="15" w:name="ITEM_2_UNREGISTERED_SALES_EQUITY_SECURIT"/>
      <w:bookmarkEnd w:id="15"/>
      <w:r>
        <w:rPr>
          <w:rFonts w:ascii="Times New Roman" w:hAnsi="Times New Roman"/>
          <w:b/>
          <w:i w:val="false"/>
          <w:caps w:val="false"/>
          <w:smallCaps w:val="false"/>
          <w:sz w:val="20"/>
        </w:rPr>
        <w:t>Item 2. Unregistered Sales of Equity Securities and Use of Proceeds.</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Recent Sales of Unregistered Securities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were no unregistered sales of equity securities during the period covered by this report.</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Use of Proceeds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July 14, 2020, we completed our IPO. Our registration statement on Form S-1 (File No. 333-239301) relating to the IPO was declared effective by the SEC on July 9, 2020.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has been no material change in the planned use of proceeds from our IPO as described in our final prospectus filed with the SEC on July 13, 2020 pursuant to Rule 424(b)(4) under the Securities Act. As of June 30, 2021, we have not used any of the proceeds from our IPO.  We invested the funds received in cash equivalents and other marketable securities in accordance with our investment policy.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Repurchase of Shares of Company Equity Securities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None. </w:t>
      </w:r>
    </w:p>
    <w:p>
      <w:pPr>
        <w:pStyle w:val="TextBody"/>
        <w:spacing w:before="360" w:after="0"/>
        <w:rPr>
          <w:rFonts w:ascii="Times New Roman" w:hAnsi="Times New Roman"/>
          <w:b/>
          <w:i w:val="false"/>
          <w:caps w:val="false"/>
          <w:smallCaps w:val="false"/>
          <w:sz w:val="20"/>
        </w:rPr>
      </w:pPr>
      <w:bookmarkStart w:id="16" w:name="ITEM_3_DEFAULTS_UPON_SENIOR_SECURITIES"/>
      <w:bookmarkEnd w:id="16"/>
      <w:r>
        <w:rPr>
          <w:rFonts w:ascii="Times New Roman" w:hAnsi="Times New Roman"/>
          <w:b/>
          <w:i w:val="false"/>
          <w:caps w:val="false"/>
          <w:smallCaps w:val="false"/>
          <w:sz w:val="20"/>
        </w:rPr>
        <w:t>Item 3. Defaults Upon Senior Securities.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None</w:t>
      </w:r>
      <w:r>
        <w:rPr>
          <w:rFonts w:ascii="Times New Roman" w:hAnsi="Times New Roman"/>
          <w:b w:val="false"/>
          <w:i w:val="false"/>
          <w:caps w:val="false"/>
          <w:smallCaps w:val="false"/>
          <w:color w:val="000000"/>
          <w:sz w:val="20"/>
          <w:highlight w:val="white"/>
        </w:rPr>
        <w:t xml:space="preserve">. </w:t>
      </w:r>
    </w:p>
    <w:p>
      <w:pPr>
        <w:pStyle w:val="TextBody"/>
        <w:spacing w:before="360" w:after="0"/>
        <w:rPr>
          <w:rFonts w:ascii="Times New Roman" w:hAnsi="Times New Roman"/>
          <w:b/>
          <w:i w:val="false"/>
          <w:caps w:val="false"/>
          <w:smallCaps w:val="false"/>
          <w:sz w:val="20"/>
        </w:rPr>
      </w:pPr>
      <w:bookmarkStart w:id="17" w:name="ITEM_4_MINE_SAFETY_DISCLOSURES"/>
      <w:bookmarkEnd w:id="17"/>
      <w:r>
        <w:rPr>
          <w:rFonts w:ascii="Times New Roman" w:hAnsi="Times New Roman"/>
          <w:b/>
          <w:i w:val="false"/>
          <w:caps w:val="false"/>
          <w:smallCaps w:val="false"/>
          <w:sz w:val="20"/>
        </w:rPr>
        <w:t>Item 4. Mine Safety Disclosures.</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Not applicable.</w:t>
      </w:r>
    </w:p>
    <w:p>
      <w:pPr>
        <w:pStyle w:val="TextBody"/>
        <w:spacing w:before="360" w:after="0"/>
        <w:rPr>
          <w:rFonts w:ascii="Times New Roman" w:hAnsi="Times New Roman"/>
          <w:b/>
          <w:i w:val="false"/>
          <w:caps w:val="false"/>
          <w:smallCaps w:val="false"/>
          <w:sz w:val="20"/>
        </w:rPr>
      </w:pPr>
      <w:bookmarkStart w:id="18" w:name="ITEM_5_OR_INFORMATION"/>
      <w:bookmarkEnd w:id="18"/>
      <w:r>
        <w:rPr>
          <w:rFonts w:ascii="Times New Roman" w:hAnsi="Times New Roman"/>
          <w:b/>
          <w:i w:val="false"/>
          <w:caps w:val="false"/>
          <w:smallCaps w:val="false"/>
          <w:sz w:val="20"/>
        </w:rPr>
        <w:t>Item 5. Other Information.</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None.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9" w:name="ITEM_6_EXHIBITS"/>
      <w:bookmarkEnd w:id="19"/>
      <w:r>
        <w:rPr>
          <w:rFonts w:ascii="Times New Roman" w:hAnsi="Times New Roman"/>
          <w:b/>
          <w:i w:val="false"/>
          <w:caps w:val="false"/>
          <w:smallCaps w:val="false"/>
          <w:sz w:val="20"/>
        </w:rPr>
        <w:t xml:space="preserve">Item 6. Exhibits. </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669"/>
        <w:gridCol w:w="60"/>
        <w:gridCol w:w="7202"/>
        <w:gridCol w:w="425"/>
        <w:gridCol w:w="691"/>
        <w:gridCol w:w="545"/>
        <w:gridCol w:w="613"/>
      </w:tblGrid>
      <w:tr>
        <w:trPr/>
        <w:tc>
          <w:tcPr>
            <w:tcW w:w="669"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60" w:type="dxa"/>
            <w:tcBorders>
              <w:bottom w:val="single" w:sz="6" w:space="0" w:color="000000"/>
            </w:tcBorders>
            <w:shd w:fill="FFFFFF" w:val="clear"/>
            <w:vAlign w:val="bottom"/>
          </w:tcPr>
          <w:p>
            <w:pPr>
              <w:pStyle w:val="TableContents"/>
              <w:spacing w:before="0" w:after="0"/>
              <w:ind w:left="0" w:right="0" w:hanging="0"/>
              <w:rPr/>
            </w:pPr>
            <w:r>
              <w:rPr/>
              <w:t> </w:t>
            </w:r>
          </w:p>
        </w:tc>
        <w:tc>
          <w:tcPr>
            <w:tcW w:w="7202"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2274" w:type="dxa"/>
            <w:gridSpan w:val="4"/>
            <w:tcBorders>
              <w:bottom w:val="single" w:sz="6" w:space="0" w:color="000000"/>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Incorporated by Reference</w:t>
            </w:r>
          </w:p>
        </w:tc>
      </w:tr>
      <w:tr>
        <w:trPr/>
        <w:tc>
          <w:tcPr>
            <w:tcW w:w="669"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Exhibit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02"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Description</w:t>
            </w:r>
          </w:p>
        </w:tc>
        <w:tc>
          <w:tcPr>
            <w:tcW w:w="425" w:type="dxa"/>
            <w:tcBorders>
              <w:bottom w:val="single" w:sz="6" w:space="0" w:color="000000"/>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Form</w:t>
            </w:r>
          </w:p>
        </w:tc>
        <w:tc>
          <w:tcPr>
            <w:tcW w:w="691" w:type="dxa"/>
            <w:tcBorders>
              <w:bottom w:val="single" w:sz="6" w:space="0" w:color="000000"/>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File No.</w:t>
            </w:r>
          </w:p>
        </w:tc>
        <w:tc>
          <w:tcPr>
            <w:tcW w:w="545" w:type="dxa"/>
            <w:tcBorders>
              <w:bottom w:val="single" w:sz="6" w:space="0" w:color="000000"/>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Exhibit</w:t>
            </w:r>
          </w:p>
        </w:tc>
        <w:tc>
          <w:tcPr>
            <w:tcW w:w="613" w:type="dxa"/>
            <w:tcBorders>
              <w:bottom w:val="single" w:sz="6" w:space="0" w:color="000000"/>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Filing Date</w:t>
            </w:r>
          </w:p>
        </w:tc>
      </w:tr>
      <w:tr>
        <w:trPr/>
        <w:tc>
          <w:tcPr>
            <w:tcW w:w="6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tcPr>
          <w:p>
            <w:pPr>
              <w:pStyle w:val="TableContents"/>
              <w:spacing w:before="0" w:after="0"/>
              <w:ind w:left="0" w:right="0" w:hanging="0"/>
              <w:rPr/>
            </w:pPr>
            <w:r>
              <w:rPr/>
              <w:t> </w:t>
            </w:r>
          </w:p>
        </w:tc>
        <w:tc>
          <w:tcPr>
            <w:tcW w:w="691" w:type="dxa"/>
            <w:tcBorders/>
            <w:shd w:fill="FFFFFF" w:val="clear"/>
            <w:tcMar>
              <w:bottom w:w="0" w:type="dxa"/>
            </w:tcMar>
          </w:tcPr>
          <w:p>
            <w:pPr>
              <w:pStyle w:val="TableContents"/>
              <w:spacing w:before="0" w:after="0"/>
              <w:ind w:left="0" w:right="0" w:hanging="0"/>
              <w:rPr/>
            </w:pPr>
            <w:r>
              <w:rPr/>
              <w:t> </w:t>
            </w:r>
          </w:p>
        </w:tc>
        <w:tc>
          <w:tcPr>
            <w:tcW w:w="545" w:type="dxa"/>
            <w:tcBorders/>
            <w:shd w:fill="FFFFFF" w:val="clear"/>
            <w:tcMar>
              <w:bottom w:w="0" w:type="dxa"/>
            </w:tcMar>
          </w:tcPr>
          <w:p>
            <w:pPr>
              <w:pStyle w:val="TableContents"/>
              <w:spacing w:before="0" w:after="0"/>
              <w:ind w:left="0" w:right="0" w:hanging="0"/>
              <w:rPr/>
            </w:pPr>
            <w:r>
              <w:rPr/>
              <w:t> </w:t>
            </w:r>
          </w:p>
        </w:tc>
        <w:tc>
          <w:tcPr>
            <w:tcW w:w="613" w:type="dxa"/>
            <w:tcBorders/>
            <w:shd w:fill="FFFFFF" w:val="clear"/>
            <w:tcMar>
              <w:bottom w:w="0" w:type="dxa"/>
            </w:tcMar>
          </w:tcPr>
          <w:p>
            <w:pPr>
              <w:pStyle w:val="TableContents"/>
              <w:spacing w:before="0" w:after="0"/>
              <w:ind w:left="0" w:right="0" w:hanging="0"/>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3.1</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120"/>
              <w:ind w:left="0" w:right="0" w:hanging="0"/>
              <w:rPr/>
            </w:pPr>
            <w:hyperlink r:id="rId2">
              <w:r>
                <w:rPr>
                  <w:rStyle w:val="InternetLink"/>
                  <w:rFonts w:ascii="Times New Roman" w:hAnsi="Times New Roman"/>
                  <w:b w:val="false"/>
                  <w:i w:val="false"/>
                  <w:caps w:val="false"/>
                  <w:smallCaps w:val="false"/>
                  <w:sz w:val="20"/>
                  <w:u w:val="single"/>
                </w:rPr>
                <w:t>Amended and Restated Certificate of Incorporation of Nkarta, Inc.</w:t>
              </w:r>
            </w:hyperlink>
          </w:p>
        </w:tc>
        <w:tc>
          <w:tcPr>
            <w:tcW w:w="42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91"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c>
          <w:tcPr>
            <w:tcW w:w="613"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7/14/2020</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3.2</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120"/>
              <w:ind w:left="0" w:right="0" w:hanging="0"/>
              <w:rPr/>
            </w:pPr>
            <w:hyperlink r:id="rId3">
              <w:r>
                <w:rPr>
                  <w:rStyle w:val="InternetLink"/>
                  <w:rFonts w:ascii="Times New Roman" w:hAnsi="Times New Roman"/>
                  <w:b w:val="false"/>
                  <w:i w:val="false"/>
                  <w:caps w:val="false"/>
                  <w:smallCaps w:val="false"/>
                  <w:sz w:val="20"/>
                  <w:u w:val="single"/>
                </w:rPr>
                <w:t>Amended and Restated Bylaws of Nkarta, Inc.</w:t>
              </w:r>
            </w:hyperlink>
          </w:p>
        </w:tc>
        <w:tc>
          <w:tcPr>
            <w:tcW w:w="42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91"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tc>
        <w:tc>
          <w:tcPr>
            <w:tcW w:w="613"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7/14/2020</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120"/>
              <w:ind w:left="0" w:right="0" w:hanging="0"/>
              <w:rPr/>
            </w:pPr>
            <w:hyperlink w:anchor="nktx-ex101_6.htm">
              <w:r>
                <w:rPr>
                  <w:rStyle w:val="InternetLink"/>
                  <w:rFonts w:ascii="Times New Roman" w:hAnsi="Times New Roman"/>
                  <w:b w:val="false"/>
                  <w:i w:val="false"/>
                  <w:caps w:val="false"/>
                  <w:smallCaps w:val="false"/>
                  <w:sz w:val="20"/>
                  <w:u w:val="single"/>
                </w:rPr>
                <w:t>Research Collaboration Agreement, dated May 5, 2021, by and between Nkarta, Inc. and CRISPR Therapeutics AG</w:t>
              </w:r>
            </w:hyperlink>
          </w:p>
        </w:tc>
        <w:tc>
          <w:tcPr>
            <w:tcW w:w="425" w:type="dxa"/>
            <w:tcBorders/>
            <w:shd w:fill="FFFFFF" w:val="clear"/>
            <w:tcMar>
              <w:bottom w:w="0" w:type="dxa"/>
            </w:tcMar>
          </w:tcPr>
          <w:p>
            <w:pPr>
              <w:pStyle w:val="TableContents"/>
              <w:spacing w:before="0" w:after="0"/>
              <w:ind w:left="0" w:right="0" w:hanging="0"/>
              <w:jc w:val="center"/>
              <w:rPr/>
            </w:pPr>
            <w:r>
              <w:rPr/>
              <w:t> </w:t>
            </w:r>
          </w:p>
        </w:tc>
        <w:tc>
          <w:tcPr>
            <w:tcW w:w="691"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13" w:type="dxa"/>
            <w:tcBorders/>
            <w:shd w:fill="FFFFFF" w:val="clear"/>
            <w:tcMar>
              <w:bottom w:w="0" w:type="dxa"/>
            </w:tcMar>
          </w:tcPr>
          <w:p>
            <w:pPr>
              <w:pStyle w:val="TableContents"/>
              <w:spacing w:before="0" w:after="0"/>
              <w:ind w:left="0" w:right="0" w:hanging="0"/>
              <w:jc w:val="center"/>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10.2</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120"/>
              <w:ind w:left="0" w:right="0" w:hanging="0"/>
              <w:rPr/>
            </w:pPr>
            <w:hyperlink r:id="rId4">
              <w:r>
                <w:rPr>
                  <w:rStyle w:val="InternetLink"/>
                  <w:rFonts w:ascii="Times New Roman" w:hAnsi="Times New Roman"/>
                  <w:b w:val="false"/>
                  <w:i w:val="false"/>
                  <w:caps w:val="false"/>
                  <w:smallCaps w:val="false"/>
                  <w:sz w:val="20"/>
                  <w:u w:val="single"/>
                </w:rPr>
                <w:t xml:space="preserve">Lease, dated July 9, 2021, by and between HCP BTC, LLC and Nkarta, Inc. </w:t>
              </w:r>
            </w:hyperlink>
          </w:p>
        </w:tc>
        <w:tc>
          <w:tcPr>
            <w:tcW w:w="42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91"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13"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7/14/2021</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31.1*</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120"/>
              <w:ind w:left="0" w:right="0" w:hanging="0"/>
              <w:rPr/>
            </w:pPr>
            <w:hyperlink w:anchor="nktx-ex311_12.htm">
              <w:r>
                <w:rPr>
                  <w:rStyle w:val="InternetLink"/>
                  <w:rFonts w:ascii="Times New Roman" w:hAnsi="Times New Roman"/>
                  <w:b w:val="false"/>
                  <w:i w:val="false"/>
                  <w:caps w:val="false"/>
                  <w:smallCaps w:val="false"/>
                  <w:sz w:val="20"/>
                  <w:u w:val="single"/>
                </w:rPr>
                <w:t>Certification of Principal Executive Officer Pursuant to Rules 13a-14(a) and 15d-14(a) under the Securities Exchange Act of 1934, as Adopted Pursuant to Section 302 of the Sarbanes-Oxley Act of 2002.</w:t>
              </w:r>
            </w:hyperlink>
          </w:p>
        </w:tc>
        <w:tc>
          <w:tcPr>
            <w:tcW w:w="425" w:type="dxa"/>
            <w:tcBorders/>
            <w:shd w:fill="FFFFFF" w:val="clear"/>
            <w:tcMar>
              <w:bottom w:w="0" w:type="dxa"/>
            </w:tcMar>
          </w:tcPr>
          <w:p>
            <w:pPr>
              <w:pStyle w:val="TableContents"/>
              <w:spacing w:before="0" w:after="0"/>
              <w:ind w:left="0" w:right="0" w:hanging="0"/>
              <w:jc w:val="center"/>
              <w:rPr/>
            </w:pPr>
            <w:r>
              <w:rPr/>
              <w:t> </w:t>
            </w:r>
          </w:p>
        </w:tc>
        <w:tc>
          <w:tcPr>
            <w:tcW w:w="691"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13" w:type="dxa"/>
            <w:tcBorders/>
            <w:shd w:fill="FFFFFF" w:val="clear"/>
            <w:tcMar>
              <w:bottom w:w="0" w:type="dxa"/>
            </w:tcMar>
          </w:tcPr>
          <w:p>
            <w:pPr>
              <w:pStyle w:val="TableContents"/>
              <w:spacing w:before="0" w:after="0"/>
              <w:ind w:left="0" w:right="0" w:hanging="0"/>
              <w:jc w:val="center"/>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31.2*</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120"/>
              <w:ind w:left="0" w:right="0" w:hanging="0"/>
              <w:rPr/>
            </w:pPr>
            <w:hyperlink w:anchor="nktx-ex312_11.htm">
              <w:r>
                <w:rPr>
                  <w:rStyle w:val="InternetLink"/>
                  <w:rFonts w:ascii="Times New Roman" w:hAnsi="Times New Roman"/>
                  <w:b w:val="false"/>
                  <w:i w:val="false"/>
                  <w:caps w:val="false"/>
                  <w:smallCaps w:val="false"/>
                  <w:sz w:val="20"/>
                  <w:u w:val="single"/>
                </w:rPr>
                <w:t>Certification of Principal Financial Officer Pursuant to Rules 13a-14(a) and 15d-14(a) under the Securities Exchange Act of 1934, as Adopted Pursuant to Section 302 of the Sarbanes-Oxley Act of 2002.</w:t>
              </w:r>
            </w:hyperlink>
          </w:p>
        </w:tc>
        <w:tc>
          <w:tcPr>
            <w:tcW w:w="425" w:type="dxa"/>
            <w:tcBorders/>
            <w:shd w:fill="FFFFFF" w:val="clear"/>
            <w:tcMar>
              <w:bottom w:w="0" w:type="dxa"/>
            </w:tcMar>
          </w:tcPr>
          <w:p>
            <w:pPr>
              <w:pStyle w:val="TableContents"/>
              <w:spacing w:before="0" w:after="0"/>
              <w:ind w:left="0" w:right="0" w:hanging="0"/>
              <w:jc w:val="center"/>
              <w:rPr/>
            </w:pPr>
            <w:r>
              <w:rPr/>
              <w:t> </w:t>
            </w:r>
          </w:p>
        </w:tc>
        <w:tc>
          <w:tcPr>
            <w:tcW w:w="691"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13" w:type="dxa"/>
            <w:tcBorders/>
            <w:shd w:fill="FFFFFF" w:val="clear"/>
            <w:tcMar>
              <w:bottom w:w="0" w:type="dxa"/>
            </w:tcMar>
          </w:tcPr>
          <w:p>
            <w:pPr>
              <w:pStyle w:val="TableContents"/>
              <w:spacing w:before="0" w:after="0"/>
              <w:ind w:left="0" w:right="0" w:hanging="0"/>
              <w:jc w:val="center"/>
              <w:rPr/>
            </w:pPr>
            <w:r>
              <w:rPr/>
              <w:t> </w:t>
            </w:r>
          </w:p>
        </w:tc>
      </w:tr>
      <w:tr>
        <w:trPr/>
        <w:tc>
          <w:tcPr>
            <w:tcW w:w="669"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32+</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02" w:type="dxa"/>
            <w:tcBorders/>
            <w:shd w:fill="FFFFFF" w:val="clear"/>
            <w:tcMar>
              <w:bottom w:w="0" w:type="dxa"/>
            </w:tcMar>
          </w:tcPr>
          <w:p>
            <w:pPr>
              <w:pStyle w:val="TableContents"/>
              <w:spacing w:before="0" w:after="120"/>
              <w:ind w:left="0" w:right="0" w:hanging="0"/>
              <w:rPr/>
            </w:pPr>
            <w:hyperlink w:anchor="nktx-ex321_7.htm">
              <w:r>
                <w:rPr>
                  <w:rStyle w:val="InternetLink"/>
                  <w:rFonts w:ascii="Times New Roman" w:hAnsi="Times New Roman"/>
                  <w:b w:val="false"/>
                  <w:i w:val="false"/>
                  <w:caps w:val="false"/>
                  <w:smallCaps w:val="false"/>
                  <w:sz w:val="20"/>
                  <w:u w:val="single"/>
                </w:rPr>
                <w:t>Certification of Principal Executive Officer Pursuant to 18 U.S.C. Section 1350, as Adopted Pursuant to Section 906 of the Sarbanes-Oxley Act of 2002.</w:t>
              </w:r>
            </w:hyperlink>
          </w:p>
        </w:tc>
        <w:tc>
          <w:tcPr>
            <w:tcW w:w="425" w:type="dxa"/>
            <w:tcBorders/>
            <w:shd w:fill="FFFFFF" w:val="clear"/>
            <w:tcMar>
              <w:bottom w:w="0" w:type="dxa"/>
            </w:tcMar>
          </w:tcPr>
          <w:p>
            <w:pPr>
              <w:pStyle w:val="TableContents"/>
              <w:spacing w:before="0" w:after="0"/>
              <w:ind w:left="0" w:right="0" w:hanging="0"/>
              <w:jc w:val="center"/>
              <w:rPr/>
            </w:pPr>
            <w:r>
              <w:rPr/>
              <w:t> </w:t>
            </w:r>
          </w:p>
        </w:tc>
        <w:tc>
          <w:tcPr>
            <w:tcW w:w="691"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13" w:type="dxa"/>
            <w:tcBorders/>
            <w:shd w:fill="FFFFFF" w:val="clear"/>
            <w:tcMar>
              <w:bottom w:w="0" w:type="dxa"/>
            </w:tcMar>
          </w:tcPr>
          <w:p>
            <w:pPr>
              <w:pStyle w:val="TableContents"/>
              <w:spacing w:before="0" w:after="0"/>
              <w:ind w:left="0" w:right="0" w:hanging="0"/>
              <w:jc w:val="center"/>
              <w:rPr/>
            </w:pPr>
            <w:r>
              <w:rPr/>
              <w:t> </w:t>
            </w:r>
          </w:p>
        </w:tc>
      </w:tr>
      <w:tr>
        <w:trPr/>
        <w:tc>
          <w:tcPr>
            <w:tcW w:w="669"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0"/>
              <w:ind w:left="0" w:right="0" w:hanging="0"/>
              <w:rPr/>
            </w:pPr>
            <w:r>
              <w:rPr/>
              <w:t> </w:t>
            </w:r>
          </w:p>
        </w:tc>
        <w:tc>
          <w:tcPr>
            <w:tcW w:w="425" w:type="dxa"/>
            <w:tcBorders/>
            <w:shd w:fill="FFFFFF" w:val="clear"/>
            <w:tcMar>
              <w:bottom w:w="0" w:type="dxa"/>
            </w:tcMar>
          </w:tcPr>
          <w:p>
            <w:pPr>
              <w:pStyle w:val="TableContents"/>
              <w:spacing w:before="0" w:after="0"/>
              <w:ind w:left="0" w:right="0" w:hanging="0"/>
              <w:jc w:val="center"/>
              <w:rPr/>
            </w:pPr>
            <w:r>
              <w:rPr/>
              <w:t> </w:t>
            </w:r>
          </w:p>
        </w:tc>
        <w:tc>
          <w:tcPr>
            <w:tcW w:w="691"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13" w:type="dxa"/>
            <w:tcBorders/>
            <w:shd w:fill="FFFFFF" w:val="clear"/>
            <w:tcMar>
              <w:bottom w:w="0" w:type="dxa"/>
            </w:tcMar>
          </w:tcPr>
          <w:p>
            <w:pPr>
              <w:pStyle w:val="TableContents"/>
              <w:spacing w:before="0" w:after="0"/>
              <w:ind w:left="0" w:right="0" w:hanging="0"/>
              <w:jc w:val="center"/>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101.INS</w:t>
            </w:r>
          </w:p>
        </w:tc>
        <w:tc>
          <w:tcPr>
            <w:tcW w:w="6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720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Instance Document</w:t>
            </w:r>
          </w:p>
        </w:tc>
        <w:tc>
          <w:tcPr>
            <w:tcW w:w="425" w:type="dxa"/>
            <w:tcBorders/>
            <w:shd w:fill="FFFFFF" w:val="clear"/>
            <w:tcMar>
              <w:bottom w:w="0" w:type="dxa"/>
            </w:tcMar>
          </w:tcPr>
          <w:p>
            <w:pPr>
              <w:pStyle w:val="TableContents"/>
              <w:spacing w:before="0" w:after="0"/>
              <w:ind w:left="0" w:right="0" w:hanging="0"/>
              <w:jc w:val="center"/>
              <w:rPr/>
            </w:pPr>
            <w:r>
              <w:rPr/>
              <w:t> </w:t>
            </w:r>
          </w:p>
        </w:tc>
        <w:tc>
          <w:tcPr>
            <w:tcW w:w="691"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13" w:type="dxa"/>
            <w:tcBorders/>
            <w:shd w:fill="FFFFFF" w:val="clear"/>
            <w:tcMar>
              <w:bottom w:w="0" w:type="dxa"/>
            </w:tcMar>
          </w:tcPr>
          <w:p>
            <w:pPr>
              <w:pStyle w:val="TableContents"/>
              <w:spacing w:before="0" w:after="0"/>
              <w:ind w:left="0" w:right="0" w:hanging="0"/>
              <w:jc w:val="center"/>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101.SCH</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Schema Document</w:t>
            </w:r>
          </w:p>
        </w:tc>
        <w:tc>
          <w:tcPr>
            <w:tcW w:w="425" w:type="dxa"/>
            <w:tcBorders/>
            <w:shd w:fill="FFFFFF" w:val="clear"/>
            <w:tcMar>
              <w:bottom w:w="0" w:type="dxa"/>
            </w:tcMar>
          </w:tcPr>
          <w:p>
            <w:pPr>
              <w:pStyle w:val="TableContents"/>
              <w:spacing w:before="0" w:after="0"/>
              <w:ind w:left="0" w:right="0" w:hanging="0"/>
              <w:rPr/>
            </w:pPr>
            <w:r>
              <w:rPr/>
              <w:t> </w:t>
            </w:r>
          </w:p>
        </w:tc>
        <w:tc>
          <w:tcPr>
            <w:tcW w:w="691" w:type="dxa"/>
            <w:tcBorders/>
            <w:shd w:fill="FFFFFF" w:val="clear"/>
            <w:tcMar>
              <w:bottom w:w="0" w:type="dxa"/>
            </w:tcMar>
          </w:tcPr>
          <w:p>
            <w:pPr>
              <w:pStyle w:val="TableContents"/>
              <w:spacing w:before="0" w:after="0"/>
              <w:ind w:left="0" w:right="0" w:hanging="0"/>
              <w:rPr/>
            </w:pPr>
            <w:r>
              <w:rPr/>
              <w:t> </w:t>
            </w:r>
          </w:p>
        </w:tc>
        <w:tc>
          <w:tcPr>
            <w:tcW w:w="545" w:type="dxa"/>
            <w:tcBorders/>
            <w:shd w:fill="FFFFFF" w:val="clear"/>
            <w:tcMar>
              <w:bottom w:w="0" w:type="dxa"/>
            </w:tcMar>
          </w:tcPr>
          <w:p>
            <w:pPr>
              <w:pStyle w:val="TableContents"/>
              <w:spacing w:before="0" w:after="0"/>
              <w:ind w:left="0" w:right="0" w:hanging="0"/>
              <w:rPr/>
            </w:pPr>
            <w:r>
              <w:rPr/>
              <w:t> </w:t>
            </w:r>
          </w:p>
        </w:tc>
        <w:tc>
          <w:tcPr>
            <w:tcW w:w="613" w:type="dxa"/>
            <w:tcBorders/>
            <w:shd w:fill="FFFFFF" w:val="clear"/>
            <w:tcMar>
              <w:bottom w:w="0" w:type="dxa"/>
            </w:tcMar>
          </w:tcPr>
          <w:p>
            <w:pPr>
              <w:pStyle w:val="TableContents"/>
              <w:spacing w:before="0" w:after="0"/>
              <w:ind w:left="0" w:right="0" w:hanging="0"/>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101.CAL</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Calculation Linkbase Document</w:t>
            </w:r>
          </w:p>
        </w:tc>
        <w:tc>
          <w:tcPr>
            <w:tcW w:w="425" w:type="dxa"/>
            <w:tcBorders/>
            <w:shd w:fill="FFFFFF" w:val="clear"/>
            <w:tcMar>
              <w:bottom w:w="0" w:type="dxa"/>
            </w:tcMar>
          </w:tcPr>
          <w:p>
            <w:pPr>
              <w:pStyle w:val="TableContents"/>
              <w:spacing w:before="0" w:after="0"/>
              <w:ind w:left="0" w:right="0" w:hanging="0"/>
              <w:rPr/>
            </w:pPr>
            <w:r>
              <w:rPr/>
              <w:t> </w:t>
            </w:r>
          </w:p>
        </w:tc>
        <w:tc>
          <w:tcPr>
            <w:tcW w:w="691" w:type="dxa"/>
            <w:tcBorders/>
            <w:shd w:fill="FFFFFF" w:val="clear"/>
            <w:tcMar>
              <w:bottom w:w="0" w:type="dxa"/>
            </w:tcMar>
          </w:tcPr>
          <w:p>
            <w:pPr>
              <w:pStyle w:val="TableContents"/>
              <w:spacing w:before="0" w:after="0"/>
              <w:ind w:left="0" w:right="0" w:hanging="0"/>
              <w:rPr/>
            </w:pPr>
            <w:r>
              <w:rPr/>
              <w:t> </w:t>
            </w:r>
          </w:p>
        </w:tc>
        <w:tc>
          <w:tcPr>
            <w:tcW w:w="545" w:type="dxa"/>
            <w:tcBorders/>
            <w:shd w:fill="FFFFFF" w:val="clear"/>
            <w:tcMar>
              <w:bottom w:w="0" w:type="dxa"/>
            </w:tcMar>
          </w:tcPr>
          <w:p>
            <w:pPr>
              <w:pStyle w:val="TableContents"/>
              <w:spacing w:before="0" w:after="0"/>
              <w:ind w:left="0" w:right="0" w:hanging="0"/>
              <w:rPr/>
            </w:pPr>
            <w:r>
              <w:rPr/>
              <w:t> </w:t>
            </w:r>
          </w:p>
        </w:tc>
        <w:tc>
          <w:tcPr>
            <w:tcW w:w="613" w:type="dxa"/>
            <w:tcBorders/>
            <w:shd w:fill="FFFFFF" w:val="clear"/>
            <w:tcMar>
              <w:bottom w:w="0" w:type="dxa"/>
            </w:tcMar>
          </w:tcPr>
          <w:p>
            <w:pPr>
              <w:pStyle w:val="TableContents"/>
              <w:spacing w:before="0" w:after="0"/>
              <w:ind w:left="0" w:right="0" w:hanging="0"/>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101.DEF</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Definition Linkbase Document</w:t>
            </w:r>
          </w:p>
        </w:tc>
        <w:tc>
          <w:tcPr>
            <w:tcW w:w="425" w:type="dxa"/>
            <w:tcBorders/>
            <w:shd w:fill="FFFFFF" w:val="clear"/>
            <w:tcMar>
              <w:bottom w:w="0" w:type="dxa"/>
            </w:tcMar>
          </w:tcPr>
          <w:p>
            <w:pPr>
              <w:pStyle w:val="TableContents"/>
              <w:spacing w:before="0" w:after="0"/>
              <w:ind w:left="0" w:right="0" w:hanging="0"/>
              <w:rPr/>
            </w:pPr>
            <w:r>
              <w:rPr/>
              <w:t> </w:t>
            </w:r>
          </w:p>
        </w:tc>
        <w:tc>
          <w:tcPr>
            <w:tcW w:w="691" w:type="dxa"/>
            <w:tcBorders/>
            <w:shd w:fill="FFFFFF" w:val="clear"/>
            <w:tcMar>
              <w:bottom w:w="0" w:type="dxa"/>
            </w:tcMar>
          </w:tcPr>
          <w:p>
            <w:pPr>
              <w:pStyle w:val="TableContents"/>
              <w:spacing w:before="0" w:after="0"/>
              <w:ind w:left="0" w:right="0" w:hanging="0"/>
              <w:rPr/>
            </w:pPr>
            <w:r>
              <w:rPr/>
              <w:t> </w:t>
            </w:r>
          </w:p>
        </w:tc>
        <w:tc>
          <w:tcPr>
            <w:tcW w:w="545" w:type="dxa"/>
            <w:tcBorders/>
            <w:shd w:fill="FFFFFF" w:val="clear"/>
            <w:tcMar>
              <w:bottom w:w="0" w:type="dxa"/>
            </w:tcMar>
          </w:tcPr>
          <w:p>
            <w:pPr>
              <w:pStyle w:val="TableContents"/>
              <w:spacing w:before="0" w:after="0"/>
              <w:ind w:left="0" w:right="0" w:hanging="0"/>
              <w:rPr/>
            </w:pPr>
            <w:r>
              <w:rPr/>
              <w:t> </w:t>
            </w:r>
          </w:p>
        </w:tc>
        <w:tc>
          <w:tcPr>
            <w:tcW w:w="613" w:type="dxa"/>
            <w:tcBorders/>
            <w:shd w:fill="FFFFFF" w:val="clear"/>
            <w:tcMar>
              <w:bottom w:w="0" w:type="dxa"/>
            </w:tcMar>
          </w:tcPr>
          <w:p>
            <w:pPr>
              <w:pStyle w:val="TableContents"/>
              <w:spacing w:before="0" w:after="0"/>
              <w:ind w:left="0" w:right="0" w:hanging="0"/>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101.LAB</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Label Linkbase Document</w:t>
            </w:r>
          </w:p>
        </w:tc>
        <w:tc>
          <w:tcPr>
            <w:tcW w:w="425" w:type="dxa"/>
            <w:tcBorders/>
            <w:shd w:fill="FFFFFF" w:val="clear"/>
            <w:tcMar>
              <w:bottom w:w="0" w:type="dxa"/>
            </w:tcMar>
          </w:tcPr>
          <w:p>
            <w:pPr>
              <w:pStyle w:val="TableContents"/>
              <w:spacing w:before="0" w:after="0"/>
              <w:ind w:left="0" w:right="0" w:hanging="0"/>
              <w:rPr/>
            </w:pPr>
            <w:r>
              <w:rPr/>
              <w:t> </w:t>
            </w:r>
          </w:p>
        </w:tc>
        <w:tc>
          <w:tcPr>
            <w:tcW w:w="691" w:type="dxa"/>
            <w:tcBorders/>
            <w:shd w:fill="FFFFFF" w:val="clear"/>
            <w:tcMar>
              <w:bottom w:w="0" w:type="dxa"/>
            </w:tcMar>
          </w:tcPr>
          <w:p>
            <w:pPr>
              <w:pStyle w:val="TableContents"/>
              <w:spacing w:before="0" w:after="0"/>
              <w:ind w:left="0" w:right="0" w:hanging="0"/>
              <w:rPr/>
            </w:pPr>
            <w:r>
              <w:rPr/>
              <w:t> </w:t>
            </w:r>
          </w:p>
        </w:tc>
        <w:tc>
          <w:tcPr>
            <w:tcW w:w="545" w:type="dxa"/>
            <w:tcBorders/>
            <w:shd w:fill="FFFFFF" w:val="clear"/>
            <w:tcMar>
              <w:bottom w:w="0" w:type="dxa"/>
            </w:tcMar>
          </w:tcPr>
          <w:p>
            <w:pPr>
              <w:pStyle w:val="TableContents"/>
              <w:spacing w:before="0" w:after="0"/>
              <w:ind w:left="0" w:right="0" w:hanging="0"/>
              <w:rPr/>
            </w:pPr>
            <w:r>
              <w:rPr/>
              <w:t> </w:t>
            </w:r>
          </w:p>
        </w:tc>
        <w:tc>
          <w:tcPr>
            <w:tcW w:w="613" w:type="dxa"/>
            <w:tcBorders/>
            <w:shd w:fill="FFFFFF" w:val="clear"/>
            <w:tcMar>
              <w:bottom w:w="0" w:type="dxa"/>
            </w:tcMar>
          </w:tcPr>
          <w:p>
            <w:pPr>
              <w:pStyle w:val="TableContents"/>
              <w:spacing w:before="0" w:after="0"/>
              <w:ind w:left="0" w:right="0" w:hanging="0"/>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101.PRE</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Presentation Linkbase Document</w:t>
            </w:r>
          </w:p>
        </w:tc>
        <w:tc>
          <w:tcPr>
            <w:tcW w:w="425" w:type="dxa"/>
            <w:tcBorders/>
            <w:shd w:fill="FFFFFF" w:val="clear"/>
            <w:tcMar>
              <w:bottom w:w="0" w:type="dxa"/>
            </w:tcMar>
          </w:tcPr>
          <w:p>
            <w:pPr>
              <w:pStyle w:val="TableContents"/>
              <w:spacing w:before="0" w:after="0"/>
              <w:ind w:left="0" w:right="0" w:hanging="0"/>
              <w:rPr/>
            </w:pPr>
            <w:r>
              <w:rPr/>
              <w:t> </w:t>
            </w:r>
          </w:p>
        </w:tc>
        <w:tc>
          <w:tcPr>
            <w:tcW w:w="691" w:type="dxa"/>
            <w:tcBorders/>
            <w:shd w:fill="FFFFFF" w:val="clear"/>
            <w:tcMar>
              <w:bottom w:w="0" w:type="dxa"/>
            </w:tcMar>
          </w:tcPr>
          <w:p>
            <w:pPr>
              <w:pStyle w:val="TableContents"/>
              <w:spacing w:before="0" w:after="0"/>
              <w:ind w:left="0" w:right="0" w:hanging="0"/>
              <w:rPr/>
            </w:pPr>
            <w:r>
              <w:rPr/>
              <w:t> </w:t>
            </w:r>
          </w:p>
        </w:tc>
        <w:tc>
          <w:tcPr>
            <w:tcW w:w="545" w:type="dxa"/>
            <w:tcBorders/>
            <w:shd w:fill="FFFFFF" w:val="clear"/>
            <w:tcMar>
              <w:bottom w:w="0" w:type="dxa"/>
            </w:tcMar>
          </w:tcPr>
          <w:p>
            <w:pPr>
              <w:pStyle w:val="TableContents"/>
              <w:spacing w:before="0" w:after="0"/>
              <w:ind w:left="0" w:right="0" w:hanging="0"/>
              <w:rPr/>
            </w:pPr>
            <w:r>
              <w:rPr/>
              <w:t> </w:t>
            </w:r>
          </w:p>
        </w:tc>
        <w:tc>
          <w:tcPr>
            <w:tcW w:w="613" w:type="dxa"/>
            <w:tcBorders/>
            <w:shd w:fill="FFFFFF" w:val="clear"/>
            <w:tcMar>
              <w:bottom w:w="0" w:type="dxa"/>
            </w:tcMar>
          </w:tcPr>
          <w:p>
            <w:pPr>
              <w:pStyle w:val="TableContents"/>
              <w:spacing w:before="0" w:after="0"/>
              <w:ind w:left="0" w:right="0" w:hanging="0"/>
              <w:rPr/>
            </w:pPr>
            <w:r>
              <w:rPr/>
              <w:t> </w:t>
            </w:r>
          </w:p>
        </w:tc>
      </w:tr>
      <w:tr>
        <w:trPr/>
        <w:tc>
          <w:tcPr>
            <w:tcW w:w="66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104</w:t>
            </w:r>
          </w:p>
        </w:tc>
        <w:tc>
          <w:tcPr>
            <w:tcW w:w="60" w:type="dxa"/>
            <w:tcBorders/>
            <w:shd w:fill="FFFFFF" w:val="clear"/>
            <w:tcMar>
              <w:bottom w:w="0" w:type="dxa"/>
            </w:tcMar>
          </w:tcPr>
          <w:p>
            <w:pPr>
              <w:pStyle w:val="TableContents"/>
              <w:spacing w:before="0" w:after="0"/>
              <w:ind w:left="0" w:right="0" w:hanging="0"/>
              <w:rPr/>
            </w:pPr>
            <w:r>
              <w:rPr/>
              <w:t> </w:t>
            </w:r>
          </w:p>
        </w:tc>
        <w:tc>
          <w:tcPr>
            <w:tcW w:w="720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 Page Interactive Data File (formatted as Inline XBRL and contained in Exhibit 101)</w:t>
            </w:r>
          </w:p>
        </w:tc>
        <w:tc>
          <w:tcPr>
            <w:tcW w:w="425" w:type="dxa"/>
            <w:tcBorders/>
            <w:shd w:fill="FFFFFF" w:val="clear"/>
            <w:tcMar>
              <w:bottom w:w="0" w:type="dxa"/>
            </w:tcMar>
          </w:tcPr>
          <w:p>
            <w:pPr>
              <w:pStyle w:val="TableContents"/>
              <w:spacing w:before="0" w:after="0"/>
              <w:ind w:left="0" w:right="0" w:hanging="0"/>
              <w:rPr/>
            </w:pPr>
            <w:r>
              <w:rPr/>
              <w:t> </w:t>
            </w:r>
          </w:p>
        </w:tc>
        <w:tc>
          <w:tcPr>
            <w:tcW w:w="691" w:type="dxa"/>
            <w:tcBorders/>
            <w:shd w:fill="FFFFFF" w:val="clear"/>
            <w:tcMar>
              <w:bottom w:w="0" w:type="dxa"/>
            </w:tcMar>
          </w:tcPr>
          <w:p>
            <w:pPr>
              <w:pStyle w:val="TableContents"/>
              <w:spacing w:before="0" w:after="0"/>
              <w:ind w:left="0" w:right="0" w:hanging="0"/>
              <w:rPr/>
            </w:pPr>
            <w:r>
              <w:rPr/>
              <w:t> </w:t>
            </w:r>
          </w:p>
        </w:tc>
        <w:tc>
          <w:tcPr>
            <w:tcW w:w="545" w:type="dxa"/>
            <w:tcBorders/>
            <w:shd w:fill="FFFFFF" w:val="clear"/>
            <w:tcMar>
              <w:bottom w:w="0" w:type="dxa"/>
            </w:tcMar>
          </w:tcPr>
          <w:p>
            <w:pPr>
              <w:pStyle w:val="TableContents"/>
              <w:spacing w:before="0" w:after="0"/>
              <w:ind w:left="0" w:right="0" w:hanging="0"/>
              <w:rPr/>
            </w:pPr>
            <w:r>
              <w:rPr/>
              <w:t> </w:t>
            </w:r>
          </w:p>
        </w:tc>
        <w:tc>
          <w:tcPr>
            <w:tcW w:w="613" w:type="dxa"/>
            <w:tcBorders/>
            <w:shd w:fill="FFFFFF" w:val="clear"/>
            <w:tcMar>
              <w:bottom w:w="0" w:type="dxa"/>
            </w:tcMar>
          </w:tcPr>
          <w:p>
            <w:pPr>
              <w:pStyle w:val="TableContents"/>
              <w:spacing w:before="0" w:after="0"/>
              <w:ind w:left="0" w:right="0" w:hanging="0"/>
              <w:rPr/>
            </w:pPr>
            <w:r>
              <w:rPr/>
              <w:t> </w:t>
            </w:r>
          </w:p>
        </w:tc>
      </w:tr>
    </w:tbl>
    <w:p>
      <w:pPr>
        <w:pStyle w:val="TextBody"/>
        <w:pBdr>
          <w:bottom w:val="single" w:sz="6" w:space="1" w:color="000000"/>
        </w:pBdr>
        <w:spacing w:before="0" w:after="0"/>
        <w:rPr/>
      </w:pPr>
      <w:r>
        <w:rPr/>
        <w:t> </w:t>
      </w:r>
    </w:p>
    <w:tbl>
      <w:tblPr>
        <w:tblW w:w="1360" w:type="dxa"/>
        <w:jc w:val="left"/>
        <w:tblInd w:w="0" w:type="dxa"/>
        <w:tblCellMar>
          <w:top w:w="0" w:type="dxa"/>
          <w:left w:w="0" w:type="dxa"/>
          <w:bottom w:w="0" w:type="dxa"/>
          <w:right w:w="0" w:type="dxa"/>
        </w:tblCellMar>
      </w:tblPr>
      <w:tblGrid>
        <w:gridCol w:w="125"/>
        <w:gridCol w:w="1235"/>
      </w:tblGrid>
      <w:tr>
        <w:trPr/>
        <w:tc>
          <w:tcPr>
            <w:tcW w:w="125"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235"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Filed herewith.</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tcPr>
          <w:p>
            <w:pPr>
              <w:pStyle w:val="TableContents"/>
              <w:spacing w:lineRule="auto" w:line="288"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80"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Portions of this exhibit have been omitted in accordance with Item 601(b)(10)(iv) of Regulation S-K. The Company undertakes to provide to the Securities and Exchange Commission or its staff, if requested and on a supplemental basis, an unredacted copy of this exhibit.</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tcPr>
          <w:p>
            <w:pPr>
              <w:pStyle w:val="TableContents"/>
              <w:spacing w:lineRule="auto" w:line="288"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80"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0" w:name="SIGNATURES"/>
      <w:bookmarkEnd w:id="20"/>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t> </w:t>
      </w:r>
    </w:p>
    <w:tbl>
      <w:tblPr>
        <w:tblW w:w="7245" w:type="dxa"/>
        <w:jc w:val="left"/>
        <w:tblInd w:w="0" w:type="dxa"/>
        <w:tblCellMar>
          <w:top w:w="0" w:type="dxa"/>
          <w:left w:w="0" w:type="dxa"/>
          <w:bottom w:w="0" w:type="dxa"/>
          <w:right w:w="0" w:type="dxa"/>
        </w:tblCellMar>
      </w:tblPr>
      <w:tblGrid>
        <w:gridCol w:w="1850"/>
        <w:gridCol w:w="60"/>
        <w:gridCol w:w="320"/>
        <w:gridCol w:w="5015"/>
      </w:tblGrid>
      <w:tr>
        <w:trPr/>
        <w:tc>
          <w:tcPr>
            <w:tcW w:w="185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5" w:type="dxa"/>
            <w:gridSpan w:val="2"/>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Nkarta, Inc.</w:t>
            </w:r>
          </w:p>
        </w:tc>
      </w:tr>
      <w:tr>
        <w:trPr/>
        <w:tc>
          <w:tcPr>
            <w:tcW w:w="18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1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5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501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Paul J. Hastings</w:t>
            </w:r>
          </w:p>
        </w:tc>
      </w:tr>
      <w:tr>
        <w:trPr/>
        <w:tc>
          <w:tcPr>
            <w:tcW w:w="18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1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Paul J. Hastings</w:t>
            </w:r>
          </w:p>
        </w:tc>
      </w:tr>
      <w:tr>
        <w:trPr/>
        <w:tc>
          <w:tcPr>
            <w:tcW w:w="18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15" w:type="dxa"/>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Executive Officer</w:t>
            </w:r>
          </w:p>
        </w:tc>
      </w:tr>
      <w:tr>
        <w:trPr/>
        <w:tc>
          <w:tcPr>
            <w:tcW w:w="185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15" w:type="dxa"/>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r>
        <w:trPr/>
        <w:tc>
          <w:tcPr>
            <w:tcW w:w="185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tcPr>
          <w:p>
            <w:pPr>
              <w:pStyle w:val="TableContents"/>
              <w:spacing w:before="0" w:after="0"/>
              <w:ind w:left="0" w:right="0" w:hanging="0"/>
              <w:rPr/>
            </w:pPr>
            <w:r>
              <w:rPr/>
              <w:t> </w:t>
            </w:r>
          </w:p>
        </w:tc>
        <w:tc>
          <w:tcPr>
            <w:tcW w:w="5015" w:type="dxa"/>
            <w:tcBorders/>
            <w:shd w:fill="FFFFFF" w:val="clear"/>
            <w:vAlign w:val="bottom"/>
          </w:tcPr>
          <w:p>
            <w:pPr>
              <w:pStyle w:val="TableContents"/>
              <w:spacing w:before="0" w:after="0"/>
              <w:ind w:left="0" w:right="0" w:hanging="0"/>
              <w:jc w:val="center"/>
              <w:rPr/>
            </w:pPr>
            <w:r>
              <w:rPr/>
              <w:t> </w:t>
            </w:r>
          </w:p>
        </w:tc>
      </w:tr>
      <w:tr>
        <w:trPr/>
        <w:tc>
          <w:tcPr>
            <w:tcW w:w="185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501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Nadir Mahmood</w:t>
            </w:r>
          </w:p>
        </w:tc>
      </w:tr>
      <w:tr>
        <w:trPr/>
        <w:tc>
          <w:tcPr>
            <w:tcW w:w="18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1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Nadir Mahmood</w:t>
            </w:r>
          </w:p>
        </w:tc>
      </w:tr>
      <w:tr>
        <w:trPr/>
        <w:tc>
          <w:tcPr>
            <w:tcW w:w="185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bottom"/>
          </w:tcPr>
          <w:p>
            <w:pPr>
              <w:pStyle w:val="TableContents"/>
              <w:spacing w:before="0" w:after="0"/>
              <w:ind w:left="0" w:right="0" w:hanging="0"/>
              <w:rPr/>
            </w:pPr>
            <w:r>
              <w:rPr/>
              <w:t> </w:t>
            </w:r>
          </w:p>
        </w:tc>
        <w:tc>
          <w:tcPr>
            <w:tcW w:w="5015" w:type="dxa"/>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Financial and Business Officer</w:t>
            </w:r>
          </w:p>
        </w:tc>
      </w:tr>
      <w:tr>
        <w:trPr/>
        <w:tc>
          <w:tcPr>
            <w:tcW w:w="18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15" w:type="dxa"/>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 and Principal Accounting Officer)</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70</w:t>
      </w:r>
      <w:r>
        <w:br w:type="page"/>
      </w:r>
    </w:p>
    <w:p>
      <w:pPr>
        <w:pStyle w:val="TextBody"/>
        <w:spacing w:before="0" w:after="0"/>
        <w:jc w:val="right"/>
        <w:rPr/>
      </w:pPr>
      <w:bookmarkStart w:id="21" w:name="nktx-ex101_6.htm"/>
      <w:bookmarkStart w:id="22" w:name="ksnktxex101_6"/>
      <w:bookmarkEnd w:id="21"/>
      <w:bookmarkEnd w:id="22"/>
      <w:r>
        <w:rPr/>
        <w:t> </w:t>
      </w:r>
    </w:p>
    <w:p>
      <w:pPr>
        <w:pStyle w:val="TextBody"/>
        <w:shd w:fill="FFFFFF" w:val="clear"/>
        <w:spacing w:before="0" w:after="0"/>
        <w:jc w:val="right"/>
        <w:rPr>
          <w:rFonts w:ascii="Times New Roman" w:hAnsi="Times New Roman"/>
          <w:b/>
          <w:i w:val="false"/>
          <w:caps w:val="false"/>
          <w:smallCaps w:val="false"/>
          <w:color w:val="000000"/>
          <w:sz w:val="22"/>
        </w:rPr>
      </w:pPr>
      <w:bookmarkStart w:id="23" w:name="_Hlk54052768"/>
      <w:bookmarkEnd w:id="23"/>
      <w:r>
        <w:rPr>
          <w:rFonts w:ascii="Times New Roman" w:hAnsi="Times New Roman"/>
          <w:b/>
          <w:i w:val="false"/>
          <w:caps w:val="false"/>
          <w:smallCaps w:val="false"/>
          <w:color w:val="000000"/>
          <w:sz w:val="22"/>
        </w:rPr>
        <w:t>Exhibit 10.1</w:t>
      </w:r>
    </w:p>
    <w:p>
      <w:pPr>
        <w:pStyle w:val="TextBody"/>
        <w:spacing w:before="0" w:after="0"/>
        <w:jc w:val="center"/>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CERTAIN CONFIDENTIAL PORTIONS HAVE BEEN REDACTED FROM THIS EXHIBIT BECAUSE THEY ARE BOTH (i) NOT MATERIAL AND (ii) OF THE TYPE THAT THE COMPANY TREATS AS PRIVATE OR CONFIDENTIAL. INFORMATION THAT HAS BEEN OMITTED HAS BEEN IDENTIFIED IN THIS DOCUMENT WITH A PLACEHOLDER IDENTIFIED BY THE MARK "[***]".</w:t>
      </w:r>
    </w:p>
    <w:p>
      <w:pPr>
        <w:pStyle w:val="TextBody"/>
        <w:spacing w:before="0" w:after="0"/>
        <w:jc w:val="both"/>
        <w:rPr/>
      </w:pPr>
      <w:r>
        <w:rPr/>
        <w:t> </w:t>
      </w:r>
    </w:p>
    <w:p>
      <w:pPr>
        <w:pStyle w:val="TextBody"/>
        <w:spacing w:before="0" w:after="0"/>
        <w:jc w:val="righ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EXECUTION VERSION</w:t>
      </w:r>
    </w:p>
    <w:p>
      <w:pPr>
        <w:pStyle w:val="TextBody"/>
        <w:spacing w:before="0" w:after="0"/>
        <w:jc w:val="right"/>
        <w:rPr/>
      </w:pPr>
      <w:r>
        <w:rPr/>
        <w:t> </w:t>
      </w:r>
    </w:p>
    <w:p>
      <w:pPr>
        <w:pStyle w:val="TextBody"/>
        <w:spacing w:before="0" w:after="240"/>
        <w:jc w:val="center"/>
        <w:rPr>
          <w:rFonts w:ascii="Times New Roman" w:hAnsi="Times New Roman"/>
          <w:b/>
          <w:i w:val="false"/>
          <w:caps w:val="false"/>
          <w:smallCaps w:val="false"/>
          <w:sz w:val="22"/>
        </w:rPr>
      </w:pPr>
      <w:bookmarkStart w:id="24" w:name="_dxtcompanion_actionscomplete"/>
      <w:bookmarkEnd w:id="24"/>
      <w:r>
        <w:rPr>
          <w:rFonts w:ascii="Times New Roman" w:hAnsi="Times New Roman"/>
          <w:b/>
          <w:i w:val="false"/>
          <w:caps w:val="false"/>
          <w:smallCaps w:val="false"/>
          <w:sz w:val="22"/>
        </w:rPr>
        <w:t>RESEARCH COLLABORATION AGREEMENT</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This RESEARCH COLLABORATION AGREEMENT (this “</w:t>
      </w:r>
      <w:r>
        <w:rPr>
          <w:rFonts w:ascii="Times New Roman" w:hAnsi="Times New Roman"/>
          <w:b/>
          <w:i w:val="false"/>
          <w:caps w:val="false"/>
          <w:smallCaps w:val="false"/>
          <w:sz w:val="22"/>
        </w:rPr>
        <w:t>Agreement</w:t>
      </w:r>
      <w:r>
        <w:rPr>
          <w:rFonts w:ascii="Times New Roman" w:hAnsi="Times New Roman"/>
          <w:b w:val="false"/>
          <w:i w:val="false"/>
          <w:caps w:val="false"/>
          <w:smallCaps w:val="false"/>
          <w:sz w:val="22"/>
        </w:rPr>
        <w:t>”) is entered into as of May 5, 2021 (the “</w:t>
      </w:r>
      <w:r>
        <w:rPr>
          <w:rFonts w:ascii="Times New Roman" w:hAnsi="Times New Roman"/>
          <w:b/>
          <w:i w:val="false"/>
          <w:caps w:val="false"/>
          <w:smallCaps w:val="false"/>
          <w:sz w:val="22"/>
        </w:rPr>
        <w:t>Effective Date</w:t>
      </w:r>
      <w:r>
        <w:rPr>
          <w:rFonts w:ascii="Times New Roman" w:hAnsi="Times New Roman"/>
          <w:b w:val="false"/>
          <w:i w:val="false"/>
          <w:caps w:val="false"/>
          <w:smallCaps w:val="false"/>
          <w:sz w:val="22"/>
        </w:rPr>
        <w:t>”</w:t>
      </w:r>
      <w:r>
        <w:rPr>
          <w:rFonts w:ascii="Times New Roman" w:hAnsi="Times New Roman"/>
          <w:b w:val="false"/>
          <w:i/>
          <w:caps w:val="false"/>
          <w:smallCaps w:val="false"/>
          <w:sz w:val="22"/>
        </w:rPr>
        <w:t>)</w:t>
      </w:r>
      <w:r>
        <w:rPr>
          <w:rFonts w:ascii="Times New Roman" w:hAnsi="Times New Roman"/>
          <w:b w:val="false"/>
          <w:i w:val="false"/>
          <w:caps w:val="false"/>
          <w:smallCaps w:val="false"/>
          <w:sz w:val="22"/>
        </w:rPr>
        <w:t xml:space="preserve"> by and between </w:t>
      </w:r>
      <w:r>
        <w:rPr>
          <w:rFonts w:ascii="Times New Roman" w:hAnsi="Times New Roman"/>
          <w:b/>
          <w:i w:val="false"/>
          <w:smallCaps/>
          <w:sz w:val="22"/>
        </w:rPr>
        <w:t>Nkarta, Inc.</w:t>
      </w:r>
      <w:r>
        <w:rPr>
          <w:rFonts w:ascii="Times New Roman" w:hAnsi="Times New Roman"/>
          <w:b w:val="false"/>
          <w:i w:val="false"/>
          <w:caps w:val="false"/>
          <w:smallCaps w:val="false"/>
          <w:sz w:val="22"/>
        </w:rPr>
        <w:t>, a corporation organized and existing under the laws of Delaware (“</w:t>
      </w:r>
      <w:r>
        <w:rPr>
          <w:rFonts w:ascii="Times New Roman" w:hAnsi="Times New Roman"/>
          <w:b/>
          <w:i w:val="false"/>
          <w:caps w:val="false"/>
          <w:smallCaps w:val="false"/>
          <w:sz w:val="22"/>
        </w:rPr>
        <w:t>Nkarta</w:t>
      </w:r>
      <w:r>
        <w:rPr>
          <w:rFonts w:ascii="Times New Roman" w:hAnsi="Times New Roman"/>
          <w:b w:val="false"/>
          <w:i w:val="false"/>
          <w:caps w:val="false"/>
          <w:smallCaps w:val="false"/>
          <w:sz w:val="22"/>
        </w:rPr>
        <w:t>”), and CRISPR Therapeutics AG (“</w:t>
      </w:r>
      <w:r>
        <w:rPr>
          <w:rFonts w:ascii="Times New Roman" w:hAnsi="Times New Roman"/>
          <w:b/>
          <w:i w:val="false"/>
          <w:caps w:val="false"/>
          <w:smallCaps w:val="false"/>
          <w:sz w:val="22"/>
        </w:rPr>
        <w:t>CRISPR</w:t>
      </w:r>
      <w:r>
        <w:rPr>
          <w:rFonts w:ascii="Times New Roman" w:hAnsi="Times New Roman"/>
          <w:b w:val="false"/>
          <w:i w:val="false"/>
          <w:caps w:val="false"/>
          <w:smallCaps w:val="false"/>
          <w:sz w:val="22"/>
        </w:rPr>
        <w:t>”).  Nkarta and CRISPR each may be referred to herein individually as a “</w:t>
      </w:r>
      <w:r>
        <w:rPr>
          <w:rFonts w:ascii="Times New Roman" w:hAnsi="Times New Roman"/>
          <w:b/>
          <w:i w:val="false"/>
          <w:caps w:val="false"/>
          <w:smallCaps w:val="false"/>
          <w:sz w:val="22"/>
        </w:rPr>
        <w:t>Party</w:t>
      </w:r>
      <w:r>
        <w:rPr>
          <w:rFonts w:ascii="Times New Roman" w:hAnsi="Times New Roman"/>
          <w:b w:val="false"/>
          <w:i w:val="false"/>
          <w:caps w:val="false"/>
          <w:smallCaps w:val="false"/>
          <w:sz w:val="22"/>
        </w:rPr>
        <w:t>” or collectively as the “</w:t>
      </w:r>
      <w:r>
        <w:rPr>
          <w:rFonts w:ascii="Times New Roman" w:hAnsi="Times New Roman"/>
          <w:b/>
          <w:i w:val="false"/>
          <w:caps w:val="false"/>
          <w:smallCaps w:val="false"/>
          <w:sz w:val="22"/>
        </w:rPr>
        <w:t>Parties</w:t>
      </w:r>
      <w:r>
        <w:rPr>
          <w:rFonts w:ascii="Times New Roman" w:hAnsi="Times New Roman"/>
          <w:b w:val="false"/>
          <w:i w:val="false"/>
          <w:caps w:val="false"/>
          <w:smallCaps w:val="false"/>
          <w:sz w:val="22"/>
        </w:rPr>
        <w:t>.”</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RECITALS</w:t>
      </w:r>
    </w:p>
    <w:p>
      <w:pPr>
        <w:pStyle w:val="TextBody"/>
        <w:spacing w:before="0" w:after="240"/>
        <w:jc w:val="both"/>
        <w:rPr>
          <w:rFonts w:ascii="Times New Roman" w:hAnsi="Times New Roman"/>
          <w:b/>
          <w:i w:val="false"/>
          <w:caps w:val="false"/>
          <w:smallCaps w:val="false"/>
          <w:sz w:val="22"/>
        </w:rPr>
      </w:pPr>
      <w:r>
        <w:rPr>
          <w:rFonts w:ascii="Times New Roman" w:hAnsi="Times New Roman"/>
          <w:b/>
          <w:i w:val="false"/>
          <w:caps w:val="false"/>
          <w:smallCaps w:val="false"/>
          <w:sz w:val="22"/>
        </w:rPr>
        <w:t>WHEREAS</w:t>
      </w:r>
      <w:r>
        <w:rPr>
          <w:rFonts w:ascii="Times New Roman" w:hAnsi="Times New Roman"/>
          <w:b w:val="false"/>
          <w:i w:val="false"/>
          <w:caps w:val="false"/>
          <w:smallCaps w:val="false"/>
          <w:sz w:val="22"/>
        </w:rPr>
        <w:t>, CRISPR possesses certain Patents, Know-How, technology and expertise with respect to the CRISPR/Cas Platform (as defined below);</w:t>
      </w:r>
    </w:p>
    <w:p>
      <w:pPr>
        <w:pStyle w:val="TextBody"/>
        <w:spacing w:before="0" w:after="240"/>
        <w:jc w:val="both"/>
        <w:rPr>
          <w:rFonts w:ascii="Times New Roman" w:hAnsi="Times New Roman"/>
          <w:b/>
          <w:i w:val="false"/>
          <w:caps w:val="false"/>
          <w:smallCaps w:val="false"/>
          <w:sz w:val="22"/>
        </w:rPr>
      </w:pPr>
      <w:r>
        <w:rPr>
          <w:rFonts w:ascii="Times New Roman" w:hAnsi="Times New Roman"/>
          <w:b/>
          <w:i w:val="false"/>
          <w:caps w:val="false"/>
          <w:smallCaps w:val="false"/>
          <w:sz w:val="22"/>
        </w:rPr>
        <w:t>WHEREAS</w:t>
      </w:r>
      <w:r>
        <w:rPr>
          <w:rFonts w:ascii="Times New Roman" w:hAnsi="Times New Roman"/>
          <w:b w:val="false"/>
          <w:i w:val="false"/>
          <w:caps w:val="false"/>
          <w:smallCaps w:val="false"/>
          <w:sz w:val="22"/>
        </w:rPr>
        <w:t>, Nkarta possesses certain Patents, Know-How, technology and expertise with respect to NK Cell Technology (as defined below) and desires to incorporate gene-editing into its natural killer cell therapies and therapeutic combinations of natural killer cells with T cells; and</w:t>
      </w:r>
    </w:p>
    <w:p>
      <w:pPr>
        <w:pStyle w:val="TextBody"/>
        <w:spacing w:before="0" w:after="240"/>
        <w:jc w:val="both"/>
        <w:rPr>
          <w:rFonts w:ascii="Times New Roman" w:hAnsi="Times New Roman"/>
          <w:b/>
          <w:i w:val="false"/>
          <w:caps w:val="false"/>
          <w:smallCaps w:val="false"/>
          <w:sz w:val="22"/>
        </w:rPr>
      </w:pPr>
      <w:r>
        <w:rPr>
          <w:rFonts w:ascii="Times New Roman" w:hAnsi="Times New Roman"/>
          <w:b/>
          <w:i w:val="false"/>
          <w:caps w:val="false"/>
          <w:smallCaps w:val="false"/>
          <w:sz w:val="22"/>
        </w:rPr>
        <w:t>WHEREAS</w:t>
      </w:r>
      <w:r>
        <w:rPr>
          <w:rFonts w:ascii="Times New Roman" w:hAnsi="Times New Roman"/>
          <w:b w:val="false"/>
          <w:i w:val="false"/>
          <w:caps w:val="false"/>
          <w:smallCaps w:val="false"/>
          <w:sz w:val="22"/>
        </w:rPr>
        <w:t>, Nkarta and CRISPR desire to enter into a collaboration under which the Parties will jointly develop Collaboration Products (as defined below), and Nkarta will gain access to gene-editing technology for use in researching, developing and commercializing Nkarta Products (as defined below) by or on behalf of itself.</w:t>
      </w:r>
    </w:p>
    <w:p>
      <w:pPr>
        <w:pStyle w:val="TextBody"/>
        <w:spacing w:before="0" w:after="240"/>
        <w:jc w:val="both"/>
        <w:rPr>
          <w:rFonts w:ascii="Times New Roman" w:hAnsi="Times New Roman"/>
          <w:b/>
          <w:i w:val="false"/>
          <w:caps w:val="false"/>
          <w:smallCaps w:val="false"/>
          <w:sz w:val="22"/>
        </w:rPr>
      </w:pPr>
      <w:r>
        <w:rPr>
          <w:rFonts w:ascii="Times New Roman" w:hAnsi="Times New Roman"/>
          <w:b/>
          <w:i w:val="false"/>
          <w:caps w:val="false"/>
          <w:smallCaps w:val="false"/>
          <w:sz w:val="22"/>
        </w:rPr>
        <w:t>NOW, THEREFORE</w:t>
      </w:r>
      <w:r>
        <w:rPr>
          <w:rFonts w:ascii="Times New Roman" w:hAnsi="Times New Roman"/>
          <w:b w:val="false"/>
          <w:i w:val="false"/>
          <w:caps w:val="false"/>
          <w:smallCaps w:val="false"/>
          <w:sz w:val="22"/>
        </w:rPr>
        <w:t>, in consideration of the respective covenants, representations, warranties and agreements set forth herein, the Parties hereto agree as follows:</w:t>
      </w:r>
    </w:p>
    <w:p>
      <w:pPr>
        <w:pStyle w:val="TextBody"/>
        <w:spacing w:before="0" w:after="240"/>
        <w:jc w:val="center"/>
        <w:rPr>
          <w:rFonts w:ascii="Times New Roman" w:hAnsi="Times New Roman"/>
          <w:b/>
          <w:i w:val="false"/>
          <w:caps w:val="false"/>
          <w:smallCaps w:val="false"/>
          <w:sz w:val="22"/>
        </w:rPr>
      </w:pPr>
      <w:bookmarkStart w:id="25" w:name="_Ref_docxtools_71"/>
      <w:bookmarkStart w:id="26" w:name="_Ref514754523"/>
      <w:bookmarkEnd w:id="25"/>
      <w:bookmarkEnd w:id="26"/>
      <w:r>
        <w:rPr>
          <w:rFonts w:ascii="Times New Roman" w:hAnsi="Times New Roman"/>
          <w:b/>
          <w:i w:val="false"/>
          <w:caps w:val="false"/>
          <w:smallCaps w:val="false"/>
          <w:sz w:val="22"/>
        </w:rPr>
        <w:t>Article 1.</w:t>
        <w:br/>
      </w:r>
      <w:bookmarkStart w:id="27" w:name="_Ref_docxtools_7"/>
      <w:bookmarkEnd w:id="27"/>
      <w:r>
        <w:rPr>
          <w:rFonts w:ascii="Times New Roman" w:hAnsi="Times New Roman"/>
          <w:b/>
          <w:i w:val="false"/>
          <w:caps w:val="false"/>
          <w:smallCaps w:val="false"/>
          <w:sz w:val="22"/>
        </w:rPr>
        <w:t>DEFINITIONS</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For purposes of this Agreement, the following capitalized terms will have the following meanings: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w:t>
      </w:r>
      <w:r>
        <w:rPr>
          <w:rFonts w:ascii="Times New Roman" w:hAnsi="Times New Roman"/>
          <w:b/>
          <w:i w:val="false"/>
          <w:caps w:val="false"/>
          <w:smallCaps w:val="false"/>
          <w:sz w:val="22"/>
        </w:rPr>
        <w:t>AAA</w:t>
      </w:r>
      <w:r>
        <w:rPr>
          <w:rFonts w:ascii="Times New Roman" w:hAnsi="Times New Roman"/>
          <w:b w:val="false"/>
          <w:i w:val="false"/>
          <w:caps w:val="false"/>
          <w:smallCaps w:val="false"/>
          <w:sz w:val="22"/>
        </w:rPr>
        <w:t>” means the American Arbitration Association.</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w:t>
      </w:r>
      <w:r>
        <w:rPr>
          <w:rFonts w:ascii="Times New Roman" w:hAnsi="Times New Roman"/>
          <w:b w:val="false"/>
          <w:i w:val="false"/>
          <w:caps w:val="false"/>
          <w:smallCaps w:val="false"/>
          <w:color w:val="000000"/>
          <w:sz w:val="22"/>
        </w:rPr>
        <w:t>“</w:t>
      </w:r>
      <w:r>
        <w:rPr>
          <w:rFonts w:ascii="Times New Roman" w:hAnsi="Times New Roman"/>
          <w:b/>
          <w:i w:val="false"/>
          <w:caps w:val="false"/>
          <w:smallCaps w:val="false"/>
          <w:color w:val="000000"/>
          <w:sz w:val="22"/>
        </w:rPr>
        <w:t>Accounting Standards</w:t>
      </w:r>
      <w:r>
        <w:rPr>
          <w:rFonts w:ascii="Times New Roman" w:hAnsi="Times New Roman"/>
          <w:b w:val="false"/>
          <w:i w:val="false"/>
          <w:caps w:val="false"/>
          <w:smallCaps w:val="false"/>
          <w:color w:val="000000"/>
          <w:sz w:val="22"/>
        </w:rPr>
        <w:t>” means GAAP in the United States or internationally the international financial reporting standards (“</w:t>
      </w:r>
      <w:r>
        <w:rPr>
          <w:rFonts w:ascii="Times New Roman" w:hAnsi="Times New Roman"/>
          <w:b/>
          <w:i w:val="false"/>
          <w:caps w:val="false"/>
          <w:smallCaps w:val="false"/>
          <w:color w:val="000000"/>
          <w:sz w:val="22"/>
        </w:rPr>
        <w:t>IFRS</w:t>
      </w:r>
      <w:r>
        <w:rPr>
          <w:rFonts w:ascii="Times New Roman" w:hAnsi="Times New Roman"/>
          <w:b w:val="false"/>
          <w:i w:val="false"/>
          <w:caps w:val="false"/>
          <w:smallCaps w:val="false"/>
          <w:color w:val="000000"/>
          <w:sz w:val="22"/>
        </w:rPr>
        <w:t>”), as appropriate for each Party, as generally and consistently applied in compliance with Applicable Law throughout the relevant Party’s organization at the relevant time in the United States or internationally, as appropriate, and means IFRS at such time as IFRS becomes the generally accepted accounting standard and Applicable Law requires that such Party use IFRS.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1.3.“</w:t>
      </w:r>
      <w:r>
        <w:rPr>
          <w:rFonts w:ascii="Times New Roman" w:hAnsi="Times New Roman"/>
          <w:b/>
          <w:i w:val="false"/>
          <w:caps w:val="false"/>
          <w:smallCaps w:val="false"/>
          <w:sz w:val="22"/>
        </w:rPr>
        <w:t>Acquisition Transaction</w:t>
      </w:r>
      <w:r>
        <w:rPr>
          <w:rFonts w:ascii="Times New Roman" w:hAnsi="Times New Roman"/>
          <w:b w:val="false"/>
          <w:i w:val="false"/>
          <w:caps w:val="false"/>
          <w:smallCaps w:val="false"/>
          <w:sz w:val="22"/>
        </w:rPr>
        <w:t>” has the meaning set forth in Section 3.2.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1.4.“</w:t>
      </w:r>
      <w:r>
        <w:rPr>
          <w:rFonts w:ascii="Times New Roman" w:hAnsi="Times New Roman"/>
          <w:b/>
          <w:i w:val="false"/>
          <w:caps w:val="false"/>
          <w:smallCaps w:val="false"/>
          <w:sz w:val="22"/>
        </w:rPr>
        <w:t>Additional Gene-Editing Targets</w:t>
      </w:r>
      <w:r>
        <w:rPr>
          <w:rFonts w:ascii="Times New Roman" w:hAnsi="Times New Roman"/>
          <w:b w:val="false"/>
          <w:i w:val="false"/>
          <w:caps w:val="false"/>
          <w:smallCaps w:val="false"/>
          <w:sz w:val="22"/>
        </w:rPr>
        <w:t>” has the meaning set forth in Section 4.1.</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p>
    <w:p>
      <w:pPr>
        <w:pStyle w:val="TextBody"/>
        <w:spacing w:before="0" w:after="0"/>
        <w:jc w:val="center"/>
        <w:rPr>
          <w:rFonts w:ascii="Calibri" w:hAnsi="Calibri"/>
          <w:b w:val="false"/>
          <w:i w:val="false"/>
          <w:caps w:val="false"/>
          <w:smallCaps w:val="false"/>
          <w:sz w:val="24"/>
        </w:rPr>
      </w:pPr>
      <w:r>
        <w:rPr>
          <w:rFonts w:ascii="Calibri" w:hAnsi="Calibri"/>
          <w:b w:val="false"/>
          <w:i w:val="false"/>
          <w:caps w:val="false"/>
          <w:smallCaps w:val="false"/>
          <w:sz w:val="24"/>
        </w:rPr>
        <w:t>1</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28" w:name="_AEIOULastRenderedPageBreakAEIOU2"/>
      <w:bookmarkEnd w:id="28"/>
      <w:r>
        <w:rPr>
          <w:rFonts w:ascii="Times New Roman" w:hAnsi="Times New Roman"/>
          <w:b w:val="false"/>
          <w:i w:val="false"/>
          <w:caps w:val="false"/>
          <w:smallCaps w:val="false"/>
          <w:sz w:val="22"/>
        </w:rPr>
        <w:t>1.5.“</w:t>
      </w:r>
      <w:r>
        <w:rPr>
          <w:rFonts w:ascii="Times New Roman" w:hAnsi="Times New Roman"/>
          <w:b/>
          <w:i w:val="false"/>
          <w:caps w:val="false"/>
          <w:smallCaps w:val="false"/>
          <w:sz w:val="22"/>
        </w:rPr>
        <w:t>Affiliate</w:t>
      </w:r>
      <w:r>
        <w:rPr>
          <w:rFonts w:ascii="Times New Roman" w:hAnsi="Times New Roman"/>
          <w:b w:val="false"/>
          <w:i w:val="false"/>
          <w:caps w:val="false"/>
          <w:smallCaps w:val="false"/>
          <w:sz w:val="22"/>
        </w:rPr>
        <w:t>” means [***] any other Person that controls, is controlled by or is under common control with such Person.  A Person will be regarded as in control of another Person if it (a) owns or controls [***] of the equity securities of the subject Person entitled to vote in the election of directors (or, in the case of a Person that is not a corporation, for the election of the corresponding managing authority) or (b) possesses, directly or indirectly, the power to direct or cause the direction of the management or policies of an such Person (whether through ownership of securities or other ownership interests, by contract or otherwise).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w:t>
      </w:r>
      <w:r>
        <w:rPr>
          <w:rFonts w:ascii="Times New Roman" w:hAnsi="Times New Roman"/>
          <w:b/>
          <w:i w:val="false"/>
          <w:caps w:val="false"/>
          <w:smallCaps w:val="false"/>
          <w:sz w:val="22"/>
        </w:rPr>
        <w:t>Agreement</w:t>
      </w:r>
      <w:r>
        <w:rPr>
          <w:rFonts w:ascii="Times New Roman" w:hAnsi="Times New Roman"/>
          <w:b w:val="false"/>
          <w:i w:val="false"/>
          <w:caps w:val="false"/>
          <w:smallCaps w:val="false"/>
          <w:sz w:val="22"/>
        </w:rPr>
        <w:t>” has the meaning set forth in the preamble.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1.7.“</w:t>
      </w:r>
      <w:r>
        <w:rPr>
          <w:rFonts w:ascii="Times New Roman" w:hAnsi="Times New Roman"/>
          <w:b/>
          <w:i w:val="false"/>
          <w:caps w:val="false"/>
          <w:smallCaps w:val="false"/>
          <w:sz w:val="22"/>
        </w:rPr>
        <w:t>Alliance Manager</w:t>
      </w:r>
      <w:r>
        <w:rPr>
          <w:rFonts w:ascii="Times New Roman" w:hAnsi="Times New Roman"/>
          <w:b w:val="false"/>
          <w:i w:val="false"/>
          <w:caps w:val="false"/>
          <w:smallCaps w:val="false"/>
          <w:sz w:val="22"/>
        </w:rPr>
        <w:t>” has the meaning set forth in Section 6.3.1.</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w:t>
      </w:r>
      <w:r>
        <w:rPr>
          <w:rFonts w:ascii="Times New Roman" w:hAnsi="Times New Roman"/>
          <w:b/>
          <w:i w:val="false"/>
          <w:caps w:val="false"/>
          <w:smallCaps w:val="false"/>
          <w:sz w:val="22"/>
        </w:rPr>
        <w:t>Allogeneic Donor Cells</w:t>
      </w:r>
      <w:r>
        <w:rPr>
          <w:rFonts w:ascii="Times New Roman" w:hAnsi="Times New Roman"/>
          <w:b w:val="false"/>
          <w:i w:val="false"/>
          <w:caps w:val="false"/>
          <w:smallCaps w:val="false"/>
          <w:sz w:val="22"/>
        </w:rPr>
        <w:t>” means cells obtained from one or more individuals who are not the recipient of such cells,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1.9.“</w:t>
      </w:r>
      <w:r>
        <w:rPr>
          <w:rFonts w:ascii="Times New Roman" w:hAnsi="Times New Roman"/>
          <w:b/>
          <w:i w:val="false"/>
          <w:caps w:val="false"/>
          <w:smallCaps w:val="false"/>
          <w:sz w:val="22"/>
        </w:rPr>
        <w:t>Applicable Law</w:t>
      </w:r>
      <w:r>
        <w:rPr>
          <w:rFonts w:ascii="Times New Roman" w:hAnsi="Times New Roman"/>
          <w:b w:val="false"/>
          <w:i w:val="false"/>
          <w:caps w:val="false"/>
          <w:smallCaps w:val="false"/>
          <w:sz w:val="22"/>
        </w:rPr>
        <w:t>” means the applicable provisions of any and all national, supranational, regional, state and local laws, treaties, statutes, rules, regulations, administrative codes, guidance, ordinances, judgments, decrees, directives, injunctions, orders, permits (including Marketing Approvals) of or from any court, arbitrator or Governmental Authority having jurisdiction over or related to the subject item.</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1.10.“</w:t>
      </w:r>
      <w:r>
        <w:rPr>
          <w:rFonts w:ascii="Times New Roman" w:hAnsi="Times New Roman"/>
          <w:b/>
          <w:i w:val="false"/>
          <w:caps w:val="false"/>
          <w:smallCaps w:val="false"/>
          <w:sz w:val="22"/>
        </w:rPr>
        <w:t>Approval Application</w:t>
      </w:r>
      <w:r>
        <w:rPr>
          <w:rFonts w:ascii="Times New Roman" w:hAnsi="Times New Roman"/>
          <w:b w:val="false"/>
          <w:i w:val="false"/>
          <w:caps w:val="false"/>
          <w:smallCaps w:val="false"/>
          <w:sz w:val="22"/>
        </w:rPr>
        <w:t>” means a BLA or similar application or submission for a Collaboration Product or Nkarta Product filed with a Regulatory Authority in a country or group of countries to obtain marketing approval for a biological or pharmaceutical product in that country or group of countries.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w:t>
      </w:r>
      <w:r>
        <w:rPr>
          <w:rFonts w:ascii="Times New Roman" w:hAnsi="Times New Roman"/>
          <w:b/>
          <w:i w:val="false"/>
          <w:caps w:val="false"/>
          <w:smallCaps w:val="false"/>
          <w:sz w:val="22"/>
        </w:rPr>
        <w:t>Available</w:t>
      </w:r>
      <w:r>
        <w:rPr>
          <w:rFonts w:ascii="Times New Roman" w:hAnsi="Times New Roman"/>
          <w:b w:val="false"/>
          <w:i w:val="false"/>
          <w:caps w:val="false"/>
          <w:smallCaps w:val="false"/>
          <w:sz w:val="22"/>
        </w:rPr>
        <w:t>” has the meaning set forth in Section 1.27.</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w:t>
      </w:r>
      <w:r>
        <w:rPr>
          <w:rFonts w:ascii="Times New Roman" w:hAnsi="Times New Roman"/>
          <w:b/>
          <w:i w:val="false"/>
          <w:caps w:val="false"/>
          <w:smallCaps w:val="false"/>
          <w:sz w:val="22"/>
        </w:rPr>
        <w:t>Biosimilar Product</w:t>
      </w:r>
      <w:r>
        <w:rPr>
          <w:rFonts w:ascii="Times New Roman" w:hAnsi="Times New Roman"/>
          <w:b w:val="false"/>
          <w:i w:val="false"/>
          <w:caps w:val="false"/>
          <w:smallCaps w:val="false"/>
          <w:sz w:val="22"/>
        </w:rPr>
        <w:t>” means in a particular country with respect to any Nkarta Product, any biopharmaceutical product that: (a) has received all necessary approvals by the applicable Regulatory Authority in such country to market and sell such product as a biopharmaceutical product; (b) is marketed or sold by a Third Party that has not obtained the rights to market or sell such product as a licensee, sublicensee or distributor of Nkarta or any of its Affiliates, licensees or sublicensees with respect to such product; and (c) is approved as:  (i) a “biosimilar” (in the U.S.) of such Nkarta Product; (ii) a “similar biological medicinal product” (in the EU) with respect to which such Nkarta Product is the “reference medicinal product”; or (iii) if not in the U.S. or EU, the foreign equivalent of a “biosimilar” or “similar biological medicinal product” of such Nkarta Product; in each case, for use in such country pursuant to an expedited regulatory approval process governing approval of biosimilars based on the then-current standards for regulatory approval in such country (e.g., the Biologics Price Competition and Innovation Act of 2009 or an equivalent under non-U.S. law) and where such regulatory approval was based in significant part upon clinical data generated by Nkarta (or its Affiliate or sublicensee) with respect to such Nkarta Product.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w:t>
      </w:r>
      <w:r>
        <w:rPr>
          <w:rFonts w:ascii="Times New Roman" w:hAnsi="Times New Roman"/>
          <w:b/>
          <w:i w:val="false"/>
          <w:caps w:val="false"/>
          <w:smallCaps w:val="false"/>
          <w:sz w:val="22"/>
        </w:rPr>
        <w:t>BLA</w:t>
      </w:r>
      <w:r>
        <w:rPr>
          <w:rFonts w:ascii="Times New Roman" w:hAnsi="Times New Roman"/>
          <w:b w:val="false"/>
          <w:i w:val="false"/>
          <w:caps w:val="false"/>
          <w:smallCaps w:val="false"/>
          <w:sz w:val="22"/>
        </w:rPr>
        <w:t>” means a Biological License Application (as defined by the FDA) or its foreign equivalent (or any successor application having substantially the same function).</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w:t>
      </w:r>
      <w:r>
        <w:rPr>
          <w:rFonts w:ascii="Times New Roman" w:hAnsi="Times New Roman"/>
          <w:b/>
          <w:i w:val="false"/>
          <w:caps w:val="false"/>
          <w:smallCaps w:val="false"/>
          <w:sz w:val="22"/>
        </w:rPr>
        <w:t>Breaching Party</w:t>
      </w:r>
      <w:r>
        <w:rPr>
          <w:rFonts w:ascii="Times New Roman" w:hAnsi="Times New Roman"/>
          <w:b w:val="false"/>
          <w:i w:val="false"/>
          <w:caps w:val="false"/>
          <w:smallCaps w:val="false"/>
          <w:sz w:val="22"/>
        </w:rPr>
        <w:t>” means the Party that is believed by the other Party to be in material breach of this Agreement.</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29" w:name="_AEIOULastRenderedPageBreakAEIOU3"/>
      <w:bookmarkEnd w:id="29"/>
      <w:r>
        <w:rPr>
          <w:rFonts w:ascii="Times New Roman" w:hAnsi="Times New Roman"/>
          <w:b w:val="false"/>
          <w:i w:val="false"/>
          <w:caps w:val="false"/>
          <w:smallCaps w:val="false"/>
          <w:sz w:val="22"/>
        </w:rPr>
        <w:t>1.15.“</w:t>
      </w:r>
      <w:r>
        <w:rPr>
          <w:rFonts w:ascii="Times New Roman" w:hAnsi="Times New Roman"/>
          <w:b/>
          <w:i w:val="false"/>
          <w:caps w:val="false"/>
          <w:smallCaps w:val="false"/>
          <w:sz w:val="22"/>
        </w:rPr>
        <w:t>Business Day</w:t>
      </w:r>
      <w:r>
        <w:rPr>
          <w:rFonts w:ascii="Times New Roman" w:hAnsi="Times New Roman"/>
          <w:b w:val="false"/>
          <w:i w:val="false"/>
          <w:caps w:val="false"/>
          <w:smallCaps w:val="false"/>
          <w:sz w:val="22"/>
        </w:rPr>
        <w:t>” means a Monday, Tuesday, Wednesday, Thursday or Friday that is not a day on which banking institutions in Boston, Massachusetts or New York, New York are obligated to be closed.</w:t>
      </w:r>
    </w:p>
    <w:p>
      <w:pPr>
        <w:pStyle w:val="TextBody"/>
        <w:spacing w:before="0" w:after="240"/>
        <w:ind w:left="1260" w:right="0" w:hanging="0"/>
        <w:jc w:val="both"/>
        <w:rPr>
          <w:rFonts w:ascii="Times New Roman" w:hAnsi="Times New Roman"/>
          <w:b w:val="false"/>
          <w:i w:val="false"/>
          <w:caps w:val="false"/>
          <w:smallCaps w:val="false"/>
          <w:sz w:val="22"/>
        </w:rPr>
      </w:pPr>
      <w:bookmarkStart w:id="30" w:name="_Toc412296648"/>
      <w:bookmarkStart w:id="31" w:name="_Toc263880550"/>
      <w:bookmarkStart w:id="32" w:name="_Toc263802824"/>
      <w:bookmarkStart w:id="33" w:name="_Toc263802515"/>
      <w:bookmarkEnd w:id="30"/>
      <w:bookmarkEnd w:id="31"/>
      <w:bookmarkEnd w:id="32"/>
      <w:bookmarkEnd w:id="33"/>
      <w:r>
        <w:rPr>
          <w:rFonts w:ascii="Times New Roman" w:hAnsi="Times New Roman"/>
          <w:b w:val="false"/>
          <w:i w:val="false"/>
          <w:caps w:val="false"/>
          <w:smallCaps w:val="false"/>
          <w:sz w:val="22"/>
        </w:rPr>
        <w:t>1.16.“</w:t>
      </w:r>
      <w:r>
        <w:rPr>
          <w:rFonts w:ascii="Times New Roman" w:hAnsi="Times New Roman"/>
          <w:b/>
          <w:i w:val="false"/>
          <w:caps w:val="false"/>
          <w:smallCaps w:val="false"/>
          <w:sz w:val="22"/>
        </w:rPr>
        <w:t>Calendar Quarter</w:t>
      </w:r>
      <w:r>
        <w:rPr>
          <w:rFonts w:ascii="Times New Roman" w:hAnsi="Times New Roman"/>
          <w:b w:val="false"/>
          <w:i w:val="false"/>
          <w:caps w:val="false"/>
          <w:smallCaps w:val="false"/>
          <w:sz w:val="22"/>
        </w:rPr>
        <w:t>” means the respective periods of three consecutive calendar months ending on March 31, June 30, September 30 or December 31, during the Term, or the applicable part thereof during the first or last calendar quarter of the Term.</w:t>
      </w:r>
    </w:p>
    <w:p>
      <w:pPr>
        <w:pStyle w:val="TextBody"/>
        <w:spacing w:before="0" w:after="240"/>
        <w:ind w:left="1260" w:right="0" w:hanging="0"/>
        <w:jc w:val="both"/>
        <w:rPr>
          <w:rFonts w:ascii="Times New Roman" w:hAnsi="Times New Roman"/>
          <w:b w:val="false"/>
          <w:i w:val="false"/>
          <w:caps w:val="false"/>
          <w:smallCaps w:val="false"/>
          <w:sz w:val="22"/>
        </w:rPr>
      </w:pPr>
      <w:bookmarkStart w:id="34" w:name="_Toc412296649"/>
      <w:bookmarkStart w:id="35" w:name="_Toc263880551"/>
      <w:bookmarkStart w:id="36" w:name="_Toc263802825"/>
      <w:bookmarkStart w:id="37" w:name="_Toc263802516"/>
      <w:bookmarkStart w:id="38" w:name="_Toc138487366"/>
      <w:bookmarkStart w:id="39" w:name="_Toc138487173"/>
      <w:bookmarkStart w:id="40" w:name="_Toc137310576"/>
      <w:bookmarkStart w:id="41" w:name="_Toc135753907"/>
      <w:bookmarkStart w:id="42" w:name="_Toc135582295"/>
      <w:bookmarkStart w:id="43" w:name="_Toc135582000"/>
      <w:bookmarkStart w:id="44" w:name="_Toc135580531"/>
      <w:bookmarkEnd w:id="34"/>
      <w:bookmarkEnd w:id="35"/>
      <w:bookmarkEnd w:id="36"/>
      <w:bookmarkEnd w:id="37"/>
      <w:bookmarkEnd w:id="38"/>
      <w:bookmarkEnd w:id="39"/>
      <w:bookmarkEnd w:id="40"/>
      <w:bookmarkEnd w:id="41"/>
      <w:bookmarkEnd w:id="42"/>
      <w:bookmarkEnd w:id="43"/>
      <w:bookmarkEnd w:id="44"/>
      <w:r>
        <w:rPr>
          <w:rFonts w:ascii="Times New Roman" w:hAnsi="Times New Roman"/>
          <w:b w:val="false"/>
          <w:i w:val="false"/>
          <w:caps w:val="false"/>
          <w:smallCaps w:val="false"/>
          <w:sz w:val="22"/>
        </w:rPr>
        <w:t>1.17.“</w:t>
      </w:r>
      <w:r>
        <w:rPr>
          <w:rFonts w:ascii="Times New Roman" w:hAnsi="Times New Roman"/>
          <w:b/>
          <w:i w:val="false"/>
          <w:caps w:val="false"/>
          <w:smallCaps w:val="false"/>
          <w:sz w:val="22"/>
        </w:rPr>
        <w:t>Calendar Year</w:t>
      </w:r>
      <w:r>
        <w:rPr>
          <w:rFonts w:ascii="Times New Roman" w:hAnsi="Times New Roman"/>
          <w:b w:val="false"/>
          <w:i w:val="false"/>
          <w:caps w:val="false"/>
          <w:smallCaps w:val="false"/>
          <w:sz w:val="22"/>
        </w:rPr>
        <w:t>” means any calendar year ending on December 31, or the applicable part thereof during the first or last year of the Term.</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1.18.“</w:t>
      </w:r>
      <w:r>
        <w:rPr>
          <w:rFonts w:ascii="Times New Roman" w:hAnsi="Times New Roman"/>
          <w:b/>
          <w:i w:val="false"/>
          <w:caps w:val="false"/>
          <w:smallCaps w:val="false"/>
          <w:sz w:val="22"/>
        </w:rPr>
        <w:t>CAR</w:t>
      </w:r>
      <w:r>
        <w:rPr>
          <w:rFonts w:ascii="Times New Roman" w:hAnsi="Times New Roman"/>
          <w:b w:val="false"/>
          <w:i w:val="false"/>
          <w:caps w:val="false"/>
          <w:smallCaps w:val="false"/>
          <w:sz w:val="22"/>
        </w:rPr>
        <w:t>” means chimeric antigen receptor.</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1.19.“</w:t>
      </w:r>
      <w:r>
        <w:rPr>
          <w:rFonts w:ascii="Times New Roman" w:hAnsi="Times New Roman"/>
          <w:b/>
          <w:i w:val="false"/>
          <w:caps w:val="false"/>
          <w:smallCaps w:val="false"/>
          <w:sz w:val="22"/>
        </w:rPr>
        <w:t>CAR-screening</w:t>
      </w:r>
      <w:r>
        <w:rPr>
          <w:rFonts w:ascii="Times New Roman" w:hAnsi="Times New Roman"/>
          <w:b w:val="false"/>
          <w:i w:val="false"/>
          <w:caps w:val="false"/>
          <w:smallCaps w:val="false"/>
          <w:sz w:val="22"/>
        </w:rPr>
        <w:t>” means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1.20.“</w:t>
      </w:r>
      <w:r>
        <w:rPr>
          <w:rFonts w:ascii="Times New Roman" w:hAnsi="Times New Roman"/>
          <w:b/>
          <w:i w:val="false"/>
          <w:caps w:val="false"/>
          <w:smallCaps w:val="false"/>
          <w:sz w:val="22"/>
        </w:rPr>
        <w:t>cGMP</w:t>
      </w:r>
      <w:r>
        <w:rPr>
          <w:rFonts w:ascii="Times New Roman" w:hAnsi="Times New Roman"/>
          <w:b w:val="false"/>
          <w:i w:val="false"/>
          <w:caps w:val="false"/>
          <w:smallCaps w:val="false"/>
          <w:sz w:val="22"/>
        </w:rPr>
        <w:t>” means current Good Manufacturing Practices as specified in the United States Code of Federal Regulations, ICH Guideline Q7A, or equivalent laws, rules, or regulations of an applicable Regulatory Authority at the time of manufacture.</w:t>
      </w:r>
    </w:p>
    <w:p>
      <w:pPr>
        <w:pStyle w:val="TextBody"/>
        <w:spacing w:before="0" w:after="240"/>
        <w:ind w:left="1260" w:right="0" w:hanging="0"/>
        <w:jc w:val="both"/>
        <w:rPr>
          <w:rFonts w:ascii="Times New Roman" w:hAnsi="Times New Roman"/>
          <w:b w:val="false"/>
          <w:i w:val="false"/>
          <w:caps w:val="false"/>
          <w:smallCaps w:val="false"/>
          <w:sz w:val="22"/>
        </w:rPr>
      </w:pPr>
      <w:bookmarkStart w:id="45" w:name="El2q7O1"/>
      <w:bookmarkStart w:id="46" w:name="El2p7O1"/>
      <w:bookmarkStart w:id="47" w:name="El2s7O1"/>
      <w:bookmarkStart w:id="48" w:name="El2o7O1"/>
      <w:bookmarkStart w:id="49" w:name="El2r7O1"/>
      <w:bookmarkStart w:id="50" w:name="Elo07O1"/>
      <w:bookmarkStart w:id="51" w:name="DocXTextRef41"/>
      <w:bookmarkStart w:id="52" w:name="El237O1"/>
      <w:bookmarkStart w:id="53" w:name="El2l7O1"/>
      <w:bookmarkStart w:id="54" w:name="El957O1"/>
      <w:bookmarkStart w:id="55" w:name="El2k7O1"/>
      <w:bookmarkStart w:id="56" w:name="El2j7O1"/>
      <w:bookmarkStart w:id="57" w:name="El2m7O1"/>
      <w:bookmarkStart w:id="58" w:name="Eloi7O1"/>
      <w:bookmarkStart w:id="59" w:name="DocXTextRef31"/>
      <w:bookmarkStart w:id="60" w:name="El227O1"/>
      <w:bookmarkStart w:id="61" w:name="El2h7O1"/>
      <w:bookmarkStart w:id="62" w:name="El2g7O1"/>
      <w:bookmarkStart w:id="63" w:name="El947O1"/>
      <w:bookmarkStart w:id="64" w:name="El2f7O1"/>
      <w:bookmarkStart w:id="65" w:name="El2e7O1"/>
      <w:bookmarkStart w:id="66" w:name="El2b7O1"/>
      <w:bookmarkStart w:id="67" w:name="El287O1"/>
      <w:bookmarkStart w:id="68" w:name="El2c7O1"/>
      <w:bookmarkStart w:id="69" w:name="El2d7O1"/>
      <w:bookmarkStart w:id="70" w:name="Elo77O1"/>
      <w:bookmarkStart w:id="71" w:name="DocXTextRef21"/>
      <w:bookmarkStart w:id="72" w:name="El217O1"/>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Pr>
          <w:rFonts w:ascii="Times New Roman" w:hAnsi="Times New Roman"/>
          <w:b w:val="false"/>
          <w:i w:val="false"/>
          <w:caps w:val="false"/>
          <w:smallCaps w:val="false"/>
          <w:sz w:val="22"/>
        </w:rPr>
        <w:t>1.21.“</w:t>
      </w:r>
      <w:r>
        <w:rPr>
          <w:rFonts w:ascii="Times New Roman" w:hAnsi="Times New Roman"/>
          <w:b/>
          <w:i w:val="false"/>
          <w:caps w:val="false"/>
          <w:smallCaps w:val="false"/>
          <w:sz w:val="22"/>
        </w:rPr>
        <w:t>Change of Control</w:t>
      </w:r>
      <w:bookmarkStart w:id="73" w:name="El217O"/>
      <w:bookmarkEnd w:id="73"/>
      <w:r>
        <w:rPr>
          <w:rFonts w:ascii="Times New Roman" w:hAnsi="Times New Roman"/>
          <w:b w:val="false"/>
          <w:i w:val="false"/>
          <w:caps w:val="false"/>
          <w:smallCaps w:val="false"/>
          <w:sz w:val="22"/>
        </w:rPr>
        <w:t>” means, with respect to a Party</w:t>
      </w:r>
      <w:bookmarkStart w:id="74" w:name="Elo77O"/>
      <w:bookmarkStart w:id="75" w:name="DocXTextRef2"/>
      <w:bookmarkEnd w:id="74"/>
      <w:bookmarkEnd w:id="75"/>
      <w:r>
        <w:rPr>
          <w:rFonts w:ascii="Times New Roman" w:hAnsi="Times New Roman"/>
          <w:b w:val="false"/>
          <w:i w:val="false"/>
          <w:caps w:val="false"/>
          <w:smallCaps w:val="false"/>
          <w:sz w:val="22"/>
        </w:rPr>
        <w:t>, (a)</w:t>
      </w:r>
      <w:bookmarkStart w:id="76" w:name="El2d7O"/>
      <w:bookmarkEnd w:id="76"/>
      <w:r>
        <w:rPr>
          <w:rFonts w:ascii="Times New Roman" w:hAnsi="Times New Roman"/>
          <w:b w:val="false"/>
          <w:i w:val="false"/>
          <w:caps w:val="false"/>
          <w:smallCaps w:val="false"/>
          <w:sz w:val="22"/>
        </w:rPr>
        <w:t xml:space="preserve"> a merger or </w:t>
      </w:r>
      <w:bookmarkStart w:id="77" w:name="El2c7O"/>
      <w:bookmarkEnd w:id="77"/>
      <w:r>
        <w:rPr>
          <w:rFonts w:ascii="Times New Roman" w:hAnsi="Times New Roman"/>
          <w:b w:val="false"/>
          <w:i w:val="false"/>
          <w:caps w:val="false"/>
          <w:smallCaps w:val="false"/>
          <w:sz w:val="22"/>
        </w:rPr>
        <w:t xml:space="preserve">consolidation of such Party </w:t>
      </w:r>
      <w:bookmarkStart w:id="78" w:name="El287O"/>
      <w:bookmarkEnd w:id="78"/>
      <w:r>
        <w:rPr>
          <w:rFonts w:ascii="Times New Roman" w:hAnsi="Times New Roman"/>
          <w:b w:val="false"/>
          <w:i w:val="false"/>
          <w:caps w:val="false"/>
          <w:smallCaps w:val="false"/>
          <w:sz w:val="22"/>
        </w:rPr>
        <w:t xml:space="preserve">with a Third Party </w:t>
      </w:r>
      <w:bookmarkStart w:id="79" w:name="El2b7O"/>
      <w:bookmarkEnd w:id="79"/>
      <w:r>
        <w:rPr>
          <w:rFonts w:ascii="Times New Roman" w:hAnsi="Times New Roman"/>
          <w:b w:val="false"/>
          <w:i w:val="false"/>
          <w:caps w:val="false"/>
          <w:smallCaps w:val="false"/>
          <w:sz w:val="22"/>
        </w:rPr>
        <w:t xml:space="preserve">that results in the voting securities of such Party </w:t>
      </w:r>
      <w:bookmarkStart w:id="80" w:name="El2e7O"/>
      <w:bookmarkEnd w:id="80"/>
      <w:r>
        <w:rPr>
          <w:rFonts w:ascii="Times New Roman" w:hAnsi="Times New Roman"/>
          <w:b w:val="false"/>
          <w:i w:val="false"/>
          <w:caps w:val="false"/>
          <w:smallCaps w:val="false"/>
          <w:sz w:val="22"/>
        </w:rPr>
        <w:t xml:space="preserve">outstanding immediately prior thereto, or </w:t>
      </w:r>
      <w:bookmarkStart w:id="81" w:name="El2f7O"/>
      <w:bookmarkEnd w:id="81"/>
      <w:r>
        <w:rPr>
          <w:rFonts w:ascii="Times New Roman" w:hAnsi="Times New Roman"/>
          <w:b w:val="false"/>
          <w:i w:val="false"/>
          <w:caps w:val="false"/>
          <w:smallCaps w:val="false"/>
          <w:sz w:val="22"/>
        </w:rPr>
        <w:t xml:space="preserve">any securities into which such voting securities have been converted or exchanged, ceasing to </w:t>
      </w:r>
      <w:bookmarkStart w:id="82" w:name="El947O"/>
      <w:bookmarkEnd w:id="82"/>
      <w:r>
        <w:rPr>
          <w:rFonts w:ascii="Times New Roman" w:hAnsi="Times New Roman"/>
          <w:b w:val="false"/>
          <w:i w:val="false"/>
          <w:caps w:val="false"/>
          <w:smallCaps w:val="false"/>
          <w:sz w:val="22"/>
        </w:rPr>
        <w:t xml:space="preserve">represent more than fifty percent (50%) </w:t>
      </w:r>
      <w:bookmarkStart w:id="83" w:name="El2g7O"/>
      <w:bookmarkEnd w:id="83"/>
      <w:r>
        <w:rPr>
          <w:rFonts w:ascii="Times New Roman" w:hAnsi="Times New Roman"/>
          <w:b w:val="false"/>
          <w:i w:val="false"/>
          <w:caps w:val="false"/>
          <w:smallCaps w:val="false"/>
          <w:sz w:val="22"/>
        </w:rPr>
        <w:t xml:space="preserve">of the combined voting power of the surviving entity or </w:t>
      </w:r>
      <w:bookmarkStart w:id="84" w:name="El2h7O"/>
      <w:bookmarkEnd w:id="84"/>
      <w:r>
        <w:rPr>
          <w:rFonts w:ascii="Times New Roman" w:hAnsi="Times New Roman"/>
          <w:b w:val="false"/>
          <w:i w:val="false"/>
          <w:caps w:val="false"/>
          <w:smallCaps w:val="false"/>
          <w:sz w:val="22"/>
        </w:rPr>
        <w:t xml:space="preserve">the parent of the surviving entity immediately after such merger or </w:t>
      </w:r>
      <w:bookmarkStart w:id="85" w:name="El227O"/>
      <w:bookmarkEnd w:id="85"/>
      <w:r>
        <w:rPr>
          <w:rFonts w:ascii="Times New Roman" w:hAnsi="Times New Roman"/>
          <w:b w:val="false"/>
          <w:i w:val="false"/>
          <w:caps w:val="false"/>
          <w:smallCaps w:val="false"/>
          <w:sz w:val="22"/>
        </w:rPr>
        <w:t xml:space="preserve">consolidation, </w:t>
      </w:r>
      <w:bookmarkStart w:id="86" w:name="Eloi7O"/>
      <w:bookmarkStart w:id="87" w:name="DocXTextRef3"/>
      <w:bookmarkEnd w:id="86"/>
      <w:bookmarkEnd w:id="87"/>
      <w:r>
        <w:rPr>
          <w:rFonts w:ascii="Times New Roman" w:hAnsi="Times New Roman"/>
          <w:b w:val="false"/>
          <w:i w:val="false"/>
          <w:caps w:val="false"/>
          <w:smallCaps w:val="false"/>
          <w:sz w:val="22"/>
        </w:rPr>
        <w:t>or (b)</w:t>
      </w:r>
      <w:bookmarkStart w:id="88" w:name="El2m7O"/>
      <w:bookmarkEnd w:id="88"/>
      <w:r>
        <w:rPr>
          <w:rFonts w:ascii="Times New Roman" w:hAnsi="Times New Roman"/>
          <w:b w:val="false"/>
          <w:i w:val="false"/>
          <w:caps w:val="false"/>
          <w:smallCaps w:val="false"/>
          <w:sz w:val="22"/>
        </w:rPr>
        <w:t xml:space="preserve"> a transaction or </w:t>
      </w:r>
      <w:bookmarkStart w:id="89" w:name="El2j7O"/>
      <w:bookmarkEnd w:id="89"/>
      <w:r>
        <w:rPr>
          <w:rFonts w:ascii="Times New Roman" w:hAnsi="Times New Roman"/>
          <w:b w:val="false"/>
          <w:i w:val="false"/>
          <w:caps w:val="false"/>
          <w:smallCaps w:val="false"/>
          <w:sz w:val="22"/>
        </w:rPr>
        <w:t>series of related transactions in which a Third Party</w:t>
      </w:r>
      <w:bookmarkStart w:id="90" w:name="El2k7O"/>
      <w:bookmarkEnd w:id="90"/>
      <w:r>
        <w:rPr>
          <w:rFonts w:ascii="Times New Roman" w:hAnsi="Times New Roman"/>
          <w:b w:val="false"/>
          <w:i w:val="false"/>
          <w:caps w:val="false"/>
          <w:smallCaps w:val="false"/>
          <w:sz w:val="22"/>
        </w:rPr>
        <w:t>, together with its Affiliates</w:t>
      </w:r>
      <w:bookmarkStart w:id="91" w:name="El957O"/>
      <w:bookmarkEnd w:id="91"/>
      <w:r>
        <w:rPr>
          <w:rFonts w:ascii="Times New Roman" w:hAnsi="Times New Roman"/>
          <w:b w:val="false"/>
          <w:i w:val="false"/>
          <w:caps w:val="false"/>
          <w:smallCaps w:val="false"/>
          <w:sz w:val="22"/>
        </w:rPr>
        <w:t xml:space="preserve">, becomes the beneficial owner of more than fifty percent (50%) </w:t>
      </w:r>
      <w:bookmarkStart w:id="92" w:name="El2l7O"/>
      <w:bookmarkEnd w:id="92"/>
      <w:r>
        <w:rPr>
          <w:rFonts w:ascii="Times New Roman" w:hAnsi="Times New Roman"/>
          <w:b w:val="false"/>
          <w:i w:val="false"/>
          <w:caps w:val="false"/>
          <w:smallCaps w:val="false"/>
          <w:sz w:val="22"/>
        </w:rPr>
        <w:t>of the combined voting power of the outstanding securities of such Party</w:t>
      </w:r>
      <w:bookmarkStart w:id="93" w:name="El237O"/>
      <w:bookmarkEnd w:id="93"/>
      <w:r>
        <w:rPr>
          <w:rFonts w:ascii="Times New Roman" w:hAnsi="Times New Roman"/>
          <w:b w:val="false"/>
          <w:i w:val="false"/>
          <w:caps w:val="false"/>
          <w:smallCaps w:val="false"/>
          <w:sz w:val="22"/>
        </w:rPr>
        <w:t xml:space="preserve">, </w:t>
      </w:r>
      <w:bookmarkStart w:id="94" w:name="Elo07O"/>
      <w:bookmarkStart w:id="95" w:name="DocXTextRef4"/>
      <w:bookmarkEnd w:id="94"/>
      <w:bookmarkEnd w:id="95"/>
      <w:r>
        <w:rPr>
          <w:rFonts w:ascii="Times New Roman" w:hAnsi="Times New Roman"/>
          <w:b w:val="false"/>
          <w:i w:val="false"/>
          <w:caps w:val="false"/>
          <w:smallCaps w:val="false"/>
          <w:sz w:val="22"/>
        </w:rPr>
        <w:t>or (c)</w:t>
      </w:r>
      <w:bookmarkStart w:id="96" w:name="El2r7O"/>
      <w:bookmarkEnd w:id="96"/>
      <w:r>
        <w:rPr>
          <w:rFonts w:ascii="Times New Roman" w:hAnsi="Times New Roman"/>
          <w:b w:val="false"/>
          <w:i w:val="false"/>
          <w:caps w:val="false"/>
          <w:smallCaps w:val="false"/>
          <w:sz w:val="22"/>
        </w:rPr>
        <w:t xml:space="preserve"> the sale or </w:t>
      </w:r>
      <w:bookmarkStart w:id="97" w:name="El2o7O"/>
      <w:bookmarkEnd w:id="97"/>
      <w:r>
        <w:rPr>
          <w:rFonts w:ascii="Times New Roman" w:hAnsi="Times New Roman"/>
          <w:b w:val="false"/>
          <w:i w:val="false"/>
          <w:caps w:val="false"/>
          <w:smallCaps w:val="false"/>
          <w:sz w:val="22"/>
        </w:rPr>
        <w:t xml:space="preserve">other transfer to a Third Party </w:t>
      </w:r>
      <w:bookmarkStart w:id="98" w:name="El2s7O"/>
      <w:bookmarkEnd w:id="98"/>
      <w:r>
        <w:rPr>
          <w:rFonts w:ascii="Times New Roman" w:hAnsi="Times New Roman"/>
          <w:b w:val="false"/>
          <w:i w:val="false"/>
          <w:caps w:val="false"/>
          <w:smallCaps w:val="false"/>
          <w:sz w:val="22"/>
        </w:rPr>
        <w:t xml:space="preserve">of all or </w:t>
      </w:r>
      <w:bookmarkStart w:id="99" w:name="El2p7O"/>
      <w:bookmarkEnd w:id="99"/>
      <w:r>
        <w:rPr>
          <w:rFonts w:ascii="Times New Roman" w:hAnsi="Times New Roman"/>
          <w:b w:val="false"/>
          <w:i w:val="false"/>
          <w:caps w:val="false"/>
          <w:smallCaps w:val="false"/>
          <w:sz w:val="22"/>
        </w:rPr>
        <w:t>substantially all of such Party</w:t>
      </w:r>
      <w:bookmarkStart w:id="100" w:name="El2q7O"/>
      <w:bookmarkEnd w:id="100"/>
      <w:r>
        <w:rPr>
          <w:rFonts w:ascii="Times New Roman" w:hAnsi="Times New Roman"/>
          <w:b w:val="false"/>
          <w:i w:val="false"/>
          <w:caps w:val="false"/>
          <w:smallCaps w:val="false"/>
          <w:sz w:val="22"/>
        </w:rPr>
        <w:t>’s business to which the subject matter of this Agreement relates</w:t>
      </w:r>
      <w:r>
        <w:rPr>
          <w:rFonts w:ascii="Times New Roman" w:hAnsi="Times New Roman"/>
          <w:b/>
          <w:i w:val="false"/>
          <w:caps w:val="false"/>
          <w:smallCaps w:val="false"/>
          <w:sz w:val="24"/>
        </w:rPr>
        <w:t>.  </w:t>
      </w:r>
      <w:r>
        <w:rPr>
          <w:rFonts w:ascii="Times New Roman" w:hAnsi="Times New Roman"/>
          <w:b w:val="false"/>
          <w:i w:val="false"/>
          <w:caps w:val="false"/>
          <w:smallCaps w:val="false"/>
          <w:sz w:val="22"/>
        </w:rPr>
        <w:t>Notwithstanding the foregoing, the term “Change of Control” will not include any sale of shares of capital stock of a Party, in a single transaction or series of related transactions in which such Party issues new securities solely to institutional investors for cash or the cancellation or conversion of indebtedness or a combination thereof where such transaction(s) are conducted primarily for bona fide equity financing purposes.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1.22.“</w:t>
      </w:r>
      <w:r>
        <w:rPr>
          <w:rFonts w:ascii="Times New Roman" w:hAnsi="Times New Roman"/>
          <w:b/>
          <w:i w:val="false"/>
          <w:caps w:val="false"/>
          <w:smallCaps w:val="false"/>
          <w:sz w:val="22"/>
        </w:rPr>
        <w:t>Clinical Trial</w:t>
      </w:r>
      <w:r>
        <w:rPr>
          <w:rFonts w:ascii="Times New Roman" w:hAnsi="Times New Roman"/>
          <w:b w:val="false"/>
          <w:i w:val="false"/>
          <w:caps w:val="false"/>
          <w:smallCaps w:val="false"/>
          <w:sz w:val="22"/>
        </w:rPr>
        <w:t>” means a study in humans that is conducted in accordance with GCP and is designed to generate data in support of an Approval Application.</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1.23.“</w:t>
      </w:r>
      <w:r>
        <w:rPr>
          <w:rFonts w:ascii="Times New Roman" w:hAnsi="Times New Roman"/>
          <w:b/>
          <w:i w:val="false"/>
          <w:caps w:val="false"/>
          <w:smallCaps w:val="false"/>
          <w:sz w:val="22"/>
        </w:rPr>
        <w:t>Collaboration Products</w:t>
      </w:r>
      <w:r>
        <w:rPr>
          <w:rFonts w:ascii="Times New Roman" w:hAnsi="Times New Roman"/>
          <w:b w:val="false"/>
          <w:i w:val="false"/>
          <w:caps w:val="false"/>
          <w:smallCaps w:val="false"/>
          <w:sz w:val="22"/>
        </w:rPr>
        <w:t>” means the Initial Collaboration Product, Second Collaboration Product and Third Collaboration Product, as applicable.  Collaboration Products shall exclude Nkarta Products.</w:t>
      </w:r>
    </w:p>
    <w:p>
      <w:pPr>
        <w:pStyle w:val="TextBody"/>
        <w:spacing w:before="0" w:after="240"/>
        <w:ind w:left="1260" w:right="0" w:hanging="0"/>
        <w:jc w:val="both"/>
        <w:rPr>
          <w:rFonts w:ascii="Times New Roman" w:hAnsi="Times New Roman"/>
          <w:b w:val="false"/>
          <w:i w:val="false"/>
          <w:caps w:val="false"/>
          <w:smallCaps w:val="false"/>
          <w:sz w:val="22"/>
        </w:rPr>
      </w:pPr>
      <w:bookmarkStart w:id="101" w:name="_Toc412296657"/>
      <w:bookmarkStart w:id="102" w:name="_Toc263880564"/>
      <w:bookmarkStart w:id="103" w:name="_Toc263802837"/>
      <w:bookmarkStart w:id="104" w:name="_Toc263802528"/>
      <w:bookmarkStart w:id="105" w:name="_Toc138487371"/>
      <w:bookmarkStart w:id="106" w:name="_Toc138487178"/>
      <w:bookmarkStart w:id="107" w:name="_Toc137310581"/>
      <w:bookmarkStart w:id="108" w:name="_Toc135753912"/>
      <w:bookmarkStart w:id="109" w:name="_Toc135582299"/>
      <w:bookmarkStart w:id="110" w:name="_Toc135582004"/>
      <w:bookmarkStart w:id="111" w:name="_Toc135580535"/>
      <w:bookmarkStart w:id="112" w:name="_Toc115199669"/>
      <w:bookmarkStart w:id="113" w:name="_Toc115199240"/>
      <w:bookmarkStart w:id="114" w:name="_Toc115166617"/>
      <w:bookmarkStart w:id="115" w:name="_Toc115152209"/>
      <w:bookmarkStart w:id="116" w:name="_Toc115151485"/>
      <w:bookmarkStart w:id="117" w:name="_Toc115145256"/>
      <w:bookmarkStart w:id="118" w:name="_Toc115118954"/>
      <w:bookmarkStart w:id="119" w:name="_Toc115080787"/>
      <w:bookmarkStart w:id="120" w:name="_Toc115080533"/>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Fonts w:ascii="Times New Roman" w:hAnsi="Times New Roman"/>
          <w:b w:val="false"/>
          <w:i w:val="false"/>
          <w:caps w:val="false"/>
          <w:smallCaps w:val="false"/>
          <w:sz w:val="22"/>
        </w:rPr>
        <w:t>1.24.“</w:t>
      </w:r>
      <w:r>
        <w:rPr>
          <w:rFonts w:ascii="Times New Roman" w:hAnsi="Times New Roman"/>
          <w:b/>
          <w:i w:val="false"/>
          <w:caps w:val="false"/>
          <w:smallCaps w:val="false"/>
          <w:sz w:val="22"/>
        </w:rPr>
        <w:t>Commercialize</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Commercializing</w:t>
      </w:r>
      <w:r>
        <w:rPr>
          <w:rFonts w:ascii="Times New Roman" w:hAnsi="Times New Roman"/>
          <w:b w:val="false"/>
          <w:i w:val="false"/>
          <w:caps w:val="false"/>
          <w:smallCaps w:val="false"/>
          <w:sz w:val="22"/>
        </w:rPr>
        <w:t>” means to market, promote, distribute, offer for sale, sell, have sold, import, export or otherwise commercialize a product, or to conduct activities, other than Research, Development and Manufacturing, in preparation for the foregoing activities, including obtaining Pricing Approval.  When used as a noun, “</w:t>
      </w:r>
      <w:r>
        <w:rPr>
          <w:rFonts w:ascii="Times New Roman" w:hAnsi="Times New Roman"/>
          <w:b/>
          <w:i w:val="false"/>
          <w:caps w:val="false"/>
          <w:smallCaps w:val="false"/>
          <w:sz w:val="22"/>
        </w:rPr>
        <w:t>Commercialization</w:t>
      </w:r>
      <w:r>
        <w:rPr>
          <w:rFonts w:ascii="Times New Roman" w:hAnsi="Times New Roman"/>
          <w:b w:val="false"/>
          <w:i w:val="false"/>
          <w:caps w:val="false"/>
          <w:smallCaps w:val="false"/>
          <w:sz w:val="22"/>
        </w:rPr>
        <w:t>” means any and all activities involved in Commercializing.</w:t>
      </w:r>
    </w:p>
    <w:p>
      <w:pPr>
        <w:pStyle w:val="TextBody"/>
        <w:spacing w:before="0" w:after="240"/>
        <w:ind w:left="1260" w:right="0" w:hanging="0"/>
        <w:jc w:val="both"/>
        <w:rPr>
          <w:rFonts w:ascii="Times New Roman" w:hAnsi="Times New Roman"/>
          <w:b w:val="false"/>
          <w:i w:val="false"/>
          <w:caps w:val="false"/>
          <w:smallCaps w:val="false"/>
          <w:sz w:val="22"/>
        </w:rPr>
      </w:pPr>
      <w:bookmarkStart w:id="121" w:name="_Toc4122966591"/>
      <w:bookmarkStart w:id="122" w:name="_Toc412296658"/>
      <w:bookmarkStart w:id="123" w:name="_Toc138487372"/>
      <w:bookmarkStart w:id="124" w:name="_Toc138487179"/>
      <w:bookmarkStart w:id="125" w:name="_Toc137310582"/>
      <w:bookmarkStart w:id="126" w:name="_Toc135753913"/>
      <w:bookmarkStart w:id="127" w:name="_Toc135582300"/>
      <w:bookmarkStart w:id="128" w:name="_Toc135582005"/>
      <w:bookmarkStart w:id="129" w:name="_Toc135580536"/>
      <w:bookmarkStart w:id="130" w:name="_Toc115199670"/>
      <w:bookmarkStart w:id="131" w:name="_Toc115199241"/>
      <w:bookmarkStart w:id="132" w:name="_Toc115166618"/>
      <w:bookmarkStart w:id="133" w:name="_Toc115152210"/>
      <w:bookmarkStart w:id="134" w:name="_Toc115151486"/>
      <w:bookmarkStart w:id="135" w:name="_Toc115145257"/>
      <w:bookmarkStart w:id="136" w:name="_Toc115118955"/>
      <w:bookmarkStart w:id="137" w:name="_Toc115080788"/>
      <w:bookmarkStart w:id="138" w:name="_Toc115080534"/>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ascii="Times New Roman" w:hAnsi="Times New Roman"/>
          <w:b w:val="false"/>
          <w:i w:val="false"/>
          <w:caps w:val="false"/>
          <w:smallCaps w:val="false"/>
          <w:sz w:val="22"/>
        </w:rPr>
        <w:t>1.25.“</w:t>
      </w:r>
      <w:r>
        <w:rPr>
          <w:rFonts w:ascii="Times New Roman" w:hAnsi="Times New Roman"/>
          <w:b/>
          <w:i w:val="false"/>
          <w:caps w:val="false"/>
          <w:smallCaps w:val="false"/>
          <w:sz w:val="22"/>
        </w:rPr>
        <w:t>Commercially Reasonable Efforts</w:t>
      </w:r>
      <w:r>
        <w:rPr>
          <w:rFonts w:ascii="Times New Roman" w:hAnsi="Times New Roman"/>
          <w:b w:val="false"/>
          <w:i w:val="false"/>
          <w:caps w:val="false"/>
          <w:smallCaps w:val="false"/>
          <w:sz w:val="22"/>
        </w:rPr>
        <w:t xml:space="preserve">” means, </w:t>
      </w:r>
      <w:bookmarkStart w:id="139" w:name="_Toc412296659"/>
      <w:bookmarkEnd w:id="139"/>
      <w:r>
        <w:rPr>
          <w:rFonts w:ascii="Times New Roman" w:hAnsi="Times New Roman"/>
          <w:b w:val="false"/>
          <w:i w:val="false"/>
          <w:caps w:val="false"/>
          <w:smallCaps w:val="false"/>
          <w:sz w:val="22"/>
        </w:rPr>
        <w:t>[***].</w:t>
      </w:r>
    </w:p>
    <w:p>
      <w:pPr>
        <w:pStyle w:val="TextBody"/>
        <w:spacing w:before="0" w:after="240"/>
        <w:ind w:left="1260" w:right="0" w:hanging="0"/>
        <w:jc w:val="both"/>
        <w:rPr>
          <w:rFonts w:ascii="Times New Roman" w:hAnsi="Times New Roman"/>
          <w:b w:val="false"/>
          <w:i w:val="false"/>
          <w:caps w:val="false"/>
          <w:smallCaps w:val="false"/>
          <w:sz w:val="22"/>
        </w:rPr>
      </w:pPr>
      <w:bookmarkStart w:id="140" w:name="_Ref427228911"/>
      <w:bookmarkStart w:id="141" w:name="_Ref425758968"/>
      <w:bookmarkStart w:id="142" w:name="_Toc412296661"/>
      <w:bookmarkStart w:id="143" w:name="_Toc263880567"/>
      <w:bookmarkStart w:id="144" w:name="_Toc263802840"/>
      <w:bookmarkStart w:id="145" w:name="_Toc263802531"/>
      <w:bookmarkStart w:id="146" w:name="_Ref263791183"/>
      <w:bookmarkEnd w:id="140"/>
      <w:bookmarkEnd w:id="141"/>
      <w:bookmarkEnd w:id="142"/>
      <w:bookmarkEnd w:id="143"/>
      <w:bookmarkEnd w:id="144"/>
      <w:bookmarkEnd w:id="145"/>
      <w:bookmarkEnd w:id="146"/>
      <w:r>
        <w:rPr>
          <w:rFonts w:ascii="Times New Roman" w:hAnsi="Times New Roman"/>
          <w:b w:val="false"/>
          <w:i w:val="false"/>
          <w:caps w:val="false"/>
          <w:smallCaps w:val="false"/>
          <w:sz w:val="22"/>
        </w:rPr>
        <w:t>1.26.“</w:t>
      </w:r>
      <w:r>
        <w:rPr>
          <w:rFonts w:ascii="Times New Roman" w:hAnsi="Times New Roman"/>
          <w:b/>
          <w:i w:val="false"/>
          <w:caps w:val="false"/>
          <w:smallCaps w:val="false"/>
          <w:sz w:val="22"/>
        </w:rPr>
        <w:t>Competing Product</w:t>
      </w:r>
      <w:r>
        <w:rPr>
          <w:rFonts w:ascii="Times New Roman" w:hAnsi="Times New Roman"/>
          <w:b w:val="false"/>
          <w:i w:val="false"/>
          <w:caps w:val="false"/>
          <w:smallCaps w:val="false"/>
          <w:sz w:val="22"/>
        </w:rPr>
        <w:t>” means, for a given Collaboration Product, any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147" w:name="_AEIOULastRenderedPageBreakAEIOU4"/>
      <w:bookmarkStart w:id="148" w:name="_Ref66265189"/>
      <w:bookmarkEnd w:id="147"/>
      <w:bookmarkEnd w:id="148"/>
      <w:r>
        <w:rPr>
          <w:rFonts w:ascii="Times New Roman" w:hAnsi="Times New Roman"/>
          <w:b w:val="false"/>
          <w:i w:val="false"/>
          <w:caps w:val="false"/>
          <w:smallCaps w:val="false"/>
          <w:sz w:val="22"/>
        </w:rPr>
        <w:t>1.27.“</w:t>
      </w:r>
      <w:r>
        <w:rPr>
          <w:rFonts w:ascii="Times New Roman" w:hAnsi="Times New Roman"/>
          <w:b/>
          <w:i w:val="false"/>
          <w:caps w:val="false"/>
          <w:smallCaps w:val="false"/>
          <w:sz w:val="22"/>
        </w:rPr>
        <w:t>Confidential Information</w:t>
      </w:r>
      <w:r>
        <w:rPr>
          <w:rFonts w:ascii="Times New Roman" w:hAnsi="Times New Roman"/>
          <w:b w:val="false"/>
          <w:i w:val="false"/>
          <w:caps w:val="false"/>
          <w:smallCaps w:val="false"/>
          <w:sz w:val="22"/>
        </w:rPr>
        <w:t>” means, with respect to each Party, all Know-How or other information, including proprietary information (whether or not patentable) regarding or embodying such Party’s technology, products, business information or objectives, that is communicated in any way or form by or on behalf of the Disclosing Party to the Receiving Party or its permitted recipients, prior to, on or after the Effective Date, whether or not such Know-How or other information is identified as confidential at the time of disclosure.  The terms and conditions of this Agreement will be considered Confidential Information of both Parties, with both Parties deemed to be the Receiving Party of such Confidential Information.  Notwithstanding any provision of this Section 1.27 to the contrary, Confidential Information does not include any Know-How or information that: (a) was already known by the Receiving Party (other than under an obligation of confidentiality to the Disclosing Party) at the time of disclosure by or on behalf of the Disclosing Party; (b) was generally available to the public or otherwise part of the public domain at the time of its disclosure to the Receiving Party; (c) became generally available to the public or otherwise part of the public domain after its disclosure to the Receiving Party, other than through any act or omission of the Receiving Party in breach of its obligations under this Agreement; (d) was disclosed to the Receiving Party, other than under an obligation of confidentiality, by a Third Party who had no obligation to the Disclosing Party not to disclose such information to the Receiving Party; or (e) was independently discovered or developed by or on behalf of the Receiving Party without the use of any Confidential Information belonging to the Disclosing Party; provided that, in connection with the foregoing exclusions from protection, specific Confidential Information shall not be deemed to be known, generally available, in the public domain, disclosed, independently discovered or developed (individually and collectively, “</w:t>
      </w:r>
      <w:r>
        <w:rPr>
          <w:rFonts w:ascii="Times New Roman" w:hAnsi="Times New Roman"/>
          <w:b/>
          <w:i w:val="false"/>
          <w:caps w:val="false"/>
          <w:smallCaps w:val="false"/>
          <w:sz w:val="22"/>
        </w:rPr>
        <w:t>Available</w:t>
      </w:r>
      <w:r>
        <w:rPr>
          <w:rFonts w:ascii="Times New Roman" w:hAnsi="Times New Roman"/>
          <w:b w:val="false"/>
          <w:i w:val="false"/>
          <w:caps w:val="false"/>
          <w:smallCaps w:val="false"/>
          <w:sz w:val="22"/>
        </w:rPr>
        <w:t>”), merely because broader or related information is Available, nor shall combinations of elements or principles be considered to be Available merely because individual elements thereof are Available.</w:t>
      </w:r>
    </w:p>
    <w:p>
      <w:pPr>
        <w:pStyle w:val="TextBody"/>
        <w:spacing w:before="0" w:after="240"/>
        <w:ind w:left="1260" w:right="0" w:hanging="0"/>
        <w:jc w:val="both"/>
        <w:rPr>
          <w:rFonts w:ascii="Times New Roman" w:hAnsi="Times New Roman"/>
          <w:b w:val="false"/>
          <w:i w:val="false"/>
          <w:caps w:val="false"/>
          <w:smallCaps w:val="false"/>
          <w:sz w:val="22"/>
        </w:rPr>
      </w:pPr>
      <w:bookmarkStart w:id="149" w:name="_Toc138487375"/>
      <w:bookmarkStart w:id="150" w:name="_Toc138487182"/>
      <w:bookmarkStart w:id="151" w:name="_Toc137310585"/>
      <w:bookmarkStart w:id="152" w:name="_Toc135753916"/>
      <w:bookmarkStart w:id="153" w:name="_Toc135582305"/>
      <w:bookmarkStart w:id="154" w:name="_Toc135582010"/>
      <w:bookmarkStart w:id="155" w:name="_Toc135580541"/>
      <w:bookmarkStart w:id="156" w:name="_Toc412296663"/>
      <w:bookmarkStart w:id="157" w:name="_Toc263880569"/>
      <w:bookmarkStart w:id="158" w:name="_Toc263802843"/>
      <w:bookmarkStart w:id="159" w:name="_Toc263802534"/>
      <w:bookmarkEnd w:id="149"/>
      <w:bookmarkEnd w:id="150"/>
      <w:bookmarkEnd w:id="151"/>
      <w:bookmarkEnd w:id="152"/>
      <w:bookmarkEnd w:id="153"/>
      <w:bookmarkEnd w:id="154"/>
      <w:bookmarkEnd w:id="155"/>
      <w:bookmarkEnd w:id="156"/>
      <w:bookmarkEnd w:id="157"/>
      <w:bookmarkEnd w:id="158"/>
      <w:bookmarkEnd w:id="159"/>
      <w:r>
        <w:rPr>
          <w:rFonts w:ascii="Times New Roman" w:hAnsi="Times New Roman"/>
          <w:b w:val="false"/>
          <w:i w:val="false"/>
          <w:caps w:val="false"/>
          <w:smallCaps w:val="false"/>
          <w:sz w:val="22"/>
        </w:rPr>
        <w:t>1.28.“</w:t>
      </w:r>
      <w:r>
        <w:rPr>
          <w:rFonts w:ascii="Times New Roman" w:hAnsi="Times New Roman"/>
          <w:b/>
          <w:i w:val="false"/>
          <w:caps w:val="false"/>
          <w:smallCaps w:val="false"/>
          <w:sz w:val="22"/>
        </w:rPr>
        <w:t>Continuing Party</w:t>
      </w:r>
      <w:r>
        <w:rPr>
          <w:rFonts w:ascii="Times New Roman" w:hAnsi="Times New Roman"/>
          <w:b w:val="false"/>
          <w:i w:val="false"/>
          <w:caps w:val="false"/>
          <w:smallCaps w:val="false"/>
          <w:sz w:val="22"/>
        </w:rPr>
        <w:t>” has the meaning set forth in Section 2.6.2.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1.29.“</w:t>
      </w:r>
      <w:r>
        <w:rPr>
          <w:rFonts w:ascii="Times New Roman" w:hAnsi="Times New Roman"/>
          <w:b/>
          <w:i w:val="false"/>
          <w:caps w:val="false"/>
          <w:smallCaps w:val="false"/>
          <w:sz w:val="22"/>
        </w:rPr>
        <w:t>Continuation Party</w:t>
      </w:r>
      <w:r>
        <w:rPr>
          <w:rFonts w:ascii="Times New Roman" w:hAnsi="Times New Roman"/>
          <w:b w:val="false"/>
          <w:i w:val="false"/>
          <w:caps w:val="false"/>
          <w:smallCaps w:val="false"/>
          <w:sz w:val="22"/>
        </w:rPr>
        <w:t>” has the meaning set forth in Section 13.3.2(a)(iii).</w:t>
      </w:r>
    </w:p>
    <w:p>
      <w:pPr>
        <w:pStyle w:val="TextBody"/>
        <w:spacing w:before="0" w:after="240"/>
        <w:ind w:left="1260" w:right="0" w:hanging="0"/>
        <w:jc w:val="both"/>
        <w:rPr>
          <w:rFonts w:ascii="Times New Roman" w:hAnsi="Times New Roman"/>
          <w:b w:val="false"/>
          <w:i w:val="false"/>
          <w:caps w:val="false"/>
          <w:smallCaps w:val="false"/>
          <w:sz w:val="22"/>
        </w:rPr>
      </w:pPr>
      <w:bookmarkStart w:id="160" w:name="El27gO1"/>
      <w:bookmarkStart w:id="161" w:name="El2dfO1"/>
      <w:bookmarkStart w:id="162" w:name="El2cfO1"/>
      <w:bookmarkStart w:id="163" w:name="El2kfO1"/>
      <w:bookmarkStart w:id="164" w:name="El21gO1"/>
      <w:bookmarkStart w:id="165" w:name="El2bfO1"/>
      <w:bookmarkStart w:id="166" w:name="El20gO1"/>
      <w:bookmarkStart w:id="167" w:name="El2afO1"/>
      <w:bookmarkStart w:id="168" w:name="El2_fO1"/>
      <w:bookmarkStart w:id="169" w:name="El2jfO1"/>
      <w:bookmarkStart w:id="170" w:name="El26gO1"/>
      <w:bookmarkStart w:id="171" w:name="El29fO1"/>
      <w:bookmarkStart w:id="172" w:name="El2zfO1"/>
      <w:bookmarkStart w:id="173" w:name="El24gO1"/>
      <w:bookmarkStart w:id="174" w:name="El25fO1"/>
      <w:bookmarkStart w:id="175" w:name="El2hfO1"/>
      <w:bookmarkStart w:id="176" w:name="El24fO1"/>
      <w:bookmarkStart w:id="177" w:name="El2xfO1"/>
      <w:bookmarkStart w:id="178" w:name="El23gO1"/>
      <w:bookmarkStart w:id="179" w:name="El23fO1"/>
      <w:bookmarkStart w:id="180" w:name="El22fO1"/>
      <w:bookmarkStart w:id="181" w:name="El2agO1"/>
      <w:bookmarkStart w:id="182" w:name="El2wfO1"/>
      <w:bookmarkStart w:id="183" w:name="El21fO1"/>
      <w:bookmarkStart w:id="184" w:name="El2vfO1"/>
      <w:bookmarkStart w:id="185" w:name="El2lfO1"/>
      <w:bookmarkStart w:id="186" w:name="El2gfO1"/>
      <w:bookmarkStart w:id="187" w:name="El20fO1"/>
      <w:bookmarkStart w:id="188" w:name="El2_eO1"/>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ascii="Times New Roman" w:hAnsi="Times New Roman"/>
          <w:b w:val="false"/>
          <w:i w:val="false"/>
          <w:caps w:val="false"/>
          <w:smallCaps w:val="false"/>
          <w:sz w:val="22"/>
        </w:rPr>
        <w:t>1.30.“</w:t>
      </w:r>
      <w:r>
        <w:rPr>
          <w:rFonts w:ascii="Times New Roman" w:hAnsi="Times New Roman"/>
          <w:b/>
          <w:i w:val="false"/>
          <w:caps w:val="false"/>
          <w:smallCaps w:val="false"/>
          <w:sz w:val="22"/>
        </w:rPr>
        <w:t>Control</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Controlled</w:t>
      </w:r>
      <w:r>
        <w:rPr>
          <w:rFonts w:ascii="Times New Roman" w:hAnsi="Times New Roman"/>
          <w:b w:val="false"/>
          <w:i w:val="false"/>
          <w:caps w:val="false"/>
          <w:smallCaps w:val="false"/>
          <w:sz w:val="22"/>
        </w:rPr>
        <w:t>” means with respect to any Know-How or Patent or other data, information or Materials, possession of the ability by a Party or its Affiliate(s) (whether by sole or joint ownership, license or otherwise, other than pursuant to this Agreement) to grant, without violating the terms of any agreement with a Third Party, a license, access or other right in, to or under such Know-How or Patent or other data, information or Materials.</w:t>
      </w:r>
      <w:bookmarkStart w:id="189" w:name="El2_eO"/>
      <w:bookmarkEnd w:id="189"/>
      <w:r>
        <w:rPr>
          <w:rFonts w:ascii="Times New Roman" w:hAnsi="Times New Roman"/>
          <w:b w:val="false"/>
          <w:i w:val="false"/>
          <w:caps w:val="false"/>
          <w:smallCaps w:val="false"/>
          <w:sz w:val="22"/>
        </w:rPr>
        <w:t xml:space="preserve">  Notwithstanding anything in this Agreement </w:t>
      </w:r>
      <w:bookmarkStart w:id="190" w:name="El20fO"/>
      <w:bookmarkEnd w:id="190"/>
      <w:r>
        <w:rPr>
          <w:rFonts w:ascii="Times New Roman" w:hAnsi="Times New Roman"/>
          <w:b w:val="false"/>
          <w:i w:val="false"/>
          <w:caps w:val="false"/>
          <w:smallCaps w:val="false"/>
          <w:sz w:val="22"/>
        </w:rPr>
        <w:t xml:space="preserve">to the contrary, a Party </w:t>
      </w:r>
      <w:bookmarkStart w:id="191" w:name="El2gfO"/>
      <w:bookmarkEnd w:id="191"/>
      <w:r>
        <w:rPr>
          <w:rFonts w:ascii="Times New Roman" w:hAnsi="Times New Roman"/>
          <w:b w:val="false"/>
          <w:i w:val="false"/>
          <w:caps w:val="false"/>
          <w:smallCaps w:val="false"/>
          <w:sz w:val="22"/>
        </w:rPr>
        <w:t xml:space="preserve">will be deemed not to Control </w:t>
      </w:r>
      <w:bookmarkStart w:id="192" w:name="El2lfO"/>
      <w:bookmarkEnd w:id="192"/>
      <w:r>
        <w:rPr>
          <w:rFonts w:ascii="Times New Roman" w:hAnsi="Times New Roman"/>
          <w:b w:val="false"/>
          <w:i w:val="false"/>
          <w:caps w:val="false"/>
          <w:smallCaps w:val="false"/>
          <w:sz w:val="22"/>
        </w:rPr>
        <w:t xml:space="preserve">any </w:t>
      </w:r>
      <w:bookmarkStart w:id="193" w:name="El2vfO"/>
      <w:bookmarkEnd w:id="193"/>
      <w:r>
        <w:rPr>
          <w:rFonts w:ascii="Times New Roman" w:hAnsi="Times New Roman"/>
          <w:b w:val="false"/>
          <w:i w:val="false"/>
          <w:caps w:val="false"/>
          <w:smallCaps w:val="false"/>
          <w:sz w:val="22"/>
        </w:rPr>
        <w:t xml:space="preserve">Patents </w:t>
      </w:r>
      <w:bookmarkStart w:id="194" w:name="El21fO"/>
      <w:bookmarkEnd w:id="194"/>
      <w:r>
        <w:rPr>
          <w:rFonts w:ascii="Times New Roman" w:hAnsi="Times New Roman"/>
          <w:b w:val="false"/>
          <w:i w:val="false"/>
          <w:caps w:val="false"/>
          <w:smallCaps w:val="false"/>
          <w:sz w:val="22"/>
        </w:rPr>
        <w:t xml:space="preserve">or Know-How or other data, information or Materials </w:t>
      </w:r>
      <w:bookmarkStart w:id="195" w:name="El2wfO"/>
      <w:bookmarkEnd w:id="195"/>
      <w:r>
        <w:rPr>
          <w:rFonts w:ascii="Times New Roman" w:hAnsi="Times New Roman"/>
          <w:b w:val="false"/>
          <w:i w:val="false"/>
          <w:caps w:val="false"/>
          <w:smallCaps w:val="false"/>
          <w:sz w:val="22"/>
        </w:rPr>
        <w:t xml:space="preserve">that are owned </w:t>
      </w:r>
      <w:bookmarkStart w:id="196" w:name="El2agO"/>
      <w:bookmarkEnd w:id="196"/>
      <w:r>
        <w:rPr>
          <w:rFonts w:ascii="Times New Roman" w:hAnsi="Times New Roman"/>
          <w:b w:val="false"/>
          <w:i w:val="false"/>
          <w:caps w:val="false"/>
          <w:smallCaps w:val="false"/>
          <w:sz w:val="22"/>
        </w:rPr>
        <w:t xml:space="preserve">or controlled </w:t>
      </w:r>
      <w:bookmarkStart w:id="197" w:name="El22fO"/>
      <w:bookmarkEnd w:id="197"/>
      <w:r>
        <w:rPr>
          <w:rFonts w:ascii="Times New Roman" w:hAnsi="Times New Roman"/>
          <w:b w:val="false"/>
          <w:i w:val="false"/>
          <w:caps w:val="false"/>
          <w:smallCaps w:val="false"/>
          <w:sz w:val="22"/>
        </w:rPr>
        <w:t xml:space="preserve">by a Third Party </w:t>
      </w:r>
      <w:bookmarkStart w:id="198" w:name="El23fO"/>
      <w:bookmarkEnd w:id="198"/>
      <w:r>
        <w:rPr>
          <w:rFonts w:ascii="Times New Roman" w:hAnsi="Times New Roman"/>
          <w:b w:val="false"/>
          <w:i w:val="false"/>
          <w:caps w:val="false"/>
          <w:smallCaps w:val="false"/>
          <w:sz w:val="22"/>
        </w:rPr>
        <w:t xml:space="preserve">that becomes an Affiliate of such Party in a </w:t>
      </w:r>
      <w:bookmarkStart w:id="199" w:name="El23gO"/>
      <w:bookmarkEnd w:id="199"/>
      <w:r>
        <w:rPr>
          <w:rFonts w:ascii="Times New Roman" w:hAnsi="Times New Roman"/>
          <w:b w:val="false"/>
          <w:i w:val="false"/>
          <w:caps w:val="false"/>
          <w:smallCaps w:val="false"/>
          <w:sz w:val="22"/>
        </w:rPr>
        <w:t>Change of Control</w:t>
      </w:r>
      <w:bookmarkStart w:id="200" w:name="El2xfO"/>
      <w:bookmarkEnd w:id="200"/>
      <w:r>
        <w:rPr>
          <w:rFonts w:ascii="Times New Roman" w:hAnsi="Times New Roman"/>
          <w:b w:val="false"/>
          <w:i w:val="false"/>
          <w:caps w:val="false"/>
          <w:smallCaps w:val="false"/>
          <w:sz w:val="22"/>
        </w:rPr>
        <w:t xml:space="preserve"> or </w:t>
      </w:r>
      <w:bookmarkStart w:id="201" w:name="El24fO"/>
      <w:bookmarkEnd w:id="201"/>
      <w:r>
        <w:rPr>
          <w:rFonts w:ascii="Times New Roman" w:hAnsi="Times New Roman"/>
          <w:b w:val="false"/>
          <w:i w:val="false"/>
          <w:caps w:val="false"/>
          <w:smallCaps w:val="false"/>
          <w:sz w:val="22"/>
        </w:rPr>
        <w:t>such Third Party</w:t>
      </w:r>
      <w:bookmarkStart w:id="202" w:name="El2hfO"/>
      <w:bookmarkEnd w:id="202"/>
      <w:r>
        <w:rPr>
          <w:rFonts w:ascii="Times New Roman" w:hAnsi="Times New Roman"/>
          <w:b w:val="false"/>
          <w:i w:val="false"/>
          <w:caps w:val="false"/>
          <w:smallCaps w:val="false"/>
          <w:sz w:val="22"/>
        </w:rPr>
        <w:t>’s Affiliates</w:t>
      </w:r>
      <w:bookmarkStart w:id="203" w:name="El25fO"/>
      <w:bookmarkEnd w:id="203"/>
      <w:r>
        <w:rPr>
          <w:rFonts w:ascii="Times New Roman" w:hAnsi="Times New Roman"/>
          <w:b w:val="false"/>
          <w:i w:val="false"/>
          <w:caps w:val="false"/>
          <w:smallCaps w:val="false"/>
          <w:sz w:val="22"/>
        </w:rPr>
        <w:t xml:space="preserve"> (other than such Party and any Affiliate of such Party prior to the Change of Control), (a) prior to the closing of such </w:t>
      </w:r>
      <w:bookmarkStart w:id="204" w:name="El24gO"/>
      <w:bookmarkEnd w:id="204"/>
      <w:r>
        <w:rPr>
          <w:rFonts w:ascii="Times New Roman" w:hAnsi="Times New Roman"/>
          <w:b w:val="false"/>
          <w:i w:val="false"/>
          <w:caps w:val="false"/>
          <w:smallCaps w:val="false"/>
          <w:sz w:val="22"/>
        </w:rPr>
        <w:t>Change of Control</w:t>
      </w:r>
      <w:bookmarkStart w:id="205" w:name="El2zfO"/>
      <w:bookmarkEnd w:id="205"/>
      <w:r>
        <w:rPr>
          <w:rFonts w:ascii="Times New Roman" w:hAnsi="Times New Roman"/>
          <w:b w:val="false"/>
          <w:i w:val="false"/>
          <w:caps w:val="false"/>
          <w:smallCaps w:val="false"/>
          <w:sz w:val="22"/>
        </w:rPr>
        <w:t xml:space="preserve">, or </w:t>
      </w:r>
      <w:bookmarkStart w:id="206" w:name="El29fO"/>
      <w:bookmarkEnd w:id="206"/>
      <w:r>
        <w:rPr>
          <w:rFonts w:ascii="Times New Roman" w:hAnsi="Times New Roman"/>
          <w:b w:val="false"/>
          <w:i w:val="false"/>
          <w:caps w:val="false"/>
          <w:smallCaps w:val="false"/>
          <w:sz w:val="22"/>
        </w:rPr>
        <w:t xml:space="preserve">(b) after such </w:t>
      </w:r>
      <w:bookmarkStart w:id="207" w:name="El26gO"/>
      <w:bookmarkEnd w:id="207"/>
      <w:r>
        <w:rPr>
          <w:rFonts w:ascii="Times New Roman" w:hAnsi="Times New Roman"/>
          <w:b w:val="false"/>
          <w:i w:val="false"/>
          <w:caps w:val="false"/>
          <w:smallCaps w:val="false"/>
          <w:sz w:val="22"/>
        </w:rPr>
        <w:t xml:space="preserve">Change of Control </w:t>
      </w:r>
      <w:bookmarkStart w:id="208" w:name="El2jfO"/>
      <w:bookmarkEnd w:id="208"/>
      <w:r>
        <w:rPr>
          <w:rFonts w:ascii="Times New Roman" w:hAnsi="Times New Roman"/>
          <w:b w:val="false"/>
          <w:i w:val="false"/>
          <w:caps w:val="false"/>
          <w:smallCaps w:val="false"/>
          <w:sz w:val="22"/>
        </w:rPr>
        <w:t xml:space="preserve">to the extent that such </w:t>
      </w:r>
      <w:bookmarkStart w:id="209" w:name="El2_fO"/>
      <w:bookmarkEnd w:id="209"/>
      <w:r>
        <w:rPr>
          <w:rFonts w:ascii="Times New Roman" w:hAnsi="Times New Roman"/>
          <w:b w:val="false"/>
          <w:i w:val="false"/>
          <w:caps w:val="false"/>
          <w:smallCaps w:val="false"/>
          <w:sz w:val="22"/>
        </w:rPr>
        <w:t xml:space="preserve">Patents </w:t>
      </w:r>
      <w:bookmarkStart w:id="210" w:name="El2afO"/>
      <w:bookmarkEnd w:id="210"/>
      <w:r>
        <w:rPr>
          <w:rFonts w:ascii="Times New Roman" w:hAnsi="Times New Roman"/>
          <w:b w:val="false"/>
          <w:i w:val="false"/>
          <w:caps w:val="false"/>
          <w:smallCaps w:val="false"/>
          <w:sz w:val="22"/>
        </w:rPr>
        <w:t xml:space="preserve">or Know-How </w:t>
      </w:r>
      <w:bookmarkStart w:id="211" w:name="El20gO"/>
      <w:bookmarkEnd w:id="211"/>
      <w:r>
        <w:rPr>
          <w:rFonts w:ascii="Times New Roman" w:hAnsi="Times New Roman"/>
          <w:b w:val="false"/>
          <w:i w:val="false"/>
          <w:caps w:val="false"/>
          <w:smallCaps w:val="false"/>
          <w:sz w:val="22"/>
        </w:rPr>
        <w:t xml:space="preserve">or other data, information or Materials are developed or </w:t>
      </w:r>
      <w:bookmarkStart w:id="212" w:name="El2bfO"/>
      <w:bookmarkEnd w:id="212"/>
      <w:r>
        <w:rPr>
          <w:rFonts w:ascii="Times New Roman" w:hAnsi="Times New Roman"/>
          <w:b w:val="false"/>
          <w:i w:val="false"/>
          <w:caps w:val="false"/>
          <w:smallCaps w:val="false"/>
          <w:sz w:val="22"/>
        </w:rPr>
        <w:t xml:space="preserve">conceived by such </w:t>
      </w:r>
      <w:bookmarkStart w:id="213" w:name="El21gO"/>
      <w:bookmarkEnd w:id="213"/>
      <w:r>
        <w:rPr>
          <w:rFonts w:ascii="Times New Roman" w:hAnsi="Times New Roman"/>
          <w:b w:val="false"/>
          <w:i w:val="false"/>
          <w:caps w:val="false"/>
          <w:smallCaps w:val="false"/>
          <w:sz w:val="22"/>
        </w:rPr>
        <w:t xml:space="preserve">Third Party or </w:t>
      </w:r>
      <w:bookmarkStart w:id="214" w:name="El2kfO"/>
      <w:bookmarkEnd w:id="214"/>
      <w:r>
        <w:rPr>
          <w:rFonts w:ascii="Times New Roman" w:hAnsi="Times New Roman"/>
          <w:b w:val="false"/>
          <w:i w:val="false"/>
          <w:caps w:val="false"/>
          <w:smallCaps w:val="false"/>
          <w:sz w:val="22"/>
        </w:rPr>
        <w:t xml:space="preserve">its Affiliates </w:t>
      </w:r>
      <w:bookmarkStart w:id="215" w:name="El2cfO"/>
      <w:bookmarkEnd w:id="215"/>
      <w:r>
        <w:rPr>
          <w:rFonts w:ascii="Times New Roman" w:hAnsi="Times New Roman"/>
          <w:b w:val="false"/>
          <w:i w:val="false"/>
          <w:caps w:val="false"/>
          <w:smallCaps w:val="false"/>
          <w:sz w:val="22"/>
        </w:rPr>
        <w:t>(other than such Party</w:t>
      </w:r>
      <w:bookmarkStart w:id="216" w:name="El2dfO"/>
      <w:bookmarkEnd w:id="216"/>
      <w:r>
        <w:rPr>
          <w:rFonts w:ascii="Times New Roman" w:hAnsi="Times New Roman"/>
          <w:b w:val="false"/>
          <w:i w:val="false"/>
          <w:caps w:val="false"/>
          <w:smallCaps w:val="false"/>
          <w:sz w:val="22"/>
        </w:rPr>
        <w:t xml:space="preserve"> and any Affiliate of such Party prior to the Change of Control) after such </w:t>
      </w:r>
      <w:bookmarkStart w:id="217" w:name="El27gO"/>
      <w:bookmarkEnd w:id="217"/>
      <w:r>
        <w:rPr>
          <w:rFonts w:ascii="Times New Roman" w:hAnsi="Times New Roman"/>
          <w:b w:val="false"/>
          <w:i w:val="false"/>
          <w:caps w:val="false"/>
          <w:smallCaps w:val="false"/>
          <w:sz w:val="22"/>
        </w:rPr>
        <w:t>Change of Control without using or incorporating such Party’s technology (i.e., CRISPR Technology or Nkarta Technology, as applicable).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1.31.“</w:t>
      </w:r>
      <w:r>
        <w:rPr>
          <w:rFonts w:ascii="Times New Roman" w:hAnsi="Times New Roman"/>
          <w:b/>
          <w:i w:val="false"/>
          <w:caps w:val="false"/>
          <w:smallCaps w:val="false"/>
          <w:sz w:val="22"/>
        </w:rPr>
        <w:t>Cover</w:t>
      </w:r>
      <w:r>
        <w:rPr>
          <w:rFonts w:ascii="Times New Roman" w:hAnsi="Times New Roman"/>
          <w:b w:val="false"/>
          <w:i w:val="false"/>
          <w:caps w:val="false"/>
          <w:smallCaps w:val="false"/>
          <w:sz w:val="22"/>
        </w:rPr>
        <w:t>,” “</w:t>
      </w:r>
      <w:r>
        <w:rPr>
          <w:rFonts w:ascii="Times New Roman" w:hAnsi="Times New Roman"/>
          <w:b/>
          <w:i w:val="false"/>
          <w:caps w:val="false"/>
          <w:smallCaps w:val="false"/>
          <w:sz w:val="22"/>
        </w:rPr>
        <w:t>Covering</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Covers</w:t>
      </w:r>
      <w:r>
        <w:rPr>
          <w:rFonts w:ascii="Times New Roman" w:hAnsi="Times New Roman"/>
          <w:b w:val="false"/>
          <w:i w:val="false"/>
          <w:caps w:val="false"/>
          <w:smallCaps w:val="false"/>
          <w:sz w:val="22"/>
        </w:rPr>
        <w:t>” means, as to a product and Patent, that, in the absence of a license granted under, or ownership of, such Patent, the making, using, keeping, selling, offering for sale or importation of such product would infringe such Patent or, as to a pending claim included in such Patent, the making, using, selling, offering for sale or importation of such product would infringe such Patent if such pending claim were to issue in an issued patent without modification.</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1.32.“</w:t>
      </w:r>
      <w:r>
        <w:rPr>
          <w:rFonts w:ascii="Times New Roman" w:hAnsi="Times New Roman"/>
          <w:b/>
          <w:i w:val="false"/>
          <w:caps w:val="false"/>
          <w:smallCaps w:val="false"/>
          <w:sz w:val="22"/>
        </w:rPr>
        <w:t>CREATE Act</w:t>
      </w:r>
      <w:r>
        <w:rPr>
          <w:rFonts w:ascii="Times New Roman" w:hAnsi="Times New Roman"/>
          <w:b w:val="false"/>
          <w:i w:val="false"/>
          <w:caps w:val="false"/>
          <w:smallCaps w:val="false"/>
          <w:sz w:val="22"/>
        </w:rPr>
        <w:t>” means the Cooperative Research and Technology Enhancement Act of 2004, 35 U.S.C. § 103(c)(2)-(c)(3).</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218" w:name="_AEIOULastRenderedPageBreakAEIOU5"/>
      <w:bookmarkEnd w:id="218"/>
      <w:r>
        <w:rPr>
          <w:rFonts w:ascii="Times New Roman" w:hAnsi="Times New Roman"/>
          <w:b w:val="false"/>
          <w:i w:val="false"/>
          <w:caps w:val="false"/>
          <w:smallCaps w:val="false"/>
          <w:sz w:val="22"/>
        </w:rPr>
        <w:t>1.33.“</w:t>
      </w:r>
      <w:r>
        <w:rPr>
          <w:rFonts w:ascii="Times New Roman" w:hAnsi="Times New Roman"/>
          <w:b/>
          <w:i w:val="false"/>
          <w:caps w:val="false"/>
          <w:smallCaps w:val="false"/>
          <w:sz w:val="22"/>
        </w:rPr>
        <w:t>CRISPR</w:t>
      </w:r>
      <w:r>
        <w:rPr>
          <w:rFonts w:ascii="Times New Roman" w:hAnsi="Times New Roman"/>
          <w:b w:val="false"/>
          <w:i w:val="false"/>
          <w:caps w:val="false"/>
          <w:smallCaps w:val="false"/>
          <w:sz w:val="22"/>
        </w:rPr>
        <w:t>” has the meaning set forth in the preamble.</w:t>
      </w:r>
    </w:p>
    <w:p>
      <w:pPr>
        <w:pStyle w:val="TextBody"/>
        <w:spacing w:before="0" w:after="240"/>
        <w:ind w:left="1260" w:right="0" w:hanging="0"/>
        <w:jc w:val="both"/>
        <w:rPr>
          <w:rFonts w:ascii="Times New Roman" w:hAnsi="Times New Roman"/>
          <w:b w:val="false"/>
          <w:i w:val="false"/>
          <w:caps w:val="false"/>
          <w:smallCaps w:val="false"/>
          <w:sz w:val="22"/>
        </w:rPr>
      </w:pPr>
      <w:bookmarkStart w:id="219" w:name="_Toc412296670"/>
      <w:bookmarkStart w:id="220" w:name="_Toc263880574"/>
      <w:bookmarkStart w:id="221" w:name="_Toc263802847"/>
      <w:bookmarkStart w:id="222" w:name="_Toc263802538"/>
      <w:bookmarkEnd w:id="219"/>
      <w:bookmarkEnd w:id="220"/>
      <w:bookmarkEnd w:id="221"/>
      <w:bookmarkEnd w:id="222"/>
      <w:r>
        <w:rPr>
          <w:rFonts w:ascii="Times New Roman" w:hAnsi="Times New Roman"/>
          <w:b w:val="false"/>
          <w:i w:val="false"/>
          <w:caps w:val="false"/>
          <w:smallCaps w:val="false"/>
          <w:sz w:val="22"/>
        </w:rPr>
        <w:t>1.34.“</w:t>
      </w:r>
      <w:r>
        <w:rPr>
          <w:rFonts w:ascii="Times New Roman" w:hAnsi="Times New Roman"/>
          <w:b/>
          <w:i w:val="false"/>
          <w:caps w:val="false"/>
          <w:smallCaps w:val="false"/>
          <w:sz w:val="22"/>
        </w:rPr>
        <w:t>CRISPR Activities</w:t>
      </w:r>
      <w:r>
        <w:rPr>
          <w:rFonts w:ascii="Times New Roman" w:hAnsi="Times New Roman"/>
          <w:b w:val="false"/>
          <w:i w:val="false"/>
          <w:caps w:val="false"/>
          <w:smallCaps w:val="false"/>
          <w:sz w:val="22"/>
        </w:rPr>
        <w:t>” means: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1.35.“</w:t>
      </w:r>
      <w:r>
        <w:rPr>
          <w:rFonts w:ascii="Times New Roman" w:hAnsi="Times New Roman"/>
          <w:b/>
          <w:i w:val="false"/>
          <w:caps w:val="false"/>
          <w:smallCaps w:val="false"/>
          <w:sz w:val="22"/>
        </w:rPr>
        <w:t>CRISPR Background Know-How</w:t>
      </w:r>
      <w:r>
        <w:rPr>
          <w:rFonts w:ascii="Times New Roman" w:hAnsi="Times New Roman"/>
          <w:b w:val="false"/>
          <w:i w:val="false"/>
          <w:caps w:val="false"/>
          <w:smallCaps w:val="false"/>
          <w:sz w:val="22"/>
        </w:rPr>
        <w:t>” means any Know-How, other than Joint Know-How and CRISPR Program Know-How, that: [***].</w:t>
      </w:r>
    </w:p>
    <w:p>
      <w:pPr>
        <w:pStyle w:val="TextBody"/>
        <w:spacing w:before="0" w:after="240"/>
        <w:ind w:left="1260" w:right="0" w:hanging="0"/>
        <w:jc w:val="both"/>
        <w:rPr>
          <w:rFonts w:ascii="Times New Roman" w:hAnsi="Times New Roman"/>
          <w:b w:val="false"/>
          <w:i w:val="false"/>
          <w:caps w:val="false"/>
          <w:smallCaps w:val="false"/>
          <w:sz w:val="22"/>
        </w:rPr>
      </w:pPr>
      <w:bookmarkStart w:id="223" w:name="_Hlk634299751"/>
      <w:bookmarkEnd w:id="223"/>
      <w:r>
        <w:rPr>
          <w:rFonts w:ascii="Times New Roman" w:hAnsi="Times New Roman"/>
          <w:b w:val="false"/>
          <w:i w:val="false"/>
          <w:caps w:val="false"/>
          <w:smallCaps w:val="false"/>
          <w:sz w:val="22"/>
        </w:rPr>
        <w:t>1.36.</w:t>
      </w:r>
      <w:bookmarkStart w:id="224" w:name="_Hlk63429975"/>
      <w:bookmarkEnd w:id="224"/>
      <w:r>
        <w:rPr>
          <w:rFonts w:ascii="Times New Roman" w:hAnsi="Times New Roman"/>
          <w:b w:val="false"/>
          <w:i w:val="false"/>
          <w:caps w:val="false"/>
          <w:smallCaps w:val="false"/>
          <w:sz w:val="22"/>
        </w:rPr>
        <w:t>“</w:t>
      </w:r>
      <w:r>
        <w:rPr>
          <w:rFonts w:ascii="Times New Roman" w:hAnsi="Times New Roman"/>
          <w:b/>
          <w:i w:val="false"/>
          <w:caps w:val="false"/>
          <w:smallCaps w:val="false"/>
          <w:sz w:val="22"/>
        </w:rPr>
        <w:t>CRISPR Background Patents</w:t>
      </w:r>
      <w:r>
        <w:rPr>
          <w:rFonts w:ascii="Times New Roman" w:hAnsi="Times New Roman"/>
          <w:b w:val="false"/>
          <w:i w:val="false"/>
          <w:caps w:val="false"/>
          <w:smallCaps w:val="false"/>
          <w:sz w:val="22"/>
        </w:rPr>
        <w:t>” means any Patent, other than a Joint Patent or CRISPR Program Patent, that: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1.37.“</w:t>
      </w:r>
      <w:r>
        <w:rPr>
          <w:rFonts w:ascii="Times New Roman" w:hAnsi="Times New Roman"/>
          <w:b/>
          <w:i w:val="false"/>
          <w:caps w:val="false"/>
          <w:smallCaps w:val="false"/>
          <w:sz w:val="22"/>
        </w:rPr>
        <w:t>CRISPR Background Technology</w:t>
      </w:r>
      <w:r>
        <w:rPr>
          <w:rFonts w:ascii="Times New Roman" w:hAnsi="Times New Roman"/>
          <w:b w:val="false"/>
          <w:i w:val="false"/>
          <w:caps w:val="false"/>
          <w:smallCaps w:val="false"/>
          <w:sz w:val="22"/>
        </w:rPr>
        <w:t>” means the CRISPR Background Know-How and the CRISPR Background Patents.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1.38.“</w:t>
      </w:r>
      <w:r>
        <w:rPr>
          <w:rFonts w:ascii="Times New Roman" w:hAnsi="Times New Roman"/>
          <w:b/>
          <w:i w:val="false"/>
          <w:caps w:val="false"/>
          <w:smallCaps w:val="false"/>
          <w:sz w:val="22"/>
        </w:rPr>
        <w:t>CRISPR/Cas Platform</w:t>
      </w:r>
      <w:r>
        <w:rPr>
          <w:rFonts w:ascii="Times New Roman" w:hAnsi="Times New Roman"/>
          <w:b w:val="false"/>
          <w:i w:val="false"/>
          <w:caps w:val="false"/>
          <w:smallCaps w:val="false"/>
          <w:sz w:val="22"/>
        </w:rPr>
        <w:t>” means the proprietary platform of CRISPR and its Affiliates consisting or comprising of</w:t>
      </w:r>
      <w:r>
        <w:rPr>
          <w:rFonts w:ascii="Times New Roman" w:hAnsi="Times New Roman"/>
          <w:b w:val="false"/>
          <w:i w:val="false"/>
          <w:caps w:val="false"/>
          <w:smallCaps w:val="false"/>
          <w:color w:val="000000"/>
          <w:sz w:val="22"/>
        </w:rPr>
        <w:t xml:space="preserve"> one or more of the following components: </w:t>
      </w:r>
      <w:r>
        <w:rPr>
          <w:rFonts w:ascii="Times New Roman" w:hAnsi="Times New Roman"/>
          <w:b w:val="false"/>
          <w:i w:val="false"/>
          <w:caps w:val="false"/>
          <w:smallCaps w:val="false"/>
          <w:sz w:val="22"/>
        </w:rPr>
        <w: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1.39.“</w:t>
      </w:r>
      <w:r>
        <w:rPr>
          <w:rFonts w:ascii="Times New Roman" w:hAnsi="Times New Roman"/>
          <w:b/>
          <w:i w:val="false"/>
          <w:caps w:val="false"/>
          <w:smallCaps w:val="false"/>
          <w:sz w:val="22"/>
        </w:rPr>
        <w:t>CRISPR Entity</w:t>
      </w:r>
      <w:r>
        <w:rPr>
          <w:rFonts w:ascii="Times New Roman" w:hAnsi="Times New Roman"/>
          <w:b w:val="false"/>
          <w:i w:val="false"/>
          <w:caps w:val="false"/>
          <w:smallCaps w:val="false"/>
          <w:sz w:val="22"/>
        </w:rPr>
        <w:t>” means, when used in the singular, any one of CRISPR AG and CRISPR Inc.  “</w:t>
      </w:r>
      <w:r>
        <w:rPr>
          <w:rFonts w:ascii="Times New Roman" w:hAnsi="Times New Roman"/>
          <w:b/>
          <w:i w:val="false"/>
          <w:caps w:val="false"/>
          <w:smallCaps w:val="false"/>
          <w:sz w:val="22"/>
        </w:rPr>
        <w:t>CRISPR Entities</w:t>
      </w:r>
      <w:r>
        <w:rPr>
          <w:rFonts w:ascii="Times New Roman" w:hAnsi="Times New Roman"/>
          <w:b w:val="false"/>
          <w:i w:val="false"/>
          <w:caps w:val="false"/>
          <w:smallCaps w:val="false"/>
          <w:sz w:val="22"/>
        </w:rPr>
        <w:t>” means, when used in the plural, CRISPR AG and CRISPR Inc.</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1.40.“</w:t>
      </w:r>
      <w:r>
        <w:rPr>
          <w:rFonts w:ascii="Times New Roman" w:hAnsi="Times New Roman"/>
          <w:b/>
          <w:i w:val="false"/>
          <w:caps w:val="false"/>
          <w:smallCaps w:val="false"/>
          <w:sz w:val="22"/>
        </w:rPr>
        <w:t>CRISPR Indemnified Party</w:t>
      </w:r>
      <w:r>
        <w:rPr>
          <w:rFonts w:ascii="Times New Roman" w:hAnsi="Times New Roman"/>
          <w:b w:val="false"/>
          <w:i w:val="false"/>
          <w:caps w:val="false"/>
          <w:smallCaps w:val="false"/>
          <w:sz w:val="22"/>
        </w:rPr>
        <w:t>” has the meaning set forth in Section 12.1.</w:t>
      </w:r>
    </w:p>
    <w:p>
      <w:pPr>
        <w:pStyle w:val="TextBody"/>
        <w:spacing w:before="0" w:after="240"/>
        <w:ind w:left="1260" w:right="0" w:hanging="0"/>
        <w:jc w:val="both"/>
        <w:rPr>
          <w:rFonts w:ascii="Times New Roman" w:hAnsi="Times New Roman"/>
          <w:b w:val="false"/>
          <w:i w:val="false"/>
          <w:caps w:val="false"/>
          <w:smallCaps w:val="false"/>
          <w:sz w:val="22"/>
        </w:rPr>
      </w:pPr>
      <w:bookmarkStart w:id="225" w:name="_Ref4257710601"/>
      <w:bookmarkStart w:id="226" w:name="_Ref62398665"/>
      <w:bookmarkStart w:id="227" w:name="_Ref514239631"/>
      <w:bookmarkEnd w:id="225"/>
      <w:bookmarkEnd w:id="226"/>
      <w:bookmarkEnd w:id="227"/>
      <w:r>
        <w:rPr>
          <w:rFonts w:ascii="Times New Roman" w:hAnsi="Times New Roman"/>
          <w:b w:val="false"/>
          <w:i w:val="false"/>
          <w:caps w:val="false"/>
          <w:smallCaps w:val="false"/>
          <w:sz w:val="22"/>
        </w:rPr>
        <w:t>1.41.“</w:t>
      </w:r>
      <w:r>
        <w:rPr>
          <w:rFonts w:ascii="Times New Roman" w:hAnsi="Times New Roman"/>
          <w:b/>
          <w:i w:val="false"/>
          <w:caps w:val="false"/>
          <w:smallCaps w:val="false"/>
          <w:sz w:val="22"/>
        </w:rPr>
        <w:t>CRISPR In-License Agreements</w:t>
      </w:r>
      <w:r>
        <w:rPr>
          <w:rFonts w:ascii="Times New Roman" w:hAnsi="Times New Roman"/>
          <w:b w:val="false"/>
          <w:i w:val="false"/>
          <w:caps w:val="false"/>
          <w:smallCaps w:val="false"/>
          <w:sz w:val="22"/>
        </w:rPr>
        <w:t xml:space="preserve">” means [***].  The CRISPR In-License Agreements as of the Effective Date are listed on </w:t>
      </w:r>
      <w:r>
        <w:rPr>
          <w:rFonts w:ascii="Times New Roman" w:hAnsi="Times New Roman"/>
          <w:b w:val="false"/>
          <w:i w:val="false"/>
          <w:caps w:val="false"/>
          <w:smallCaps w:val="false"/>
          <w:sz w:val="22"/>
          <w:u w:val="single"/>
        </w:rPr>
        <w:t>Schedule 1.41</w:t>
      </w:r>
      <w:bookmarkStart w:id="228" w:name="_Ref425771060"/>
      <w:bookmarkEnd w:id="228"/>
      <w:r>
        <w:rPr>
          <w:rFonts w:ascii="Times New Roman" w:hAnsi="Times New Roman"/>
          <w:b w:val="false"/>
          <w:i w:val="false"/>
          <w:caps w:val="false"/>
          <w:smallCaps w:val="false"/>
          <w:sz w:val="22"/>
        </w:rPr>
        <w:t>.</w:t>
      </w:r>
    </w:p>
    <w:p>
      <w:pPr>
        <w:pStyle w:val="TextBody"/>
        <w:spacing w:before="0" w:after="240"/>
        <w:ind w:left="1260" w:right="0" w:hanging="0"/>
        <w:jc w:val="both"/>
        <w:rPr>
          <w:rFonts w:ascii="Times New Roman" w:hAnsi="Times New Roman"/>
          <w:b w:val="false"/>
          <w:i w:val="false"/>
          <w:caps w:val="false"/>
          <w:smallCaps w:val="false"/>
          <w:sz w:val="22"/>
        </w:rPr>
      </w:pPr>
      <w:bookmarkStart w:id="229" w:name="_Ref61012744"/>
      <w:bookmarkEnd w:id="229"/>
      <w:r>
        <w:rPr>
          <w:rFonts w:ascii="Times New Roman" w:hAnsi="Times New Roman"/>
          <w:b w:val="false"/>
          <w:i w:val="false"/>
          <w:caps w:val="false"/>
          <w:smallCaps w:val="false"/>
          <w:sz w:val="22"/>
        </w:rPr>
        <w:t>1.42.“</w:t>
      </w:r>
      <w:r>
        <w:rPr>
          <w:rFonts w:ascii="Times New Roman" w:hAnsi="Times New Roman"/>
          <w:b/>
          <w:i w:val="false"/>
          <w:caps w:val="false"/>
          <w:smallCaps w:val="false"/>
          <w:sz w:val="22"/>
        </w:rPr>
        <w:t>CRISPR Option</w:t>
      </w:r>
      <w:r>
        <w:rPr>
          <w:rFonts w:ascii="Times New Roman" w:hAnsi="Times New Roman"/>
          <w:b w:val="false"/>
          <w:i w:val="false"/>
          <w:caps w:val="false"/>
          <w:smallCaps w:val="false"/>
          <w:sz w:val="22"/>
        </w:rPr>
        <w:t>” has the meaning set forth in Section 5.1.1.</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1.43.“</w:t>
      </w:r>
      <w:r>
        <w:rPr>
          <w:rFonts w:ascii="Times New Roman" w:hAnsi="Times New Roman"/>
          <w:b/>
          <w:i w:val="false"/>
          <w:caps w:val="false"/>
          <w:smallCaps w:val="false"/>
          <w:sz w:val="22"/>
        </w:rPr>
        <w:t>CRISPR Option Period</w:t>
      </w:r>
      <w:r>
        <w:rPr>
          <w:rFonts w:ascii="Times New Roman" w:hAnsi="Times New Roman"/>
          <w:b w:val="false"/>
          <w:i w:val="false"/>
          <w:caps w:val="false"/>
          <w:smallCaps w:val="false"/>
          <w:sz w:val="22"/>
        </w:rPr>
        <w:t>” has the meaning set forth in Section 5.1.1.</w:t>
      </w:r>
    </w:p>
    <w:p>
      <w:pPr>
        <w:pStyle w:val="TextBody"/>
        <w:spacing w:before="0" w:after="240"/>
        <w:ind w:left="1260" w:right="0" w:hanging="0"/>
        <w:jc w:val="both"/>
        <w:rPr>
          <w:rFonts w:ascii="Times New Roman" w:hAnsi="Times New Roman"/>
          <w:b w:val="false"/>
          <w:i w:val="false"/>
          <w:caps w:val="false"/>
          <w:smallCaps w:val="false"/>
          <w:sz w:val="22"/>
        </w:rPr>
      </w:pPr>
      <w:bookmarkStart w:id="230" w:name="_Hlk634299371"/>
      <w:bookmarkEnd w:id="230"/>
      <w:r>
        <w:rPr>
          <w:rFonts w:ascii="Times New Roman" w:hAnsi="Times New Roman"/>
          <w:b w:val="false"/>
          <w:i w:val="false"/>
          <w:caps w:val="false"/>
          <w:smallCaps w:val="false"/>
          <w:sz w:val="22"/>
        </w:rPr>
        <w:t>1.44.</w:t>
      </w:r>
      <w:bookmarkStart w:id="231" w:name="_Hlk63429937"/>
      <w:bookmarkEnd w:id="231"/>
      <w:r>
        <w:rPr>
          <w:rFonts w:ascii="Times New Roman" w:hAnsi="Times New Roman"/>
          <w:b w:val="false"/>
          <w:i w:val="false"/>
          <w:caps w:val="false"/>
          <w:smallCaps w:val="false"/>
          <w:sz w:val="22"/>
        </w:rPr>
        <w:t>“</w:t>
      </w:r>
      <w:r>
        <w:rPr>
          <w:rFonts w:ascii="Times New Roman" w:hAnsi="Times New Roman"/>
          <w:b/>
          <w:i w:val="false"/>
          <w:caps w:val="false"/>
          <w:smallCaps w:val="false"/>
          <w:sz w:val="22"/>
        </w:rPr>
        <w:t>CRISPR Patents</w:t>
      </w:r>
      <w:r>
        <w:rPr>
          <w:rFonts w:ascii="Times New Roman" w:hAnsi="Times New Roman"/>
          <w:b w:val="false"/>
          <w:i w:val="false"/>
          <w:caps w:val="false"/>
          <w:smallCaps w:val="false"/>
          <w:sz w:val="22"/>
        </w:rPr>
        <w:t>” means (a) CRISPR Background Patents, (b) CRISPR Program Patents, and (c) CRISPR’s interest in the Joint Patents.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1.45.“</w:t>
      </w:r>
      <w:r>
        <w:rPr>
          <w:rFonts w:ascii="Times New Roman" w:hAnsi="Times New Roman"/>
          <w:b/>
          <w:i w:val="false"/>
          <w:caps w:val="false"/>
          <w:smallCaps w:val="false"/>
          <w:sz w:val="22"/>
        </w:rPr>
        <w:t>CRISPR Program Know-How</w:t>
      </w:r>
      <w:r>
        <w:rPr>
          <w:rFonts w:ascii="Times New Roman" w:hAnsi="Times New Roman"/>
          <w:b w:val="false"/>
          <w:i w:val="false"/>
          <w:caps w:val="false"/>
          <w:smallCaps w:val="false"/>
          <w:sz w:val="22"/>
        </w:rPr>
        <w:t>” has the meaning set forth in Section 9.1.2(a).</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1.46.“</w:t>
      </w:r>
      <w:r>
        <w:rPr>
          <w:rFonts w:ascii="Times New Roman" w:hAnsi="Times New Roman"/>
          <w:b/>
          <w:i w:val="false"/>
          <w:caps w:val="false"/>
          <w:smallCaps w:val="false"/>
          <w:sz w:val="22"/>
        </w:rPr>
        <w:t>CRISPR Program Patents</w:t>
      </w:r>
      <w:r>
        <w:rPr>
          <w:rFonts w:ascii="Times New Roman" w:hAnsi="Times New Roman"/>
          <w:b w:val="false"/>
          <w:i w:val="false"/>
          <w:caps w:val="false"/>
          <w:smallCaps w:val="false"/>
          <w:sz w:val="22"/>
        </w:rPr>
        <w:t>” has the meaning set forth in Section 9.1.2(a).</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1.47.“</w:t>
      </w:r>
      <w:r>
        <w:rPr>
          <w:rFonts w:ascii="Times New Roman" w:hAnsi="Times New Roman"/>
          <w:b/>
          <w:i w:val="false"/>
          <w:caps w:val="false"/>
          <w:smallCaps w:val="false"/>
          <w:sz w:val="22"/>
        </w:rPr>
        <w:t>CRISPR Program Technology</w:t>
      </w:r>
      <w:r>
        <w:rPr>
          <w:rFonts w:ascii="Times New Roman" w:hAnsi="Times New Roman"/>
          <w:b w:val="false"/>
          <w:i w:val="false"/>
          <w:caps w:val="false"/>
          <w:smallCaps w:val="false"/>
          <w:sz w:val="22"/>
        </w:rPr>
        <w:t>” has the meaning set forth in Section 9.1.2(a).</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1.48.“</w:t>
      </w:r>
      <w:r>
        <w:rPr>
          <w:rFonts w:ascii="Times New Roman" w:hAnsi="Times New Roman"/>
          <w:b/>
          <w:i w:val="false"/>
          <w:caps w:val="false"/>
          <w:smallCaps w:val="false"/>
          <w:sz w:val="22"/>
        </w:rPr>
        <w:t>CRISPR</w:t>
      </w:r>
      <w:r>
        <w:rPr>
          <w:rFonts w:ascii="Times New Roman" w:hAnsi="Times New Roman"/>
          <w:b w:val="false"/>
          <w:i w:val="false"/>
          <w:caps w:val="false"/>
          <w:smallCaps w:val="false"/>
          <w:sz w:val="22"/>
        </w:rPr>
        <w:t xml:space="preserve"> </w:t>
      </w:r>
      <w:r>
        <w:rPr>
          <w:rFonts w:ascii="Times New Roman" w:hAnsi="Times New Roman"/>
          <w:b/>
          <w:i w:val="false"/>
          <w:caps w:val="false"/>
          <w:smallCaps w:val="false"/>
          <w:sz w:val="22"/>
        </w:rPr>
        <w:t>Technology</w:t>
      </w:r>
      <w:r>
        <w:rPr>
          <w:rFonts w:ascii="Times New Roman" w:hAnsi="Times New Roman"/>
          <w:b w:val="false"/>
          <w:i w:val="false"/>
          <w:caps w:val="false"/>
          <w:smallCaps w:val="false"/>
          <w:sz w:val="22"/>
        </w:rPr>
        <w:t>” means (a) the CRISPR Background Technology, (b) the CRISPR Program Technology, and (c) CRISPR’s interest in any Joint Technology.</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1.49.“</w:t>
      </w:r>
      <w:r>
        <w:rPr>
          <w:rFonts w:ascii="Times New Roman" w:hAnsi="Times New Roman"/>
          <w:b/>
          <w:i w:val="false"/>
          <w:caps w:val="false"/>
          <w:smallCaps w:val="false"/>
          <w:sz w:val="22"/>
        </w:rPr>
        <w:t>CTA</w:t>
      </w:r>
      <w:r>
        <w:rPr>
          <w:rFonts w:ascii="Times New Roman" w:hAnsi="Times New Roman"/>
          <w:b w:val="false"/>
          <w:i w:val="false"/>
          <w:caps w:val="false"/>
          <w:smallCaps w:val="false"/>
          <w:sz w:val="22"/>
        </w:rPr>
        <w:t>” means an application to a Regulatory Authority for purposes of requesting the ability to start or continue a Clinical Trial, which CTA may consist of, or include, an Investigational New Drug application (IND), filed with the FDA pursuant to Part 312 of Title 21 of the U.S. Code of Federal Regulations, including any supplements or amendments thereto (and, to the extent applicable, any comparable filings outside the United States), as applicable.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1.50.“</w:t>
      </w:r>
      <w:r>
        <w:rPr>
          <w:rFonts w:ascii="Times New Roman" w:hAnsi="Times New Roman"/>
          <w:b/>
          <w:i w:val="false"/>
          <w:caps w:val="false"/>
          <w:smallCaps w:val="false"/>
          <w:sz w:val="22"/>
        </w:rPr>
        <w:t>Delivery Date</w:t>
      </w:r>
      <w:r>
        <w:rPr>
          <w:rFonts w:ascii="Times New Roman" w:hAnsi="Times New Roman"/>
          <w:b w:val="false"/>
          <w:i w:val="false"/>
          <w:caps w:val="false"/>
          <w:smallCaps w:val="false"/>
          <w:sz w:val="22"/>
        </w:rPr>
        <w:t>” means the date of delivery by Nkarta to CRISPR of the Nkarta Product Package that is within [***] Business Days after CTA filing for any Nkarta Product that is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1.51.“</w:t>
      </w:r>
      <w:r>
        <w:rPr>
          <w:rFonts w:ascii="Times New Roman" w:hAnsi="Times New Roman"/>
          <w:b/>
          <w:i w:val="false"/>
          <w:caps w:val="false"/>
          <w:smallCaps w:val="false"/>
          <w:sz w:val="22"/>
        </w:rPr>
        <w:t>Designated Optionable Nkarta Product</w:t>
      </w:r>
      <w:r>
        <w:rPr>
          <w:rFonts w:ascii="Times New Roman" w:hAnsi="Times New Roman"/>
          <w:b w:val="false"/>
          <w:i w:val="false"/>
          <w:caps w:val="false"/>
          <w:smallCaps w:val="false"/>
          <w:sz w:val="22"/>
        </w:rPr>
        <w:t>” means,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1.52.“</w:t>
      </w:r>
      <w:r>
        <w:rPr>
          <w:rFonts w:ascii="Times New Roman" w:hAnsi="Times New Roman"/>
          <w:b/>
          <w:i w:val="false"/>
          <w:caps w:val="false"/>
          <w:smallCaps w:val="false"/>
          <w:sz w:val="22"/>
        </w:rPr>
        <w:t>Designation Term</w:t>
      </w:r>
      <w:r>
        <w:rPr>
          <w:rFonts w:ascii="Times New Roman" w:hAnsi="Times New Roman"/>
          <w:b w:val="false"/>
          <w:i w:val="false"/>
          <w:caps w:val="false"/>
          <w:smallCaps w:val="false"/>
          <w:sz w:val="22"/>
        </w:rPr>
        <w:t>” has the meaning set forth in Section 4.1.</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5</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232" w:name="_AEIOULastRenderedPageBreakAEIOU6"/>
      <w:bookmarkEnd w:id="232"/>
      <w:r>
        <w:rPr>
          <w:rFonts w:ascii="Times New Roman" w:hAnsi="Times New Roman"/>
          <w:b w:val="false"/>
          <w:i w:val="false"/>
          <w:caps w:val="false"/>
          <w:smallCaps w:val="false"/>
          <w:sz w:val="22"/>
        </w:rPr>
        <w:t>1.53.“</w:t>
      </w:r>
      <w:r>
        <w:rPr>
          <w:rFonts w:ascii="Times New Roman" w:hAnsi="Times New Roman"/>
          <w:b/>
          <w:i w:val="false"/>
          <w:caps w:val="false"/>
          <w:smallCaps w:val="false"/>
          <w:sz w:val="22"/>
        </w:rPr>
        <w:t>Development</w:t>
      </w:r>
      <w:r>
        <w:rPr>
          <w:rFonts w:ascii="Times New Roman" w:hAnsi="Times New Roman"/>
          <w:b w:val="false"/>
          <w:i w:val="false"/>
          <w:caps w:val="false"/>
          <w:smallCaps w:val="false"/>
          <w:sz w:val="22"/>
        </w:rPr>
        <w:t>” means, with respect to a Product or NK+T Product: (a) all clinical and non-clinical research and development activities conducted after CTA filing for such Product or NK+T Product, including toxicology, pharmacology test method development and stability testing, process development, formulation development, delivery system development, quality assurance and quality control development, statistical analysis, Clinical Trials, regulatory affairs, pharmacovigilance, Clinical Trial regulatory activities and obtaining and maintaining Marketing Approval; and (b) pre-CTA activities that are undertaken to obtain agreement on the planned CTA submission dossier contents with the respective Regulatory Authorities, such as FDA pre-IND meeting undertaken prior to filing an IND, or pre-CTA activities associated with preparing and submitting a CTA; [***].  When used as a verb, “</w:t>
      </w:r>
      <w:r>
        <w:rPr>
          <w:rFonts w:ascii="Times New Roman" w:hAnsi="Times New Roman"/>
          <w:b/>
          <w:i w:val="false"/>
          <w:caps w:val="false"/>
          <w:smallCaps w:val="false"/>
          <w:sz w:val="22"/>
        </w:rPr>
        <w:t>Develop</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Developing</w:t>
      </w:r>
      <w:r>
        <w:rPr>
          <w:rFonts w:ascii="Times New Roman" w:hAnsi="Times New Roman"/>
          <w:b w:val="false"/>
          <w:i w:val="false"/>
          <w:caps w:val="false"/>
          <w:smallCaps w:val="false"/>
          <w:sz w:val="22"/>
        </w:rPr>
        <w:t>” means to engage in Development.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1.54.“</w:t>
      </w:r>
      <w:r>
        <w:rPr>
          <w:rFonts w:ascii="Times New Roman" w:hAnsi="Times New Roman"/>
          <w:b/>
          <w:i w:val="false"/>
          <w:caps w:val="false"/>
          <w:smallCaps w:val="false"/>
          <w:sz w:val="22"/>
        </w:rPr>
        <w:t>Disclosing Party</w:t>
      </w:r>
      <w:r>
        <w:rPr>
          <w:rFonts w:ascii="Times New Roman" w:hAnsi="Times New Roman"/>
          <w:b w:val="false"/>
          <w:i w:val="false"/>
          <w:caps w:val="false"/>
          <w:smallCaps w:val="false"/>
          <w:sz w:val="22"/>
        </w:rPr>
        <w:t>” has the meaning set forth in Section 14.1.</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1.55.“</w:t>
      </w:r>
      <w:r>
        <w:rPr>
          <w:rFonts w:ascii="Times New Roman" w:hAnsi="Times New Roman"/>
          <w:b/>
          <w:i w:val="false"/>
          <w:caps w:val="false"/>
          <w:smallCaps w:val="false"/>
          <w:sz w:val="22"/>
        </w:rPr>
        <w:t>Dispute</w:t>
      </w:r>
      <w:r>
        <w:rPr>
          <w:rFonts w:ascii="Times New Roman" w:hAnsi="Times New Roman"/>
          <w:b w:val="false"/>
          <w:i w:val="false"/>
          <w:caps w:val="false"/>
          <w:smallCaps w:val="false"/>
          <w:sz w:val="22"/>
        </w:rPr>
        <w:t>” has the meaning set forth in Section 15.1.</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1.56.“</w:t>
      </w:r>
      <w:r>
        <w:rPr>
          <w:rFonts w:ascii="Times New Roman" w:hAnsi="Times New Roman"/>
          <w:b/>
          <w:i w:val="false"/>
          <w:caps w:val="false"/>
          <w:smallCaps w:val="false"/>
          <w:sz w:val="22"/>
        </w:rPr>
        <w:t>Distracted Party</w:t>
      </w:r>
      <w:r>
        <w:rPr>
          <w:rFonts w:ascii="Times New Roman" w:hAnsi="Times New Roman"/>
          <w:b w:val="false"/>
          <w:i w:val="false"/>
          <w:caps w:val="false"/>
          <w:smallCaps w:val="false"/>
          <w:sz w:val="22"/>
        </w:rPr>
        <w:t>” has the meaning set forth in Section 3.2.</w:t>
      </w:r>
    </w:p>
    <w:p>
      <w:pPr>
        <w:pStyle w:val="TextBody"/>
        <w:spacing w:before="0" w:after="240"/>
        <w:ind w:left="1260" w:right="0" w:hanging="0"/>
        <w:jc w:val="both"/>
        <w:rPr>
          <w:rFonts w:ascii="Times New Roman" w:hAnsi="Times New Roman"/>
          <w:b w:val="false"/>
          <w:i w:val="false"/>
          <w:caps w:val="false"/>
          <w:smallCaps w:val="false"/>
          <w:sz w:val="22"/>
        </w:rPr>
      </w:pPr>
      <w:bookmarkStart w:id="233" w:name="_cp_text_1_1381"/>
      <w:bookmarkEnd w:id="233"/>
      <w:r>
        <w:rPr>
          <w:rFonts w:ascii="Times New Roman" w:hAnsi="Times New Roman"/>
          <w:b w:val="false"/>
          <w:i w:val="false"/>
          <w:caps w:val="false"/>
          <w:smallCaps w:val="false"/>
          <w:sz w:val="22"/>
        </w:rPr>
        <w:t>1.57.“</w:t>
      </w:r>
      <w:r>
        <w:rPr>
          <w:rFonts w:ascii="Times New Roman" w:hAnsi="Times New Roman"/>
          <w:b/>
          <w:i w:val="false"/>
          <w:caps w:val="false"/>
          <w:smallCaps w:val="false"/>
          <w:sz w:val="22"/>
        </w:rPr>
        <w:t>Distracting Product</w:t>
      </w:r>
      <w:r>
        <w:rPr>
          <w:rFonts w:ascii="Times New Roman" w:hAnsi="Times New Roman"/>
          <w:b w:val="false"/>
          <w:i w:val="false"/>
          <w:caps w:val="false"/>
          <w:smallCaps w:val="false"/>
          <w:sz w:val="22"/>
        </w:rPr>
        <w:t xml:space="preserve">” </w:t>
      </w:r>
      <w:bookmarkStart w:id="234" w:name="_cp_text_1_138"/>
      <w:bookmarkEnd w:id="234"/>
      <w:r>
        <w:rPr>
          <w:rFonts w:ascii="Times New Roman" w:hAnsi="Times New Roman"/>
          <w:b w:val="false"/>
          <w:i w:val="false"/>
          <w:caps w:val="false"/>
          <w:smallCaps w:val="false"/>
          <w:sz w:val="22"/>
        </w:rPr>
        <w:t>means, for a given Collaboration Product, any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1.58.“</w:t>
      </w:r>
      <w:r>
        <w:rPr>
          <w:rFonts w:ascii="Times New Roman" w:hAnsi="Times New Roman"/>
          <w:b/>
          <w:i w:val="false"/>
          <w:caps w:val="false"/>
          <w:smallCaps w:val="false"/>
          <w:sz w:val="22"/>
        </w:rPr>
        <w:t>Divestiture</w:t>
      </w:r>
      <w:r>
        <w:rPr>
          <w:rFonts w:ascii="Times New Roman" w:hAnsi="Times New Roman"/>
          <w:b w:val="false"/>
          <w:i w:val="false"/>
          <w:caps w:val="false"/>
          <w:smallCaps w:val="false"/>
          <w:sz w:val="22"/>
        </w:rPr>
        <w:t>” means, with respect to a Distracting Product, the sale, exclusive license or other transfer by the applicable Party and its Affiliates of all of their development and commercialization rights with respect to such Distracting Product to a Third Party without the retention or reservation of any development or commercialization obligation, interest or participation rights (other than solely an economic interest or the right to enforce customary terms and conditions contained in the relevant agreements effectuating such transaction).  When used as a verb, “Divest” means to engage in a Divestiture.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1.59.“</w:t>
      </w:r>
      <w:r>
        <w:rPr>
          <w:rFonts w:ascii="Times New Roman" w:hAnsi="Times New Roman"/>
          <w:b/>
          <w:i w:val="false"/>
          <w:caps w:val="false"/>
          <w:smallCaps w:val="false"/>
          <w:sz w:val="22"/>
        </w:rPr>
        <w:t>Effective Date</w:t>
      </w:r>
      <w:r>
        <w:rPr>
          <w:rFonts w:ascii="Times New Roman" w:hAnsi="Times New Roman"/>
          <w:b w:val="false"/>
          <w:i w:val="false"/>
          <w:caps w:val="false"/>
          <w:smallCaps w:val="false"/>
          <w:sz w:val="22"/>
        </w:rPr>
        <w:t>” has the meaning set forth in the preamble.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1.60.“</w:t>
      </w:r>
      <w:r>
        <w:rPr>
          <w:rFonts w:ascii="Times New Roman" w:hAnsi="Times New Roman"/>
          <w:b/>
          <w:i w:val="false"/>
          <w:caps w:val="false"/>
          <w:smallCaps w:val="false"/>
          <w:sz w:val="22"/>
        </w:rPr>
        <w:t>European Union</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EU</w:t>
      </w:r>
      <w:r>
        <w:rPr>
          <w:rFonts w:ascii="Times New Roman" w:hAnsi="Times New Roman"/>
          <w:b w:val="false"/>
          <w:i w:val="false"/>
          <w:caps w:val="false"/>
          <w:smallCaps w:val="false"/>
          <w:sz w:val="22"/>
        </w:rPr>
        <w:t>” means the European Union as it exists as of the Effective Date, together with the United Kingdom and Switzerland and any countries or territories that subsequently join the European Union.  For clarity, any countries or territories that exit in the European Union after the Effective Date shall remain part of the European Union for purposes of this Agreement.  As of the Effective Date, the European Union includes the following countries: Austria, Belgium, Bulgaria, Croatia, Cyprus, Czech Republic, Denmark, Estonia, Finland, France, Germany, Greece, Hungary, Ireland, Italy, Latvia, Lithuania, Luxembourg, Malta, Netherlands, Poland, Portugal, Romania, Slovakia, Slovenia, Spain and Sweden.</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1.61.“</w:t>
      </w:r>
      <w:r>
        <w:rPr>
          <w:rFonts w:ascii="Times New Roman" w:hAnsi="Times New Roman"/>
          <w:b/>
          <w:i w:val="false"/>
          <w:caps w:val="false"/>
          <w:smallCaps w:val="false"/>
          <w:sz w:val="22"/>
        </w:rPr>
        <w:t>Excluded Target</w:t>
      </w:r>
      <w:r>
        <w:rPr>
          <w:rFonts w:ascii="Times New Roman" w:hAnsi="Times New Roman"/>
          <w:b w:val="false"/>
          <w:i w:val="false"/>
          <w:caps w:val="false"/>
          <w:smallCaps w:val="false"/>
          <w:sz w:val="22"/>
        </w:rPr>
        <w:t>” has the meaning set forth in Section 4.2.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1.62.“</w:t>
      </w:r>
      <w:r>
        <w:rPr>
          <w:rFonts w:ascii="Times New Roman" w:hAnsi="Times New Roman"/>
          <w:b/>
          <w:i w:val="false"/>
          <w:caps w:val="false"/>
          <w:smallCaps w:val="false"/>
          <w:sz w:val="22"/>
        </w:rPr>
        <w:t>Exclusion List</w:t>
      </w:r>
      <w:r>
        <w:rPr>
          <w:rFonts w:ascii="Times New Roman" w:hAnsi="Times New Roman"/>
          <w:b w:val="false"/>
          <w:i w:val="false"/>
          <w:caps w:val="false"/>
          <w:smallCaps w:val="false"/>
          <w:sz w:val="22"/>
        </w:rPr>
        <w:t>” has the meaning set forth in Section 4.2.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1.63.“</w:t>
      </w:r>
      <w:r>
        <w:rPr>
          <w:rFonts w:ascii="Times New Roman" w:hAnsi="Times New Roman"/>
          <w:b/>
          <w:i w:val="false"/>
          <w:caps w:val="false"/>
          <w:smallCaps w:val="false"/>
          <w:sz w:val="22"/>
        </w:rPr>
        <w:t>Executive Officer</w:t>
      </w:r>
      <w:r>
        <w:rPr>
          <w:rFonts w:ascii="Times New Roman" w:hAnsi="Times New Roman"/>
          <w:b w:val="false"/>
          <w:i w:val="false"/>
          <w:caps w:val="false"/>
          <w:smallCaps w:val="false"/>
          <w:sz w:val="22"/>
        </w:rPr>
        <w:t>” means an executive officer of a Party that is designated by such Party as its “Executive Officer” for purposes of this Agreement.  The initial Executive Officer (a) with respect to CRISPR, shall be the Chief Executive Officer or equivalent position of CRISPR (or its designee), and (b) with respect to Nkarta, shall be Chief Executive Officer or equivalent position of Nkarta (or its designee).  A Party may replace its then-current Executive Officer from time-to-time by written notice to the other Party.</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1.64.“</w:t>
      </w:r>
      <w:r>
        <w:rPr>
          <w:rFonts w:ascii="Times New Roman" w:hAnsi="Times New Roman"/>
          <w:b/>
          <w:i w:val="false"/>
          <w:caps w:val="false"/>
          <w:smallCaps w:val="false"/>
          <w:sz w:val="22"/>
        </w:rPr>
        <w:t>Exercise Notice</w:t>
      </w:r>
      <w:r>
        <w:rPr>
          <w:rFonts w:ascii="Times New Roman" w:hAnsi="Times New Roman"/>
          <w:b w:val="false"/>
          <w:i w:val="false"/>
          <w:caps w:val="false"/>
          <w:smallCaps w:val="false"/>
          <w:sz w:val="22"/>
        </w:rPr>
        <w:t>” has the meaning set forth in Section 5.1.2.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1.65.“</w:t>
      </w:r>
      <w:r>
        <w:rPr>
          <w:rFonts w:ascii="Times New Roman" w:hAnsi="Times New Roman"/>
          <w:b/>
          <w:i w:val="false"/>
          <w:caps w:val="false"/>
          <w:smallCaps w:val="false"/>
          <w:sz w:val="22"/>
        </w:rPr>
        <w:t>Expert</w:t>
      </w:r>
      <w:r>
        <w:rPr>
          <w:rFonts w:ascii="Times New Roman" w:hAnsi="Times New Roman"/>
          <w:b w:val="false"/>
          <w:i w:val="false"/>
          <w:caps w:val="false"/>
          <w:smallCaps w:val="false"/>
          <w:sz w:val="22"/>
        </w:rPr>
        <w:t>” has the meaning set forth in Section 15.2.1.</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6</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235" w:name="_AEIOULastRenderedPageBreakAEIOU7"/>
      <w:bookmarkEnd w:id="235"/>
      <w:r>
        <w:rPr>
          <w:rFonts w:ascii="Times New Roman" w:hAnsi="Times New Roman"/>
          <w:b w:val="false"/>
          <w:i w:val="false"/>
          <w:caps w:val="false"/>
          <w:smallCaps w:val="false"/>
          <w:sz w:val="22"/>
        </w:rPr>
        <w:t>1.66.“</w:t>
      </w:r>
      <w:r>
        <w:rPr>
          <w:rFonts w:ascii="Times New Roman" w:hAnsi="Times New Roman"/>
          <w:b/>
          <w:i w:val="false"/>
          <w:caps w:val="false"/>
          <w:smallCaps w:val="false"/>
          <w:sz w:val="22"/>
        </w:rPr>
        <w:t>FDA</w:t>
      </w:r>
      <w:r>
        <w:rPr>
          <w:rFonts w:ascii="Times New Roman" w:hAnsi="Times New Roman"/>
          <w:b w:val="false"/>
          <w:i w:val="false"/>
          <w:caps w:val="false"/>
          <w:smallCaps w:val="false"/>
          <w:sz w:val="22"/>
        </w:rPr>
        <w:t>” means the United States Food and Drug Administration and any successor entity thereto.</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1.67.“</w:t>
      </w:r>
      <w:r>
        <w:rPr>
          <w:rFonts w:ascii="Times New Roman" w:hAnsi="Times New Roman"/>
          <w:b/>
          <w:i w:val="false"/>
          <w:caps w:val="false"/>
          <w:smallCaps w:val="false"/>
          <w:sz w:val="22"/>
        </w:rPr>
        <w:t>FD&amp;C Act</w:t>
      </w:r>
      <w:r>
        <w:rPr>
          <w:rFonts w:ascii="Times New Roman" w:hAnsi="Times New Roman"/>
          <w:b w:val="false"/>
          <w:i w:val="false"/>
          <w:caps w:val="false"/>
          <w:smallCaps w:val="false"/>
          <w:sz w:val="22"/>
        </w:rPr>
        <w:t>” means the United States Federal Food, Drug, and Cosmetic Act, as amended, and the rules and regulations promulgated thereunder.</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1.68.“</w:t>
      </w:r>
      <w:r>
        <w:rPr>
          <w:rFonts w:ascii="Times New Roman" w:hAnsi="Times New Roman"/>
          <w:b/>
          <w:i w:val="false"/>
          <w:caps w:val="false"/>
          <w:smallCaps w:val="false"/>
          <w:sz w:val="22"/>
        </w:rPr>
        <w:t>Field</w:t>
      </w:r>
      <w:r>
        <w:rPr>
          <w:rFonts w:ascii="Times New Roman" w:hAnsi="Times New Roman"/>
          <w:b w:val="false"/>
          <w:i w:val="false"/>
          <w:caps w:val="false"/>
          <w:smallCaps w:val="false"/>
          <w:sz w:val="22"/>
        </w:rPr>
        <w:t>” means: (a) oncology; (b) autoimmune disease; and (c) infectious disease.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1.69.“</w:t>
      </w:r>
      <w:r>
        <w:rPr>
          <w:rFonts w:ascii="Times New Roman" w:hAnsi="Times New Roman"/>
          <w:b/>
          <w:i w:val="false"/>
          <w:caps w:val="false"/>
          <w:smallCaps w:val="false"/>
          <w:sz w:val="22"/>
        </w:rPr>
        <w:t>First Commercial Sale</w:t>
      </w:r>
      <w:r>
        <w:rPr>
          <w:rFonts w:ascii="Times New Roman" w:hAnsi="Times New Roman"/>
          <w:b w:val="false"/>
          <w:i w:val="false"/>
          <w:caps w:val="false"/>
          <w:smallCaps w:val="false"/>
          <w:sz w:val="22"/>
        </w:rPr>
        <w:t>” means, with respect to any Nkarta Product in any country or jurisdiction in the Territory, the first sale of such Nkarta Product by or on behalf of the Selling Party to a Third Party in an arms’ length transaction for end use or consumption in such country or jurisdiction after Regulatory Approvals, as applicable, have been obtained for such Nkarta Product in the Field in such country or jurisdiction.  A First Commercial Sale will not include any Nkarta Product that is supplied for use in clinical trials, for research or for other non-commercial uses, or as part of a compassionate use program (or other program for providing Nkarta Product before it has received Regulatory Approval in a country).</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1.70.“</w:t>
      </w:r>
      <w:r>
        <w:rPr>
          <w:rFonts w:ascii="Times New Roman" w:hAnsi="Times New Roman"/>
          <w:b/>
          <w:i w:val="false"/>
          <w:caps w:val="false"/>
          <w:smallCaps w:val="false"/>
          <w:sz w:val="22"/>
        </w:rPr>
        <w:t>First Nkarta Product</w:t>
      </w:r>
      <w:r>
        <w:rPr>
          <w:rFonts w:ascii="Times New Roman" w:hAnsi="Times New Roman"/>
          <w:b w:val="false"/>
          <w:i w:val="false"/>
          <w:caps w:val="false"/>
          <w:smallCaps w:val="false"/>
          <w:sz w:val="22"/>
        </w:rPr>
        <w:t>” means, subject to Section 5.1.1, the Nkarta Product that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1.71.“</w:t>
      </w:r>
      <w:r>
        <w:rPr>
          <w:rFonts w:ascii="Times New Roman" w:hAnsi="Times New Roman"/>
          <w:b/>
          <w:i w:val="false"/>
          <w:caps w:val="false"/>
          <w:smallCaps w:val="false"/>
          <w:sz w:val="22"/>
        </w:rPr>
        <w:t>Force Majeure</w:t>
      </w:r>
      <w:r>
        <w:rPr>
          <w:rFonts w:ascii="Times New Roman" w:hAnsi="Times New Roman"/>
          <w:b w:val="false"/>
          <w:i w:val="false"/>
          <w:caps w:val="false"/>
          <w:smallCaps w:val="false"/>
          <w:sz w:val="22"/>
        </w:rPr>
        <w:t>” means a condition, the occurrence and continuation of which is beyond the reasonable control of a Party and its Affiliates, including an act of God, voluntary or involuntary compliance with any regulation, law or order of any government, war, civil commotion, labor strike or lock-out, epidemic, pandemic, flood, failure or default of public utilities or common carriers, destruction of production facilities or materials by fire, earthquake, storm or like catastrophe.</w:t>
      </w:r>
    </w:p>
    <w:p>
      <w:pPr>
        <w:pStyle w:val="TextBody"/>
        <w:spacing w:before="0" w:after="240"/>
        <w:ind w:left="1260" w:right="0" w:hanging="0"/>
        <w:jc w:val="both"/>
        <w:rPr>
          <w:rFonts w:ascii="Times New Roman" w:hAnsi="Times New Roman"/>
          <w:b w:val="false"/>
          <w:i w:val="false"/>
          <w:caps w:val="false"/>
          <w:smallCaps w:val="false"/>
          <w:sz w:val="22"/>
        </w:rPr>
      </w:pPr>
      <w:bookmarkStart w:id="236" w:name="_Toc412296688"/>
      <w:bookmarkStart w:id="237" w:name="_Toc412296689"/>
      <w:bookmarkStart w:id="238" w:name="_Toc412296687"/>
      <w:bookmarkStart w:id="239" w:name="_Toc263880586"/>
      <w:bookmarkStart w:id="240" w:name="_Toc263802858"/>
      <w:bookmarkStart w:id="241" w:name="_Toc263802549"/>
      <w:bookmarkStart w:id="242" w:name="_Toc138487385"/>
      <w:bookmarkStart w:id="243" w:name="_Toc138487192"/>
      <w:bookmarkStart w:id="244" w:name="_Toc137310595"/>
      <w:bookmarkStart w:id="245" w:name="_Toc135753926"/>
      <w:bookmarkStart w:id="246" w:name="_Toc135582317"/>
      <w:bookmarkStart w:id="247" w:name="_Toc135582022"/>
      <w:bookmarkStart w:id="248" w:name="_Toc135580553"/>
      <w:bookmarkStart w:id="249" w:name="_Toc115199684"/>
      <w:bookmarkStart w:id="250" w:name="_Toc115199255"/>
      <w:bookmarkStart w:id="251" w:name="_Toc115166632"/>
      <w:bookmarkStart w:id="252" w:name="_Toc115152227"/>
      <w:bookmarkStart w:id="253" w:name="_Toc115151503"/>
      <w:bookmarkStart w:id="254" w:name="_Toc115145274"/>
      <w:bookmarkStart w:id="255" w:name="_Toc115118972"/>
      <w:bookmarkStart w:id="256" w:name="_Toc115080804"/>
      <w:bookmarkStart w:id="257" w:name="_Toc115080550"/>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rFonts w:ascii="Times New Roman" w:hAnsi="Times New Roman"/>
          <w:b w:val="false"/>
          <w:i w:val="false"/>
          <w:caps w:val="false"/>
          <w:smallCaps w:val="false"/>
          <w:sz w:val="22"/>
        </w:rPr>
        <w:t>1.72.“</w:t>
      </w:r>
      <w:r>
        <w:rPr>
          <w:rFonts w:ascii="Times New Roman" w:hAnsi="Times New Roman"/>
          <w:b/>
          <w:i w:val="false"/>
          <w:caps w:val="false"/>
          <w:smallCaps w:val="false"/>
          <w:sz w:val="22"/>
        </w:rPr>
        <w:t>GAAP</w:t>
      </w:r>
      <w:r>
        <w:rPr>
          <w:rFonts w:ascii="Times New Roman" w:hAnsi="Times New Roman"/>
          <w:b w:val="false"/>
          <w:i w:val="false"/>
          <w:caps w:val="false"/>
          <w:smallCaps w:val="false"/>
          <w:sz w:val="22"/>
        </w:rPr>
        <w:t>” means United States generally accepted accounting principles, consistently applied.</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1.73.“</w:t>
      </w:r>
      <w:r>
        <w:rPr>
          <w:rFonts w:ascii="Times New Roman" w:hAnsi="Times New Roman"/>
          <w:b/>
          <w:i w:val="false"/>
          <w:caps w:val="false"/>
          <w:smallCaps w:val="false"/>
          <w:sz w:val="22"/>
        </w:rPr>
        <w:t>GCP</w:t>
      </w:r>
      <w:r>
        <w:rPr>
          <w:rFonts w:ascii="Times New Roman" w:hAnsi="Times New Roman"/>
          <w:b w:val="false"/>
          <w:i w:val="false"/>
          <w:caps w:val="false"/>
          <w:smallCaps w:val="false"/>
          <w:sz w:val="22"/>
        </w:rPr>
        <w:t>” means good clinical practices, which are the then-current standards for Clinical Trials for pharmaceuticals, as set forth in the FD&amp;C Act or other Applicable Law, and such standards of good clinical practice as are required by the regulatory authorities of the European Union and other Governmental Authorities in countries for which the applicable Product or NK+T Product is intended to be Developed, to the extent such standards are not less stringent than United States standards.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1.74.“</w:t>
      </w:r>
      <w:r>
        <w:rPr>
          <w:rFonts w:ascii="Times New Roman" w:hAnsi="Times New Roman"/>
          <w:b/>
          <w:i w:val="false"/>
          <w:caps w:val="false"/>
          <w:smallCaps w:val="false"/>
          <w:sz w:val="22"/>
        </w:rPr>
        <w:t>Gene-Editing Technology</w:t>
      </w:r>
      <w:r>
        <w:rPr>
          <w:rFonts w:ascii="Times New Roman" w:hAnsi="Times New Roman"/>
          <w:b w:val="false"/>
          <w:i w:val="false"/>
          <w:caps w:val="false"/>
          <w:smallCaps w:val="false"/>
          <w:sz w:val="22"/>
        </w:rPr>
        <w:t>” means [***].</w:t>
      </w:r>
    </w:p>
    <w:p>
      <w:pPr>
        <w:pStyle w:val="TextBody"/>
        <w:spacing w:before="0" w:after="240"/>
        <w:ind w:left="1260" w:right="0" w:hanging="0"/>
        <w:jc w:val="both"/>
        <w:rPr>
          <w:rFonts w:ascii="Times New Roman" w:hAnsi="Times New Roman"/>
          <w:b w:val="false"/>
          <w:i w:val="false"/>
          <w:caps w:val="false"/>
          <w:smallCaps w:val="false"/>
          <w:sz w:val="22"/>
        </w:rPr>
      </w:pPr>
      <w:bookmarkStart w:id="258" w:name="DocXTextRef291"/>
      <w:bookmarkStart w:id="259" w:name="DocXTextRef301"/>
      <w:bookmarkEnd w:id="258"/>
      <w:bookmarkEnd w:id="259"/>
      <w:r>
        <w:rPr>
          <w:rFonts w:ascii="Times New Roman" w:hAnsi="Times New Roman"/>
          <w:b w:val="false"/>
          <w:i w:val="false"/>
          <w:caps w:val="false"/>
          <w:smallCaps w:val="false"/>
          <w:sz w:val="22"/>
        </w:rPr>
        <w:t>1.75.“</w:t>
      </w:r>
      <w:r>
        <w:rPr>
          <w:rFonts w:ascii="Times New Roman" w:hAnsi="Times New Roman"/>
          <w:b/>
          <w:i w:val="false"/>
          <w:caps w:val="false"/>
          <w:smallCaps w:val="false"/>
          <w:sz w:val="22"/>
        </w:rPr>
        <w:t>GLP</w:t>
      </w:r>
      <w:bookmarkStart w:id="260" w:name="DocXTextRef30"/>
      <w:bookmarkEnd w:id="260"/>
      <w:r>
        <w:rPr>
          <w:rFonts w:ascii="Times New Roman" w:hAnsi="Times New Roman"/>
          <w:b w:val="false"/>
          <w:i w:val="false"/>
          <w:caps w:val="false"/>
          <w:smallCaps w:val="false"/>
          <w:sz w:val="22"/>
        </w:rPr>
        <w:t>” means the then-current good laboratory practice standards promulgated or endorsed by the FDA as defined in 21</w:t>
      </w:r>
      <w:bookmarkStart w:id="261" w:name="DocXTextRef29"/>
      <w:bookmarkEnd w:id="261"/>
      <w:r>
        <w:rPr>
          <w:rFonts w:ascii="Times New Roman" w:hAnsi="Times New Roman"/>
          <w:b w:val="false"/>
          <w:i w:val="false"/>
          <w:caps w:val="false"/>
          <w:smallCaps w:val="false"/>
          <w:sz w:val="22"/>
        </w:rPr>
        <w:t xml:space="preserve"> C.F.R. Part 58 or the successor thereto, or comparable regulatory standards in jurisdictions outside of the United States, to the extent such standards are not less stringent than United States standards.</w:t>
      </w:r>
    </w:p>
    <w:p>
      <w:pPr>
        <w:pStyle w:val="TextBody"/>
        <w:spacing w:before="0" w:after="240"/>
        <w:ind w:left="1260" w:right="0" w:hanging="0"/>
        <w:jc w:val="both"/>
        <w:rPr>
          <w:rFonts w:ascii="Times New Roman" w:hAnsi="Times New Roman"/>
          <w:b w:val="false"/>
          <w:i w:val="false"/>
          <w:caps w:val="false"/>
          <w:smallCaps w:val="false"/>
          <w:sz w:val="22"/>
        </w:rPr>
      </w:pPr>
      <w:bookmarkStart w:id="262" w:name="_Toc412296690"/>
      <w:bookmarkStart w:id="263" w:name="_Toc263880588"/>
      <w:bookmarkStart w:id="264" w:name="_Toc263802860"/>
      <w:bookmarkStart w:id="265" w:name="_Toc263802551"/>
      <w:bookmarkEnd w:id="262"/>
      <w:bookmarkEnd w:id="263"/>
      <w:bookmarkEnd w:id="264"/>
      <w:bookmarkEnd w:id="265"/>
      <w:r>
        <w:rPr>
          <w:rFonts w:ascii="Times New Roman" w:hAnsi="Times New Roman"/>
          <w:b w:val="false"/>
          <w:i w:val="false"/>
          <w:caps w:val="false"/>
          <w:smallCaps w:val="false"/>
          <w:sz w:val="22"/>
        </w:rPr>
        <w:t>1.76.“</w:t>
      </w:r>
      <w:r>
        <w:rPr>
          <w:rFonts w:ascii="Times New Roman" w:hAnsi="Times New Roman"/>
          <w:b/>
          <w:i w:val="false"/>
          <w:caps w:val="false"/>
          <w:smallCaps w:val="false"/>
          <w:sz w:val="22"/>
        </w:rPr>
        <w:t>Governmental Authority</w:t>
      </w:r>
      <w:r>
        <w:rPr>
          <w:rFonts w:ascii="Times New Roman" w:hAnsi="Times New Roman"/>
          <w:b w:val="false"/>
          <w:i w:val="false"/>
          <w:caps w:val="false"/>
          <w:smallCaps w:val="false"/>
          <w:sz w:val="22"/>
        </w:rPr>
        <w:t>” means any court, agency, department, authority or other instrumentality of any national, state, county, city or other political subdivision.</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1.77.“</w:t>
      </w:r>
      <w:r>
        <w:rPr>
          <w:rFonts w:ascii="Times New Roman" w:hAnsi="Times New Roman"/>
          <w:b/>
          <w:i w:val="false"/>
          <w:caps w:val="false"/>
          <w:smallCaps w:val="false"/>
          <w:sz w:val="22"/>
        </w:rPr>
        <w:t>Granting Party</w:t>
      </w:r>
      <w:r>
        <w:rPr>
          <w:rFonts w:ascii="Times New Roman" w:hAnsi="Times New Roman"/>
          <w:b w:val="false"/>
          <w:i w:val="false"/>
          <w:caps w:val="false"/>
          <w:smallCaps w:val="false"/>
          <w:sz w:val="22"/>
        </w:rPr>
        <w:t>” has the meaning set forth in Section 13.3.2(a)(iii).</w:t>
      </w:r>
    </w:p>
    <w:p>
      <w:pPr>
        <w:pStyle w:val="TextBody"/>
        <w:spacing w:before="0" w:after="240"/>
        <w:ind w:left="1260" w:right="0" w:hanging="0"/>
        <w:jc w:val="both"/>
        <w:rPr>
          <w:rFonts w:ascii="Times New Roman" w:hAnsi="Times New Roman"/>
          <w:b w:val="false"/>
          <w:i w:val="false"/>
          <w:caps w:val="false"/>
          <w:smallCaps w:val="false"/>
          <w:sz w:val="22"/>
        </w:rPr>
      </w:pPr>
      <w:bookmarkStart w:id="266" w:name="_Ref423944195"/>
      <w:bookmarkEnd w:id="266"/>
      <w:r>
        <w:rPr>
          <w:rFonts w:ascii="Times New Roman" w:hAnsi="Times New Roman"/>
          <w:b w:val="false"/>
          <w:i w:val="false"/>
          <w:caps w:val="false"/>
          <w:smallCaps w:val="false"/>
          <w:sz w:val="22"/>
        </w:rPr>
        <w:t>1.78.“</w:t>
      </w:r>
      <w:r>
        <w:rPr>
          <w:rFonts w:ascii="Times New Roman" w:hAnsi="Times New Roman"/>
          <w:b/>
          <w:i w:val="false"/>
          <w:caps w:val="false"/>
          <w:smallCaps w:val="false"/>
          <w:sz w:val="22"/>
        </w:rPr>
        <w:t>Indemnified Party</w:t>
      </w:r>
      <w:r>
        <w:rPr>
          <w:rFonts w:ascii="Times New Roman" w:hAnsi="Times New Roman"/>
          <w:b w:val="false"/>
          <w:i w:val="false"/>
          <w:caps w:val="false"/>
          <w:smallCaps w:val="false"/>
          <w:sz w:val="22"/>
        </w:rPr>
        <w:t>” has the meaning set forth in Section 12.3.</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1.79.“</w:t>
      </w:r>
      <w:r>
        <w:rPr>
          <w:rFonts w:ascii="Times New Roman" w:hAnsi="Times New Roman"/>
          <w:b/>
          <w:i w:val="false"/>
          <w:caps w:val="false"/>
          <w:smallCaps w:val="false"/>
          <w:sz w:val="22"/>
        </w:rPr>
        <w:t>Indemnifying Party</w:t>
      </w:r>
      <w:r>
        <w:rPr>
          <w:rFonts w:ascii="Times New Roman" w:hAnsi="Times New Roman"/>
          <w:b w:val="false"/>
          <w:i w:val="false"/>
          <w:caps w:val="false"/>
          <w:smallCaps w:val="false"/>
          <w:sz w:val="22"/>
        </w:rPr>
        <w:t>” has the meaning set forth in Section 12.3.</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1.80.“</w:t>
      </w:r>
      <w:r>
        <w:rPr>
          <w:rFonts w:ascii="Times New Roman" w:hAnsi="Times New Roman"/>
          <w:b/>
          <w:i w:val="false"/>
          <w:caps w:val="false"/>
          <w:smallCaps w:val="false"/>
          <w:sz w:val="22"/>
        </w:rPr>
        <w:t>Initial Collaboration Product</w:t>
      </w:r>
      <w:r>
        <w:rPr>
          <w:rFonts w:ascii="Times New Roman" w:hAnsi="Times New Roman"/>
          <w:b w:val="false"/>
          <w:i w:val="false"/>
          <w:caps w:val="false"/>
          <w:smallCaps w:val="false"/>
          <w:sz w:val="22"/>
        </w:rPr>
        <w:t>” has the meaning set forth in Section 2.2.</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7</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267" w:name="_AEIOULastRenderedPageBreakAEIOU8"/>
      <w:bookmarkEnd w:id="267"/>
      <w:r>
        <w:rPr>
          <w:rFonts w:ascii="Times New Roman" w:hAnsi="Times New Roman"/>
          <w:b w:val="false"/>
          <w:i w:val="false"/>
          <w:caps w:val="false"/>
          <w:smallCaps w:val="false"/>
          <w:sz w:val="22"/>
        </w:rPr>
        <w:t>1.81.“</w:t>
      </w:r>
      <w:r>
        <w:rPr>
          <w:rFonts w:ascii="Times New Roman" w:hAnsi="Times New Roman"/>
          <w:b/>
          <w:i w:val="false"/>
          <w:caps w:val="false"/>
          <w:smallCaps w:val="false"/>
          <w:sz w:val="22"/>
        </w:rPr>
        <w:t>Insolvency Event</w:t>
      </w:r>
      <w:r>
        <w:rPr>
          <w:rFonts w:ascii="Times New Roman" w:hAnsi="Times New Roman"/>
          <w:b w:val="false"/>
          <w:i w:val="false"/>
          <w:caps w:val="false"/>
          <w:smallCaps w:val="false"/>
          <w:sz w:val="22"/>
        </w:rPr>
        <w:t>” has the meaning set forth in Section 13.2.2.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1.82.“</w:t>
      </w:r>
      <w:r>
        <w:rPr>
          <w:rFonts w:ascii="Times New Roman" w:hAnsi="Times New Roman"/>
          <w:b/>
          <w:i w:val="false"/>
          <w:caps w:val="false"/>
          <w:smallCaps w:val="false"/>
          <w:sz w:val="22"/>
        </w:rPr>
        <w:t>Joint Development and Commercialization Agreement</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JDCA</w:t>
      </w:r>
      <w:r>
        <w:rPr>
          <w:rFonts w:ascii="Times New Roman" w:hAnsi="Times New Roman"/>
          <w:b w:val="false"/>
          <w:i w:val="false"/>
          <w:caps w:val="false"/>
          <w:smallCaps w:val="false"/>
          <w:sz w:val="22"/>
        </w:rPr>
        <w:t>” has the meaning set forth in Section 7.1.1.</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1.83.“</w:t>
      </w:r>
      <w:r>
        <w:rPr>
          <w:rFonts w:ascii="Times New Roman" w:hAnsi="Times New Roman"/>
          <w:b/>
          <w:i w:val="false"/>
          <w:caps w:val="false"/>
          <w:smallCaps w:val="false"/>
          <w:sz w:val="22"/>
        </w:rPr>
        <w:t>Joint Know-How</w:t>
      </w:r>
      <w:r>
        <w:rPr>
          <w:rFonts w:ascii="Times New Roman" w:hAnsi="Times New Roman"/>
          <w:b w:val="false"/>
          <w:i w:val="false"/>
          <w:caps w:val="false"/>
          <w:smallCaps w:val="false"/>
          <w:sz w:val="22"/>
        </w:rPr>
        <w:t>” has the meaning set forth in Section 9.1.2(c).</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1.84.“</w:t>
      </w:r>
      <w:r>
        <w:rPr>
          <w:rFonts w:ascii="Times New Roman" w:hAnsi="Times New Roman"/>
          <w:b/>
          <w:i w:val="false"/>
          <w:caps w:val="false"/>
          <w:smallCaps w:val="false"/>
          <w:sz w:val="22"/>
        </w:rPr>
        <w:t>Joint Patents</w:t>
      </w:r>
      <w:r>
        <w:rPr>
          <w:rFonts w:ascii="Times New Roman" w:hAnsi="Times New Roman"/>
          <w:b w:val="false"/>
          <w:i w:val="false"/>
          <w:caps w:val="false"/>
          <w:smallCaps w:val="false"/>
          <w:sz w:val="22"/>
        </w:rPr>
        <w:t>” has the meaning set forth in Section 9.1.2(c).</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1.85.“</w:t>
      </w:r>
      <w:r>
        <w:rPr>
          <w:rFonts w:ascii="Times New Roman" w:hAnsi="Times New Roman"/>
          <w:b/>
          <w:i w:val="false"/>
          <w:caps w:val="false"/>
          <w:smallCaps w:val="false"/>
          <w:sz w:val="22"/>
        </w:rPr>
        <w:t>Joint Steering Committee</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JSC</w:t>
      </w:r>
      <w:r>
        <w:rPr>
          <w:rFonts w:ascii="Times New Roman" w:hAnsi="Times New Roman"/>
          <w:b w:val="false"/>
          <w:i w:val="false"/>
          <w:caps w:val="false"/>
          <w:smallCaps w:val="false"/>
          <w:sz w:val="22"/>
        </w:rPr>
        <w:t>” has the meaning set forth in Section 6.1.1.</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1.86.“</w:t>
      </w:r>
      <w:r>
        <w:rPr>
          <w:rFonts w:ascii="Times New Roman" w:hAnsi="Times New Roman"/>
          <w:b/>
          <w:i w:val="false"/>
          <w:caps w:val="false"/>
          <w:smallCaps w:val="false"/>
          <w:sz w:val="22"/>
        </w:rPr>
        <w:t>Joint Technology</w:t>
      </w:r>
      <w:r>
        <w:rPr>
          <w:rFonts w:ascii="Times New Roman" w:hAnsi="Times New Roman"/>
          <w:b w:val="false"/>
          <w:i w:val="false"/>
          <w:caps w:val="false"/>
          <w:smallCaps w:val="false"/>
          <w:sz w:val="22"/>
        </w:rPr>
        <w:t>” has the meaning set forth Section 9.1.2(c).</w:t>
      </w:r>
    </w:p>
    <w:p>
      <w:pPr>
        <w:pStyle w:val="TextBody"/>
        <w:spacing w:before="0" w:after="240"/>
        <w:ind w:left="1260" w:right="0" w:hanging="0"/>
        <w:jc w:val="both"/>
        <w:rPr>
          <w:rFonts w:ascii="Times New Roman" w:hAnsi="Times New Roman"/>
          <w:b w:val="false"/>
          <w:i w:val="false"/>
          <w:caps w:val="false"/>
          <w:smallCaps w:val="false"/>
          <w:sz w:val="22"/>
        </w:rPr>
      </w:pPr>
      <w:bookmarkStart w:id="268" w:name="_Ref4241401381"/>
      <w:bookmarkStart w:id="269" w:name="El2tpO1"/>
      <w:bookmarkStart w:id="270" w:name="El2upO1"/>
      <w:bookmarkStart w:id="271" w:name="El2spO1"/>
      <w:bookmarkStart w:id="272" w:name="El2vpO1"/>
      <w:bookmarkEnd w:id="268"/>
      <w:bookmarkEnd w:id="269"/>
      <w:bookmarkEnd w:id="270"/>
      <w:bookmarkEnd w:id="271"/>
      <w:bookmarkEnd w:id="272"/>
      <w:r>
        <w:rPr>
          <w:rFonts w:ascii="Times New Roman" w:hAnsi="Times New Roman"/>
          <w:b w:val="false"/>
          <w:i w:val="false"/>
          <w:caps w:val="false"/>
          <w:smallCaps w:val="false"/>
          <w:sz w:val="22"/>
        </w:rPr>
        <w:t>1.87.“</w:t>
      </w:r>
      <w:r>
        <w:rPr>
          <w:rFonts w:ascii="Times New Roman" w:hAnsi="Times New Roman"/>
          <w:b/>
          <w:i w:val="false"/>
          <w:caps w:val="false"/>
          <w:smallCaps w:val="false"/>
          <w:sz w:val="22"/>
        </w:rPr>
        <w:t>Know-How</w:t>
      </w:r>
      <w:bookmarkStart w:id="273" w:name="El2vpO"/>
      <w:bookmarkEnd w:id="273"/>
      <w:r>
        <w:rPr>
          <w:rFonts w:ascii="Times New Roman" w:hAnsi="Times New Roman"/>
          <w:b w:val="false"/>
          <w:i w:val="false"/>
          <w:caps w:val="false"/>
          <w:smallCaps w:val="false"/>
          <w:sz w:val="22"/>
        </w:rPr>
        <w:t>” means intellectual property, data, results, preclinical and clinical protocols and data from studies, chemical structures, chemical sequences, information, inventions, know-how</w:t>
      </w:r>
      <w:bookmarkStart w:id="274" w:name="El2spO"/>
      <w:bookmarkEnd w:id="274"/>
      <w:r>
        <w:rPr>
          <w:rFonts w:ascii="Times New Roman" w:hAnsi="Times New Roman"/>
          <w:b w:val="false"/>
          <w:i w:val="false"/>
          <w:caps w:val="false"/>
          <w:smallCaps w:val="false"/>
          <w:sz w:val="22"/>
        </w:rPr>
        <w:t xml:space="preserve">, formulas, trade secrets, techniques, methods, processes, procedures and developments, whether or not patentable; provided that Know-How </w:t>
      </w:r>
      <w:bookmarkStart w:id="275" w:name="El2upO"/>
      <w:bookmarkEnd w:id="275"/>
      <w:r>
        <w:rPr>
          <w:rFonts w:ascii="Times New Roman" w:hAnsi="Times New Roman"/>
          <w:b w:val="false"/>
          <w:i w:val="false"/>
          <w:caps w:val="false"/>
          <w:smallCaps w:val="false"/>
          <w:sz w:val="22"/>
        </w:rPr>
        <w:t xml:space="preserve">does not </w:t>
      </w:r>
      <w:bookmarkStart w:id="276" w:name="El2tpO"/>
      <w:bookmarkEnd w:id="276"/>
      <w:r>
        <w:rPr>
          <w:rFonts w:ascii="Times New Roman" w:hAnsi="Times New Roman"/>
          <w:b w:val="false"/>
          <w:i w:val="false"/>
          <w:caps w:val="false"/>
          <w:smallCaps w:val="false"/>
          <w:sz w:val="22"/>
        </w:rPr>
        <w:t xml:space="preserve">include Patents </w:t>
      </w:r>
      <w:bookmarkStart w:id="277" w:name="_Ref424140138"/>
      <w:bookmarkEnd w:id="277"/>
      <w:r>
        <w:rPr>
          <w:rFonts w:ascii="Times New Roman" w:hAnsi="Times New Roman"/>
          <w:b w:val="false"/>
          <w:i w:val="false"/>
          <w:caps w:val="false"/>
          <w:smallCaps w:val="false"/>
          <w:sz w:val="22"/>
        </w:rPr>
        <w:t>claiming any of the foregoing.</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1.88.“</w:t>
      </w:r>
      <w:r>
        <w:rPr>
          <w:rFonts w:ascii="Times New Roman" w:hAnsi="Times New Roman"/>
          <w:b/>
          <w:i w:val="false"/>
          <w:caps w:val="false"/>
          <w:smallCaps w:val="false"/>
          <w:sz w:val="22"/>
        </w:rPr>
        <w:t>Knowledge</w:t>
      </w:r>
      <w:r>
        <w:rPr>
          <w:rFonts w:ascii="Times New Roman" w:hAnsi="Times New Roman"/>
          <w:b w:val="false"/>
          <w:i w:val="false"/>
          <w:caps w:val="false"/>
          <w:smallCaps w:val="false"/>
          <w:sz w:val="22"/>
        </w:rPr>
        <w:t>” means, when used with respect to a Party,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1.89.“</w:t>
      </w:r>
      <w:r>
        <w:rPr>
          <w:rFonts w:ascii="Times New Roman" w:hAnsi="Times New Roman"/>
          <w:b/>
          <w:i w:val="false"/>
          <w:caps w:val="false"/>
          <w:smallCaps w:val="false"/>
          <w:sz w:val="22"/>
        </w:rPr>
        <w:t>Liability</w:t>
      </w:r>
      <w:r>
        <w:rPr>
          <w:rFonts w:ascii="Times New Roman" w:hAnsi="Times New Roman"/>
          <w:b w:val="false"/>
          <w:i w:val="false"/>
          <w:caps w:val="false"/>
          <w:smallCaps w:val="false"/>
          <w:sz w:val="22"/>
        </w:rPr>
        <w:t>” has the meaning set forth in Section 12.1.</w:t>
      </w:r>
    </w:p>
    <w:p>
      <w:pPr>
        <w:pStyle w:val="TextBody"/>
        <w:spacing w:before="0" w:after="240"/>
        <w:ind w:left="1260" w:right="0" w:hanging="0"/>
        <w:jc w:val="both"/>
        <w:rPr>
          <w:rFonts w:ascii="Times New Roman" w:hAnsi="Times New Roman"/>
          <w:b w:val="false"/>
          <w:i w:val="false"/>
          <w:caps w:val="false"/>
          <w:smallCaps w:val="false"/>
          <w:sz w:val="22"/>
        </w:rPr>
      </w:pPr>
      <w:bookmarkStart w:id="278" w:name="_Ref429760837"/>
      <w:bookmarkEnd w:id="278"/>
      <w:r>
        <w:rPr>
          <w:rFonts w:ascii="Times New Roman" w:hAnsi="Times New Roman"/>
          <w:b w:val="false"/>
          <w:i w:val="false"/>
          <w:caps w:val="false"/>
          <w:smallCaps w:val="false"/>
          <w:sz w:val="22"/>
        </w:rPr>
        <w:t>1.90.“</w:t>
      </w:r>
      <w:r>
        <w:rPr>
          <w:rFonts w:ascii="Times New Roman" w:hAnsi="Times New Roman"/>
          <w:b/>
          <w:i w:val="false"/>
          <w:caps w:val="false"/>
          <w:smallCaps w:val="false"/>
          <w:sz w:val="22"/>
        </w:rPr>
        <w:t>Licensee Party</w:t>
      </w:r>
      <w:r>
        <w:rPr>
          <w:rFonts w:ascii="Times New Roman" w:hAnsi="Times New Roman"/>
          <w:b w:val="false"/>
          <w:i w:val="false"/>
          <w:caps w:val="false"/>
          <w:smallCaps w:val="false"/>
          <w:sz w:val="22"/>
        </w:rPr>
        <w:t>” has the meaning set forth in Section 13.2.2(a).</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1.91.“</w:t>
      </w:r>
      <w:r>
        <w:rPr>
          <w:rFonts w:ascii="Times New Roman" w:hAnsi="Times New Roman"/>
          <w:b/>
          <w:i w:val="false"/>
          <w:caps w:val="false"/>
          <w:smallCaps w:val="false"/>
          <w:sz w:val="22"/>
        </w:rPr>
        <w:t>Licensor Party</w:t>
      </w:r>
      <w:r>
        <w:rPr>
          <w:rFonts w:ascii="Times New Roman" w:hAnsi="Times New Roman"/>
          <w:b w:val="false"/>
          <w:i w:val="false"/>
          <w:caps w:val="false"/>
          <w:smallCaps w:val="false"/>
          <w:sz w:val="22"/>
        </w:rPr>
        <w:t>” has the meaning set forth in Section 13.2.2(a).</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1.92.“</w:t>
      </w:r>
      <w:r>
        <w:rPr>
          <w:rFonts w:ascii="Times New Roman" w:hAnsi="Times New Roman"/>
          <w:b/>
          <w:i w:val="false"/>
          <w:caps w:val="false"/>
          <w:smallCaps w:val="false"/>
          <w:sz w:val="22"/>
        </w:rPr>
        <w:t>Major Market</w:t>
      </w:r>
      <w:r>
        <w:rPr>
          <w:rFonts w:ascii="Times New Roman" w:hAnsi="Times New Roman"/>
          <w:b w:val="false"/>
          <w:i w:val="false"/>
          <w:caps w:val="false"/>
          <w:smallCaps w:val="false"/>
          <w:sz w:val="22"/>
        </w:rPr>
        <w:t>” means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1.93.“</w:t>
      </w:r>
      <w:r>
        <w:rPr>
          <w:rFonts w:ascii="Times New Roman" w:hAnsi="Times New Roman"/>
          <w:b/>
          <w:i w:val="false"/>
          <w:caps w:val="false"/>
          <w:smallCaps w:val="false"/>
          <w:sz w:val="22"/>
        </w:rPr>
        <w:t>Manufacture</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Manufactured</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Manufacturing</w:t>
      </w:r>
      <w:r>
        <w:rPr>
          <w:rFonts w:ascii="Times New Roman" w:hAnsi="Times New Roman"/>
          <w:b w:val="false"/>
          <w:i w:val="false"/>
          <w:caps w:val="false"/>
          <w:smallCaps w:val="false"/>
          <w:sz w:val="22"/>
        </w:rPr>
        <w:t>” means activities directed to making, having made, producing, manufacturing, processing, filling, finishing, packaging, labeling, quality control testing and quality assurance release, shipping or storage of a product.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1.94.“</w:t>
      </w:r>
      <w:r>
        <w:rPr>
          <w:rFonts w:ascii="Times New Roman" w:hAnsi="Times New Roman"/>
          <w:b/>
          <w:i w:val="false"/>
          <w:caps w:val="false"/>
          <w:smallCaps w:val="false"/>
          <w:sz w:val="22"/>
        </w:rPr>
        <w:t>Marketing Approval</w:t>
      </w:r>
      <w:r>
        <w:rPr>
          <w:rFonts w:ascii="Times New Roman" w:hAnsi="Times New Roman"/>
          <w:b w:val="false"/>
          <w:i w:val="false"/>
          <w:caps w:val="false"/>
          <w:smallCaps w:val="false"/>
          <w:sz w:val="22"/>
        </w:rPr>
        <w:t>” means, with respect to a Product or NK+T Product in a particular jurisdiction, all approvals, licenses, registrations or authorizations necessary for the Commercialization of such Product or NK+T Product in such jurisdiction, including, with respect to the United States, approval of an Approval Application for such Product or NK+T Product by the FDA and with respect to the European Union, approval of an Approval Application for such Product or NK+T Product by the European Commission.</w:t>
      </w:r>
    </w:p>
    <w:p>
      <w:pPr>
        <w:pStyle w:val="TextBody"/>
        <w:spacing w:before="0" w:after="240"/>
        <w:ind w:left="1260" w:right="0" w:hanging="0"/>
        <w:jc w:val="both"/>
        <w:rPr>
          <w:rFonts w:ascii="Times New Roman" w:hAnsi="Times New Roman"/>
          <w:b w:val="false"/>
          <w:i w:val="false"/>
          <w:caps w:val="false"/>
          <w:smallCaps w:val="false"/>
          <w:sz w:val="22"/>
        </w:rPr>
      </w:pPr>
      <w:bookmarkStart w:id="279" w:name="_Toc1618249341"/>
      <w:bookmarkStart w:id="280" w:name="_Toc1618247971"/>
      <w:bookmarkStart w:id="281" w:name="_Toc1618238421"/>
      <w:bookmarkEnd w:id="279"/>
      <w:bookmarkEnd w:id="280"/>
      <w:bookmarkEnd w:id="281"/>
      <w:r>
        <w:rPr>
          <w:rFonts w:ascii="Times New Roman" w:hAnsi="Times New Roman"/>
          <w:b w:val="false"/>
          <w:i w:val="false"/>
          <w:caps w:val="false"/>
          <w:smallCaps w:val="false"/>
          <w:sz w:val="22"/>
        </w:rPr>
        <w:t>1.95.“</w:t>
      </w:r>
      <w:r>
        <w:rPr>
          <w:rFonts w:ascii="Times New Roman" w:hAnsi="Times New Roman"/>
          <w:b/>
          <w:i w:val="false"/>
          <w:caps w:val="false"/>
          <w:smallCaps w:val="false"/>
          <w:sz w:val="22"/>
        </w:rPr>
        <w:t>Materials</w:t>
      </w:r>
      <w:r>
        <w:rPr>
          <w:rFonts w:ascii="Times New Roman" w:hAnsi="Times New Roman"/>
          <w:b w:val="false"/>
          <w:i w:val="false"/>
          <w:caps w:val="false"/>
          <w:smallCaps w:val="false"/>
          <w:sz w:val="22"/>
        </w:rPr>
        <w:t>” means [***]</w:t>
      </w:r>
      <w:bookmarkStart w:id="282" w:name="_Toc161824934"/>
      <w:bookmarkStart w:id="283" w:name="_Toc161824797"/>
      <w:bookmarkStart w:id="284" w:name="_Toc161823842"/>
      <w:bookmarkEnd w:id="282"/>
      <w:bookmarkEnd w:id="283"/>
      <w:bookmarkEnd w:id="284"/>
      <w:r>
        <w:rPr>
          <w:rFonts w:ascii="Times New Roman" w:hAnsi="Times New Roman"/>
          <w:b w:val="false"/>
          <w:i w:val="false"/>
          <w:caps w:val="false"/>
          <w:smallCaps w:val="false"/>
          <w:sz w:val="22"/>
        </w:rPr>
        <w: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1.96.“</w:t>
      </w:r>
      <w:r>
        <w:rPr>
          <w:rFonts w:ascii="Times New Roman" w:hAnsi="Times New Roman"/>
          <w:b/>
          <w:i w:val="false"/>
          <w:caps w:val="false"/>
          <w:smallCaps w:val="false"/>
          <w:sz w:val="22"/>
        </w:rPr>
        <w:t>Negotiation Period</w:t>
      </w:r>
      <w:r>
        <w:rPr>
          <w:rFonts w:ascii="Times New Roman" w:hAnsi="Times New Roman"/>
          <w:b w:val="false"/>
          <w:i w:val="false"/>
          <w:caps w:val="false"/>
          <w:smallCaps w:val="false"/>
          <w:sz w:val="22"/>
        </w:rPr>
        <w:t>” has the meaning set forth in Section 5.2.2.</w:t>
      </w:r>
    </w:p>
    <w:p>
      <w:pPr>
        <w:pStyle w:val="TextBody"/>
        <w:spacing w:before="0" w:after="240"/>
        <w:ind w:left="1260" w:right="0" w:hanging="0"/>
        <w:jc w:val="both"/>
        <w:rPr>
          <w:rFonts w:ascii="Times New Roman" w:hAnsi="Times New Roman"/>
          <w:b w:val="false"/>
          <w:i w:val="false"/>
          <w:caps w:val="false"/>
          <w:smallCaps w:val="false"/>
          <w:sz w:val="22"/>
        </w:rPr>
      </w:pPr>
      <w:bookmarkStart w:id="285" w:name="_Ref384305778"/>
      <w:bookmarkStart w:id="286" w:name="_Ref339287598"/>
      <w:bookmarkEnd w:id="285"/>
      <w:bookmarkEnd w:id="286"/>
      <w:r>
        <w:rPr>
          <w:rFonts w:ascii="Times New Roman" w:hAnsi="Times New Roman"/>
          <w:b w:val="false"/>
          <w:i w:val="false"/>
          <w:caps w:val="false"/>
          <w:smallCaps w:val="false"/>
          <w:sz w:val="22"/>
        </w:rPr>
        <w:t>1.97.“</w:t>
      </w:r>
      <w:r>
        <w:rPr>
          <w:rFonts w:ascii="Times New Roman" w:hAnsi="Times New Roman"/>
          <w:b/>
          <w:i w:val="false"/>
          <w:caps w:val="false"/>
          <w:smallCaps w:val="false"/>
          <w:sz w:val="22"/>
        </w:rPr>
        <w:t>Net Sales</w:t>
      </w:r>
      <w:r>
        <w:rPr>
          <w:rFonts w:ascii="Times New Roman" w:hAnsi="Times New Roman"/>
          <w:b w:val="false"/>
          <w:i w:val="false"/>
          <w:caps w:val="false"/>
          <w:smallCaps w:val="false"/>
          <w:sz w:val="22"/>
        </w:rPr>
        <w:t>” means, with respect to any Nkarta Product, the gross amounts invoiced for sales of such Nkarta Product by Nkarta, its Affiliates or sublicensee(s) (the “</w:t>
      </w:r>
      <w:r>
        <w:rPr>
          <w:rFonts w:ascii="Times New Roman" w:hAnsi="Times New Roman"/>
          <w:b/>
          <w:i w:val="false"/>
          <w:caps w:val="false"/>
          <w:smallCaps w:val="false"/>
          <w:sz w:val="22"/>
        </w:rPr>
        <w:t>Selling Party</w:t>
      </w:r>
      <w:r>
        <w:rPr>
          <w:rFonts w:ascii="Times New Roman" w:hAnsi="Times New Roman"/>
          <w:b w:val="false"/>
          <w:i w:val="false"/>
          <w:caps w:val="false"/>
          <w:smallCaps w:val="false"/>
          <w:sz w:val="22"/>
        </w:rPr>
        <w:t>”) to Third Parties in an arms’ length transaction, less the following deductions to the extent specifically and solely allocated to the sale of such Nkarta Product and actually taken, paid, accrued, allowed, included, or allocated based on good faith estimate consistent with Nkarta’s practice, in the gross sales prices with respect to such sales (and consistently applied as set forth below):</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8</w:t>
      </w:r>
    </w:p>
    <w:p>
      <w:pPr>
        <w:pStyle w:val="HorizontalLine"/>
        <w:rPr/>
      </w:pPr>
      <w:r>
        <w:rPr/>
      </w:r>
    </w:p>
    <w:p>
      <w:pPr>
        <w:pStyle w:val="TextBody"/>
        <w:spacing w:before="0" w:after="0"/>
        <w:rPr/>
      </w:pPr>
      <w:r>
        <w:rPr/>
        <w:t> </w:t>
      </w:r>
    </w:p>
    <w:p>
      <w:pPr>
        <w:pStyle w:val="TextBody"/>
        <w:spacing w:before="0" w:after="0"/>
        <w:ind w:left="720" w:right="0" w:hanging="0"/>
        <w:jc w:val="both"/>
        <w:rPr>
          <w:rFonts w:ascii="Times New Roman" w:hAnsi="Times New Roman"/>
          <w:b w:val="false"/>
          <w:i w:val="false"/>
          <w:caps w:val="false"/>
          <w:smallCaps w:val="false"/>
          <w:sz w:val="22"/>
        </w:rPr>
      </w:pPr>
      <w:bookmarkStart w:id="287" w:name="_AEIOULastRenderedPageBreakAEIOU9"/>
      <w:bookmarkEnd w:id="287"/>
      <w:r>
        <w:rPr>
          <w:rFonts w:ascii="Times New Roman" w:hAnsi="Times New Roman"/>
          <w:b w:val="false"/>
          <w:i w:val="false"/>
          <w:caps w:val="false"/>
          <w:smallCaps w:val="false"/>
          <w:sz w:val="22"/>
        </w:rPr>
        <w:t>(b)[***];</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(g)[***];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(h)[***].</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For the avoidance of doubt, if a single item falls into more than one of the categories set forth in clauses (a)-(h) above, such item may not be deducted more than once.</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Net Sales will be determined from books and records maintained in accordance with GAAP, consistently applied throughout the organization and across all products of the entity whose sales of Nkarta Products are giving rise to Net Sales.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Net Sales shall also include, with respect to any Nkarta Product sold or otherwise disposed of for any consideration other than an exclusively monetary consideration on bona fide arm’s length terms, an amount equal to the average sales price for such Nkarta Product having the same dosage form and strength during the applicable reporting period in the country where such sale or other disposal occurred when such Nkarta Product is sold alone and not with other products, or if such Nkarta Product is not sold alone in such country during the applicable reporting period, then an amount equal to the average sales price during the applicable reporting period generally achieved for such Nkarta Product having the same dosage form and strength in the rest of the Territory.</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Solely for purposes of calculating Net Sales, if the Selling Party sells an Nkarta Product in the form of a combination product containing both the Nkarta Product and one or more other therapeutically or prophylactically active ingredients (whether combined in a single formulation or package, as applicable, or formulated separately but packaged under a single label approved by a Regulatory Authority and sold together for a single price) (a “</w:t>
      </w:r>
      <w:r>
        <w:rPr>
          <w:rFonts w:ascii="Times New Roman" w:hAnsi="Times New Roman"/>
          <w:b/>
          <w:i w:val="false"/>
          <w:caps w:val="false"/>
          <w:smallCaps w:val="false"/>
          <w:sz w:val="24"/>
        </w:rPr>
        <w:t>Combination Product</w:t>
      </w:r>
      <w:r>
        <w:rPr>
          <w:rFonts w:ascii="Times New Roman" w:hAnsi="Times New Roman"/>
          <w:b w:val="false"/>
          <w:i w:val="false"/>
          <w:caps w:val="false"/>
          <w:smallCaps w:val="false"/>
          <w:sz w:val="24"/>
        </w:rPr>
        <w:t>”), Net Sales of such Combination Product for the purpose of determining the payments due to CRISPR pursuant to this Agreement will be calculated by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In the event that the Selling Party sells the Nkarta Product included in a Combination Product as a separate product in a country, but does not separately sell all of the other active ingredient(s), as the case may be, included in such Combination Product in such country, the calculation of Net Sales resulting from such sale shall be determined by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bookmarkStart w:id="288" w:name="_AEIOULastRenderedPageBreakAEIOU10"/>
      <w:bookmarkEnd w:id="288"/>
      <w:r>
        <w:rPr>
          <w:rFonts w:ascii="Times New Roman" w:hAnsi="Times New Roman"/>
          <w:b w:val="false"/>
          <w:i w:val="false"/>
          <w:caps w:val="false"/>
          <w:smallCaps w:val="false"/>
          <w:sz w:val="24"/>
        </w:rPr>
        <w:t xml:space="preserve">In the event that a Selling Party does not sell the Nkarta Product included in a Combination Product as a separate product in the country where such sale of Combination Product occurs, but does separately sell all of the other active ingredient(s), as the case may be, included in the sale of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9</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such Combination Product in such country, the calculation of Net Sales resulting from such sale shall be determined by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If the calculation of Net Sales resulting from the sale of a Combination Product in a country cannot be determined by any of the foregoing methods, the calculation of Net Sales for such Combination Product shall be determined between the Parties in good faith negotiations.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To the extent Nkarta or any of its Affiliates or sublicensees [***].</w:t>
      </w:r>
    </w:p>
    <w:p>
      <w:pPr>
        <w:pStyle w:val="TextBody"/>
        <w:spacing w:before="0" w:after="0"/>
        <w:jc w:val="both"/>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289" w:name="_Ref514663734"/>
      <w:bookmarkEnd w:id="289"/>
      <w:r>
        <w:rPr>
          <w:rFonts w:ascii="Times New Roman" w:hAnsi="Times New Roman"/>
          <w:b w:val="false"/>
          <w:i w:val="false"/>
          <w:caps w:val="false"/>
          <w:smallCaps w:val="false"/>
          <w:sz w:val="22"/>
        </w:rPr>
        <w:t>1.98.“</w:t>
      </w:r>
      <w:r>
        <w:rPr>
          <w:rFonts w:ascii="Times New Roman" w:hAnsi="Times New Roman"/>
          <w:b/>
          <w:i w:val="false"/>
          <w:caps w:val="false"/>
          <w:smallCaps w:val="false"/>
          <w:sz w:val="22"/>
        </w:rPr>
        <w:t>New CRISPR In-License</w:t>
      </w:r>
      <w:r>
        <w:rPr>
          <w:rFonts w:ascii="Times New Roman" w:hAnsi="Times New Roman"/>
          <w:b w:val="false"/>
          <w:i w:val="false"/>
          <w:caps w:val="false"/>
          <w:smallCaps w:val="false"/>
          <w:sz w:val="22"/>
        </w:rPr>
        <w:t>” has the meaning set forth in Section 9.1.3.</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1.99.“</w:t>
      </w:r>
      <w:r>
        <w:rPr>
          <w:rFonts w:ascii="Times New Roman" w:hAnsi="Times New Roman"/>
          <w:b/>
          <w:i w:val="false"/>
          <w:caps w:val="false"/>
          <w:smallCaps w:val="false"/>
          <w:sz w:val="22"/>
        </w:rPr>
        <w:t>New Nkarta In-License</w:t>
      </w:r>
      <w:r>
        <w:rPr>
          <w:rFonts w:ascii="Times New Roman" w:hAnsi="Times New Roman"/>
          <w:b w:val="false"/>
          <w:i w:val="false"/>
          <w:caps w:val="false"/>
          <w:smallCaps w:val="false"/>
          <w:sz w:val="22"/>
        </w:rPr>
        <w:t>” has the meaning set forth in Section 9.1.3.</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1.100.“</w:t>
      </w:r>
      <w:r>
        <w:rPr>
          <w:rFonts w:ascii="Times New Roman" w:hAnsi="Times New Roman"/>
          <w:b/>
          <w:i w:val="false"/>
          <w:caps w:val="false"/>
          <w:smallCaps w:val="false"/>
          <w:sz w:val="22"/>
        </w:rPr>
        <w:t>NK</w:t>
      </w:r>
      <w:r>
        <w:rPr>
          <w:rFonts w:ascii="Times New Roman" w:hAnsi="Times New Roman"/>
          <w:b w:val="false"/>
          <w:i w:val="false"/>
          <w:caps w:val="false"/>
          <w:smallCaps w:val="false"/>
          <w:sz w:val="22"/>
        </w:rPr>
        <w:t>” has the meaning set forth in Section 1.101.</w:t>
      </w:r>
    </w:p>
    <w:p>
      <w:pPr>
        <w:pStyle w:val="TextBody"/>
        <w:spacing w:before="0" w:after="240"/>
        <w:ind w:left="1260" w:right="0" w:hanging="0"/>
        <w:jc w:val="both"/>
        <w:rPr>
          <w:rFonts w:ascii="Times New Roman" w:hAnsi="Times New Roman"/>
          <w:b w:val="false"/>
          <w:i w:val="false"/>
          <w:caps w:val="false"/>
          <w:smallCaps w:val="false"/>
          <w:sz w:val="22"/>
        </w:rPr>
      </w:pPr>
      <w:bookmarkStart w:id="290" w:name="_Ref62261318"/>
      <w:bookmarkEnd w:id="290"/>
      <w:r>
        <w:rPr>
          <w:rFonts w:ascii="Times New Roman" w:hAnsi="Times New Roman"/>
          <w:b w:val="false"/>
          <w:i w:val="false"/>
          <w:caps w:val="false"/>
          <w:smallCaps w:val="false"/>
          <w:sz w:val="22"/>
        </w:rPr>
        <w:t>1.101.“</w:t>
      </w:r>
      <w:r>
        <w:rPr>
          <w:rFonts w:ascii="Times New Roman" w:hAnsi="Times New Roman"/>
          <w:b/>
          <w:i w:val="false"/>
          <w:caps w:val="false"/>
          <w:smallCaps w:val="false"/>
          <w:sz w:val="22"/>
        </w:rPr>
        <w:t>NK Cell Technology</w:t>
      </w:r>
      <w:r>
        <w:rPr>
          <w:rFonts w:ascii="Times New Roman" w:hAnsi="Times New Roman"/>
          <w:b w:val="false"/>
          <w:i w:val="false"/>
          <w:caps w:val="false"/>
          <w:smallCaps w:val="false"/>
          <w:sz w:val="22"/>
        </w:rPr>
        <w:t>” means technology useful for the evaluation, maintenance, expansion or cryopreservation of donor-derived natural killer (“</w:t>
      </w:r>
      <w:r>
        <w:rPr>
          <w:rFonts w:ascii="Times New Roman" w:hAnsi="Times New Roman"/>
          <w:b/>
          <w:i w:val="false"/>
          <w:caps w:val="false"/>
          <w:smallCaps w:val="false"/>
          <w:sz w:val="22"/>
        </w:rPr>
        <w:t>NK</w:t>
      </w:r>
      <w:r>
        <w:rPr>
          <w:rFonts w:ascii="Times New Roman" w:hAnsi="Times New Roman"/>
          <w:b w:val="false"/>
          <w:i w:val="false"/>
          <w:caps w:val="false"/>
          <w:smallCaps w:val="false"/>
          <w:sz w:val="22"/>
        </w:rPr>
        <w:t>”) cells to target cells for diagnostic or therapeutic purposes.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1.102.“</w:t>
      </w:r>
      <w:r>
        <w:rPr>
          <w:rFonts w:ascii="Times New Roman" w:hAnsi="Times New Roman"/>
          <w:b/>
          <w:i w:val="false"/>
          <w:caps w:val="false"/>
          <w:smallCaps w:val="false"/>
          <w:sz w:val="22"/>
        </w:rPr>
        <w:t>NK+T</w:t>
      </w:r>
      <w:r>
        <w:rPr>
          <w:rFonts w:ascii="Times New Roman" w:hAnsi="Times New Roman"/>
          <w:b w:val="false"/>
          <w:i w:val="false"/>
          <w:caps w:val="false"/>
          <w:smallCaps w:val="false"/>
          <w:sz w:val="22"/>
        </w:rPr>
        <w:t>” has the meaning set forth in Section 1.103.</w:t>
      </w:r>
    </w:p>
    <w:p>
      <w:pPr>
        <w:pStyle w:val="TextBody"/>
        <w:spacing w:before="0" w:after="240"/>
        <w:ind w:left="1260" w:right="0" w:hanging="0"/>
        <w:jc w:val="both"/>
        <w:rPr>
          <w:rFonts w:ascii="Times New Roman" w:hAnsi="Times New Roman"/>
          <w:b w:val="false"/>
          <w:i w:val="false"/>
          <w:caps w:val="false"/>
          <w:smallCaps w:val="false"/>
          <w:sz w:val="22"/>
        </w:rPr>
      </w:pPr>
      <w:bookmarkStart w:id="291" w:name="_Hlk634300371"/>
      <w:bookmarkStart w:id="292" w:name="_Ref62261353"/>
      <w:bookmarkEnd w:id="291"/>
      <w:bookmarkEnd w:id="292"/>
      <w:r>
        <w:rPr>
          <w:rFonts w:ascii="Times New Roman" w:hAnsi="Times New Roman"/>
          <w:b w:val="false"/>
          <w:i w:val="false"/>
          <w:caps w:val="false"/>
          <w:smallCaps w:val="false"/>
          <w:sz w:val="22"/>
        </w:rPr>
        <w:t>1.103.</w:t>
      </w:r>
      <w:bookmarkStart w:id="293" w:name="_Hlk63430037"/>
      <w:bookmarkEnd w:id="293"/>
      <w:r>
        <w:rPr>
          <w:rFonts w:ascii="Times New Roman" w:hAnsi="Times New Roman"/>
          <w:b w:val="false"/>
          <w:i w:val="false"/>
          <w:caps w:val="false"/>
          <w:smallCaps w:val="false"/>
          <w:sz w:val="22"/>
        </w:rPr>
        <w:t>“</w:t>
      </w:r>
      <w:r>
        <w:rPr>
          <w:rFonts w:ascii="Times New Roman" w:hAnsi="Times New Roman"/>
          <w:b/>
          <w:i w:val="false"/>
          <w:caps w:val="false"/>
          <w:smallCaps w:val="false"/>
          <w:sz w:val="22"/>
        </w:rPr>
        <w:t>NK+T Product</w:t>
      </w:r>
      <w:r>
        <w:rPr>
          <w:rFonts w:ascii="Times New Roman" w:hAnsi="Times New Roman"/>
          <w:b w:val="false"/>
          <w:i w:val="false"/>
          <w:caps w:val="false"/>
          <w:smallCaps w:val="false"/>
          <w:sz w:val="22"/>
        </w:rPr>
        <w:t>” means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1.104.“</w:t>
      </w:r>
      <w:r>
        <w:rPr>
          <w:rFonts w:ascii="Times New Roman" w:hAnsi="Times New Roman"/>
          <w:b/>
          <w:i w:val="false"/>
          <w:caps w:val="false"/>
          <w:smallCaps w:val="false"/>
          <w:sz w:val="22"/>
        </w:rPr>
        <w:t>Nkarta</w:t>
      </w:r>
      <w:r>
        <w:rPr>
          <w:rFonts w:ascii="Times New Roman" w:hAnsi="Times New Roman"/>
          <w:b w:val="false"/>
          <w:i w:val="false"/>
          <w:caps w:val="false"/>
          <w:smallCaps w:val="false"/>
          <w:sz w:val="22"/>
        </w:rPr>
        <w:t>” has the meaning set forth in the preamble.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1.105.“</w:t>
      </w:r>
      <w:r>
        <w:rPr>
          <w:rFonts w:ascii="Times New Roman" w:hAnsi="Times New Roman"/>
          <w:b/>
          <w:i w:val="false"/>
          <w:caps w:val="false"/>
          <w:smallCaps w:val="false"/>
          <w:sz w:val="22"/>
        </w:rPr>
        <w:t>Nkarta Activities</w:t>
      </w:r>
      <w:r>
        <w:rPr>
          <w:rFonts w:ascii="Times New Roman" w:hAnsi="Times New Roman"/>
          <w:b w:val="false"/>
          <w:i w:val="false"/>
          <w:caps w:val="false"/>
          <w:smallCaps w:val="false"/>
          <w:sz w:val="22"/>
        </w:rPr>
        <w:t>” means: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1.106.“</w:t>
      </w:r>
      <w:r>
        <w:rPr>
          <w:rFonts w:ascii="Times New Roman" w:hAnsi="Times New Roman"/>
          <w:b/>
          <w:i w:val="false"/>
          <w:caps w:val="false"/>
          <w:smallCaps w:val="false"/>
          <w:sz w:val="22"/>
        </w:rPr>
        <w:t>Nkarta Background Know-How</w:t>
      </w:r>
      <w:r>
        <w:rPr>
          <w:rFonts w:ascii="Times New Roman" w:hAnsi="Times New Roman"/>
          <w:b w:val="false"/>
          <w:i w:val="false"/>
          <w:caps w:val="false"/>
          <w:smallCaps w:val="false"/>
          <w:sz w:val="22"/>
        </w:rPr>
        <w:t>” means any Know-How, other than Joint Know-How and Nkarta Program Know-How, that: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1.107.“</w:t>
      </w:r>
      <w:r>
        <w:rPr>
          <w:rFonts w:ascii="Times New Roman" w:hAnsi="Times New Roman"/>
          <w:b/>
          <w:i w:val="false"/>
          <w:caps w:val="false"/>
          <w:smallCaps w:val="false"/>
          <w:sz w:val="22"/>
        </w:rPr>
        <w:t>Nkarta Background Patents</w:t>
      </w:r>
      <w:r>
        <w:rPr>
          <w:rFonts w:ascii="Times New Roman" w:hAnsi="Times New Roman"/>
          <w:b w:val="false"/>
          <w:i w:val="false"/>
          <w:caps w:val="false"/>
          <w:smallCaps w:val="false"/>
          <w:sz w:val="22"/>
        </w:rPr>
        <w:t>” means any Patent, other than a Joint Patent or Nkarta Program Patent that: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1.108.“</w:t>
      </w:r>
      <w:r>
        <w:rPr>
          <w:rFonts w:ascii="Times New Roman" w:hAnsi="Times New Roman"/>
          <w:b/>
          <w:i w:val="false"/>
          <w:caps w:val="false"/>
          <w:smallCaps w:val="false"/>
          <w:sz w:val="22"/>
        </w:rPr>
        <w:t>Nkarta Background Technology</w:t>
      </w:r>
      <w:r>
        <w:rPr>
          <w:rFonts w:ascii="Times New Roman" w:hAnsi="Times New Roman"/>
          <w:b w:val="false"/>
          <w:i w:val="false"/>
          <w:caps w:val="false"/>
          <w:smallCaps w:val="false"/>
          <w:sz w:val="22"/>
        </w:rPr>
        <w:t>” means the Nkarta Background Know-How and the Nkarta Background Patents.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1.109.“</w:t>
      </w:r>
      <w:r>
        <w:rPr>
          <w:rFonts w:ascii="Times New Roman" w:hAnsi="Times New Roman"/>
          <w:b/>
          <w:i w:val="false"/>
          <w:caps w:val="false"/>
          <w:smallCaps w:val="false"/>
          <w:sz w:val="22"/>
        </w:rPr>
        <w:t>Nkarta Indemnified Party</w:t>
      </w:r>
      <w:r>
        <w:rPr>
          <w:rFonts w:ascii="Times New Roman" w:hAnsi="Times New Roman"/>
          <w:b w:val="false"/>
          <w:i w:val="false"/>
          <w:caps w:val="false"/>
          <w:smallCaps w:val="false"/>
          <w:sz w:val="22"/>
        </w:rPr>
        <w:t>” has the meaning set forth in Section 12.2.</w:t>
      </w:r>
    </w:p>
    <w:p>
      <w:pPr>
        <w:pStyle w:val="TextBody"/>
        <w:spacing w:before="0" w:after="240"/>
        <w:ind w:left="1260" w:right="0" w:hanging="0"/>
        <w:jc w:val="both"/>
        <w:rPr>
          <w:rFonts w:ascii="Times New Roman" w:hAnsi="Times New Roman"/>
          <w:b w:val="false"/>
          <w:i w:val="false"/>
          <w:caps w:val="false"/>
          <w:smallCaps w:val="false"/>
          <w:sz w:val="22"/>
        </w:rPr>
      </w:pPr>
      <w:bookmarkStart w:id="294" w:name="_Ref60588045"/>
      <w:bookmarkEnd w:id="294"/>
      <w:r>
        <w:rPr>
          <w:rFonts w:ascii="Times New Roman" w:hAnsi="Times New Roman"/>
          <w:b w:val="false"/>
          <w:i w:val="false"/>
          <w:caps w:val="false"/>
          <w:smallCaps w:val="false"/>
          <w:sz w:val="22"/>
        </w:rPr>
        <w:t>1.110.“</w:t>
      </w:r>
      <w:r>
        <w:rPr>
          <w:rFonts w:ascii="Times New Roman" w:hAnsi="Times New Roman"/>
          <w:b/>
          <w:i w:val="false"/>
          <w:caps w:val="false"/>
          <w:smallCaps w:val="false"/>
          <w:sz w:val="22"/>
        </w:rPr>
        <w:t>Nkarta In-License Agreements</w:t>
      </w:r>
      <w:r>
        <w:rPr>
          <w:rFonts w:ascii="Times New Roman" w:hAnsi="Times New Roman"/>
          <w:b w:val="false"/>
          <w:i w:val="false"/>
          <w:caps w:val="false"/>
          <w:smallCaps w:val="false"/>
          <w:sz w:val="22"/>
        </w:rPr>
        <w:t xml:space="preserve">” means [***].  The Nkarta In-License Agreements as of the Effective Date are listed on </w:t>
      </w:r>
      <w:r>
        <w:rPr>
          <w:rFonts w:ascii="Times New Roman" w:hAnsi="Times New Roman"/>
          <w:b w:val="false"/>
          <w:i w:val="false"/>
          <w:caps w:val="false"/>
          <w:smallCaps w:val="false"/>
          <w:sz w:val="22"/>
          <w:u w:val="single"/>
        </w:rPr>
        <w:t>Schedule 1.110</w:t>
      </w:r>
      <w:r>
        <w:rPr>
          <w:rFonts w:ascii="Times New Roman" w:hAnsi="Times New Roman"/>
          <w:b w:val="false"/>
          <w:i w:val="false"/>
          <w:caps w:val="false"/>
          <w:smallCaps w:val="false"/>
          <w:sz w:val="22"/>
        </w:rPr>
        <w: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1.111.“</w:t>
      </w:r>
      <w:r>
        <w:rPr>
          <w:rFonts w:ascii="Times New Roman" w:hAnsi="Times New Roman"/>
          <w:b/>
          <w:i w:val="false"/>
          <w:caps w:val="false"/>
          <w:smallCaps w:val="false"/>
          <w:sz w:val="22"/>
        </w:rPr>
        <w:t>Nkarta Patents</w:t>
      </w:r>
      <w:r>
        <w:rPr>
          <w:rFonts w:ascii="Times New Roman" w:hAnsi="Times New Roman"/>
          <w:b w:val="false"/>
          <w:i w:val="false"/>
          <w:caps w:val="false"/>
          <w:smallCaps w:val="false"/>
          <w:sz w:val="22"/>
        </w:rPr>
        <w:t>” means (a) Nkarta Background Patents, (b) Nkarta Program Patents, and (c) Nkarta’s interest in the Joint Patents.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1.112.“</w:t>
      </w:r>
      <w:r>
        <w:rPr>
          <w:rFonts w:ascii="Times New Roman" w:hAnsi="Times New Roman"/>
          <w:b/>
          <w:i w:val="false"/>
          <w:caps w:val="false"/>
          <w:smallCaps w:val="false"/>
          <w:sz w:val="22"/>
        </w:rPr>
        <w:t>Nkarta Product</w:t>
      </w:r>
      <w:r>
        <w:rPr>
          <w:rFonts w:ascii="Times New Roman" w:hAnsi="Times New Roman"/>
          <w:b w:val="false"/>
          <w:i w:val="false"/>
          <w:caps w:val="false"/>
          <w:smallCaps w:val="false"/>
          <w:sz w:val="22"/>
        </w:rPr>
        <w:t>” means [***].</w:t>
      </w:r>
    </w:p>
    <w:p>
      <w:pPr>
        <w:pStyle w:val="TextBody"/>
        <w:spacing w:before="0" w:after="240"/>
        <w:ind w:left="1260" w:right="0" w:hanging="0"/>
        <w:jc w:val="both"/>
        <w:rPr>
          <w:rFonts w:ascii="Times New Roman" w:hAnsi="Times New Roman"/>
          <w:b w:val="false"/>
          <w:i w:val="false"/>
          <w:caps w:val="false"/>
          <w:smallCaps w:val="false"/>
          <w:sz w:val="22"/>
        </w:rPr>
      </w:pPr>
      <w:bookmarkStart w:id="295" w:name="_cp_text_2_2161"/>
      <w:bookmarkEnd w:id="295"/>
      <w:r>
        <w:rPr>
          <w:rFonts w:ascii="Times New Roman" w:hAnsi="Times New Roman"/>
          <w:b w:val="false"/>
          <w:i w:val="false"/>
          <w:caps w:val="false"/>
          <w:smallCaps w:val="false"/>
          <w:sz w:val="22"/>
        </w:rPr>
        <w:t>1.113.“</w:t>
      </w:r>
      <w:r>
        <w:rPr>
          <w:rFonts w:ascii="Times New Roman" w:hAnsi="Times New Roman"/>
          <w:b/>
          <w:i w:val="false"/>
          <w:caps w:val="false"/>
          <w:smallCaps w:val="false"/>
          <w:sz w:val="22"/>
        </w:rPr>
        <w:t>Nkarta Product Package</w:t>
      </w:r>
      <w:r>
        <w:rPr>
          <w:rFonts w:ascii="Times New Roman" w:hAnsi="Times New Roman"/>
          <w:b w:val="false"/>
          <w:i w:val="false"/>
          <w:caps w:val="false"/>
          <w:smallCaps w:val="false"/>
          <w:sz w:val="22"/>
        </w:rPr>
        <w:t xml:space="preserve">” means, with respect to a given Nkarta Product, a package provided by Nkarta to CRISPR that includes each of the following: </w:t>
      </w:r>
      <w:bookmarkStart w:id="296" w:name="_cp_text_2_216"/>
      <w:bookmarkEnd w:id="296"/>
      <w:r>
        <w:rPr>
          <w:rFonts w:ascii="Times New Roman" w:hAnsi="Times New Roman"/>
          <w:b w:val="false"/>
          <w:i w:val="false"/>
          <w:caps w:val="false"/>
          <w:smallCaps w:val="false"/>
          <w:sz w:val="22"/>
        </w:rPr>
        <w: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1.114.“</w:t>
      </w:r>
      <w:r>
        <w:rPr>
          <w:rFonts w:ascii="Times New Roman" w:hAnsi="Times New Roman"/>
          <w:b/>
          <w:i w:val="false"/>
          <w:caps w:val="false"/>
          <w:smallCaps w:val="false"/>
          <w:sz w:val="22"/>
        </w:rPr>
        <w:t>Nkarta Product Sublicense Agreement</w:t>
      </w:r>
      <w:r>
        <w:rPr>
          <w:rFonts w:ascii="Times New Roman" w:hAnsi="Times New Roman"/>
          <w:b w:val="false"/>
          <w:i w:val="false"/>
          <w:caps w:val="false"/>
          <w:smallCaps w:val="false"/>
          <w:sz w:val="22"/>
        </w:rPr>
        <w:t>” has the meaning set forth in Section 10.3.</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10</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297" w:name="_AEIOULastRenderedPageBreakAEIOU11"/>
      <w:bookmarkEnd w:id="297"/>
      <w:r>
        <w:rPr>
          <w:rFonts w:ascii="Times New Roman" w:hAnsi="Times New Roman"/>
          <w:b w:val="false"/>
          <w:i w:val="false"/>
          <w:caps w:val="false"/>
          <w:smallCaps w:val="false"/>
          <w:sz w:val="22"/>
        </w:rPr>
        <w:t>1.115.“</w:t>
      </w:r>
      <w:r>
        <w:rPr>
          <w:rFonts w:ascii="Times New Roman" w:hAnsi="Times New Roman"/>
          <w:b/>
          <w:i w:val="false"/>
          <w:caps w:val="false"/>
          <w:smallCaps w:val="false"/>
          <w:sz w:val="22"/>
        </w:rPr>
        <w:t>Nkarta Product Sublicensee</w:t>
      </w:r>
      <w:r>
        <w:rPr>
          <w:rFonts w:ascii="Times New Roman" w:hAnsi="Times New Roman"/>
          <w:b w:val="false"/>
          <w:i w:val="false"/>
          <w:caps w:val="false"/>
          <w:smallCaps w:val="false"/>
          <w:sz w:val="22"/>
        </w:rPr>
        <w:t>” has the meaning set forth in Section 10.3.</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1.116.“</w:t>
      </w:r>
      <w:r>
        <w:rPr>
          <w:rFonts w:ascii="Times New Roman" w:hAnsi="Times New Roman"/>
          <w:b/>
          <w:i w:val="false"/>
          <w:caps w:val="false"/>
          <w:smallCaps w:val="false"/>
          <w:sz w:val="22"/>
        </w:rPr>
        <w:t>Nkarta Program Know-How</w:t>
      </w:r>
      <w:r>
        <w:rPr>
          <w:rFonts w:ascii="Times New Roman" w:hAnsi="Times New Roman"/>
          <w:b w:val="false"/>
          <w:i w:val="false"/>
          <w:caps w:val="false"/>
          <w:smallCaps w:val="false"/>
          <w:sz w:val="22"/>
        </w:rPr>
        <w:t>” has the meaning set forth in Section 9.1.2(b).</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1.117.“</w:t>
      </w:r>
      <w:r>
        <w:rPr>
          <w:rFonts w:ascii="Times New Roman" w:hAnsi="Times New Roman"/>
          <w:b/>
          <w:i w:val="false"/>
          <w:caps w:val="false"/>
          <w:smallCaps w:val="false"/>
          <w:sz w:val="22"/>
        </w:rPr>
        <w:t>Nkarta Program Patents</w:t>
      </w:r>
      <w:r>
        <w:rPr>
          <w:rFonts w:ascii="Times New Roman" w:hAnsi="Times New Roman"/>
          <w:b w:val="false"/>
          <w:i w:val="false"/>
          <w:caps w:val="false"/>
          <w:smallCaps w:val="false"/>
          <w:sz w:val="22"/>
        </w:rPr>
        <w:t>” has the meaning set forth in Section 9.1.2(b).</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1.118.“</w:t>
      </w:r>
      <w:r>
        <w:rPr>
          <w:rFonts w:ascii="Times New Roman" w:hAnsi="Times New Roman"/>
          <w:b/>
          <w:i w:val="false"/>
          <w:caps w:val="false"/>
          <w:smallCaps w:val="false"/>
          <w:sz w:val="22"/>
        </w:rPr>
        <w:t>Nkarta Program Technology</w:t>
      </w:r>
      <w:r>
        <w:rPr>
          <w:rFonts w:ascii="Times New Roman" w:hAnsi="Times New Roman"/>
          <w:b w:val="false"/>
          <w:i w:val="false"/>
          <w:caps w:val="false"/>
          <w:smallCaps w:val="false"/>
          <w:sz w:val="22"/>
        </w:rPr>
        <w:t>” has the meaning set forth in Section 9.1.2(b).</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1.119.“</w:t>
      </w:r>
      <w:r>
        <w:rPr>
          <w:rFonts w:ascii="Times New Roman" w:hAnsi="Times New Roman"/>
          <w:b/>
          <w:i w:val="false"/>
          <w:caps w:val="false"/>
          <w:smallCaps w:val="false"/>
          <w:sz w:val="22"/>
        </w:rPr>
        <w:t>Nkarta Technology</w:t>
      </w:r>
      <w:r>
        <w:rPr>
          <w:rFonts w:ascii="Times New Roman" w:hAnsi="Times New Roman"/>
          <w:b w:val="false"/>
          <w:i w:val="false"/>
          <w:caps w:val="false"/>
          <w:smallCaps w:val="false"/>
          <w:sz w:val="22"/>
        </w:rPr>
        <w:t>” means (a) the Nkarta Background Technology, (b) the Nkarta Program Technology, and (c) Nkarta’s interest in any Joint Technology.</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1.120.“</w:t>
      </w:r>
      <w:r>
        <w:rPr>
          <w:rFonts w:ascii="Times New Roman" w:hAnsi="Times New Roman"/>
          <w:b/>
          <w:i w:val="false"/>
          <w:caps w:val="false"/>
          <w:smallCaps w:val="false"/>
          <w:sz w:val="22"/>
        </w:rPr>
        <w:t>Nominated Target</w:t>
      </w:r>
      <w:r>
        <w:rPr>
          <w:rFonts w:ascii="Times New Roman" w:hAnsi="Times New Roman"/>
          <w:b w:val="false"/>
          <w:i w:val="false"/>
          <w:caps w:val="false"/>
          <w:smallCaps w:val="false"/>
          <w:sz w:val="22"/>
        </w:rPr>
        <w:t>” has the meaning set forth in Section 4.3.</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1.121.“</w:t>
      </w:r>
      <w:r>
        <w:rPr>
          <w:rFonts w:ascii="Times New Roman" w:hAnsi="Times New Roman"/>
          <w:b/>
          <w:i w:val="false"/>
          <w:caps w:val="false"/>
          <w:smallCaps w:val="false"/>
          <w:sz w:val="22"/>
        </w:rPr>
        <w:t>Non-Breaching Party</w:t>
      </w:r>
      <w:r>
        <w:rPr>
          <w:rFonts w:ascii="Times New Roman" w:hAnsi="Times New Roman"/>
          <w:b w:val="false"/>
          <w:i w:val="false"/>
          <w:caps w:val="false"/>
          <w:smallCaps w:val="false"/>
          <w:sz w:val="22"/>
        </w:rPr>
        <w:t>” means the Party that believes the other Party is in material breach of this Agreement.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1.122.“</w:t>
      </w:r>
      <w:r>
        <w:rPr>
          <w:rFonts w:ascii="Times New Roman" w:hAnsi="Times New Roman"/>
          <w:b/>
          <w:i w:val="false"/>
          <w:caps w:val="false"/>
          <w:smallCaps w:val="false"/>
          <w:sz w:val="22"/>
        </w:rPr>
        <w:t>Non-Disclosing Party</w:t>
      </w:r>
      <w:r>
        <w:rPr>
          <w:rFonts w:ascii="Times New Roman" w:hAnsi="Times New Roman"/>
          <w:b w:val="false"/>
          <w:i w:val="false"/>
          <w:caps w:val="false"/>
          <w:smallCaps w:val="false"/>
          <w:sz w:val="22"/>
        </w:rPr>
        <w:t>” has the meaning set forth in Section 14.4.2.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1.123.“</w:t>
      </w:r>
      <w:r>
        <w:rPr>
          <w:rFonts w:ascii="Times New Roman" w:hAnsi="Times New Roman"/>
          <w:b/>
          <w:i w:val="false"/>
          <w:caps w:val="false"/>
          <w:smallCaps w:val="false"/>
          <w:sz w:val="22"/>
        </w:rPr>
        <w:t>Open JDCA Terms</w:t>
      </w:r>
      <w:r>
        <w:rPr>
          <w:rFonts w:ascii="Times New Roman" w:hAnsi="Times New Roman"/>
          <w:b w:val="false"/>
          <w:i w:val="false"/>
          <w:caps w:val="false"/>
          <w:smallCaps w:val="false"/>
          <w:sz w:val="22"/>
        </w:rPr>
        <w:t>” has the meaning set forth in Section 7.1.1.</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1.124.“</w:t>
      </w:r>
      <w:r>
        <w:rPr>
          <w:rFonts w:ascii="Times New Roman" w:hAnsi="Times New Roman"/>
          <w:b/>
          <w:i w:val="false"/>
          <w:caps w:val="false"/>
          <w:smallCaps w:val="false"/>
          <w:sz w:val="22"/>
        </w:rPr>
        <w:t>Optionable Nkarta Product</w:t>
      </w:r>
      <w:r>
        <w:rPr>
          <w:rFonts w:ascii="Times New Roman" w:hAnsi="Times New Roman"/>
          <w:b w:val="false"/>
          <w:i w:val="false"/>
          <w:caps w:val="false"/>
          <w:smallCaps w:val="false"/>
          <w:sz w:val="22"/>
        </w:rPr>
        <w:t>” means, during the CRISPR Option Period, each Nkarta Product that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1.125.“</w:t>
      </w:r>
      <w:r>
        <w:rPr>
          <w:rFonts w:ascii="Times New Roman" w:hAnsi="Times New Roman"/>
          <w:b/>
          <w:i w:val="false"/>
          <w:caps w:val="false"/>
          <w:smallCaps w:val="false"/>
          <w:sz w:val="22"/>
        </w:rPr>
        <w:t>Opt-Out Party</w:t>
      </w:r>
      <w:r>
        <w:rPr>
          <w:rFonts w:ascii="Times New Roman" w:hAnsi="Times New Roman"/>
          <w:b w:val="false"/>
          <w:i w:val="false"/>
          <w:caps w:val="false"/>
          <w:smallCaps w:val="false"/>
          <w:sz w:val="22"/>
        </w:rPr>
        <w:t>” has the meaning set forth in Section 2.6.2.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1.126.“</w:t>
      </w:r>
      <w:r>
        <w:rPr>
          <w:rFonts w:ascii="Times New Roman" w:hAnsi="Times New Roman"/>
          <w:b/>
          <w:i w:val="false"/>
          <w:caps w:val="false"/>
          <w:smallCaps w:val="false"/>
          <w:sz w:val="22"/>
        </w:rPr>
        <w:t>Other Out-of-Pocket Costs</w:t>
      </w:r>
      <w:r>
        <w:rPr>
          <w:rFonts w:ascii="Times New Roman" w:hAnsi="Times New Roman"/>
          <w:b w:val="false"/>
          <w:i w:val="false"/>
          <w:caps w:val="false"/>
          <w:smallCaps w:val="false"/>
          <w:sz w:val="22"/>
        </w:rPr>
        <w:t>” means:</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1.126.1.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1.126.2.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1.126.3. [***];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1.126.4.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Other Out-of-Pocket Costs will exclude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1.127.“</w:t>
      </w:r>
      <w:r>
        <w:rPr>
          <w:rFonts w:ascii="Times New Roman" w:hAnsi="Times New Roman"/>
          <w:b/>
          <w:i w:val="false"/>
          <w:caps w:val="false"/>
          <w:smallCaps w:val="false"/>
          <w:sz w:val="22"/>
        </w:rPr>
        <w:t>Out-of-Pocket Costs</w:t>
      </w:r>
      <w:r>
        <w:rPr>
          <w:rFonts w:ascii="Times New Roman" w:hAnsi="Times New Roman"/>
          <w:b w:val="false"/>
          <w:i w:val="false"/>
          <w:caps w:val="false"/>
          <w:smallCaps w:val="false"/>
          <w:sz w:val="22"/>
        </w:rPr>
        <w:t>” means, with respect to a Party,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1.128.“</w:t>
      </w:r>
      <w:r>
        <w:rPr>
          <w:rFonts w:ascii="Times New Roman" w:hAnsi="Times New Roman"/>
          <w:b/>
          <w:i w:val="false"/>
          <w:caps w:val="false"/>
          <w:smallCaps w:val="false"/>
          <w:sz w:val="22"/>
        </w:rPr>
        <w:t>Party</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Parties</w:t>
      </w:r>
      <w:r>
        <w:rPr>
          <w:rFonts w:ascii="Times New Roman" w:hAnsi="Times New Roman"/>
          <w:b w:val="false"/>
          <w:i w:val="false"/>
          <w:caps w:val="false"/>
          <w:smallCaps w:val="false"/>
          <w:sz w:val="22"/>
        </w:rPr>
        <w:t>” has the meaning set forth in the preamble.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1.129.“</w:t>
      </w:r>
      <w:r>
        <w:rPr>
          <w:rFonts w:ascii="Times New Roman" w:hAnsi="Times New Roman"/>
          <w:b/>
          <w:i w:val="false"/>
          <w:caps w:val="false"/>
          <w:smallCaps w:val="false"/>
          <w:sz w:val="22"/>
        </w:rPr>
        <w:t>Patent Coordinator</w:t>
      </w:r>
      <w:r>
        <w:rPr>
          <w:rFonts w:ascii="Times New Roman" w:hAnsi="Times New Roman"/>
          <w:b w:val="false"/>
          <w:i w:val="false"/>
          <w:caps w:val="false"/>
          <w:smallCaps w:val="false"/>
          <w:sz w:val="22"/>
        </w:rPr>
        <w:t>” has the meaning set forth in Section 9.3.</w:t>
      </w:r>
    </w:p>
    <w:p>
      <w:pPr>
        <w:pStyle w:val="TextBody"/>
        <w:spacing w:before="0" w:after="240"/>
        <w:ind w:left="1260" w:right="0" w:hanging="0"/>
        <w:jc w:val="both"/>
        <w:rPr>
          <w:rFonts w:ascii="Times New Roman" w:hAnsi="Times New Roman"/>
          <w:b w:val="false"/>
          <w:i w:val="false"/>
          <w:caps w:val="false"/>
          <w:smallCaps w:val="false"/>
          <w:sz w:val="22"/>
        </w:rPr>
      </w:pPr>
      <w:bookmarkStart w:id="298" w:name="El2n_O1"/>
      <w:bookmarkStart w:id="299" w:name="El2p_O1"/>
      <w:bookmarkStart w:id="300" w:name="El2o_O1"/>
      <w:bookmarkStart w:id="301" w:name="El2m_O1"/>
      <w:bookmarkStart w:id="302" w:name="El2l_O1"/>
      <w:bookmarkEnd w:id="298"/>
      <w:bookmarkEnd w:id="299"/>
      <w:bookmarkEnd w:id="300"/>
      <w:bookmarkEnd w:id="301"/>
      <w:bookmarkEnd w:id="302"/>
      <w:r>
        <w:rPr>
          <w:rFonts w:ascii="Times New Roman" w:hAnsi="Times New Roman"/>
          <w:b w:val="false"/>
          <w:i w:val="false"/>
          <w:caps w:val="false"/>
          <w:smallCaps w:val="false"/>
          <w:sz w:val="22"/>
        </w:rPr>
        <w:t>1.130.“</w:t>
      </w:r>
      <w:r>
        <w:rPr>
          <w:rFonts w:ascii="Times New Roman" w:hAnsi="Times New Roman"/>
          <w:b/>
          <w:i w:val="false"/>
          <w:caps w:val="false"/>
          <w:smallCaps w:val="false"/>
          <w:sz w:val="22"/>
        </w:rPr>
        <w:t>Patents</w:t>
      </w:r>
      <w:bookmarkStart w:id="303" w:name="El2l_O"/>
      <w:bookmarkEnd w:id="303"/>
      <w:r>
        <w:rPr>
          <w:rFonts w:ascii="Times New Roman" w:hAnsi="Times New Roman"/>
          <w:b w:val="false"/>
          <w:i w:val="false"/>
          <w:caps w:val="false"/>
          <w:smallCaps w:val="false"/>
          <w:sz w:val="22"/>
        </w:rPr>
        <w:t xml:space="preserve">” means the rights and interests in and to issued patents and pending patent applications in any country, jurisdiction or </w:t>
      </w:r>
      <w:bookmarkStart w:id="304" w:name="El2m_O"/>
      <w:bookmarkEnd w:id="304"/>
      <w:r>
        <w:rPr>
          <w:rFonts w:ascii="Times New Roman" w:hAnsi="Times New Roman"/>
          <w:b w:val="false"/>
          <w:i w:val="false"/>
          <w:caps w:val="false"/>
          <w:smallCaps w:val="false"/>
          <w:sz w:val="22"/>
        </w:rPr>
        <w:t xml:space="preserve">region (including inventor’s certificates and utility models), including </w:t>
      </w:r>
      <w:bookmarkStart w:id="305" w:name="El2o_O"/>
      <w:bookmarkEnd w:id="305"/>
      <w:r>
        <w:rPr>
          <w:rFonts w:ascii="Times New Roman" w:hAnsi="Times New Roman"/>
          <w:b w:val="false"/>
          <w:i w:val="false"/>
          <w:caps w:val="false"/>
          <w:smallCaps w:val="false"/>
          <w:sz w:val="22"/>
        </w:rPr>
        <w:t xml:space="preserve">all provisionals, non-provisionals, substitutions, continuations, continuations-in-part, divisionals, renewals and all patents </w:t>
      </w:r>
      <w:bookmarkStart w:id="306" w:name="El2p_O"/>
      <w:bookmarkEnd w:id="306"/>
      <w:r>
        <w:rPr>
          <w:rFonts w:ascii="Times New Roman" w:hAnsi="Times New Roman"/>
          <w:b w:val="false"/>
          <w:i w:val="false"/>
          <w:caps w:val="false"/>
          <w:smallCaps w:val="false"/>
          <w:sz w:val="22"/>
        </w:rPr>
        <w:t xml:space="preserve">granted thereon, and all reissues, reexaminations, extensions, confirmations, revalidations, registrations and patents </w:t>
      </w:r>
      <w:bookmarkStart w:id="307" w:name="El2n_O"/>
      <w:bookmarkEnd w:id="307"/>
      <w:r>
        <w:rPr>
          <w:rFonts w:ascii="Times New Roman" w:hAnsi="Times New Roman"/>
          <w:b w:val="false"/>
          <w:i w:val="false"/>
          <w:caps w:val="false"/>
          <w:smallCaps w:val="false"/>
          <w:sz w:val="22"/>
        </w:rPr>
        <w:t>of addition thereof, including patent term extensions and supplementary protection certificates, international patent applications filed under the Patent Cooperation Treaty (PCT) and any foreign equivalents to any of the foregoing.</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11</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308" w:name="_AEIOULastRenderedPageBreakAEIOU12"/>
      <w:bookmarkEnd w:id="308"/>
      <w:r>
        <w:rPr>
          <w:rFonts w:ascii="Times New Roman" w:hAnsi="Times New Roman"/>
          <w:b w:val="false"/>
          <w:i w:val="false"/>
          <w:caps w:val="false"/>
          <w:smallCaps w:val="false"/>
          <w:sz w:val="22"/>
        </w:rPr>
        <w:t>1.131.“</w:t>
      </w:r>
      <w:r>
        <w:rPr>
          <w:rFonts w:ascii="Times New Roman" w:hAnsi="Times New Roman"/>
          <w:b/>
          <w:i w:val="false"/>
          <w:caps w:val="false"/>
          <w:smallCaps w:val="false"/>
          <w:sz w:val="22"/>
        </w:rPr>
        <w:t>Person</w:t>
      </w:r>
      <w:r>
        <w:rPr>
          <w:rFonts w:ascii="Times New Roman" w:hAnsi="Times New Roman"/>
          <w:b w:val="false"/>
          <w:i w:val="false"/>
          <w:caps w:val="false"/>
          <w:smallCaps w:val="false"/>
          <w:sz w:val="22"/>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1.132.“</w:t>
      </w:r>
      <w:r>
        <w:rPr>
          <w:rFonts w:ascii="Times New Roman" w:hAnsi="Times New Roman"/>
          <w:b/>
          <w:i w:val="false"/>
          <w:caps w:val="false"/>
          <w:smallCaps w:val="false"/>
          <w:sz w:val="22"/>
        </w:rPr>
        <w:t>Phase III Clinical Trial</w:t>
      </w:r>
      <w:r>
        <w:rPr>
          <w:rFonts w:ascii="Times New Roman" w:hAnsi="Times New Roman"/>
          <w:b w:val="false"/>
          <w:i w:val="false"/>
          <w:caps w:val="false"/>
          <w:smallCaps w:val="false"/>
          <w:sz w:val="22"/>
        </w:rPr>
        <w:t>” means, with respect to an Nkarta Product or an Opt-Out Product, a clinical trial in human beings performed to gain evidence with statistical significance of the efficacy of such product in a target population and to obtain expanded evidence of safety of such Nkarta Product or Opt-Out Product that is needed to evaluate the overall benefit-risk relationship of such product, to form the basis for approval of a biologics license application by a Regulatory Authority and to provide an adequate basis for physician labeling, all as would satisfy the requirements in 21 C.F.R. 312.21(c), as amended from time to time, or the corresponding regulation in jurisdictions other than the United States.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1.133.“</w:t>
      </w:r>
      <w:r>
        <w:rPr>
          <w:rFonts w:ascii="Times New Roman" w:hAnsi="Times New Roman"/>
          <w:b/>
          <w:i w:val="false"/>
          <w:caps w:val="false"/>
          <w:smallCaps w:val="false"/>
          <w:sz w:val="22"/>
        </w:rPr>
        <w:t>Pivotal Trial</w:t>
      </w:r>
      <w:r>
        <w:rPr>
          <w:rFonts w:ascii="Times New Roman" w:hAnsi="Times New Roman"/>
          <w:b w:val="false"/>
          <w:i w:val="false"/>
          <w:caps w:val="false"/>
          <w:smallCaps w:val="false"/>
          <w:sz w:val="22"/>
        </w:rPr>
        <w:t>” means, with respect to an Nkarta Product or an Opt-Out Product, a clinical trial in human beings of such Nkarta Product or Opt-Out Product in any country that that satisfies both of the following ((a) and (b)):</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(a)such trial includes a sufficient number of subjects and is designed to establish that such product has an acceptable safety and efficacy profile for its intended use, and to determine warnings, precautions and adverse reactions that are associated with such product in the dosage range to be prescribed, which trial is intended to support Regulatory Approval of such product, or a similar human clinical trial prescribed by an applicable Regulatory Authority; and</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(b)such trial is a registration trial designed to be sufficient to support the filing of an application for a Regulatory Approval for such product in an applicable country or jurisdiction or some or all of an extra-national territory, as evidenced by (i) an agreement with or statement from an applicable Regulatory Authority, or (ii) other guidance or minutes issued by an applicable Regulatory Authority, for such registration trial.</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For clarity, a Pivotal Trial need not be limited to, or labelled as, a Phase III Clinical Trial.</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1.134.“</w:t>
      </w:r>
      <w:r>
        <w:rPr>
          <w:rFonts w:ascii="Times New Roman" w:hAnsi="Times New Roman"/>
          <w:b/>
          <w:i w:val="false"/>
          <w:caps w:val="false"/>
          <w:smallCaps w:val="false"/>
          <w:sz w:val="22"/>
        </w:rPr>
        <w:t>Pricing Approval</w:t>
      </w:r>
      <w:r>
        <w:rPr>
          <w:rFonts w:ascii="Times New Roman" w:hAnsi="Times New Roman"/>
          <w:b w:val="false"/>
          <w:i w:val="false"/>
          <w:caps w:val="false"/>
          <w:smallCaps w:val="false"/>
          <w:sz w:val="22"/>
        </w:rPr>
        <w:t>” means, in any country where a Governmental Authority authorizes reimbursement for, or approves or determines pricing for, pharmaceutical products, receipt (or, if required to make such authorization, approval or determination effective, publication) of such reimbursement authorization or pricing approval or determination.</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1.135.“</w:t>
      </w:r>
      <w:r>
        <w:rPr>
          <w:rFonts w:ascii="Times New Roman" w:hAnsi="Times New Roman"/>
          <w:b/>
          <w:i w:val="false"/>
          <w:caps w:val="false"/>
          <w:smallCaps w:val="false"/>
          <w:sz w:val="22"/>
        </w:rPr>
        <w:t>Proceeding</w:t>
      </w:r>
      <w:r>
        <w:rPr>
          <w:rFonts w:ascii="Times New Roman" w:hAnsi="Times New Roman"/>
          <w:b w:val="false"/>
          <w:i w:val="false"/>
          <w:caps w:val="false"/>
          <w:smallCaps w:val="false"/>
          <w:sz w:val="22"/>
        </w:rPr>
        <w:t>” means an action, suit or proceeding.</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1.136.“</w:t>
      </w:r>
      <w:r>
        <w:rPr>
          <w:rFonts w:ascii="Times New Roman" w:hAnsi="Times New Roman"/>
          <w:b/>
          <w:i w:val="false"/>
          <w:caps w:val="false"/>
          <w:smallCaps w:val="false"/>
          <w:sz w:val="22"/>
        </w:rPr>
        <w:t>Product</w:t>
      </w:r>
      <w:r>
        <w:rPr>
          <w:rFonts w:ascii="Times New Roman" w:hAnsi="Times New Roman"/>
          <w:b w:val="false"/>
          <w:i w:val="false"/>
          <w:caps w:val="false"/>
          <w:smallCaps w:val="false"/>
          <w:sz w:val="22"/>
        </w:rPr>
        <w:t>” means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1.137.“</w:t>
      </w:r>
      <w:r>
        <w:rPr>
          <w:rFonts w:ascii="Times New Roman" w:hAnsi="Times New Roman"/>
          <w:b/>
          <w:i w:val="false"/>
          <w:caps w:val="false"/>
          <w:smallCaps w:val="false"/>
          <w:sz w:val="22"/>
        </w:rPr>
        <w:t>Prosecution and Maintenance</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Prosecute and Maintain</w:t>
      </w:r>
      <w:r>
        <w:rPr>
          <w:rFonts w:ascii="Times New Roman" w:hAnsi="Times New Roman"/>
          <w:b w:val="false"/>
          <w:i w:val="false"/>
          <w:caps w:val="false"/>
          <w:smallCaps w:val="false"/>
          <w:sz w:val="22"/>
        </w:rPr>
        <w:t>” means, with regard to a Patent, the preparing, filing, prosecuting and maintenance of such Patent, as well as handling re-examinations and reissues with respect to such Patent, together with the conduct of interferences, the defense of oppositions and other similar proceedings with respect to the particular Patent.  For clarification, “Prosecution and Maintenance” or “Prosecute and Maintain” will not include any other enforcement actions taken with respect to a Patent.</w:t>
      </w:r>
    </w:p>
    <w:p>
      <w:pPr>
        <w:pStyle w:val="TextBody"/>
        <w:spacing w:before="0" w:after="240"/>
        <w:ind w:left="1260" w:right="0" w:hanging="0"/>
        <w:jc w:val="both"/>
        <w:rPr>
          <w:rFonts w:ascii="Times New Roman" w:hAnsi="Times New Roman"/>
          <w:b w:val="false"/>
          <w:i w:val="false"/>
          <w:caps w:val="false"/>
          <w:smallCaps w:val="false"/>
          <w:sz w:val="22"/>
        </w:rPr>
      </w:pPr>
      <w:bookmarkStart w:id="309" w:name="_Toc412296727"/>
      <w:bookmarkStart w:id="310" w:name="_Toc263880641"/>
      <w:bookmarkStart w:id="311" w:name="_Toc263802911"/>
      <w:bookmarkStart w:id="312" w:name="_Toc263802602"/>
      <w:bookmarkStart w:id="313" w:name="_Toc138487418"/>
      <w:bookmarkStart w:id="314" w:name="_Toc138487225"/>
      <w:bookmarkStart w:id="315" w:name="_Toc137310628"/>
      <w:bookmarkStart w:id="316" w:name="_Toc135753960"/>
      <w:bookmarkStart w:id="317" w:name="_Toc135582353"/>
      <w:bookmarkStart w:id="318" w:name="_Toc135582058"/>
      <w:bookmarkStart w:id="319" w:name="_Toc135580589"/>
      <w:bookmarkStart w:id="320" w:name="_Toc115199711"/>
      <w:bookmarkStart w:id="321" w:name="_Toc115199282"/>
      <w:bookmarkStart w:id="322" w:name="_Toc115166659"/>
      <w:bookmarkStart w:id="323" w:name="_Toc115152254"/>
      <w:bookmarkStart w:id="324" w:name="_Toc115151530"/>
      <w:bookmarkStart w:id="325" w:name="_Toc115145301"/>
      <w:bookmarkStart w:id="326" w:name="_Toc115118999"/>
      <w:bookmarkStart w:id="327" w:name="_Toc115080823"/>
      <w:bookmarkStart w:id="328" w:name="_Toc115080569"/>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Pr>
          <w:rFonts w:ascii="Times New Roman" w:hAnsi="Times New Roman"/>
          <w:b w:val="false"/>
          <w:i w:val="false"/>
          <w:caps w:val="false"/>
          <w:smallCaps w:val="false"/>
          <w:sz w:val="22"/>
        </w:rPr>
        <w:t>1.138.“</w:t>
      </w:r>
      <w:r>
        <w:rPr>
          <w:rFonts w:ascii="Times New Roman" w:hAnsi="Times New Roman"/>
          <w:b/>
          <w:i w:val="false"/>
          <w:caps w:val="false"/>
          <w:smallCaps w:val="false"/>
          <w:sz w:val="22"/>
        </w:rPr>
        <w:t>Receiving Party</w:t>
      </w:r>
      <w:r>
        <w:rPr>
          <w:rFonts w:ascii="Times New Roman" w:hAnsi="Times New Roman"/>
          <w:b w:val="false"/>
          <w:i w:val="false"/>
          <w:caps w:val="false"/>
          <w:smallCaps w:val="false"/>
          <w:sz w:val="22"/>
        </w:rPr>
        <w:t>” has the meaning set forth in Section 14.1.</w:t>
      </w:r>
    </w:p>
    <w:p>
      <w:pPr>
        <w:pStyle w:val="TextBody"/>
        <w:spacing w:before="0" w:after="240"/>
        <w:ind w:left="1260" w:right="0" w:hanging="0"/>
        <w:jc w:val="both"/>
        <w:rPr>
          <w:rFonts w:ascii="Times New Roman" w:hAnsi="Times New Roman"/>
          <w:b w:val="false"/>
          <w:i w:val="false"/>
          <w:caps w:val="false"/>
          <w:smallCaps w:val="false"/>
          <w:sz w:val="22"/>
        </w:rPr>
      </w:pPr>
      <w:bookmarkStart w:id="329" w:name="_AEIOULastRenderedPageBreakAEIOU13"/>
      <w:bookmarkEnd w:id="329"/>
      <w:r>
        <w:rPr>
          <w:rFonts w:ascii="Times New Roman" w:hAnsi="Times New Roman"/>
          <w:b w:val="false"/>
          <w:i w:val="false"/>
          <w:caps w:val="false"/>
          <w:smallCaps w:val="false"/>
          <w:sz w:val="22"/>
        </w:rPr>
        <w:t>1.139.“</w:t>
      </w:r>
      <w:r>
        <w:rPr>
          <w:rFonts w:ascii="Times New Roman" w:hAnsi="Times New Roman"/>
          <w:b/>
          <w:i w:val="false"/>
          <w:caps w:val="false"/>
          <w:smallCaps w:val="false"/>
          <w:sz w:val="22"/>
        </w:rPr>
        <w:t>Regulatory Approval</w:t>
      </w:r>
      <w:r>
        <w:rPr>
          <w:rFonts w:ascii="Times New Roman" w:hAnsi="Times New Roman"/>
          <w:b w:val="false"/>
          <w:i w:val="false"/>
          <w:caps w:val="false"/>
          <w:smallCaps w:val="false"/>
          <w:sz w:val="22"/>
        </w:rPr>
        <w:t xml:space="preserve">” means all approvals necessary for the manufacture, marketing, importation and sale of a Product or NK+T Product for one or more indications and in a country or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12</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regulatory jurisdiction, which may include satisfaction of all applicable regulatory and notification requirements, but which shall exclude any Pricing Approvals.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1.140.“</w:t>
      </w:r>
      <w:r>
        <w:rPr>
          <w:rFonts w:ascii="Times New Roman" w:hAnsi="Times New Roman"/>
          <w:b/>
          <w:i w:val="false"/>
          <w:caps w:val="false"/>
          <w:smallCaps w:val="false"/>
          <w:sz w:val="22"/>
        </w:rPr>
        <w:t>Regulatory Authority</w:t>
      </w:r>
      <w:r>
        <w:rPr>
          <w:rFonts w:ascii="Times New Roman" w:hAnsi="Times New Roman"/>
          <w:b w:val="false"/>
          <w:i w:val="false"/>
          <w:caps w:val="false"/>
          <w:smallCaps w:val="false"/>
          <w:sz w:val="22"/>
        </w:rPr>
        <w:t>” means, in a particular country or regulatory jurisdiction, any applicable Governmental Authority involved in granting Regulatory Approval or, to the extent required in such country or regulatory jurisdiction, Pricing Approval of a Product or NK+T Product in such country or regulatory jurisdiction.</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1.141.“</w:t>
      </w:r>
      <w:r>
        <w:rPr>
          <w:rFonts w:ascii="Times New Roman" w:hAnsi="Times New Roman"/>
          <w:b/>
          <w:i w:val="false"/>
          <w:caps w:val="false"/>
          <w:smallCaps w:val="false"/>
          <w:sz w:val="22"/>
        </w:rPr>
        <w:t>Relevant Factors</w:t>
      </w:r>
      <w:r>
        <w:rPr>
          <w:rFonts w:ascii="Times New Roman" w:hAnsi="Times New Roman"/>
          <w:b w:val="false"/>
          <w:i w:val="false"/>
          <w:caps w:val="false"/>
          <w:smallCaps w:val="false"/>
          <w:sz w:val="22"/>
        </w:rPr>
        <w:t>” means the following relevant factors that may affect the Research, Development, Manufacture, Regulatory Approval or Commercialization of a Product or NK+T Product: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1.142.“</w:t>
      </w:r>
      <w:r>
        <w:rPr>
          <w:rFonts w:ascii="Times New Roman" w:hAnsi="Times New Roman"/>
          <w:b/>
          <w:i w:val="false"/>
          <w:caps w:val="false"/>
          <w:smallCaps w:val="false"/>
          <w:sz w:val="22"/>
        </w:rPr>
        <w:t>Research</w:t>
      </w:r>
      <w:r>
        <w:rPr>
          <w:rFonts w:ascii="Times New Roman" w:hAnsi="Times New Roman"/>
          <w:b w:val="false"/>
          <w:i w:val="false"/>
          <w:caps w:val="false"/>
          <w:smallCaps w:val="false"/>
          <w:sz w:val="22"/>
        </w:rPr>
        <w:t>” means [***].  When used as a verb, “</w:t>
      </w:r>
      <w:r>
        <w:rPr>
          <w:rFonts w:ascii="Times New Roman" w:hAnsi="Times New Roman"/>
          <w:b/>
          <w:i w:val="false"/>
          <w:caps w:val="false"/>
          <w:smallCaps w:val="false"/>
          <w:sz w:val="22"/>
        </w:rPr>
        <w:t>Researching</w:t>
      </w:r>
      <w:r>
        <w:rPr>
          <w:rFonts w:ascii="Times New Roman" w:hAnsi="Times New Roman"/>
          <w:b w:val="false"/>
          <w:i w:val="false"/>
          <w:caps w:val="false"/>
          <w:smallCaps w:val="false"/>
          <w:sz w:val="22"/>
        </w:rPr>
        <w:t>” means to engage in Research.</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1.143.“</w:t>
      </w:r>
      <w:r>
        <w:rPr>
          <w:rFonts w:ascii="Times New Roman" w:hAnsi="Times New Roman"/>
          <w:b/>
          <w:i w:val="false"/>
          <w:caps w:val="false"/>
          <w:smallCaps w:val="false"/>
          <w:sz w:val="22"/>
        </w:rPr>
        <w:t>Research Activities</w:t>
      </w:r>
      <w:r>
        <w:rPr>
          <w:rFonts w:ascii="Times New Roman" w:hAnsi="Times New Roman"/>
          <w:b w:val="false"/>
          <w:i w:val="false"/>
          <w:caps w:val="false"/>
          <w:smallCaps w:val="false"/>
          <w:sz w:val="22"/>
        </w:rPr>
        <w:t>” means the CRISPR Activities and the Nkarta Activities, collectively, which will be focused on Research, including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1.144.“</w:t>
      </w:r>
      <w:r>
        <w:rPr>
          <w:rFonts w:ascii="Times New Roman" w:hAnsi="Times New Roman"/>
          <w:b/>
          <w:i w:val="false"/>
          <w:caps w:val="false"/>
          <w:smallCaps w:val="false"/>
          <w:sz w:val="22"/>
        </w:rPr>
        <w:t>Research Budget</w:t>
      </w:r>
      <w:r>
        <w:rPr>
          <w:rFonts w:ascii="Times New Roman" w:hAnsi="Times New Roman"/>
          <w:b w:val="false"/>
          <w:i w:val="false"/>
          <w:caps w:val="false"/>
          <w:smallCaps w:val="false"/>
          <w:sz w:val="22"/>
        </w:rPr>
        <w:t>” has the meaning set forth in Section 1.146.</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1.145.</w:t>
      </w:r>
      <w:r>
        <w:rPr>
          <w:rFonts w:ascii="Times New Roman" w:hAnsi="Times New Roman"/>
          <w:b w:val="false"/>
          <w:i w:val="false"/>
          <w:caps w:val="false"/>
          <w:smallCaps w:val="false"/>
          <w:color w:val="000000"/>
          <w:sz w:val="22"/>
        </w:rPr>
        <w:t>“</w:t>
      </w:r>
      <w:r>
        <w:rPr>
          <w:rFonts w:ascii="Times New Roman" w:hAnsi="Times New Roman"/>
          <w:b/>
          <w:i w:val="false"/>
          <w:caps w:val="false"/>
          <w:smallCaps w:val="false"/>
          <w:color w:val="000000"/>
          <w:sz w:val="22"/>
        </w:rPr>
        <w:t>Research Costs</w:t>
      </w:r>
      <w:r>
        <w:rPr>
          <w:rFonts w:ascii="Times New Roman" w:hAnsi="Times New Roman"/>
          <w:b w:val="false"/>
          <w:i w:val="false"/>
          <w:caps w:val="false"/>
          <w:smallCaps w:val="false"/>
          <w:color w:val="000000"/>
          <w:sz w:val="22"/>
        </w:rPr>
        <w:t xml:space="preserve">” means </w:t>
      </w:r>
      <w:r>
        <w:rPr>
          <w:rFonts w:ascii="Times New Roman" w:hAnsi="Times New Roman"/>
          <w:b w:val="false"/>
          <w:i w:val="false"/>
          <w:caps w:val="false"/>
          <w:smallCaps w:val="false"/>
          <w:sz w:val="22"/>
        </w:rPr>
        <w:t>[***]. Research Costs will exclude all [***].</w:t>
      </w:r>
    </w:p>
    <w:p>
      <w:pPr>
        <w:pStyle w:val="TextBody"/>
        <w:spacing w:before="0" w:after="240"/>
        <w:ind w:left="1260" w:right="0" w:hanging="0"/>
        <w:jc w:val="both"/>
        <w:rPr>
          <w:rFonts w:ascii="Times New Roman" w:hAnsi="Times New Roman"/>
          <w:b w:val="false"/>
          <w:i w:val="false"/>
          <w:caps w:val="false"/>
          <w:smallCaps w:val="false"/>
          <w:sz w:val="22"/>
        </w:rPr>
      </w:pPr>
      <w:bookmarkStart w:id="330" w:name="_Ref62312571"/>
      <w:bookmarkEnd w:id="330"/>
      <w:r>
        <w:rPr>
          <w:rFonts w:ascii="Times New Roman" w:hAnsi="Times New Roman"/>
          <w:b w:val="false"/>
          <w:i w:val="false"/>
          <w:caps w:val="false"/>
          <w:smallCaps w:val="false"/>
          <w:sz w:val="22"/>
        </w:rPr>
        <w:t>1.146.“</w:t>
      </w:r>
      <w:r>
        <w:rPr>
          <w:rFonts w:ascii="Times New Roman" w:hAnsi="Times New Roman"/>
          <w:b/>
          <w:i w:val="false"/>
          <w:caps w:val="false"/>
          <w:smallCaps w:val="false"/>
          <w:sz w:val="22"/>
        </w:rPr>
        <w:t>Research Plan</w:t>
      </w:r>
      <w:r>
        <w:rPr>
          <w:rFonts w:ascii="Times New Roman" w:hAnsi="Times New Roman"/>
          <w:b w:val="false"/>
          <w:i w:val="false"/>
          <w:caps w:val="false"/>
          <w:smallCaps w:val="false"/>
          <w:sz w:val="22"/>
        </w:rPr>
        <w:t xml:space="preserve">” means, with respect to a given Collaboration Product or Nkarta Product, a written plan describing the activities to be conducted by each Party as set forth in Section 2.3, as applicable, </w:t>
      </w:r>
      <w:r>
        <w:rPr>
          <w:rFonts w:ascii="Times New Roman" w:hAnsi="Times New Roman"/>
          <w:b w:val="false"/>
          <w:i w:val="false"/>
          <w:caps w:val="false"/>
          <w:smallCaps w:val="false"/>
          <w:color w:val="000000"/>
          <w:sz w:val="22"/>
        </w:rPr>
        <w:t>and a budget for activities conducted thereunder (the “</w:t>
      </w:r>
      <w:r>
        <w:rPr>
          <w:rFonts w:ascii="Times New Roman" w:hAnsi="Times New Roman"/>
          <w:b/>
          <w:i w:val="false"/>
          <w:caps w:val="false"/>
          <w:smallCaps w:val="false"/>
          <w:color w:val="000000"/>
          <w:sz w:val="22"/>
        </w:rPr>
        <w:t>Research Budget</w:t>
      </w:r>
      <w:r>
        <w:rPr>
          <w:rFonts w:ascii="Times New Roman" w:hAnsi="Times New Roman"/>
          <w:b w:val="false"/>
          <w:i w:val="false"/>
          <w:caps w:val="false"/>
          <w:smallCaps w:val="false"/>
          <w:color w:val="000000"/>
          <w:sz w:val="22"/>
        </w:rPr>
        <w:t xml:space="preserve">”), </w:t>
      </w:r>
      <w:r>
        <w:rPr>
          <w:rFonts w:ascii="Times New Roman" w:hAnsi="Times New Roman"/>
          <w:b w:val="false"/>
          <w:i w:val="false"/>
          <w:caps w:val="false"/>
          <w:smallCaps w:val="false"/>
          <w:sz w:val="22"/>
        </w:rPr>
        <w:t>as may be amended by written agreement of the Parties.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1.147.“</w:t>
      </w:r>
      <w:r>
        <w:rPr>
          <w:rFonts w:ascii="Times New Roman" w:hAnsi="Times New Roman"/>
          <w:b/>
          <w:i w:val="false"/>
          <w:caps w:val="false"/>
          <w:smallCaps w:val="false"/>
          <w:sz w:val="22"/>
        </w:rPr>
        <w:t>Research Program</w:t>
      </w:r>
      <w:r>
        <w:rPr>
          <w:rFonts w:ascii="Times New Roman" w:hAnsi="Times New Roman"/>
          <w:b w:val="false"/>
          <w:i w:val="false"/>
          <w:caps w:val="false"/>
          <w:smallCaps w:val="false"/>
          <w:sz w:val="22"/>
        </w:rPr>
        <w:t>” means a program dedicated to the design, optimization and Research of a given Collaboration Product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1.148.“</w:t>
      </w:r>
      <w:r>
        <w:rPr>
          <w:rFonts w:ascii="Times New Roman" w:hAnsi="Times New Roman"/>
          <w:b/>
          <w:i w:val="false"/>
          <w:caps w:val="false"/>
          <w:smallCaps w:val="false"/>
          <w:sz w:val="22"/>
        </w:rPr>
        <w:t>Right of First Negotiation</w:t>
      </w:r>
      <w:r>
        <w:rPr>
          <w:rFonts w:ascii="Times New Roman" w:hAnsi="Times New Roman"/>
          <w:b w:val="false"/>
          <w:i w:val="false"/>
          <w:caps w:val="false"/>
          <w:smallCaps w:val="false"/>
          <w:sz w:val="22"/>
        </w:rPr>
        <w:t>” has the meaning set forth in Section 5.2.2.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1.149.“</w:t>
      </w:r>
      <w:r>
        <w:rPr>
          <w:rFonts w:ascii="Times New Roman" w:hAnsi="Times New Roman"/>
          <w:b/>
          <w:i w:val="false"/>
          <w:caps w:val="false"/>
          <w:smallCaps w:val="false"/>
          <w:sz w:val="22"/>
        </w:rPr>
        <w:t>ROFN Package</w:t>
      </w:r>
      <w:r>
        <w:rPr>
          <w:rFonts w:ascii="Times New Roman" w:hAnsi="Times New Roman"/>
          <w:b w:val="false"/>
          <w:i w:val="false"/>
          <w:caps w:val="false"/>
          <w:smallCaps w:val="false"/>
          <w:sz w:val="22"/>
        </w:rPr>
        <w:t>” has the meaning set forth in Section 5.2.1.</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1.150.“</w:t>
      </w:r>
      <w:r>
        <w:rPr>
          <w:rFonts w:ascii="Times New Roman" w:hAnsi="Times New Roman"/>
          <w:b/>
          <w:i w:val="false"/>
          <w:caps w:val="false"/>
          <w:smallCaps w:val="false"/>
          <w:sz w:val="22"/>
        </w:rPr>
        <w:t>ROFN Transaction</w:t>
      </w:r>
      <w:r>
        <w:rPr>
          <w:rFonts w:ascii="Times New Roman" w:hAnsi="Times New Roman"/>
          <w:b w:val="false"/>
          <w:i w:val="false"/>
          <w:caps w:val="false"/>
          <w:smallCaps w:val="false"/>
          <w:sz w:val="22"/>
        </w:rPr>
        <w:t>” has the meaning set forth in Section 5.2.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1.151.“</w:t>
      </w:r>
      <w:r>
        <w:rPr>
          <w:rFonts w:ascii="Times New Roman" w:hAnsi="Times New Roman"/>
          <w:b/>
          <w:i w:val="false"/>
          <w:caps w:val="false"/>
          <w:smallCaps w:val="false"/>
          <w:sz w:val="22"/>
        </w:rPr>
        <w:t>Royalty Term</w:t>
      </w:r>
      <w:r>
        <w:rPr>
          <w:rFonts w:ascii="Times New Roman" w:hAnsi="Times New Roman"/>
          <w:b w:val="false"/>
          <w:i w:val="false"/>
          <w:caps w:val="false"/>
          <w:smallCaps w:val="false"/>
          <w:sz w:val="22"/>
        </w:rPr>
        <w:t>” has the meaning set forth in Section 10.2.1(a).</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1.152.“</w:t>
      </w:r>
      <w:r>
        <w:rPr>
          <w:rFonts w:ascii="Times New Roman" w:hAnsi="Times New Roman"/>
          <w:b/>
          <w:i w:val="false"/>
          <w:caps w:val="false"/>
          <w:smallCaps w:val="false"/>
          <w:sz w:val="22"/>
        </w:rPr>
        <w:t>Second Collaboration Product</w:t>
      </w:r>
      <w:r>
        <w:rPr>
          <w:rFonts w:ascii="Times New Roman" w:hAnsi="Times New Roman"/>
          <w:b w:val="false"/>
          <w:i w:val="false"/>
          <w:caps w:val="false"/>
          <w:smallCaps w:val="false"/>
          <w:sz w:val="22"/>
        </w:rPr>
        <w:t>” has the meaning set forth in Section 2.2.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1.153.“</w:t>
      </w:r>
      <w:r>
        <w:rPr>
          <w:rFonts w:ascii="Times New Roman" w:hAnsi="Times New Roman"/>
          <w:b/>
          <w:i w:val="false"/>
          <w:caps w:val="false"/>
          <w:smallCaps w:val="false"/>
          <w:sz w:val="22"/>
        </w:rPr>
        <w:t>Selected JSC Dispute</w:t>
      </w:r>
      <w:r>
        <w:rPr>
          <w:rFonts w:ascii="Times New Roman" w:hAnsi="Times New Roman"/>
          <w:b w:val="false"/>
          <w:i w:val="false"/>
          <w:caps w:val="false"/>
          <w:smallCaps w:val="false"/>
          <w:sz w:val="22"/>
        </w:rPr>
        <w:t>” has the meaning set forth in Section 15.2.3.</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1.154.“</w:t>
      </w:r>
      <w:r>
        <w:rPr>
          <w:rFonts w:ascii="Times New Roman" w:hAnsi="Times New Roman"/>
          <w:b/>
          <w:i w:val="false"/>
          <w:caps w:val="false"/>
          <w:smallCaps w:val="false"/>
          <w:sz w:val="22"/>
        </w:rPr>
        <w:t>Subcontractor</w:t>
      </w:r>
      <w:r>
        <w:rPr>
          <w:rFonts w:ascii="Times New Roman" w:hAnsi="Times New Roman"/>
          <w:b w:val="false"/>
          <w:i w:val="false"/>
          <w:caps w:val="false"/>
          <w:smallCaps w:val="false"/>
          <w:sz w:val="22"/>
        </w:rPr>
        <w:t>” has the meaning set forth in Section 2.8.</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1.155.“</w:t>
      </w:r>
      <w:r>
        <w:rPr>
          <w:rFonts w:ascii="Times New Roman" w:hAnsi="Times New Roman"/>
          <w:b/>
          <w:i w:val="false"/>
          <w:caps w:val="false"/>
          <w:smallCaps w:val="false"/>
          <w:sz w:val="22"/>
        </w:rPr>
        <w:t>Target Pool</w:t>
      </w:r>
      <w:r>
        <w:rPr>
          <w:rFonts w:ascii="Times New Roman" w:hAnsi="Times New Roman"/>
          <w:b w:val="false"/>
          <w:i w:val="false"/>
          <w:caps w:val="false"/>
          <w:smallCaps w:val="false"/>
          <w:sz w:val="22"/>
        </w:rPr>
        <w:t>” means a pool of five (5) gene-editing targets, one or more of which shall be edited in the Nkarta Products.  [***].</w:t>
      </w:r>
    </w:p>
    <w:p>
      <w:pPr>
        <w:pStyle w:val="TextBody"/>
        <w:spacing w:before="0" w:after="240"/>
        <w:ind w:left="1260" w:right="0" w:hanging="0"/>
        <w:jc w:val="both"/>
        <w:rPr>
          <w:rFonts w:ascii="Times New Roman" w:hAnsi="Times New Roman"/>
          <w:b w:val="false"/>
          <w:i w:val="false"/>
          <w:caps w:val="false"/>
          <w:smallCaps w:val="false"/>
          <w:sz w:val="22"/>
        </w:rPr>
      </w:pPr>
      <w:bookmarkStart w:id="331" w:name="_AEIOULastRenderedPageBreakAEIOU14"/>
      <w:bookmarkEnd w:id="331"/>
      <w:r>
        <w:rPr>
          <w:rFonts w:ascii="Times New Roman" w:hAnsi="Times New Roman"/>
          <w:b w:val="false"/>
          <w:i w:val="false"/>
          <w:caps w:val="false"/>
          <w:smallCaps w:val="false"/>
          <w:sz w:val="22"/>
        </w:rPr>
        <w:t>1.156.“</w:t>
      </w:r>
      <w:r>
        <w:rPr>
          <w:rFonts w:ascii="Times New Roman" w:hAnsi="Times New Roman"/>
          <w:b/>
          <w:i w:val="false"/>
          <w:caps w:val="false"/>
          <w:smallCaps w:val="false"/>
          <w:sz w:val="22"/>
        </w:rPr>
        <w:t>Tax</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Taxes</w:t>
      </w:r>
      <w:r>
        <w:rPr>
          <w:rFonts w:ascii="Times New Roman" w:hAnsi="Times New Roman"/>
          <w:b w:val="false"/>
          <w:i w:val="false"/>
          <w:caps w:val="false"/>
          <w:smallCaps w:val="false"/>
          <w:sz w:val="22"/>
        </w:rPr>
        <w:t xml:space="preserve">” means: (a) all federal, provincial, territorial, state, municipal, local, foreign or other taxes, imposts, rates, levies, assessments and other charges in the nature of a tax (and all interest and penalties thereon and additions thereto imposed by any Governmental Authority), including all income, excise, franchise, gains, capital, real property, goods and services, transfer, value added, gross receipts, windfall profits, severance, ad valorem, personal property, production, sales, use, license, stamp,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13</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documentary stamp, mortgage recording, employment, payroll, social security, unemployment, disability, escheat, estimated or withholding taxes, and all customs and import duties, together with all interest, penalties and additions thereto imposed with respect to such amounts, in each case whether disputed or not; (b) any liability for the payment of any amounts of the type described in clause (a) as a result of being or having been a member of an affiliated, consolidated, combined or unitary group; and (c) any liability for the payment of any amounts as a result of being party to any tax sharing agreement or arrangement or as a result of any express or implied obligation to indemnify any other person with respect to the payment of any amounts of the type described in clause (a) or (b).</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1.157.“</w:t>
      </w:r>
      <w:r>
        <w:rPr>
          <w:rFonts w:ascii="Times New Roman" w:hAnsi="Times New Roman"/>
          <w:b/>
          <w:i w:val="false"/>
          <w:caps w:val="false"/>
          <w:smallCaps w:val="false"/>
          <w:sz w:val="22"/>
        </w:rPr>
        <w:t>Term</w:t>
      </w:r>
      <w:r>
        <w:rPr>
          <w:rFonts w:ascii="Times New Roman" w:hAnsi="Times New Roman"/>
          <w:b w:val="false"/>
          <w:i w:val="false"/>
          <w:caps w:val="false"/>
          <w:smallCaps w:val="false"/>
          <w:sz w:val="22"/>
        </w:rPr>
        <w:t>” means the period commencing on the Effective Date and ending on the termination of this Agreement pursuant to Section 13.1, unless terminated earlier as provided herein.</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1.158.“</w:t>
      </w:r>
      <w:r>
        <w:rPr>
          <w:rFonts w:ascii="Times New Roman" w:hAnsi="Times New Roman"/>
          <w:b/>
          <w:i w:val="false"/>
          <w:caps w:val="false"/>
          <w:smallCaps w:val="false"/>
          <w:sz w:val="22"/>
        </w:rPr>
        <w:t>Territory</w:t>
      </w:r>
      <w:r>
        <w:rPr>
          <w:rFonts w:ascii="Times New Roman" w:hAnsi="Times New Roman"/>
          <w:b w:val="false"/>
          <w:i w:val="false"/>
          <w:caps w:val="false"/>
          <w:smallCaps w:val="false"/>
          <w:sz w:val="22"/>
        </w:rPr>
        <w:t>” means all countries of the world.</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1.159.“</w:t>
      </w:r>
      <w:r>
        <w:rPr>
          <w:rFonts w:ascii="Times New Roman" w:hAnsi="Times New Roman"/>
          <w:b/>
          <w:i w:val="false"/>
          <w:caps w:val="false"/>
          <w:smallCaps w:val="false"/>
          <w:sz w:val="22"/>
        </w:rPr>
        <w:t>Third Collaboration Product</w:t>
      </w:r>
      <w:r>
        <w:rPr>
          <w:rFonts w:ascii="Times New Roman" w:hAnsi="Times New Roman"/>
          <w:b w:val="false"/>
          <w:i w:val="false"/>
          <w:caps w:val="false"/>
          <w:smallCaps w:val="false"/>
          <w:sz w:val="22"/>
        </w:rPr>
        <w:t>” has the meaning set forth in Section 5.1.2.</w:t>
      </w:r>
    </w:p>
    <w:p>
      <w:pPr>
        <w:pStyle w:val="TextBody"/>
        <w:spacing w:before="0" w:after="240"/>
        <w:ind w:left="1260" w:right="0" w:hanging="0"/>
        <w:jc w:val="both"/>
        <w:rPr>
          <w:rFonts w:ascii="Times New Roman" w:hAnsi="Times New Roman"/>
          <w:b w:val="false"/>
          <w:i w:val="false"/>
          <w:caps w:val="false"/>
          <w:smallCaps w:val="false"/>
          <w:sz w:val="22"/>
        </w:rPr>
      </w:pPr>
      <w:bookmarkStart w:id="332" w:name="_Toc412296742"/>
      <w:bookmarkStart w:id="333" w:name="_Toc263880660"/>
      <w:bookmarkStart w:id="334" w:name="_Toc263802930"/>
      <w:bookmarkStart w:id="335" w:name="_Toc263802621"/>
      <w:bookmarkStart w:id="336" w:name="_Toc138487431"/>
      <w:bookmarkStart w:id="337" w:name="_Toc138487238"/>
      <w:bookmarkStart w:id="338" w:name="_Toc137310641"/>
      <w:bookmarkStart w:id="339" w:name="_Toc135753973"/>
      <w:bookmarkStart w:id="340" w:name="_Toc135582368"/>
      <w:bookmarkStart w:id="341" w:name="_Toc135582073"/>
      <w:bookmarkStart w:id="342" w:name="_Toc135580604"/>
      <w:bookmarkStart w:id="343" w:name="_Toc115199723"/>
      <w:bookmarkStart w:id="344" w:name="_Toc115199294"/>
      <w:bookmarkStart w:id="345" w:name="_Toc115166671"/>
      <w:bookmarkStart w:id="346" w:name="_Toc115152266"/>
      <w:bookmarkStart w:id="347" w:name="_Toc115151542"/>
      <w:bookmarkStart w:id="348" w:name="_Toc115145313"/>
      <w:bookmarkStart w:id="349" w:name="_Toc115119011"/>
      <w:bookmarkStart w:id="350" w:name="_Toc115080833"/>
      <w:bookmarkStart w:id="351" w:name="_Toc115080579"/>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Pr>
          <w:rFonts w:ascii="Times New Roman" w:hAnsi="Times New Roman"/>
          <w:b w:val="false"/>
          <w:i w:val="false"/>
          <w:caps w:val="false"/>
          <w:smallCaps w:val="false"/>
          <w:sz w:val="22"/>
        </w:rPr>
        <w:t>1.160.“</w:t>
      </w:r>
      <w:r>
        <w:rPr>
          <w:rFonts w:ascii="Times New Roman" w:hAnsi="Times New Roman"/>
          <w:b/>
          <w:i w:val="false"/>
          <w:caps w:val="false"/>
          <w:smallCaps w:val="false"/>
          <w:sz w:val="22"/>
        </w:rPr>
        <w:t>Third Party</w:t>
      </w:r>
      <w:r>
        <w:rPr>
          <w:rFonts w:ascii="Times New Roman" w:hAnsi="Times New Roman"/>
          <w:b w:val="false"/>
          <w:i w:val="false"/>
          <w:caps w:val="false"/>
          <w:smallCaps w:val="false"/>
          <w:sz w:val="22"/>
        </w:rPr>
        <w:t>” means any Person other than Nkarta, CRISPR and their respective Affiliates.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1.161.“</w:t>
      </w:r>
      <w:r>
        <w:rPr>
          <w:rFonts w:ascii="Times New Roman" w:hAnsi="Times New Roman"/>
          <w:b/>
          <w:i w:val="false"/>
          <w:caps w:val="false"/>
          <w:smallCaps w:val="false"/>
          <w:sz w:val="22"/>
        </w:rPr>
        <w:t>Third Party Gatekeeper</w:t>
      </w:r>
      <w:r>
        <w:rPr>
          <w:rFonts w:ascii="Times New Roman" w:hAnsi="Times New Roman"/>
          <w:b w:val="false"/>
          <w:i w:val="false"/>
          <w:caps w:val="false"/>
          <w:smallCaps w:val="false"/>
          <w:sz w:val="22"/>
        </w:rPr>
        <w:t>” has the meaning set forth in Section 4.2.</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1.162.“</w:t>
      </w:r>
      <w:r>
        <w:rPr>
          <w:rFonts w:ascii="Times New Roman" w:hAnsi="Times New Roman"/>
          <w:b/>
          <w:i w:val="false"/>
          <w:caps w:val="false"/>
          <w:smallCaps w:val="false"/>
          <w:sz w:val="22"/>
        </w:rPr>
        <w:t>United States</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U.S</w:t>
      </w:r>
      <w:r>
        <w:rPr>
          <w:rFonts w:ascii="Times New Roman" w:hAnsi="Times New Roman"/>
          <w:b/>
          <w:i/>
          <w:caps w:val="false"/>
          <w:smallCaps w:val="false"/>
          <w:sz w:val="22"/>
        </w:rPr>
        <w:t>.</w:t>
      </w:r>
      <w:r>
        <w:rPr>
          <w:rFonts w:ascii="Times New Roman" w:hAnsi="Times New Roman"/>
          <w:b w:val="false"/>
          <w:i w:val="false"/>
          <w:caps w:val="false"/>
          <w:smallCaps w:val="false"/>
          <w:sz w:val="22"/>
        </w:rPr>
        <w:t>” means the fifty (50) states of the United States of America and all of its territories and possessions and the District of Columbia.</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1.163.“</w:t>
      </w:r>
      <w:r>
        <w:rPr>
          <w:rFonts w:ascii="Times New Roman" w:hAnsi="Times New Roman"/>
          <w:b/>
          <w:i w:val="false"/>
          <w:caps w:val="false"/>
          <w:smallCaps w:val="false"/>
          <w:sz w:val="22"/>
        </w:rPr>
        <w:t>Valid Claim</w:t>
      </w:r>
      <w:r>
        <w:rPr>
          <w:rFonts w:ascii="Times New Roman" w:hAnsi="Times New Roman"/>
          <w:b w:val="false"/>
          <w:i w:val="false"/>
          <w:caps w:val="false"/>
          <w:smallCaps w:val="false"/>
          <w:sz w:val="22"/>
        </w:rPr>
        <w:t>” means a claim (a) of any issued, unexpired United States or foreign Patent, which will not, in the country of issuance, have been donated to the public, disclaimed, nor held invalid or unenforceable by a court of competent jurisdiction in an unappealed or unappealable decision, or (b) of any United States or foreign patent application, which will not, in the country in question, have been cancelled, withdrawn or abandoned.  Notwithstanding the foregoing, on a country-by-country basis, a patent application pending for more than [***] years will not be considered to have any Valid Claim for purposes of this Agreement unless and until a patent meeting the criteria set forth in the foregoing clause (a) with respect to such patent application issues.</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1.164.“</w:t>
      </w:r>
      <w:r>
        <w:rPr>
          <w:rFonts w:ascii="Times New Roman" w:hAnsi="Times New Roman"/>
          <w:b/>
          <w:i w:val="false"/>
          <w:caps w:val="false"/>
          <w:smallCaps w:val="false"/>
          <w:sz w:val="22"/>
        </w:rPr>
        <w:t>Verify</w:t>
      </w:r>
      <w:r>
        <w:rPr>
          <w:rFonts w:ascii="Times New Roman" w:hAnsi="Times New Roman"/>
          <w:b w:val="false"/>
          <w:i w:val="false"/>
          <w:caps w:val="false"/>
          <w:smallCaps w:val="false"/>
          <w:sz w:val="22"/>
        </w:rPr>
        <w:t>” has the meaning set forth in Section 4.2.</w:t>
      </w:r>
    </w:p>
    <w:p>
      <w:pPr>
        <w:pStyle w:val="TextBody"/>
        <w:spacing w:before="0" w:after="240"/>
        <w:jc w:val="center"/>
        <w:rPr>
          <w:rFonts w:ascii="Times New Roman" w:hAnsi="Times New Roman"/>
          <w:b/>
          <w:i w:val="false"/>
          <w:caps w:val="false"/>
          <w:smallCaps w:val="false"/>
          <w:sz w:val="22"/>
        </w:rPr>
      </w:pPr>
      <w:bookmarkStart w:id="352" w:name="_Ref_docxtools_2111"/>
      <w:bookmarkStart w:id="353" w:name="_Ref4235385791"/>
      <w:bookmarkEnd w:id="352"/>
      <w:bookmarkEnd w:id="353"/>
      <w:r>
        <w:rPr>
          <w:rFonts w:ascii="Times New Roman" w:hAnsi="Times New Roman"/>
          <w:b/>
          <w:i w:val="false"/>
          <w:caps w:val="false"/>
          <w:smallCaps w:val="false"/>
          <w:sz w:val="22"/>
        </w:rPr>
        <w:t>Article 2.</w:t>
        <w:br/>
      </w:r>
      <w:bookmarkStart w:id="354" w:name="_Ref_docxtools_211"/>
      <w:bookmarkStart w:id="355" w:name="_Ref423538579"/>
      <w:bookmarkEnd w:id="354"/>
      <w:bookmarkEnd w:id="355"/>
      <w:r>
        <w:rPr>
          <w:rFonts w:ascii="Times New Roman" w:hAnsi="Times New Roman"/>
          <w:b/>
          <w:i w:val="false"/>
          <w:caps w:val="false"/>
          <w:smallCaps w:val="false"/>
          <w:sz w:val="22"/>
        </w:rPr>
        <w:t>RESEARCH</w:t>
      </w:r>
    </w:p>
    <w:p>
      <w:pPr>
        <w:pStyle w:val="TextBody"/>
        <w:spacing w:before="0" w:after="240"/>
        <w:ind w:left="1260" w:right="0" w:hanging="0"/>
        <w:jc w:val="both"/>
        <w:rPr>
          <w:rFonts w:ascii="Times New Roman" w:hAnsi="Times New Roman"/>
          <w:b w:val="false"/>
          <w:i w:val="false"/>
          <w:caps w:val="false"/>
          <w:smallCaps w:val="false"/>
          <w:sz w:val="22"/>
        </w:rPr>
      </w:pPr>
      <w:bookmarkStart w:id="356" w:name="_Ref_docxtools_212"/>
      <w:bookmarkStart w:id="357" w:name="_Ref423434807"/>
      <w:bookmarkEnd w:id="356"/>
      <w:bookmarkEnd w:id="357"/>
      <w:r>
        <w:rPr>
          <w:rFonts w:ascii="Times New Roman" w:hAnsi="Times New Roman"/>
          <w:b w:val="false"/>
          <w:i w:val="false"/>
          <w:caps w:val="false"/>
          <w:smallCaps w:val="false"/>
          <w:sz w:val="22"/>
        </w:rPr>
        <w:t>2.1.</w:t>
      </w:r>
      <w:r>
        <w:rPr>
          <w:rFonts w:ascii="Times New Roman" w:hAnsi="Times New Roman"/>
          <w:b w:val="false"/>
          <w:i w:val="false"/>
          <w:caps w:val="false"/>
          <w:smallCaps w:val="false"/>
          <w:sz w:val="22"/>
          <w:u w:val="single"/>
        </w:rPr>
        <w:t>Collaboration Overview</w:t>
      </w:r>
      <w:r>
        <w:rPr>
          <w:rFonts w:ascii="Times New Roman" w:hAnsi="Times New Roman"/>
          <w:b w:val="false"/>
          <w:i w:val="false"/>
          <w:caps w:val="false"/>
          <w:smallCaps w:val="false"/>
          <w:sz w:val="22"/>
        </w:rPr>
        <w:t>.  The Parties will collaborate by performing the activities set forth in the Research Plans for the purpose of designing and advancing Collaboration Products to filing of CTAs.</w:t>
      </w:r>
    </w:p>
    <w:p>
      <w:pPr>
        <w:pStyle w:val="TextBody"/>
        <w:spacing w:before="0" w:after="240"/>
        <w:ind w:left="1260" w:right="0" w:hanging="0"/>
        <w:jc w:val="both"/>
        <w:rPr>
          <w:rFonts w:ascii="Times New Roman" w:hAnsi="Times New Roman"/>
          <w:b w:val="false"/>
          <w:i w:val="false"/>
          <w:caps w:val="false"/>
          <w:smallCaps w:val="false"/>
          <w:sz w:val="22"/>
        </w:rPr>
      </w:pPr>
      <w:bookmarkStart w:id="358" w:name="_Ref60994634"/>
      <w:bookmarkEnd w:id="358"/>
      <w:r>
        <w:rPr>
          <w:rFonts w:ascii="Times New Roman" w:hAnsi="Times New Roman"/>
          <w:b w:val="false"/>
          <w:i w:val="false"/>
          <w:caps w:val="false"/>
          <w:smallCaps w:val="false"/>
          <w:sz w:val="22"/>
        </w:rPr>
        <w:t>2.2.</w:t>
      </w:r>
      <w:r>
        <w:rPr>
          <w:rFonts w:ascii="Times New Roman" w:hAnsi="Times New Roman"/>
          <w:b w:val="false"/>
          <w:i w:val="false"/>
          <w:caps w:val="false"/>
          <w:smallCaps w:val="false"/>
          <w:sz w:val="22"/>
          <w:u w:val="single"/>
        </w:rPr>
        <w:t>Collaboration Products</w:t>
      </w:r>
      <w:r>
        <w:rPr>
          <w:rFonts w:ascii="Times New Roman" w:hAnsi="Times New Roman"/>
          <w:b w:val="false"/>
          <w:i w:val="false"/>
          <w:caps w:val="false"/>
          <w:smallCaps w:val="false"/>
          <w:sz w:val="22"/>
        </w:rPr>
        <w:t>.  During the Term, the Parties will jointly Research each Collaboration Product under and in accordance with a Research Plan.  The first Collaboration Product (the “</w:t>
      </w:r>
      <w:r>
        <w:rPr>
          <w:rFonts w:ascii="Times New Roman" w:hAnsi="Times New Roman"/>
          <w:b/>
          <w:i w:val="false"/>
          <w:caps w:val="false"/>
          <w:smallCaps w:val="false"/>
          <w:sz w:val="22"/>
        </w:rPr>
        <w:t>Initial Collaboration Product</w:t>
      </w:r>
      <w:r>
        <w:rPr>
          <w:rFonts w:ascii="Times New Roman" w:hAnsi="Times New Roman"/>
          <w:b w:val="false"/>
          <w:i w:val="false"/>
          <w:caps w:val="false"/>
          <w:smallCaps w:val="false"/>
          <w:sz w:val="22"/>
        </w:rPr>
        <w:t>”) shall be a Product that is directed against the CD70 antigen on tumor cells.  The second Collaboration Product (the “</w:t>
      </w:r>
      <w:r>
        <w:rPr>
          <w:rFonts w:ascii="Times New Roman" w:hAnsi="Times New Roman"/>
          <w:b/>
          <w:i w:val="false"/>
          <w:caps w:val="false"/>
          <w:smallCaps w:val="false"/>
          <w:sz w:val="22"/>
        </w:rPr>
        <w:t>Second Collaboration Product</w:t>
      </w:r>
      <w:r>
        <w:rPr>
          <w:rFonts w:ascii="Times New Roman" w:hAnsi="Times New Roman"/>
          <w:b w:val="false"/>
          <w:i w:val="false"/>
          <w:caps w:val="false"/>
          <w:smallCaps w:val="false"/>
          <w:sz w:val="22"/>
        </w:rPr>
        <w:t>”) shall be an NK+T Product. This Agreement (and the JDCA Agreement, as applicable) shall govern the Research, Development, Manufacturing and Commercialization of any follow-on Collaboration Products (i.e., the next generation of such Collaboration Product).</w:t>
      </w:r>
    </w:p>
    <w:p>
      <w:pPr>
        <w:pStyle w:val="TextBody"/>
        <w:spacing w:before="0" w:after="240"/>
        <w:ind w:left="1260" w:right="0" w:hanging="0"/>
        <w:jc w:val="both"/>
        <w:rPr>
          <w:rFonts w:ascii="Times New Roman" w:hAnsi="Times New Roman"/>
          <w:b w:val="false"/>
          <w:i w:val="false"/>
          <w:caps w:val="false"/>
          <w:smallCaps w:val="false"/>
          <w:sz w:val="22"/>
        </w:rPr>
      </w:pPr>
      <w:bookmarkStart w:id="359" w:name="_AEIOULastRenderedPageBreakAEIOU15"/>
      <w:bookmarkStart w:id="360" w:name="_Ref423943835"/>
      <w:bookmarkStart w:id="361" w:name="_Ref423941702"/>
      <w:bookmarkStart w:id="362" w:name="_Ref425952404"/>
      <w:bookmarkStart w:id="363" w:name="_Ref423580682"/>
      <w:bookmarkStart w:id="364" w:name="_Ref512940742"/>
      <w:bookmarkStart w:id="365" w:name="_Ref66202718"/>
      <w:bookmarkEnd w:id="359"/>
      <w:bookmarkEnd w:id="360"/>
      <w:bookmarkEnd w:id="361"/>
      <w:bookmarkEnd w:id="362"/>
      <w:bookmarkEnd w:id="363"/>
      <w:bookmarkEnd w:id="364"/>
      <w:bookmarkEnd w:id="365"/>
      <w:r>
        <w:rPr>
          <w:rFonts w:ascii="Times New Roman" w:hAnsi="Times New Roman"/>
          <w:b w:val="false"/>
          <w:i w:val="false"/>
          <w:caps w:val="false"/>
          <w:smallCaps w:val="false"/>
          <w:sz w:val="22"/>
        </w:rPr>
        <w:t>2.3.</w:t>
      </w:r>
      <w:r>
        <w:rPr>
          <w:rFonts w:ascii="Times New Roman" w:hAnsi="Times New Roman"/>
          <w:b w:val="false"/>
          <w:i w:val="false"/>
          <w:caps w:val="false"/>
          <w:smallCaps w:val="false"/>
          <w:sz w:val="22"/>
          <w:u w:val="single"/>
        </w:rPr>
        <w:t>Research Plans</w:t>
      </w:r>
      <w:r>
        <w:rPr>
          <w:rFonts w:ascii="Times New Roman" w:hAnsi="Times New Roman"/>
          <w:b w:val="false"/>
          <w:i w:val="false"/>
          <w:caps w:val="false"/>
          <w:smallCaps w:val="false"/>
          <w:sz w:val="22"/>
        </w:rPr>
        <w:t xml:space="preserve">.  The Research Plans for the Initial Collaboration Product and Second Collaboration Product shall be finalized by mutual agreement no later than [***] days after the Effective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14</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Date.  [***].  Without limiting </w:t>
      </w:r>
      <w:r>
        <w:rPr>
          <w:rFonts w:ascii="Times New Roman" w:hAnsi="Times New Roman"/>
          <w:b w:val="false"/>
          <w:i w:val="false"/>
          <w:caps w:val="false"/>
          <w:smallCaps w:val="false"/>
          <w:sz w:val="22"/>
          <w:u w:val="single"/>
        </w:rPr>
        <w:t>Exhibit B-1</w:t>
      </w:r>
      <w:r>
        <w:rPr>
          <w:rFonts w:ascii="Times New Roman" w:hAnsi="Times New Roman"/>
          <w:b w:val="false"/>
          <w:i w:val="false"/>
          <w:caps w:val="false"/>
          <w:smallCaps w:val="false"/>
          <w:sz w:val="22"/>
        </w:rPr>
        <w:t>, each Research Plan for the applicable Collaboration Product or Nkarta Product, as applicable, shall in any event adhere to the following general principles, as applicable:</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2.3.1.with respect to the Initial Collaboration Product: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2.3.2.with respect to the Second Collaboration Product: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2.3.3.with respect to the Third Collaboration Product, [***];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2.3.4.with respect to [***].</w:t>
      </w:r>
    </w:p>
    <w:p>
      <w:pPr>
        <w:pStyle w:val="TextBody"/>
        <w:spacing w:before="0" w:after="240"/>
        <w:ind w:left="1260" w:right="0" w:hanging="0"/>
        <w:jc w:val="both"/>
        <w:rPr>
          <w:rFonts w:ascii="Times New Roman" w:hAnsi="Times New Roman"/>
          <w:b w:val="false"/>
          <w:i w:val="false"/>
          <w:caps w:val="false"/>
          <w:smallCaps w:val="false"/>
          <w:sz w:val="22"/>
        </w:rPr>
      </w:pPr>
      <w:bookmarkStart w:id="366" w:name="_Ref66801390"/>
      <w:bookmarkEnd w:id="366"/>
      <w:r>
        <w:rPr>
          <w:rFonts w:ascii="Times New Roman" w:hAnsi="Times New Roman"/>
          <w:b w:val="false"/>
          <w:i w:val="false"/>
          <w:caps w:val="false"/>
          <w:smallCaps w:val="false"/>
          <w:sz w:val="22"/>
        </w:rPr>
        <w:t>2.4.[***].  Within [***] days after [***], Nkarta shall designate in writing to CRISPR [***], and within [***] days after [***], Nkarta shall designate in writing to CRISPR [***]. Notwithstanding [***], if, [***].  Nkarta may not [***] during the CRISPR Option Period without [***].  Once Nkarta has designated [***]. For the avoidance of doubt, [***].    </w:t>
      </w:r>
    </w:p>
    <w:p>
      <w:pPr>
        <w:pStyle w:val="TextBody"/>
        <w:spacing w:before="0" w:after="240"/>
        <w:ind w:left="1260" w:right="0" w:hanging="0"/>
        <w:jc w:val="both"/>
        <w:rPr>
          <w:rFonts w:ascii="Times New Roman" w:hAnsi="Times New Roman"/>
          <w:b w:val="false"/>
          <w:i w:val="false"/>
          <w:caps w:val="false"/>
          <w:smallCaps w:val="false"/>
          <w:sz w:val="22"/>
        </w:rPr>
      </w:pPr>
      <w:bookmarkStart w:id="367" w:name="_Ref623104261"/>
      <w:bookmarkEnd w:id="367"/>
      <w:r>
        <w:rPr>
          <w:rFonts w:ascii="Times New Roman" w:hAnsi="Times New Roman"/>
          <w:b w:val="false"/>
          <w:i w:val="false"/>
          <w:caps w:val="false"/>
          <w:smallCaps w:val="false"/>
          <w:sz w:val="22"/>
        </w:rPr>
        <w:t>2.5.</w:t>
      </w:r>
      <w:r>
        <w:rPr>
          <w:rFonts w:ascii="Times New Roman" w:hAnsi="Times New Roman"/>
          <w:b w:val="false"/>
          <w:i w:val="false"/>
          <w:caps w:val="false"/>
          <w:smallCaps w:val="false"/>
          <w:sz w:val="22"/>
          <w:u w:val="single"/>
        </w:rPr>
        <w:t>Periodic Updates</w:t>
      </w:r>
      <w:r>
        <w:rPr>
          <w:rFonts w:ascii="Times New Roman" w:hAnsi="Times New Roman"/>
          <w:b w:val="false"/>
          <w:i w:val="false"/>
          <w:caps w:val="false"/>
          <w:smallCaps w:val="false"/>
          <w:sz w:val="22"/>
        </w:rPr>
        <w:t>.  [***], CRISPR and Nkarta will together [***] review the Research Plans for Collaboration Products and, through the JSC, agree upon and make the necessary changes thereto to maximize the potential that the Research Activities will advance the applicable Collaboration Products through CTA filing for such Collaboration Products. [***], Nkarta will [***] update the JSC with respect to the Nkarta Activities for any upcoming obligations CRISPR may have with respect to its obligations to [***]</w:t>
      </w:r>
      <w:bookmarkStart w:id="368" w:name="_Ref62310426"/>
      <w:bookmarkEnd w:id="368"/>
      <w:r>
        <w:rPr>
          <w:rFonts w:ascii="Times New Roman" w:hAnsi="Times New Roman"/>
          <w:b w:val="false"/>
          <w:i w:val="false"/>
          <w:caps w:val="false"/>
          <w:smallCaps w:val="false"/>
          <w:sz w:val="22"/>
        </w:rPr>
        <w:t>. Without limiting the foregoing, at each regularly scheduled meeting of the JSC, which shall be [***]: (a) prior to completion of Research Activities for the last Collaboration Product, each Party will provide detailed progress updates on its Research Activities for the Collaboration Products along with a reasonably detailed summary of data associated with such Research Activities; and (b) prior to expiration of the CRISPR Option Period, Nkarta will provide a reasonably detailed summary of progress updates on Nkarta Activities along with a reasonably detailed summary of data associated with such Nkarta Activities and a reasonably detailed summary of expected future Nkarta Activities, in each case solely for [***], which updates and summaries will be provided to JSC members at least [***] days in advance of any JSC meeting.  The agenda for meetings of the JSC will be set by the JSC representatives.</w:t>
      </w:r>
    </w:p>
    <w:p>
      <w:pPr>
        <w:pStyle w:val="TextBody"/>
        <w:spacing w:before="0" w:after="240"/>
        <w:ind w:left="1260" w:right="0" w:hanging="0"/>
        <w:jc w:val="both"/>
        <w:rPr>
          <w:rFonts w:ascii="Times New Roman" w:hAnsi="Times New Roman"/>
          <w:b w:val="false"/>
          <w:i w:val="false"/>
          <w:caps w:val="false"/>
          <w:smallCaps w:val="false"/>
          <w:sz w:val="22"/>
        </w:rPr>
      </w:pPr>
      <w:bookmarkStart w:id="369" w:name="_Ref516043767"/>
      <w:bookmarkStart w:id="370" w:name="_Ref427682949"/>
      <w:bookmarkStart w:id="371" w:name="_Ref425924076"/>
      <w:bookmarkEnd w:id="369"/>
      <w:bookmarkEnd w:id="370"/>
      <w:bookmarkEnd w:id="371"/>
      <w:r>
        <w:rPr>
          <w:rFonts w:ascii="Times New Roman" w:hAnsi="Times New Roman"/>
          <w:b w:val="false"/>
          <w:i w:val="false"/>
          <w:caps w:val="false"/>
          <w:smallCaps w:val="false"/>
          <w:sz w:val="22"/>
        </w:rPr>
        <w:t>2.6.</w:t>
      </w:r>
      <w:r>
        <w:rPr>
          <w:rFonts w:ascii="Times New Roman" w:hAnsi="Times New Roman"/>
          <w:b w:val="false"/>
          <w:i w:val="false"/>
          <w:caps w:val="false"/>
          <w:smallCaps w:val="false"/>
          <w:sz w:val="22"/>
          <w:u w:val="single"/>
        </w:rPr>
        <w:t>Collaboration Product Research Activities</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372" w:name="_Ref62379140"/>
      <w:bookmarkEnd w:id="372"/>
      <w:r>
        <w:rPr>
          <w:rFonts w:ascii="Times New Roman" w:hAnsi="Times New Roman"/>
          <w:b w:val="false"/>
          <w:i w:val="false"/>
          <w:caps w:val="false"/>
          <w:smallCaps w:val="false"/>
          <w:sz w:val="22"/>
        </w:rPr>
        <w:t>2.6.1.</w:t>
      </w:r>
      <w:r>
        <w:rPr>
          <w:rFonts w:ascii="Times New Roman" w:hAnsi="Times New Roman"/>
          <w:b w:val="false"/>
          <w:i w:val="false"/>
          <w:caps w:val="false"/>
          <w:smallCaps w:val="false"/>
          <w:sz w:val="22"/>
          <w:u w:val="single"/>
        </w:rPr>
        <w:t>Efforts</w:t>
      </w:r>
      <w:r>
        <w:rPr>
          <w:rFonts w:ascii="Times New Roman" w:hAnsi="Times New Roman"/>
          <w:b w:val="false"/>
          <w:i w:val="false"/>
          <w:caps w:val="false"/>
          <w:smallCaps w:val="false"/>
          <w:sz w:val="22"/>
        </w:rPr>
        <w:t>.  Each Party will use Commercially Reasonable Efforts to perform Research Activities on Collaboration Products for which such Party is responsible under each Research Plan for such Collaboration Products in accordance with the timelines and Research Budget set forth therein.  Without limiting the generality of the foregoing, each Party will, and will require its Affiliates and Subcontractors to, perform such Party’s Research Activities for Collaboration Products in a professional manner and in accordance with (a) all Applicable Laws, including where appropriate cGMP, GCP and GLP (or similar standards); (b) that level of care and skill ordinarily exercised in similar circumstances by providers of the same or similar services; (c) good scientific standards; and (d) the terms of this Agreement, [***], as the case may be), scientific expertise and resources.</w:t>
      </w:r>
    </w:p>
    <w:p>
      <w:pPr>
        <w:pStyle w:val="TextBody"/>
        <w:spacing w:before="0" w:after="240"/>
        <w:ind w:left="720" w:right="0" w:hanging="0"/>
        <w:jc w:val="both"/>
        <w:rPr>
          <w:rFonts w:ascii="Times New Roman" w:hAnsi="Times New Roman"/>
          <w:b w:val="false"/>
          <w:i w:val="false"/>
          <w:caps w:val="false"/>
          <w:smallCaps w:val="false"/>
          <w:sz w:val="22"/>
        </w:rPr>
      </w:pPr>
      <w:bookmarkStart w:id="373" w:name="_Ref_docxtools_222"/>
      <w:bookmarkStart w:id="374" w:name="_Ref62387849"/>
      <w:bookmarkEnd w:id="373"/>
      <w:bookmarkEnd w:id="374"/>
      <w:r>
        <w:rPr>
          <w:rFonts w:ascii="Times New Roman" w:hAnsi="Times New Roman"/>
          <w:b w:val="false"/>
          <w:i w:val="false"/>
          <w:caps w:val="false"/>
          <w:smallCaps w:val="false"/>
          <w:sz w:val="22"/>
        </w:rPr>
        <w:t>2.6.2.</w:t>
      </w:r>
      <w:r>
        <w:rPr>
          <w:rFonts w:ascii="Times New Roman" w:hAnsi="Times New Roman"/>
          <w:b w:val="false"/>
          <w:i w:val="false"/>
          <w:caps w:val="false"/>
          <w:smallCaps w:val="false"/>
          <w:sz w:val="22"/>
          <w:u w:val="single"/>
        </w:rPr>
        <w:t>Opt-Out Rights for Collaboration Products</w:t>
      </w:r>
      <w:r>
        <w:rPr>
          <w:rFonts w:ascii="Times New Roman" w:hAnsi="Times New Roman"/>
          <w:b w:val="false"/>
          <w:i w:val="false"/>
          <w:caps w:val="false"/>
          <w:smallCaps w:val="false"/>
          <w:sz w:val="22"/>
        </w:rPr>
        <w:t>.  Unless the Parties have entered into the JDCA for a given Collaboration Product, at any time during [***], a Party may opt out of continuing the Research of such Collaboration Product, by providing notice therewith to the other Party (the Party opting out, the “</w:t>
      </w:r>
      <w:r>
        <w:rPr>
          <w:rFonts w:ascii="Times New Roman" w:hAnsi="Times New Roman"/>
          <w:b/>
          <w:i w:val="false"/>
          <w:caps w:val="false"/>
          <w:smallCaps w:val="false"/>
          <w:sz w:val="22"/>
        </w:rPr>
        <w:t>Opt-Out Party</w:t>
      </w:r>
      <w:r>
        <w:rPr>
          <w:rFonts w:ascii="Times New Roman" w:hAnsi="Times New Roman"/>
          <w:b w:val="false"/>
          <w:i w:val="false"/>
          <w:caps w:val="false"/>
          <w:smallCaps w:val="false"/>
          <w:sz w:val="22"/>
        </w:rPr>
        <w:t>”, and the other Party, the “</w:t>
      </w:r>
      <w:r>
        <w:rPr>
          <w:rFonts w:ascii="Times New Roman" w:hAnsi="Times New Roman"/>
          <w:b/>
          <w:i w:val="false"/>
          <w:caps w:val="false"/>
          <w:smallCaps w:val="false"/>
          <w:sz w:val="22"/>
        </w:rPr>
        <w:t>Continuing Party</w:t>
      </w:r>
      <w:r>
        <w:rPr>
          <w:rFonts w:ascii="Times New Roman" w:hAnsi="Times New Roman"/>
          <w:b w:val="false"/>
          <w:i w:val="false"/>
          <w:caps w:val="false"/>
          <w:smallCaps w:val="false"/>
          <w:sz w:val="22"/>
        </w:rPr>
        <w:t>”). Upon receipt of such notice for a given Collaboration Product, the following shall apply:</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15</w:t>
      </w:r>
    </w:p>
    <w:p>
      <w:pPr>
        <w:pStyle w:val="HorizontalLine"/>
        <w:rPr/>
      </w:pPr>
      <w:r>
        <w:rPr/>
      </w:r>
    </w:p>
    <w:p>
      <w:pPr>
        <w:pStyle w:val="TextBody"/>
        <w:spacing w:before="0" w:after="0"/>
        <w:rPr/>
      </w:pPr>
      <w:r>
        <w:rPr/>
        <w:t> </w:t>
      </w:r>
    </w:p>
    <w:p>
      <w:pPr>
        <w:pStyle w:val="TextBody"/>
        <w:spacing w:before="0" w:after="0"/>
        <w:ind w:left="720" w:right="0" w:hanging="0"/>
        <w:jc w:val="both"/>
        <w:rPr/>
      </w:pPr>
      <w:bookmarkStart w:id="375" w:name="_AEIOULastRenderedPageBreakAEIOU16"/>
      <w:bookmarkStart w:id="376" w:name="_Hlk62643806"/>
      <w:bookmarkEnd w:id="375"/>
      <w:bookmarkEnd w:id="376"/>
      <w:r>
        <w:rPr/>
        <w:t>(a)</w:t>
      </w:r>
      <w:r>
        <w:rPr>
          <w:color w:val="000000"/>
        </w:rPr>
        <w:t>all rights and obligations of the Opt-Out Party under this Agreement with respect to such Collaboration Product shall terminate, except as expressly provided in the survival provisions of this Agreement;</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(b)the Opt-Out Party, subject to the terms and conditions of this Agreement, shall grant, and hereby grants, to the Continuing Party a [***].  Notwithstanding anything to the contrary herein,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(c)the Opt-Out Party shall do the following to allow the Continuing Party to continue Researching, Developing and Commercializing such Collaboration Product in the Field (it being agreed that the Parties intend to use reasonable efforts to minimize any material business interruptions):</w:t>
      </w:r>
    </w:p>
    <w:p>
      <w:pPr>
        <w:pStyle w:val="TextBody"/>
        <w:spacing w:before="0" w:after="240"/>
        <w:ind w:left="720" w:right="0" w:hanging="0"/>
        <w:jc w:val="both"/>
        <w:rPr/>
      </w:pPr>
      <w:r>
        <w:rPr/>
        <w:t>(i)</w:t>
      </w:r>
      <w:r>
        <w:rPr>
          <w:color w:val="000000"/>
        </w:rPr>
        <w:t>cease to have any further obligations with respect to such Collaboration Product except as set forth herein;</w:t>
      </w:r>
    </w:p>
    <w:p>
      <w:pPr>
        <w:pStyle w:val="TextBody"/>
        <w:spacing w:before="0" w:after="240"/>
        <w:ind w:left="720" w:right="0" w:hanging="0"/>
        <w:jc w:val="both"/>
        <w:rPr/>
      </w:pPr>
      <w:r>
        <w:rPr/>
        <w:t>(ii)</w:t>
      </w:r>
      <w:r>
        <w:rPr>
          <w:color w:val="000000"/>
        </w:rPr>
        <w:t>cease to incur any [***] with respect to such Collaboration Product, except as approved by the Continuing Party;</w:t>
      </w:r>
    </w:p>
    <w:p>
      <w:pPr>
        <w:pStyle w:val="TextBody"/>
        <w:spacing w:before="0" w:after="240"/>
        <w:ind w:left="720" w:right="0" w:hanging="0"/>
        <w:jc w:val="both"/>
        <w:rPr/>
      </w:pPr>
      <w:r>
        <w:rPr/>
        <w:t>(iii)</w:t>
      </w:r>
      <w:r>
        <w:rPr>
          <w:color w:val="000000"/>
        </w:rPr>
        <w:t>no later than [***] days after the date the Continuing Party exercises its right under this Section 2.6.2, provide a reasonably detailed summary of Research Activities with respect to such Collaboration Product undertaken under this Agreement;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(iv)as promptly as practicable, transfer to the Continuing Party copies of all data, reports, records and information in the Opt-Out Party’s Control to the extent that such data, reports, records or other information relate to such Collaboration Product in the Research Program (from which the Opt-Out Party may redact or remove any information that does not relate to such Collaboration Product in the Research Program);</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(v)If the Continuing Party so requests,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(vi)if the Opt-Out Party was responsible for [***] thereof as of the effective date of opt-out, at the Continuing Party’s discretion and request, the Opt-Out Party shall continue to be responsible [***] of such Collaboration Product [***] to the Continuing Party at the [***] until the Continuing Party has obtained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(vii)if the Continuing Party so requests, the Opt-Out Party shall transfer to the Continuing Party any [***] as of the date of opt-out at the [***];</w:t>
      </w:r>
    </w:p>
    <w:p>
      <w:pPr>
        <w:pStyle w:val="TextBody"/>
        <w:spacing w:before="0" w:after="240"/>
        <w:ind w:left="720" w:right="0" w:hanging="0"/>
        <w:jc w:val="both"/>
        <w:rPr/>
      </w:pPr>
      <w:r>
        <w:rPr/>
        <w:t>(viii)</w:t>
      </w:r>
      <w:r>
        <w:rPr>
          <w:color w:val="000000"/>
        </w:rPr>
        <w:t>undertake, and coordinate with the Continuing Party with respect to, any wind-down or transitional activities reasonably necessary to transfer to the Continuing Party or a Third Party designated by the Continuing Party all Research Activities for such Collaboration Product or Components thereof throughout the Territory with no or minimal interruption; provided that the Opt-Out Party shall continue (either itself or using a Third Party) any Research Activities with respect to such Collaboration Product for such period following the date the Continuing Party exercises its right under this Section 2.6.2 as is reasonably necessary to minimize any delays or other negative impact on such activities; provided, further, that the Parties shall reasonably cooperate in seeking to minimize the costs of such wind-down or transitional activities, with each Party understanding that no transfer of Research Activities for a Collaboration Product will be permitted to [***];</w:t>
      </w:r>
    </w:p>
    <w:p>
      <w:pPr>
        <w:pStyle w:val="TextBody"/>
        <w:spacing w:before="0" w:after="240"/>
        <w:ind w:left="720" w:right="0" w:hanging="0"/>
        <w:jc w:val="both"/>
        <w:rPr>
          <w:rFonts w:ascii="Times New Roman" w:hAnsi="Times New Roman"/>
          <w:b w:val="false"/>
          <w:i w:val="false"/>
          <w:caps w:val="false"/>
          <w:smallCaps w:val="false"/>
          <w:sz w:val="22"/>
        </w:rPr>
      </w:pPr>
      <w:bookmarkStart w:id="377" w:name="_AEIOULastRenderedPageBreakAEIOU17"/>
      <w:bookmarkEnd w:id="377"/>
      <w:r>
        <w:rPr>
          <w:rFonts w:ascii="Times New Roman" w:hAnsi="Times New Roman"/>
          <w:b w:val="false"/>
          <w:i w:val="false"/>
          <w:caps w:val="false"/>
          <w:smallCaps w:val="false"/>
          <w:sz w:val="22"/>
        </w:rPr>
        <w:t xml:space="preserve">(ix)provide any other assistance reasonably requested by the Continuing Party, at the expense of [***], for the purpose of allowing and enabling the Continuing Party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16</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to proceed expeditiously with the Research, Development and Commercialization of such Collaboration Product in the Field; provided that the Opt-Out Party’s obligations under this clause shall expire [***] after the date the Continuing Party exercises its right under this Section 2.6.2 (such period to be tolled automatically if the Opt-Out Party fails to provide such assistance in any material respect until such assistance is provided); and</w:t>
      </w:r>
    </w:p>
    <w:p>
      <w:pPr>
        <w:pStyle w:val="TextBody"/>
        <w:spacing w:before="0" w:after="240"/>
        <w:ind w:left="720" w:right="0" w:hanging="0"/>
        <w:jc w:val="both"/>
        <w:rPr/>
      </w:pPr>
      <w:r>
        <w:rPr/>
        <w:t>(x)</w:t>
      </w:r>
      <w:r>
        <w:rPr>
          <w:color w:val="000000"/>
        </w:rPr>
        <w:t>execute all documents and take all such further actions as may be reasonably necessary and requested by the Continuing Party in order to give effect to the foregoing clauses.</w:t>
      </w:r>
    </w:p>
    <w:p>
      <w:pPr>
        <w:pStyle w:val="TextBody"/>
        <w:spacing w:before="0" w:after="0"/>
        <w:ind w:left="720" w:right="0" w:hanging="0"/>
        <w:jc w:val="both"/>
        <w:rPr/>
      </w:pPr>
      <w:r>
        <w:rPr/>
        <w:t>(d)</w:t>
      </w:r>
      <w:r>
        <w:rPr>
          <w:color w:val="000000"/>
        </w:rPr>
        <w:t>[***].</w:t>
      </w:r>
    </w:p>
    <w:p>
      <w:pPr>
        <w:pStyle w:val="TextBody"/>
        <w:spacing w:before="0" w:after="0"/>
        <w:ind w:left="720" w:right="0" w:hanging="0"/>
        <w:jc w:val="both"/>
        <w:rPr/>
      </w:pPr>
      <w:r>
        <w:rPr/>
        <w:t>(e)</w:t>
      </w:r>
      <w:r>
        <w:rPr>
          <w:color w:val="000000"/>
        </w:rPr>
        <w:t>With respect to the Development and Commercialization of such Collaboration Product by or on behalf of the Continuing Party, the Continuing Party shall pay to the Opt-Out Party [***].</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(f)Upon an opt-out with respect to a given Collaboration Product, the Opt-Out Party shall not, itself or with or through any Affiliates or Third Parties: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(g)[***].</w:t>
      </w:r>
    </w:p>
    <w:p>
      <w:pPr>
        <w:pStyle w:val="TextBody"/>
        <w:spacing w:before="0" w:after="240"/>
        <w:ind w:left="1260" w:right="0" w:hanging="0"/>
        <w:jc w:val="both"/>
        <w:rPr>
          <w:rFonts w:ascii="Times New Roman" w:hAnsi="Times New Roman"/>
          <w:b w:val="false"/>
          <w:i w:val="false"/>
          <w:caps w:val="false"/>
          <w:smallCaps w:val="false"/>
          <w:sz w:val="22"/>
        </w:rPr>
      </w:pPr>
      <w:bookmarkStart w:id="378" w:name="_cp_text_1_1961"/>
      <w:bookmarkStart w:id="379" w:name="_cp_text_1_1951"/>
      <w:bookmarkStart w:id="380" w:name="_cp_text_1_1921"/>
      <w:bookmarkStart w:id="381" w:name="_Ref623848541"/>
      <w:bookmarkEnd w:id="378"/>
      <w:bookmarkEnd w:id="379"/>
      <w:bookmarkEnd w:id="380"/>
      <w:bookmarkEnd w:id="381"/>
      <w:r>
        <w:rPr>
          <w:rFonts w:ascii="Times New Roman" w:hAnsi="Times New Roman"/>
          <w:b w:val="false"/>
          <w:i w:val="false"/>
          <w:caps w:val="false"/>
          <w:smallCaps w:val="false"/>
          <w:sz w:val="22"/>
        </w:rPr>
        <w:t>2.7.</w:t>
      </w:r>
      <w:r>
        <w:rPr>
          <w:rFonts w:ascii="Times New Roman" w:hAnsi="Times New Roman"/>
          <w:b w:val="false"/>
          <w:i w:val="false"/>
          <w:caps w:val="false"/>
          <w:smallCaps w:val="false"/>
          <w:sz w:val="22"/>
          <w:u w:val="single"/>
        </w:rPr>
        <w:t>Nkarta Activities for Optionable Nkarta Products</w:t>
      </w:r>
      <w:bookmarkStart w:id="382" w:name="_Ref62384854"/>
      <w:bookmarkEnd w:id="382"/>
      <w:r>
        <w:rPr>
          <w:rFonts w:ascii="Times New Roman" w:hAnsi="Times New Roman"/>
          <w:b w:val="false"/>
          <w:i w:val="false"/>
          <w:caps w:val="false"/>
          <w:smallCaps w:val="false"/>
          <w:sz w:val="22"/>
        </w:rPr>
        <w:t>.  </w:t>
      </w:r>
      <w:bookmarkStart w:id="383" w:name="_cp_text_1_192"/>
      <w:bookmarkEnd w:id="383"/>
      <w:r>
        <w:rPr>
          <w:rFonts w:ascii="Times New Roman" w:hAnsi="Times New Roman"/>
          <w:b w:val="false"/>
          <w:i w:val="false"/>
          <w:caps w:val="false"/>
          <w:smallCaps w:val="false"/>
          <w:sz w:val="22"/>
        </w:rPr>
        <w:t>Nkarta will use Commercially Reasonable Efforts to Research [***] with the aim of generating the data and information necessary to provide an Nkarta Product Package to CRISPR for each [***]</w:t>
      </w:r>
      <w:bookmarkStart w:id="384" w:name="_cp_text_1_195"/>
      <w:bookmarkEnd w:id="384"/>
      <w:r>
        <w:rPr>
          <w:rFonts w:ascii="Times New Roman" w:hAnsi="Times New Roman"/>
          <w:b w:val="false"/>
          <w:i w:val="false"/>
          <w:caps w:val="false"/>
          <w:smallCaps w:val="false"/>
          <w:sz w:val="22"/>
        </w:rPr>
        <w:t xml:space="preserve">; provided that, for clarity, the foregoing obligation shall no longer be in effect with respect to any Nkarta Products (including </w:t>
      </w:r>
      <w:bookmarkStart w:id="385" w:name="_cp_text_1_196"/>
      <w:bookmarkEnd w:id="385"/>
      <w:r>
        <w:rPr>
          <w:rFonts w:ascii="Times New Roman" w:hAnsi="Times New Roman"/>
          <w:b w:val="false"/>
          <w:i w:val="false"/>
          <w:caps w:val="false"/>
          <w:smallCaps w:val="false"/>
          <w:sz w:val="22"/>
        </w:rPr>
        <w:t>[***]) following the earlier to occur of either the exercise by CRISPR of its CRISPR Option or the expiry of the CRISPR Option Period.  Nkarta shall provide the JSC with updates in accordance with Section 2.5 or at such other times as reasonably requested by CRISPR. Without limiting the generality of the foregoing, Nkarta will, and will require its Affiliates and Subcontractors to, perform Nkarta’s Research in a professional manner and in accordance with: (a) all Applicable Laws, including where appropriate cGMP, GCP and GLP (or similar standards); (b) that level of care and skill ordinarily exercised in similar circumstances by providers of the same or similar services; (c) good scientific standards; and (d) the terms of this Agreement, in each case, [***], scientific expertise and resources.</w:t>
      </w:r>
    </w:p>
    <w:p>
      <w:pPr>
        <w:pStyle w:val="TextBody"/>
        <w:spacing w:before="0" w:after="240"/>
        <w:ind w:left="1260" w:right="0" w:hanging="0"/>
        <w:jc w:val="both"/>
        <w:rPr>
          <w:rFonts w:ascii="Times New Roman" w:hAnsi="Times New Roman"/>
          <w:b w:val="false"/>
          <w:i w:val="false"/>
          <w:caps w:val="false"/>
          <w:smallCaps w:val="false"/>
          <w:sz w:val="22"/>
        </w:rPr>
      </w:pPr>
      <w:bookmarkStart w:id="386" w:name="_Ref60615708"/>
      <w:bookmarkStart w:id="387" w:name="_Ref423969733"/>
      <w:bookmarkEnd w:id="386"/>
      <w:bookmarkEnd w:id="387"/>
      <w:r>
        <w:rPr>
          <w:rFonts w:ascii="Times New Roman" w:hAnsi="Times New Roman"/>
          <w:b w:val="false"/>
          <w:i w:val="false"/>
          <w:caps w:val="false"/>
          <w:smallCaps w:val="false"/>
          <w:sz w:val="22"/>
        </w:rPr>
        <w:t>2.8.</w:t>
      </w:r>
      <w:r>
        <w:rPr>
          <w:rFonts w:ascii="Times New Roman" w:hAnsi="Times New Roman"/>
          <w:b w:val="false"/>
          <w:i w:val="false"/>
          <w:caps w:val="false"/>
          <w:smallCaps w:val="false"/>
          <w:sz w:val="22"/>
          <w:u w:val="single"/>
        </w:rPr>
        <w:t>Subcontractors</w:t>
      </w:r>
      <w:r>
        <w:rPr>
          <w:rFonts w:ascii="Times New Roman" w:hAnsi="Times New Roman"/>
          <w:b w:val="false"/>
          <w:i w:val="false"/>
          <w:caps w:val="false"/>
          <w:smallCaps w:val="false"/>
          <w:sz w:val="22"/>
        </w:rPr>
        <w:t>.  Each Party may engage consultants, subcontractors, or other vendors (each, a “</w:t>
      </w:r>
      <w:r>
        <w:rPr>
          <w:rFonts w:ascii="Times New Roman" w:hAnsi="Times New Roman"/>
          <w:b/>
          <w:i w:val="false"/>
          <w:caps w:val="false"/>
          <w:smallCaps w:val="false"/>
          <w:sz w:val="22"/>
        </w:rPr>
        <w:t>Subcontractor</w:t>
      </w:r>
      <w:r>
        <w:rPr>
          <w:rFonts w:ascii="Times New Roman" w:hAnsi="Times New Roman"/>
          <w:b w:val="false"/>
          <w:i w:val="false"/>
          <w:caps w:val="false"/>
          <w:smallCaps w:val="false"/>
          <w:sz w:val="22"/>
        </w:rPr>
        <w:t>”) to perform any Research Activities. Each contract between a Party and a Subcontractor for Research Activities will be consistent with the provisions of this Agreement (including Article 9 and Article 14).  Each Party will be responsible for the effective and timely management of and payment of its Subcontractors.  The engagement of any Subcontractor in compliance with this Section will not relieve the applicable Party of its obligations under this Agreement or the Research Plan.  The Parties will each be solely responsible for any taxes, including income, withholding, payroll, VAT, sales tax or the like, that arise from their respective use of a Subcontractor.</w:t>
      </w:r>
    </w:p>
    <w:p>
      <w:pPr>
        <w:pStyle w:val="TextBody"/>
        <w:spacing w:before="0" w:after="240"/>
        <w:ind w:left="1260" w:right="0" w:hanging="0"/>
        <w:jc w:val="both"/>
        <w:rPr>
          <w:rFonts w:ascii="Times New Roman" w:hAnsi="Times New Roman"/>
          <w:b w:val="false"/>
          <w:i w:val="false"/>
          <w:caps w:val="false"/>
          <w:smallCaps w:val="false"/>
          <w:sz w:val="22"/>
        </w:rPr>
      </w:pPr>
      <w:bookmarkStart w:id="388" w:name="_Ref427683058"/>
      <w:bookmarkEnd w:id="388"/>
      <w:r>
        <w:rPr>
          <w:rFonts w:ascii="Times New Roman" w:hAnsi="Times New Roman"/>
          <w:b w:val="false"/>
          <w:i w:val="false"/>
          <w:caps w:val="false"/>
          <w:smallCaps w:val="false"/>
          <w:sz w:val="22"/>
        </w:rPr>
        <w:t>2.9.</w:t>
      </w:r>
      <w:r>
        <w:rPr>
          <w:rFonts w:ascii="Times New Roman" w:hAnsi="Times New Roman"/>
          <w:b w:val="false"/>
          <w:i w:val="false"/>
          <w:caps w:val="false"/>
          <w:smallCaps w:val="false"/>
          <w:sz w:val="22"/>
          <w:u w:val="single"/>
        </w:rPr>
        <w:t>Research Costs</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2.9.1.</w:t>
      </w:r>
      <w:r>
        <w:rPr>
          <w:rFonts w:ascii="Times New Roman" w:hAnsi="Times New Roman"/>
          <w:b w:val="false"/>
          <w:i w:val="false"/>
          <w:caps w:val="false"/>
          <w:smallCaps w:val="false"/>
          <w:sz w:val="22"/>
          <w:u w:val="single"/>
        </w:rPr>
        <w:t>Collaboration Products</w:t>
      </w:r>
      <w:r>
        <w:rPr>
          <w:rFonts w:ascii="Times New Roman" w:hAnsi="Times New Roman"/>
          <w:b w:val="false"/>
          <w:i w:val="false"/>
          <w:caps w:val="false"/>
          <w:smallCaps w:val="false"/>
          <w:sz w:val="22"/>
        </w:rPr>
        <w:t>.</w:t>
      </w:r>
    </w:p>
    <w:p>
      <w:pPr>
        <w:pStyle w:val="TextBody"/>
        <w:spacing w:before="0" w:after="0"/>
        <w:ind w:left="720" w:right="0" w:hanging="0"/>
        <w:jc w:val="both"/>
        <w:rPr>
          <w:rFonts w:ascii="Times New Roman" w:hAnsi="Times New Roman"/>
          <w:b w:val="false"/>
          <w:i w:val="false"/>
          <w:caps w:val="false"/>
          <w:smallCaps w:val="false"/>
          <w:sz w:val="22"/>
        </w:rPr>
      </w:pPr>
      <w:bookmarkStart w:id="389" w:name="_AEIOULastRenderedPageBreakAEIOU18"/>
      <w:bookmarkEnd w:id="389"/>
      <w:r>
        <w:rPr>
          <w:rFonts w:ascii="Times New Roman" w:hAnsi="Times New Roman"/>
          <w:b w:val="false"/>
          <w:i w:val="false"/>
          <w:caps w:val="false"/>
          <w:smallCaps w:val="false"/>
          <w:sz w:val="22"/>
        </w:rPr>
        <w:t>(a)</w:t>
      </w:r>
      <w:r>
        <w:rPr>
          <w:rFonts w:ascii="Times New Roman" w:hAnsi="Times New Roman"/>
          <w:b w:val="false"/>
          <w:i w:val="false"/>
          <w:caps w:val="false"/>
          <w:smallCaps w:val="false"/>
          <w:sz w:val="22"/>
          <w:u w:val="single"/>
        </w:rPr>
        <w:t>Payment of Costs; Summary Statements</w:t>
      </w:r>
      <w:r>
        <w:rPr>
          <w:rFonts w:ascii="Times New Roman" w:hAnsi="Times New Roman"/>
          <w:b w:val="false"/>
          <w:i w:val="false"/>
          <w:caps w:val="false"/>
          <w:smallCaps w:val="false"/>
          <w:sz w:val="22"/>
        </w:rPr>
        <w:t xml:space="preserve">.  Subject to reconciliation as provided in Section 2.9.1(b), the Party initially incurring Research Costs will be responsible for and pay for all such Research Costs so incurred.  Each Party will maintain the books and records referred to in Section 2.9.1(d) and will accrue all Research Costs in accordance with the terms and conditions hereof and in accordance with GAAP.  No later than [***] Business Days after the end of each Calendar Quarter, each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17</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Party will submit to the other a non-binding, good faith estimate of the Research Costs accrued during the just-ended Calendar Quarter.  No later than [***] days after the end of each Calendar Quarter, each Party will submit to the other a written report reflecting the accrual of Research Costs during the just-ended Calendar Quarter (each, a “</w:t>
      </w:r>
      <w:r>
        <w:rPr>
          <w:rFonts w:ascii="Times New Roman" w:hAnsi="Times New Roman"/>
          <w:b/>
          <w:i w:val="false"/>
          <w:caps w:val="false"/>
          <w:smallCaps w:val="false"/>
          <w:sz w:val="22"/>
        </w:rPr>
        <w:t>Summary Statement</w:t>
      </w:r>
      <w:r>
        <w:rPr>
          <w:rFonts w:ascii="Times New Roman" w:hAnsi="Times New Roman"/>
          <w:b w:val="false"/>
          <w:i w:val="false"/>
          <w:caps w:val="false"/>
          <w:smallCaps w:val="false"/>
          <w:sz w:val="22"/>
        </w:rPr>
        <w:t>”).  Each Summary Statement (after the initial Summary Statement) will reflect an adjustment for the actual amount of the previous Calendar Quarter as needed.  Any reporting and reconciliation of variances between estimated and actual costs and expenses may be delayed by a Calendar Quarter as reasonably necessary in light of a Party’s internal reporting procedures.  The Parties’ respective Summary Statements will serve as the basis of the Reconciliation Reports prepared by the Parties pursuant to Section 2.9.1(b).  Upon the request of either Party from time to time, the Parties’ respective finance departments, coordinated by the JSC, will discuss any questions or issues arising from the Summary Statements, including the basis for the accrual of specific Research Costs.</w:t>
      </w:r>
    </w:p>
    <w:p>
      <w:pPr>
        <w:pStyle w:val="TextBody"/>
        <w:spacing w:before="0" w:after="0"/>
        <w:ind w:left="720" w:right="0" w:hanging="0"/>
        <w:jc w:val="both"/>
        <w:rPr>
          <w:rFonts w:ascii="Times New Roman" w:hAnsi="Times New Roman"/>
          <w:b w:val="false"/>
          <w:i w:val="false"/>
          <w:caps w:val="false"/>
          <w:smallCaps w:val="false"/>
          <w:sz w:val="22"/>
        </w:rPr>
      </w:pPr>
      <w:bookmarkStart w:id="390" w:name="_Ref62312193"/>
      <w:bookmarkEnd w:id="390"/>
      <w:r>
        <w:rPr>
          <w:rFonts w:ascii="Times New Roman" w:hAnsi="Times New Roman"/>
          <w:b w:val="false"/>
          <w:i w:val="false"/>
          <w:caps w:val="false"/>
          <w:smallCaps w:val="false"/>
          <w:sz w:val="22"/>
        </w:rPr>
        <w:t>(b)</w:t>
      </w:r>
      <w:r>
        <w:rPr>
          <w:rFonts w:ascii="Times New Roman" w:hAnsi="Times New Roman"/>
          <w:b w:val="false"/>
          <w:i w:val="false"/>
          <w:caps w:val="false"/>
          <w:smallCaps w:val="false"/>
          <w:sz w:val="22"/>
          <w:u w:val="single"/>
        </w:rPr>
        <w:t>Reconciliation</w:t>
      </w:r>
      <w:r>
        <w:rPr>
          <w:rFonts w:ascii="Times New Roman" w:hAnsi="Times New Roman"/>
          <w:b w:val="false"/>
          <w:i w:val="false"/>
          <w:caps w:val="false"/>
          <w:smallCaps w:val="false"/>
          <w:sz w:val="22"/>
        </w:rPr>
        <w:t xml:space="preserve">.  CRISPR will prepare a reconciliation report, as soon as practicable after receipt of Nkarta’s Summary Statement, but in any event no later than [***] days after the end of each Calendar Quarter, accompanied by reasonable supporting documents and calculations sufficient to support each Party’s financial reporting obligations, independent auditor requirements and obligations under the Sarbanes-Oxley Act, which reconciles the amounts accrued and reported in each Party’s Summary Statement during such Calendar Quarter and the share of the Research Costs to be allocated to each of the Parties for such Calendar Quarter, which allocation shall be </w:t>
      </w:r>
      <w:r>
        <w:rPr>
          <w:rFonts w:ascii="Times New Roman" w:hAnsi="Times New Roman"/>
          <w:b w:val="false"/>
          <w:i w:val="false"/>
          <w:caps w:val="false"/>
          <w:smallCaps w:val="false"/>
          <w:color w:val="000000"/>
          <w:sz w:val="22"/>
        </w:rPr>
        <w:t>fifty percent (50%) for each Party of such Research Costs</w:t>
      </w:r>
      <w:r>
        <w:rPr>
          <w:rFonts w:ascii="Times New Roman" w:hAnsi="Times New Roman"/>
          <w:b w:val="false"/>
          <w:i w:val="false"/>
          <w:caps w:val="false"/>
          <w:smallCaps w:val="false"/>
          <w:sz w:val="22"/>
        </w:rPr>
        <w:t xml:space="preserve"> (such report, the “</w:t>
      </w:r>
      <w:r>
        <w:rPr>
          <w:rFonts w:ascii="Times New Roman" w:hAnsi="Times New Roman"/>
          <w:b/>
          <w:i w:val="false"/>
          <w:caps w:val="false"/>
          <w:smallCaps w:val="false"/>
          <w:sz w:val="22"/>
        </w:rPr>
        <w:t>Reconciliation Report</w:t>
      </w:r>
      <w:r>
        <w:rPr>
          <w:rFonts w:ascii="Times New Roman" w:hAnsi="Times New Roman"/>
          <w:b w:val="false"/>
          <w:i w:val="false"/>
          <w:caps w:val="false"/>
          <w:smallCaps w:val="false"/>
          <w:sz w:val="22"/>
        </w:rPr>
        <w:t>”).  Payment to reconcile Research Costs shall be made by the owing Party to the other Party no later than [***] days after such Reconciliation Report is complete.</w:t>
      </w:r>
    </w:p>
    <w:p>
      <w:pPr>
        <w:pStyle w:val="TextBody"/>
        <w:spacing w:before="0" w:after="0"/>
        <w:ind w:left="720" w:right="0" w:hanging="0"/>
        <w:jc w:val="both"/>
        <w:rPr>
          <w:rFonts w:ascii="Times New Roman" w:hAnsi="Times New Roman"/>
          <w:b w:val="false"/>
          <w:i w:val="false"/>
          <w:caps w:val="false"/>
          <w:smallCaps w:val="false"/>
          <w:sz w:val="22"/>
        </w:rPr>
      </w:pPr>
      <w:bookmarkStart w:id="391" w:name="_Ref62335382"/>
      <w:bookmarkEnd w:id="391"/>
      <w:r>
        <w:rPr>
          <w:rFonts w:ascii="Times New Roman" w:hAnsi="Times New Roman"/>
          <w:b w:val="false"/>
          <w:i w:val="false"/>
          <w:caps w:val="false"/>
          <w:smallCaps w:val="false"/>
          <w:sz w:val="22"/>
        </w:rPr>
        <w:t>(c)</w:t>
      </w:r>
      <w:r>
        <w:rPr>
          <w:rFonts w:ascii="Times New Roman" w:hAnsi="Times New Roman"/>
          <w:b w:val="false"/>
          <w:i w:val="false"/>
          <w:caps w:val="false"/>
          <w:smallCaps w:val="false"/>
          <w:sz w:val="22"/>
          <w:u w:val="single"/>
        </w:rPr>
        <w:t>Cost Overruns</w:t>
      </w:r>
      <w:r>
        <w:rPr>
          <w:rFonts w:ascii="Times New Roman" w:hAnsi="Times New Roman"/>
          <w:b w:val="false"/>
          <w:i w:val="false"/>
          <w:caps w:val="false"/>
          <w:smallCaps w:val="false"/>
          <w:sz w:val="22"/>
        </w:rPr>
        <w:t>.  If a Party’s Research Costs in any Calendar Year are likely to exceed or exceed those set forth in the Research Budget for all of its activities under the applicable Research Plan, in such Calendar Year by up to [***] of the aggregate amount set forth in such Research Budget, such Party will provide the other Party with a detailed, itemized explanation for such excess costs and expenses, and such excess costs and expenses will be included in the Research Costs, and shared by the Parties as provided herein.  To the extent a Party’s Research Costs exceed those set forth in the Research Budget, by more than [***], unless otherwise agreed by the Parties, such expenses will not be shared by the Parties and [***] will be solely responsible for such expenses.</w:t>
      </w:r>
    </w:p>
    <w:p>
      <w:pPr>
        <w:pStyle w:val="TextBody"/>
        <w:spacing w:before="0" w:after="240"/>
        <w:ind w:left="720" w:right="0" w:hanging="0"/>
        <w:jc w:val="both"/>
        <w:rPr>
          <w:rFonts w:ascii="Times New Roman" w:hAnsi="Times New Roman"/>
          <w:b w:val="false"/>
          <w:i w:val="false"/>
          <w:caps w:val="false"/>
          <w:smallCaps w:val="false"/>
          <w:sz w:val="22"/>
        </w:rPr>
      </w:pPr>
      <w:bookmarkStart w:id="392" w:name="_AEIOULastRenderedPageBreakAEIOU19"/>
      <w:bookmarkStart w:id="393" w:name="_Ref62312211"/>
      <w:bookmarkEnd w:id="392"/>
      <w:bookmarkEnd w:id="393"/>
      <w:r>
        <w:rPr>
          <w:rFonts w:ascii="Times New Roman" w:hAnsi="Times New Roman"/>
          <w:b w:val="false"/>
          <w:i w:val="false"/>
          <w:caps w:val="false"/>
          <w:smallCaps w:val="false"/>
          <w:sz w:val="22"/>
        </w:rPr>
        <w:t>(d)</w:t>
      </w:r>
      <w:r>
        <w:rPr>
          <w:rFonts w:ascii="Times New Roman" w:hAnsi="Times New Roman"/>
          <w:b w:val="false"/>
          <w:i w:val="false"/>
          <w:caps w:val="false"/>
          <w:smallCaps w:val="false"/>
          <w:sz w:val="22"/>
          <w:u w:val="single"/>
        </w:rPr>
        <w:t>Books and Records</w:t>
      </w:r>
      <w:r>
        <w:rPr>
          <w:rFonts w:ascii="Times New Roman" w:hAnsi="Times New Roman"/>
          <w:b w:val="false"/>
          <w:i w:val="false"/>
          <w:caps w:val="false"/>
          <w:smallCaps w:val="false"/>
          <w:sz w:val="22"/>
        </w:rPr>
        <w:t>.  Each Party will keep and maintain accurate and complete records regarding Research Costs, during the three (3) preceding Calendar Years.  Upon [***] days’ prior written notice from the other Party (the “</w:t>
      </w:r>
      <w:r>
        <w:rPr>
          <w:rFonts w:ascii="Times New Roman" w:hAnsi="Times New Roman"/>
          <w:b/>
          <w:i w:val="false"/>
          <w:caps w:val="false"/>
          <w:smallCaps w:val="false"/>
          <w:sz w:val="22"/>
        </w:rPr>
        <w:t>Auditing Party</w:t>
      </w:r>
      <w:r>
        <w:rPr>
          <w:rFonts w:ascii="Times New Roman" w:hAnsi="Times New Roman"/>
          <w:b w:val="false"/>
          <w:i w:val="false"/>
          <w:caps w:val="false"/>
          <w:smallCaps w:val="false"/>
          <w:sz w:val="22"/>
        </w:rPr>
        <w:t>”), the Party required to maintain such records (as applicable, the “</w:t>
      </w:r>
      <w:r>
        <w:rPr>
          <w:rFonts w:ascii="Times New Roman" w:hAnsi="Times New Roman"/>
          <w:b/>
          <w:i w:val="false"/>
          <w:caps w:val="false"/>
          <w:smallCaps w:val="false"/>
          <w:sz w:val="22"/>
        </w:rPr>
        <w:t>Audited Party</w:t>
      </w:r>
      <w:r>
        <w:rPr>
          <w:rFonts w:ascii="Times New Roman" w:hAnsi="Times New Roman"/>
          <w:b w:val="false"/>
          <w:i w:val="false"/>
          <w:caps w:val="false"/>
          <w:smallCaps w:val="false"/>
          <w:sz w:val="22"/>
        </w:rPr>
        <w:t xml:space="preserve">”) will permit an independent certified public accounting firm of internationally recognized standing, selected by the Auditing Party and reasonably acceptable to the Audited Party, to examine the relevant books and records of the Audited Party and its Affiliates, as may be reasonably necessary to verify the Summary Statements and Reconciliation Reports.  An examination by the Auditing Party under this Section 2.9.1(d) will occur not more than [***] in any Calendar Year and will be limited to the pertinent books and records for any Calendar Year ending not more than [***] months before the date of the request.  The accounting firm will be provided access to such books and records at the Audited Party’s facility or facilities where such books and records are normally kept and such examination will be conducted during the Audited Party’s normal business hours.  The Audited Party may require the accounting firm to sign a customary non-disclosure agreement before providing the accounting firm access to its facilities or records.  Upon completion of the audit, the accounting firm will provide both the Auditing Party and the Audited Party a written report disclosing whether the applicable Summary Statements and Reconciliation Reports are correct or incorrect and the specific details concerning any discrepancies.  No other information will be provided to the Auditing Party.  If the report or information submitted by the Audited Party results in an underpayment or overpayment, the Party owing underpaid or overpaid amount will promptly pay such amount to the other Party, and, if, as a result of such inaccurate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18</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report or information, such amount is more than [***] of the amount that was owed the Audited Party will reimburse the Auditing Party for the reasonable expense incurred by the Auditing Party in connection with the audit.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2.9.2.</w:t>
      </w:r>
      <w:r>
        <w:rPr>
          <w:rFonts w:ascii="Times New Roman" w:hAnsi="Times New Roman"/>
          <w:b w:val="false"/>
          <w:i w:val="false"/>
          <w:caps w:val="false"/>
          <w:smallCaps w:val="false"/>
          <w:sz w:val="22"/>
          <w:u w:val="single"/>
        </w:rPr>
        <w:t>Nkarta Products</w:t>
      </w:r>
      <w:r>
        <w:rPr>
          <w:rFonts w:ascii="Times New Roman" w:hAnsi="Times New Roman"/>
          <w:b w:val="false"/>
          <w:i w:val="false"/>
          <w:caps w:val="false"/>
          <w:smallCaps w:val="false"/>
          <w:sz w:val="22"/>
        </w:rPr>
        <w:t>.  All costs incurred by Nkarta in connection with Nkarta Activities for Nkarta Products will be borne solely by [***].</w:t>
      </w:r>
    </w:p>
    <w:p>
      <w:pPr>
        <w:pStyle w:val="TextBody"/>
        <w:spacing w:before="0" w:after="240"/>
        <w:ind w:left="1260" w:right="0" w:hanging="0"/>
        <w:jc w:val="both"/>
        <w:rPr>
          <w:rFonts w:ascii="Times New Roman" w:hAnsi="Times New Roman"/>
          <w:b w:val="false"/>
          <w:i w:val="false"/>
          <w:caps w:val="false"/>
          <w:smallCaps w:val="false"/>
          <w:sz w:val="22"/>
        </w:rPr>
      </w:pPr>
      <w:bookmarkStart w:id="394" w:name="DocXTextRef791"/>
      <w:bookmarkStart w:id="395" w:name="_Ref3720115741"/>
      <w:bookmarkStart w:id="396" w:name="_Ref426016309"/>
      <w:bookmarkStart w:id="397" w:name="_Ref425412537"/>
      <w:bookmarkStart w:id="398" w:name="_Ref413428529"/>
      <w:bookmarkStart w:id="399" w:name="_Ref514754555"/>
      <w:bookmarkEnd w:id="394"/>
      <w:bookmarkEnd w:id="395"/>
      <w:bookmarkEnd w:id="396"/>
      <w:bookmarkEnd w:id="397"/>
      <w:bookmarkEnd w:id="398"/>
      <w:bookmarkEnd w:id="399"/>
      <w:r>
        <w:rPr>
          <w:rFonts w:ascii="Times New Roman" w:hAnsi="Times New Roman"/>
          <w:b w:val="false"/>
          <w:i w:val="false"/>
          <w:caps w:val="false"/>
          <w:smallCaps w:val="false"/>
          <w:sz w:val="22"/>
        </w:rPr>
        <w:t>2.10.</w:t>
      </w:r>
      <w:r>
        <w:rPr>
          <w:rFonts w:ascii="Times New Roman" w:hAnsi="Times New Roman"/>
          <w:b w:val="false"/>
          <w:i w:val="false"/>
          <w:caps w:val="false"/>
          <w:smallCaps w:val="false"/>
          <w:sz w:val="22"/>
          <w:u w:val="single"/>
        </w:rPr>
        <w:t>Transfer of Materials</w:t>
      </w:r>
      <w:bookmarkStart w:id="400" w:name="_Ref372011574"/>
      <w:bookmarkEnd w:id="400"/>
      <w:r>
        <w:rPr>
          <w:rFonts w:ascii="Times New Roman" w:hAnsi="Times New Roman"/>
          <w:b w:val="false"/>
          <w:i w:val="false"/>
          <w:caps w:val="false"/>
          <w:smallCaps w:val="false"/>
          <w:sz w:val="22"/>
        </w:rPr>
        <w:t>.  To facilitate the conduct of Research Activities, each Party will provide any Materials required by the Research Plan to be transferred to the other Party, and each Party may provide to the other Party certain other Materials.  Except as otherwise expressly set forth herein, all Materials (including any progeny, unmodified derivatives and modifications thereof, other than any such progeny, unmodified derivatives and modifications that become Collaboration Products) (a) will remain the sole property of the supplying Party, (b) will be used only in the fulfillment of the receiving Party’s obligations or exercise of rights under this Agreement, (c) will remain solely under the control of the receiving Party, (d) will not be used or delivered by the receiving Party to or for the benefit of any Third Party (other than a permitted Subcontractor) without the prior written consent of the supplying Party, and, (e) will not be used in research or testing involving human subjects, unless expressly agreed in writing.  Subject to Sections 11.1 and 11.2</w:t>
      </w:r>
      <w:bookmarkStart w:id="401" w:name="DocXTextRef79"/>
      <w:bookmarkEnd w:id="401"/>
      <w:r>
        <w:rPr>
          <w:rFonts w:ascii="Times New Roman" w:hAnsi="Times New Roman"/>
          <w:b w:val="false"/>
          <w:i w:val="false"/>
          <w:caps w:val="false"/>
          <w:smallCaps w:val="false"/>
          <w:sz w:val="22"/>
        </w:rPr>
        <w:t>, as applicable, all Materials supplied under this Section 2.10 are supplied “as is”, with no warranties of fitness for a particular purpose and must be used with prudence and appropriate caution in any experimental work, since not all of their characteristics may be known.</w:t>
      </w:r>
    </w:p>
    <w:p>
      <w:pPr>
        <w:pStyle w:val="TextBody"/>
        <w:spacing w:before="0" w:after="240"/>
        <w:ind w:left="1260" w:right="0" w:hanging="0"/>
        <w:jc w:val="both"/>
        <w:rPr>
          <w:rFonts w:ascii="Times New Roman" w:hAnsi="Times New Roman"/>
          <w:b w:val="false"/>
          <w:i w:val="false"/>
          <w:caps w:val="false"/>
          <w:smallCaps w:val="false"/>
          <w:sz w:val="22"/>
        </w:rPr>
      </w:pPr>
      <w:bookmarkStart w:id="402" w:name="_Ref69667486"/>
      <w:bookmarkEnd w:id="402"/>
      <w:r>
        <w:rPr>
          <w:rFonts w:ascii="Times New Roman" w:hAnsi="Times New Roman"/>
          <w:b w:val="false"/>
          <w:i w:val="false"/>
          <w:caps w:val="false"/>
          <w:smallCaps w:val="false"/>
          <w:sz w:val="22"/>
        </w:rPr>
        <w:t>2.11.</w:t>
      </w:r>
      <w:r>
        <w:rPr>
          <w:rFonts w:ascii="Times New Roman" w:hAnsi="Times New Roman"/>
          <w:b w:val="false"/>
          <w:i w:val="false"/>
          <w:caps w:val="false"/>
          <w:smallCaps w:val="false"/>
          <w:sz w:val="22"/>
          <w:u w:val="single"/>
        </w:rPr>
        <w:t xml:space="preserve">CRISPR Right to </w:t>
      </w:r>
      <w:r>
        <w:rPr>
          <w:rFonts w:ascii="Times New Roman" w:hAnsi="Times New Roman"/>
          <w:b w:val="false"/>
          <w:i w:val="false"/>
          <w:caps w:val="false"/>
          <w:smallCaps w:val="false"/>
          <w:sz w:val="22"/>
        </w:rPr>
        <w:t>[***].  At any time during the Term, CRISPR may [***], and CRISPR shall [***].  Subject to Section 6.1.3, the JSC shall determine [***].</w:t>
      </w:r>
    </w:p>
    <w:p>
      <w:pPr>
        <w:pStyle w:val="TextBody"/>
        <w:spacing w:before="0" w:after="240"/>
        <w:jc w:val="center"/>
        <w:rPr>
          <w:rFonts w:ascii="Times New Roman" w:hAnsi="Times New Roman"/>
          <w:b/>
          <w:i w:val="false"/>
          <w:caps w:val="false"/>
          <w:smallCaps w:val="false"/>
          <w:sz w:val="22"/>
        </w:rPr>
      </w:pPr>
      <w:bookmarkStart w:id="403" w:name="_Ref_docxtools_2501"/>
      <w:bookmarkStart w:id="404" w:name="_Ref623053051"/>
      <w:bookmarkStart w:id="405" w:name="_Ref427137917"/>
      <w:bookmarkStart w:id="406" w:name="_Ref426624153"/>
      <w:bookmarkStart w:id="407" w:name="_Ref426534417"/>
      <w:bookmarkStart w:id="408" w:name="_Ref430695838"/>
      <w:bookmarkEnd w:id="403"/>
      <w:bookmarkEnd w:id="404"/>
      <w:bookmarkEnd w:id="405"/>
      <w:bookmarkEnd w:id="406"/>
      <w:bookmarkEnd w:id="407"/>
      <w:bookmarkEnd w:id="408"/>
      <w:r>
        <w:rPr>
          <w:rFonts w:ascii="Times New Roman" w:hAnsi="Times New Roman"/>
          <w:b/>
          <w:i w:val="false"/>
          <w:caps w:val="false"/>
          <w:smallCaps w:val="false"/>
          <w:sz w:val="22"/>
        </w:rPr>
        <w:t>Article 3.</w:t>
        <w:br/>
      </w:r>
      <w:bookmarkStart w:id="409" w:name="_Ref_docxtools_250"/>
      <w:bookmarkStart w:id="410" w:name="_Ref62305305"/>
      <w:bookmarkEnd w:id="409"/>
      <w:bookmarkEnd w:id="410"/>
      <w:r>
        <w:rPr>
          <w:rFonts w:ascii="Times New Roman" w:hAnsi="Times New Roman"/>
          <w:b/>
          <w:i w:val="false"/>
          <w:caps w:val="false"/>
          <w:smallCaps w:val="false"/>
          <w:sz w:val="22"/>
        </w:rPr>
        <w:t>EXCLUSIVITY</w:t>
      </w:r>
    </w:p>
    <w:p>
      <w:pPr>
        <w:pStyle w:val="TextBody"/>
        <w:spacing w:before="0" w:after="240"/>
        <w:ind w:left="1260" w:right="0" w:hanging="0"/>
        <w:jc w:val="both"/>
        <w:rPr>
          <w:rFonts w:ascii="Times New Roman" w:hAnsi="Times New Roman"/>
          <w:b w:val="false"/>
          <w:i w:val="false"/>
          <w:caps w:val="false"/>
          <w:smallCaps w:val="false"/>
          <w:sz w:val="22"/>
        </w:rPr>
      </w:pPr>
      <w:bookmarkStart w:id="411" w:name="_Ref425414345"/>
      <w:bookmarkStart w:id="412" w:name="_Ref_docxtools_251"/>
      <w:bookmarkStart w:id="413" w:name="_Ref60602754"/>
      <w:bookmarkEnd w:id="411"/>
      <w:bookmarkEnd w:id="412"/>
      <w:bookmarkEnd w:id="413"/>
      <w:r>
        <w:rPr>
          <w:rFonts w:ascii="Times New Roman" w:hAnsi="Times New Roman"/>
          <w:b w:val="false"/>
          <w:i w:val="false"/>
          <w:caps w:val="false"/>
          <w:smallCaps w:val="false"/>
          <w:sz w:val="22"/>
        </w:rPr>
        <w:t>3.1.</w:t>
      </w:r>
      <w:r>
        <w:rPr>
          <w:rFonts w:ascii="Times New Roman" w:hAnsi="Times New Roman"/>
          <w:b w:val="false"/>
          <w:i w:val="false"/>
          <w:caps w:val="false"/>
          <w:smallCaps w:val="false"/>
          <w:sz w:val="22"/>
          <w:u w:val="single"/>
        </w:rPr>
        <w:t>Exclusivity Covenants</w:t>
      </w:r>
      <w:r>
        <w:rPr>
          <w:rFonts w:ascii="Times New Roman" w:hAnsi="Times New Roman"/>
          <w:b w:val="false"/>
          <w:i w:val="false"/>
          <w:caps w:val="false"/>
          <w:smallCaps w:val="false"/>
          <w:sz w:val="22"/>
        </w:rPr>
        <w:t>.  Subject to Section 3.1.3, Section 3.2 and Section 3.3:</w:t>
      </w:r>
    </w:p>
    <w:p>
      <w:pPr>
        <w:pStyle w:val="TextBody"/>
        <w:spacing w:lineRule="auto" w:line="288"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3.1.1.Each Party agrees that, commencing on the Effective Date and continuing until the third (3rd) anniversary thereof, unless the Agreement is terminated early (the “</w:t>
      </w:r>
      <w:r>
        <w:rPr>
          <w:rFonts w:ascii="Times New Roman" w:hAnsi="Times New Roman"/>
          <w:b/>
          <w:i w:val="false"/>
          <w:caps w:val="false"/>
          <w:smallCaps w:val="false"/>
          <w:sz w:val="22"/>
        </w:rPr>
        <w:t>Exclusivity Period</w:t>
      </w:r>
      <w:r>
        <w:rPr>
          <w:rFonts w:ascii="Times New Roman" w:hAnsi="Times New Roman"/>
          <w:b w:val="false"/>
          <w:i w:val="false"/>
          <w:caps w:val="false"/>
          <w:smallCaps w:val="false"/>
          <w:sz w:val="22"/>
        </w:rPr>
        <w:t>”), except in the performance of its obligations or exercise of its rights under this Agreement, neither it nor any of its Affiliates will work for their own account or with any Third Party (including the grant of any license, option or other similar right to any Third Party) with respect to the discovery, research, development, manufacture or commercialization, in each case, in the Field, of any: (a) pharmaceutical product, medical therapy, preparation, substance, or formulation that, in each case, comprises NK cells that are both: (i) derived from Allogeneic Donor Cells; and (ii) edited by the use of any Gene-Editing Technology; or (b) pharmaceutical product, medical therapy, preparation, substance, or formulation that, in each case, comprises NK+T cells that, in each case of such NK cells and T cells, are both: (i) derived from Allogeneic Donor Cells; and (ii) edited by the use of any Gene-Editing Technology.</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3.1.2.Each Party agrees that during the Term, except in the performance of its obligations or exercise of its rights under this Agreement, neither it nor any of its Affiliates will work for their own account or with any Third Party (including the grant of any license, option or other similar right to any Third Party) with respect to the discovery, research, development, manufacture or commercialization, in each case, in the Field, of any pharmaceutical product, medical therapy, preparation, substance, or formulation that, in each case, comprises NK cells or NK+T cells that, in each case, are: (a) derived from Allogeneic Donor Cells or derived from stem cells; and (b) directed to or against any of the tumor targets that any Collaboration Product principally targets, excluding any endogenous NK cell targeting.</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19</w:t>
      </w:r>
    </w:p>
    <w:p>
      <w:pPr>
        <w:pStyle w:val="HorizontalLine"/>
        <w:rPr/>
      </w:pPr>
      <w:r>
        <w:rPr/>
      </w:r>
    </w:p>
    <w:p>
      <w:pPr>
        <w:pStyle w:val="TextBody"/>
        <w:spacing w:before="0" w:after="0"/>
        <w:rPr/>
      </w:pPr>
      <w:r>
        <w:rPr/>
        <w:t> </w:t>
      </w:r>
    </w:p>
    <w:p>
      <w:pPr>
        <w:pStyle w:val="TextBody"/>
        <w:spacing w:before="0" w:after="240"/>
        <w:jc w:val="both"/>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414" w:name="_Ref68108999"/>
      <w:bookmarkEnd w:id="414"/>
      <w:r>
        <w:rPr>
          <w:rFonts w:ascii="Times New Roman" w:hAnsi="Times New Roman"/>
          <w:b w:val="false"/>
          <w:i w:val="false"/>
          <w:caps w:val="false"/>
          <w:smallCaps w:val="false"/>
          <w:sz w:val="22"/>
        </w:rPr>
        <w:t>3.1.3.For clarity and notwithstanding anything to the contrary in this Agreement, the exclusivity fields set forth in this Section 3.1 shall exclude: [***].</w:t>
      </w:r>
    </w:p>
    <w:p>
      <w:pPr>
        <w:pStyle w:val="TextBody"/>
        <w:spacing w:before="0" w:after="240"/>
        <w:ind w:left="1260" w:right="0" w:hanging="0"/>
        <w:jc w:val="both"/>
        <w:rPr>
          <w:rFonts w:ascii="Times New Roman" w:hAnsi="Times New Roman"/>
          <w:b w:val="false"/>
          <w:i w:val="false"/>
          <w:caps w:val="false"/>
          <w:smallCaps w:val="false"/>
          <w:sz w:val="22"/>
        </w:rPr>
      </w:pPr>
      <w:bookmarkStart w:id="415" w:name="_Ref427077071"/>
      <w:bookmarkStart w:id="416" w:name="_Ref514241182"/>
      <w:bookmarkStart w:id="417" w:name="_Ref433381345"/>
      <w:bookmarkEnd w:id="415"/>
      <w:bookmarkEnd w:id="416"/>
      <w:bookmarkEnd w:id="417"/>
      <w:r>
        <w:rPr>
          <w:rFonts w:ascii="Times New Roman" w:hAnsi="Times New Roman"/>
          <w:b w:val="false"/>
          <w:i w:val="false"/>
          <w:caps w:val="false"/>
          <w:smallCaps w:val="false"/>
          <w:sz w:val="22"/>
        </w:rPr>
        <w:t>3.2.</w:t>
      </w:r>
      <w:r>
        <w:rPr>
          <w:rFonts w:ascii="Times New Roman" w:hAnsi="Times New Roman"/>
          <w:b w:val="false"/>
          <w:i w:val="false"/>
          <w:caps w:val="false"/>
          <w:smallCaps w:val="false"/>
          <w:sz w:val="22"/>
          <w:u w:val="single"/>
        </w:rPr>
        <w:t>Acquisition of Distracting Product</w:t>
      </w:r>
      <w:r>
        <w:rPr>
          <w:rFonts w:ascii="Times New Roman" w:hAnsi="Times New Roman"/>
          <w:b w:val="false"/>
          <w:i w:val="false"/>
          <w:caps w:val="false"/>
          <w:smallCaps w:val="false"/>
          <w:sz w:val="22"/>
        </w:rPr>
        <w:t>.  If a Party or, subject to Section 3.3, any of its Affiliates (such Party, the “</w:t>
      </w:r>
      <w:r>
        <w:rPr>
          <w:rFonts w:ascii="Times New Roman" w:hAnsi="Times New Roman"/>
          <w:b/>
          <w:i w:val="false"/>
          <w:caps w:val="false"/>
          <w:smallCaps w:val="false"/>
          <w:sz w:val="22"/>
        </w:rPr>
        <w:t>Distracted Party</w:t>
      </w:r>
      <w:r>
        <w:rPr>
          <w:rFonts w:ascii="Times New Roman" w:hAnsi="Times New Roman"/>
          <w:b w:val="false"/>
          <w:i w:val="false"/>
          <w:caps w:val="false"/>
          <w:smallCaps w:val="false"/>
          <w:sz w:val="22"/>
        </w:rPr>
        <w:t>”) acquires rights to research, develop or commercialize a Distracting Product as the result of a merger, acquisition or combination with or of a Third Party other than a Change of Control (each, an “</w:t>
      </w:r>
      <w:r>
        <w:rPr>
          <w:rFonts w:ascii="Times New Roman" w:hAnsi="Times New Roman"/>
          <w:b/>
          <w:i w:val="false"/>
          <w:caps w:val="false"/>
          <w:smallCaps w:val="false"/>
          <w:sz w:val="22"/>
        </w:rPr>
        <w:t>Acquisition Transaction</w:t>
      </w:r>
      <w:r>
        <w:rPr>
          <w:rFonts w:ascii="Times New Roman" w:hAnsi="Times New Roman"/>
          <w:b w:val="false"/>
          <w:i w:val="false"/>
          <w:caps w:val="false"/>
          <w:smallCaps w:val="false"/>
          <w:sz w:val="22"/>
        </w:rPr>
        <w:t>”) and, on the date of the completion of such Acquisition Transaction, the research, development, manufacturing or commercialization of the Distracting Product would, but for the provisions of this Section 3.2, constitute a breach of Section 3.1, then the Distracted Party or such Affiliate will, within [***] days after the completion of such Acquisition Transaction notify the other Party of such Acquisition Transaction and either:</w:t>
      </w:r>
    </w:p>
    <w:p>
      <w:pPr>
        <w:pStyle w:val="TextBody"/>
        <w:spacing w:before="0" w:after="240"/>
        <w:ind w:left="720" w:right="0" w:hanging="0"/>
        <w:jc w:val="both"/>
        <w:rPr>
          <w:rFonts w:ascii="Times New Roman" w:hAnsi="Times New Roman"/>
          <w:b w:val="false"/>
          <w:i w:val="false"/>
          <w:caps w:val="false"/>
          <w:smallCaps w:val="false"/>
          <w:sz w:val="22"/>
        </w:rPr>
      </w:pPr>
      <w:bookmarkStart w:id="418" w:name="_Ref_docxtools_257"/>
      <w:bookmarkStart w:id="419" w:name="_Ref60618490"/>
      <w:bookmarkEnd w:id="418"/>
      <w:bookmarkEnd w:id="419"/>
      <w:r>
        <w:rPr>
          <w:rFonts w:ascii="Times New Roman" w:hAnsi="Times New Roman"/>
          <w:b w:val="false"/>
          <w:i w:val="false"/>
          <w:caps w:val="false"/>
          <w:smallCaps w:val="false"/>
          <w:sz w:val="22"/>
        </w:rPr>
        <w:t>3.2.1.request that such Distracting Product be included in this Agreement on terms to be negotiated, [***];</w:t>
      </w:r>
    </w:p>
    <w:p>
      <w:pPr>
        <w:pStyle w:val="TextBody"/>
        <w:spacing w:before="0" w:after="240"/>
        <w:ind w:left="720" w:right="0" w:hanging="0"/>
        <w:jc w:val="both"/>
        <w:rPr>
          <w:rFonts w:ascii="Times New Roman" w:hAnsi="Times New Roman"/>
          <w:b w:val="false"/>
          <w:i w:val="false"/>
          <w:caps w:val="false"/>
          <w:smallCaps w:val="false"/>
          <w:sz w:val="22"/>
        </w:rPr>
      </w:pPr>
      <w:bookmarkStart w:id="420" w:name="_Ref_docxtools_258"/>
      <w:bookmarkStart w:id="421" w:name="_Ref60618523"/>
      <w:bookmarkEnd w:id="420"/>
      <w:bookmarkEnd w:id="421"/>
      <w:r>
        <w:rPr>
          <w:rFonts w:ascii="Times New Roman" w:hAnsi="Times New Roman"/>
          <w:b w:val="false"/>
          <w:i w:val="false"/>
          <w:caps w:val="false"/>
          <w:smallCaps w:val="false"/>
          <w:sz w:val="22"/>
        </w:rPr>
        <w:t>3.2.2.notify the other Party that the Distracted Party or its Affiliate will Divest its rights to such Distracting Product, in which case, within [***] days after the completion of the Acquisition Transaction (or such longer period as may be agreed by the Parties in writing), the Distracted Party or its Affiliate will Divest such Distracting Product; or</w:t>
      </w:r>
    </w:p>
    <w:p>
      <w:pPr>
        <w:pStyle w:val="TextBody"/>
        <w:spacing w:before="0" w:after="240"/>
        <w:ind w:left="720" w:right="0" w:hanging="0"/>
        <w:jc w:val="both"/>
        <w:rPr>
          <w:rFonts w:ascii="Times New Roman" w:hAnsi="Times New Roman"/>
          <w:b w:val="false"/>
          <w:i w:val="false"/>
          <w:caps w:val="false"/>
          <w:smallCaps w:val="false"/>
          <w:sz w:val="22"/>
        </w:rPr>
      </w:pPr>
      <w:bookmarkStart w:id="422" w:name="_Ref_docxtools_259"/>
      <w:bookmarkEnd w:id="422"/>
      <w:r>
        <w:rPr>
          <w:rFonts w:ascii="Times New Roman" w:hAnsi="Times New Roman"/>
          <w:b w:val="false"/>
          <w:i w:val="false"/>
          <w:caps w:val="false"/>
          <w:smallCaps w:val="false"/>
          <w:sz w:val="22"/>
        </w:rPr>
        <w:t>3.2.3.notify the other Party in writing that it is ceasing all such research, development, manufacturing and commercialization activities with respect to the Distracting Product, in which case, within [***] days thereafter (or such longer period as may be agreed by the Parties in writing) the Distracted Party and its Affiliates will cease all such activities.</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During the discussion period under Section 3.2.1, prior to the time of Divestiture pursuant to Section 3.2.2 or prior to the termination of activities pursuant to Section 3.2.3, as applicable, the Distracted Party and its Affiliates will use Commercially Reasonable Efforts to segregate all research, development, manufacturing or commercialization activities relating to the Distracting Product from Research Activities under this Agreement, including using Commercially Reasonable Efforts to ensure that: [***].</w:t>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423" w:name="_Ref62403313"/>
      <w:bookmarkEnd w:id="423"/>
      <w:r>
        <w:rPr>
          <w:rFonts w:ascii="Times New Roman" w:hAnsi="Times New Roman"/>
          <w:b w:val="false"/>
          <w:i w:val="false"/>
          <w:caps w:val="false"/>
          <w:smallCaps w:val="false"/>
          <w:sz w:val="22"/>
        </w:rPr>
        <w:t>3.3.</w:t>
      </w:r>
      <w:r>
        <w:rPr>
          <w:rFonts w:ascii="Times New Roman" w:hAnsi="Times New Roman"/>
          <w:b w:val="false"/>
          <w:i w:val="false"/>
          <w:caps w:val="false"/>
          <w:smallCaps w:val="false"/>
          <w:sz w:val="22"/>
          <w:u w:val="single"/>
        </w:rPr>
        <w:t>Change of Control</w:t>
      </w:r>
      <w:r>
        <w:rPr>
          <w:rFonts w:ascii="Times New Roman" w:hAnsi="Times New Roman"/>
          <w:b w:val="false"/>
          <w:i w:val="false"/>
          <w:caps w:val="false"/>
          <w:smallCaps w:val="false"/>
          <w:sz w:val="22"/>
        </w:rPr>
        <w:t>.  If there is a Change of Control of a Party, the obligations of Sections 3.1 will not apply to any Distracting Product that exists prior to the closing of such Change of Control (as such product may thereafter be improved); provided that: [***].  In addition, notwithstanding Section 3.2, the obligations of Sections 3.1 will not apply to any Distracting Product where [***].</w:t>
      </w:r>
    </w:p>
    <w:p>
      <w:pPr>
        <w:pStyle w:val="TextBody"/>
        <w:spacing w:before="0" w:after="240"/>
        <w:jc w:val="center"/>
        <w:rPr>
          <w:rFonts w:ascii="Times New Roman" w:hAnsi="Times New Roman"/>
          <w:b/>
          <w:i w:val="false"/>
          <w:caps w:val="false"/>
          <w:smallCaps w:val="false"/>
          <w:sz w:val="22"/>
        </w:rPr>
      </w:pPr>
      <w:bookmarkStart w:id="424" w:name="_Ref_docxtools_2631"/>
      <w:bookmarkStart w:id="425" w:name="_Ref609469121"/>
      <w:bookmarkStart w:id="426" w:name="_Ref309026133"/>
      <w:bookmarkStart w:id="427" w:name="_Ref373323946"/>
      <w:bookmarkStart w:id="428" w:name="_Toc412296752"/>
      <w:bookmarkStart w:id="429" w:name="_Toc421941462"/>
      <w:bookmarkStart w:id="430" w:name="_Toc421941156"/>
      <w:bookmarkStart w:id="431" w:name="_Toc421940478"/>
      <w:bookmarkStart w:id="432" w:name="_Toc417970499"/>
      <w:bookmarkStart w:id="433" w:name="_Ref416967597"/>
      <w:bookmarkStart w:id="434" w:name="_Ref433210595"/>
      <w:bookmarkEnd w:id="424"/>
      <w:bookmarkEnd w:id="425"/>
      <w:bookmarkEnd w:id="426"/>
      <w:bookmarkEnd w:id="427"/>
      <w:bookmarkEnd w:id="428"/>
      <w:bookmarkEnd w:id="429"/>
      <w:bookmarkEnd w:id="430"/>
      <w:bookmarkEnd w:id="431"/>
      <w:bookmarkEnd w:id="432"/>
      <w:bookmarkEnd w:id="433"/>
      <w:bookmarkEnd w:id="434"/>
      <w:r>
        <w:rPr>
          <w:rFonts w:ascii="Times New Roman" w:hAnsi="Times New Roman"/>
          <w:b/>
          <w:i w:val="false"/>
          <w:caps w:val="false"/>
          <w:smallCaps w:val="false"/>
          <w:sz w:val="22"/>
        </w:rPr>
        <w:t>Article 4.</w:t>
        <w:br/>
      </w:r>
      <w:bookmarkStart w:id="435" w:name="_Ref_docxtools_263"/>
      <w:bookmarkStart w:id="436" w:name="_Ref60946912"/>
      <w:bookmarkEnd w:id="435"/>
      <w:bookmarkEnd w:id="436"/>
      <w:r>
        <w:rPr>
          <w:rFonts w:ascii="Times New Roman" w:hAnsi="Times New Roman"/>
          <w:b/>
          <w:i w:val="false"/>
          <w:caps w:val="false"/>
          <w:smallCaps w:val="false"/>
          <w:sz w:val="22"/>
        </w:rPr>
        <w:t>ADDITIONAL GENE-EDITING TARGETS; NKARTA PRODUCTS</w:t>
      </w:r>
    </w:p>
    <w:p>
      <w:pPr>
        <w:pStyle w:val="TextBody"/>
        <w:spacing w:before="0" w:after="240"/>
        <w:ind w:left="1260" w:right="0" w:hanging="0"/>
        <w:jc w:val="both"/>
        <w:rPr>
          <w:rFonts w:ascii="Times New Roman" w:hAnsi="Times New Roman"/>
          <w:b w:val="false"/>
          <w:i w:val="false"/>
          <w:caps w:val="false"/>
          <w:smallCaps w:val="false"/>
          <w:sz w:val="22"/>
        </w:rPr>
      </w:pPr>
      <w:bookmarkStart w:id="437" w:name="_Ref49114738"/>
      <w:bookmarkEnd w:id="437"/>
      <w:r>
        <w:rPr>
          <w:rFonts w:ascii="Times New Roman" w:hAnsi="Times New Roman"/>
          <w:b w:val="false"/>
          <w:i w:val="false"/>
          <w:caps w:val="false"/>
          <w:smallCaps w:val="false"/>
          <w:sz w:val="22"/>
        </w:rPr>
        <w:t>4.1.</w:t>
      </w:r>
      <w:r>
        <w:rPr>
          <w:rFonts w:ascii="Times New Roman" w:hAnsi="Times New Roman"/>
          <w:b w:val="false"/>
          <w:i w:val="false"/>
          <w:caps w:val="false"/>
          <w:smallCaps w:val="false"/>
          <w:sz w:val="22"/>
          <w:u w:val="single"/>
        </w:rPr>
        <w:t>Additional Gene-Editing Targets</w:t>
      </w:r>
      <w:r>
        <w:rPr>
          <w:rFonts w:ascii="Times New Roman" w:hAnsi="Times New Roman"/>
          <w:b w:val="false"/>
          <w:i w:val="false"/>
          <w:caps w:val="false"/>
          <w:smallCaps w:val="false"/>
          <w:sz w:val="22"/>
        </w:rPr>
        <w:t>.  Nkarta shall, during the period commencing on the Effective Date and [***] (the “</w:t>
      </w:r>
      <w:r>
        <w:rPr>
          <w:rFonts w:ascii="Times New Roman" w:hAnsi="Times New Roman"/>
          <w:b/>
          <w:i w:val="false"/>
          <w:caps w:val="false"/>
          <w:smallCaps w:val="false"/>
          <w:sz w:val="22"/>
        </w:rPr>
        <w:t>Designation Term</w:t>
      </w:r>
      <w:r>
        <w:rPr>
          <w:rFonts w:ascii="Times New Roman" w:hAnsi="Times New Roman"/>
          <w:b w:val="false"/>
          <w:i w:val="false"/>
          <w:caps w:val="false"/>
          <w:smallCaps w:val="false"/>
          <w:sz w:val="22"/>
        </w:rPr>
        <w:t>”), have the right to designate, in accordance with this Article 4, up to [***] (“</w:t>
      </w:r>
      <w:r>
        <w:rPr>
          <w:rFonts w:ascii="Times New Roman" w:hAnsi="Times New Roman"/>
          <w:b/>
          <w:i w:val="false"/>
          <w:caps w:val="false"/>
          <w:smallCaps w:val="false"/>
          <w:sz w:val="22"/>
        </w:rPr>
        <w:t>Additional Gene-Editing Targets</w:t>
      </w:r>
      <w:r>
        <w:rPr>
          <w:rFonts w:ascii="Times New Roman" w:hAnsi="Times New Roman"/>
          <w:b w:val="false"/>
          <w:i w:val="false"/>
          <w:caps w:val="false"/>
          <w:smallCaps w:val="false"/>
          <w:sz w:val="22"/>
        </w:rPr>
        <w:t>”) for inclusion in the Target Pool for Nkarta to Research, Develop and Commercialize Nkarta Products.  For the avoidance of doubt, any such gene-editing target shall be [***].</w:t>
      </w:r>
    </w:p>
    <w:p>
      <w:pPr>
        <w:pStyle w:val="TextBody"/>
        <w:spacing w:before="0" w:after="240"/>
        <w:ind w:left="1260" w:right="0" w:hanging="0"/>
        <w:jc w:val="both"/>
        <w:rPr>
          <w:rFonts w:ascii="Times New Roman" w:hAnsi="Times New Roman"/>
          <w:b w:val="false"/>
          <w:i w:val="false"/>
          <w:caps w:val="false"/>
          <w:smallCaps w:val="false"/>
          <w:sz w:val="22"/>
        </w:rPr>
      </w:pPr>
      <w:bookmarkStart w:id="438" w:name="_Ref482680741"/>
      <w:bookmarkStart w:id="439" w:name="_Ref61013304"/>
      <w:bookmarkEnd w:id="438"/>
      <w:bookmarkEnd w:id="439"/>
      <w:r>
        <w:rPr>
          <w:rFonts w:ascii="Times New Roman" w:hAnsi="Times New Roman"/>
          <w:b w:val="false"/>
          <w:i w:val="false"/>
          <w:caps w:val="false"/>
          <w:smallCaps w:val="false"/>
          <w:sz w:val="22"/>
        </w:rPr>
        <w:t>4.2.</w:t>
      </w:r>
      <w:r>
        <w:rPr>
          <w:rFonts w:ascii="Times New Roman" w:hAnsi="Times New Roman"/>
          <w:b w:val="false"/>
          <w:i w:val="false"/>
          <w:caps w:val="false"/>
          <w:smallCaps w:val="false"/>
          <w:sz w:val="22"/>
          <w:u w:val="single"/>
        </w:rPr>
        <w:t>Excluded Targets</w:t>
      </w:r>
      <w:r>
        <w:rPr>
          <w:rFonts w:ascii="Times New Roman" w:hAnsi="Times New Roman"/>
          <w:b w:val="false"/>
          <w:i w:val="false"/>
          <w:caps w:val="false"/>
          <w:smallCaps w:val="false"/>
          <w:sz w:val="22"/>
        </w:rPr>
        <w:t>.</w:t>
      </w:r>
      <w:bookmarkStart w:id="440" w:name="_Ref48268074"/>
      <w:bookmarkEnd w:id="440"/>
      <w:r>
        <w:rPr>
          <w:rFonts w:ascii="Times New Roman" w:hAnsi="Times New Roman"/>
          <w:b w:val="false"/>
          <w:i w:val="false"/>
          <w:caps w:val="false"/>
          <w:smallCaps w:val="false"/>
          <w:sz w:val="22"/>
        </w:rPr>
        <w:t>  Prior to the Effective Date, the Parties acknowledge that [***].</w:t>
      </w:r>
    </w:p>
    <w:p>
      <w:pPr>
        <w:pStyle w:val="TextBody"/>
        <w:spacing w:before="0" w:after="240"/>
        <w:ind w:left="1260" w:right="0" w:hanging="0"/>
        <w:jc w:val="both"/>
        <w:rPr>
          <w:rFonts w:ascii="Times New Roman" w:hAnsi="Times New Roman"/>
          <w:b w:val="false"/>
          <w:i w:val="false"/>
          <w:caps w:val="false"/>
          <w:smallCaps w:val="false"/>
          <w:sz w:val="22"/>
        </w:rPr>
      </w:pPr>
      <w:bookmarkStart w:id="441" w:name="_Ref491148751"/>
      <w:bookmarkStart w:id="442" w:name="_Ref610133881"/>
      <w:bookmarkStart w:id="443" w:name="_Ref62402190"/>
      <w:bookmarkEnd w:id="441"/>
      <w:bookmarkEnd w:id="442"/>
      <w:bookmarkEnd w:id="443"/>
      <w:r>
        <w:rPr>
          <w:rFonts w:ascii="Times New Roman" w:hAnsi="Times New Roman"/>
          <w:b w:val="false"/>
          <w:i w:val="false"/>
          <w:caps w:val="false"/>
          <w:smallCaps w:val="false"/>
          <w:sz w:val="22"/>
        </w:rPr>
        <w:t>4.3.</w:t>
      </w:r>
      <w:bookmarkStart w:id="444" w:name="_Ref49114875"/>
      <w:bookmarkStart w:id="445" w:name="_Ref61013388"/>
      <w:bookmarkEnd w:id="444"/>
      <w:bookmarkEnd w:id="445"/>
      <w:r>
        <w:rPr>
          <w:rFonts w:ascii="Times New Roman" w:hAnsi="Times New Roman"/>
          <w:b w:val="false"/>
          <w:i w:val="false"/>
          <w:caps w:val="false"/>
          <w:smallCaps w:val="false"/>
          <w:sz w:val="22"/>
          <w:u w:val="single"/>
        </w:rPr>
        <w:t>Nomination; Third Party Gatekeeper Verification</w:t>
      </w:r>
      <w:r>
        <w:rPr>
          <w:rFonts w:ascii="Times New Roman" w:hAnsi="Times New Roman"/>
          <w:b w:val="false"/>
          <w:i w:val="false"/>
          <w:caps w:val="false"/>
          <w:smallCaps w:val="false"/>
          <w:sz w:val="22"/>
        </w:rPr>
        <w:t>.</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20</w:t>
      </w:r>
    </w:p>
    <w:p>
      <w:pPr>
        <w:pStyle w:val="HorizontalLine"/>
        <w:rPr/>
      </w:pPr>
      <w:r>
        <w:rPr/>
      </w:r>
    </w:p>
    <w:p>
      <w:pPr>
        <w:pStyle w:val="TextBody"/>
        <w:spacing w:before="0" w:after="0"/>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446" w:name="_AEIOULastRenderedPageBreakAEIOU20"/>
      <w:bookmarkStart w:id="447" w:name="_Ref60939907"/>
      <w:bookmarkStart w:id="448" w:name="_Ref62588590"/>
      <w:bookmarkEnd w:id="446"/>
      <w:bookmarkEnd w:id="447"/>
      <w:bookmarkEnd w:id="448"/>
      <w:r>
        <w:rPr>
          <w:rFonts w:ascii="Times New Roman" w:hAnsi="Times New Roman"/>
          <w:b w:val="false"/>
          <w:i w:val="false"/>
          <w:caps w:val="false"/>
          <w:smallCaps w:val="false"/>
          <w:sz w:val="22"/>
        </w:rPr>
        <w:t>4.3.1.</w:t>
      </w:r>
      <w:r>
        <w:rPr>
          <w:rFonts w:ascii="Times New Roman" w:hAnsi="Times New Roman"/>
          <w:b w:val="false"/>
          <w:i w:val="false"/>
          <w:caps w:val="false"/>
          <w:smallCaps w:val="false"/>
          <w:sz w:val="22"/>
          <w:u w:val="single"/>
        </w:rPr>
        <w:t>Nomination</w:t>
      </w:r>
      <w:r>
        <w:rPr>
          <w:rFonts w:ascii="Times New Roman" w:hAnsi="Times New Roman"/>
          <w:b w:val="false"/>
          <w:i w:val="false"/>
          <w:caps w:val="false"/>
          <w:smallCaps w:val="false"/>
          <w:sz w:val="22"/>
        </w:rPr>
        <w:t>.  Nkarta may provide written notice to CRISPR, nominating a gene-editing target to be an Additional Gene-Edited Target (each, a “</w:t>
      </w:r>
      <w:r>
        <w:rPr>
          <w:rFonts w:ascii="Times New Roman" w:hAnsi="Times New Roman"/>
          <w:b/>
          <w:i w:val="false"/>
          <w:caps w:val="false"/>
          <w:smallCaps w:val="false"/>
          <w:sz w:val="22"/>
        </w:rPr>
        <w:t>Nominated Target</w:t>
      </w:r>
      <w:r>
        <w:rPr>
          <w:rFonts w:ascii="Times New Roman" w:hAnsi="Times New Roman"/>
          <w:b w:val="false"/>
          <w:i w:val="false"/>
          <w:caps w:val="false"/>
          <w:smallCaps w:val="false"/>
          <w:sz w:val="22"/>
        </w:rPr>
        <w:t>”), pursuant to the following schedule: [***].  If the Nominated Target is [***], then such Nominated Target shall be designated as an Additional Gene-Editing Target Verified by the Third Party Gatekeeper in accordance with Section 4.3.2.</w:t>
      </w:r>
    </w:p>
    <w:p>
      <w:pPr>
        <w:pStyle w:val="TextBody"/>
        <w:spacing w:before="0" w:after="240"/>
        <w:ind w:left="720" w:right="0" w:hanging="0"/>
        <w:jc w:val="both"/>
        <w:rPr>
          <w:rFonts w:ascii="Times New Roman" w:hAnsi="Times New Roman"/>
          <w:b w:val="false"/>
          <w:i w:val="false"/>
          <w:caps w:val="false"/>
          <w:smallCaps w:val="false"/>
          <w:sz w:val="22"/>
        </w:rPr>
      </w:pPr>
      <w:bookmarkStart w:id="449" w:name="_Ref484346041"/>
      <w:bookmarkStart w:id="450" w:name="_Ref_docxtools_268"/>
      <w:bookmarkStart w:id="451" w:name="_Ref62588528"/>
      <w:bookmarkEnd w:id="449"/>
      <w:bookmarkEnd w:id="450"/>
      <w:bookmarkEnd w:id="451"/>
      <w:r>
        <w:rPr>
          <w:rFonts w:ascii="Times New Roman" w:hAnsi="Times New Roman"/>
          <w:b w:val="false"/>
          <w:i w:val="false"/>
          <w:caps w:val="false"/>
          <w:smallCaps w:val="false"/>
          <w:sz w:val="22"/>
        </w:rPr>
        <w:t>4.3.2.</w:t>
      </w:r>
      <w:r>
        <w:rPr>
          <w:rFonts w:ascii="Times New Roman" w:hAnsi="Times New Roman"/>
          <w:b w:val="false"/>
          <w:i w:val="false"/>
          <w:caps w:val="false"/>
          <w:smallCaps w:val="false"/>
          <w:sz w:val="22"/>
          <w:u w:val="single"/>
        </w:rPr>
        <w:t>Verifying Nominated Targets</w:t>
      </w:r>
      <w:r>
        <w:rPr>
          <w:rFonts w:ascii="Times New Roman" w:hAnsi="Times New Roman"/>
          <w:b w:val="false"/>
          <w:i w:val="false"/>
          <w:caps w:val="false"/>
          <w:smallCaps w:val="false"/>
          <w:sz w:val="22"/>
        </w:rPr>
        <w:t>.  If Nkarta provides notice to CRISPR of a Nominated Target pursuant to Section 4.3.1</w:t>
      </w:r>
      <w:bookmarkStart w:id="452" w:name="_Ref48434604"/>
      <w:bookmarkEnd w:id="452"/>
      <w:r>
        <w:rPr>
          <w:rFonts w:ascii="Times New Roman" w:hAnsi="Times New Roman"/>
          <w:b w:val="false"/>
          <w:i w:val="false"/>
          <w:caps w:val="false"/>
          <w:smallCaps w:val="false"/>
          <w:sz w:val="22"/>
        </w:rPr>
        <w:t>, then the Parties shall request that the Third Party Gatekeeper Verify that a Nominated Target is not an Excluded Target, to determine whether such Nominated Target may be deemed an Additional Gene-Editing Target.  In accordance with the foregoing, [***]. Nothing in this Agreement shall require CRISPR to inform Nkarta of the identity or development stage of, indication for, or any other information or data about or associated with any of the Excluded Targets.</w:t>
      </w:r>
    </w:p>
    <w:p>
      <w:pPr>
        <w:pStyle w:val="TextBody"/>
        <w:spacing w:before="0" w:after="240"/>
        <w:ind w:left="1260" w:right="0" w:hanging="0"/>
        <w:jc w:val="both"/>
        <w:rPr>
          <w:rFonts w:ascii="Times New Roman" w:hAnsi="Times New Roman"/>
          <w:b w:val="false"/>
          <w:i w:val="false"/>
          <w:caps w:val="false"/>
          <w:smallCaps w:val="false"/>
          <w:sz w:val="22"/>
        </w:rPr>
      </w:pPr>
      <w:bookmarkStart w:id="453" w:name="_Ref60994085"/>
      <w:bookmarkEnd w:id="453"/>
      <w:r>
        <w:rPr>
          <w:rFonts w:ascii="Times New Roman" w:hAnsi="Times New Roman"/>
          <w:b w:val="false"/>
          <w:i w:val="false"/>
          <w:caps w:val="false"/>
          <w:smallCaps w:val="false"/>
          <w:sz w:val="22"/>
        </w:rPr>
        <w:t>4.4.</w:t>
      </w:r>
      <w:r>
        <w:rPr>
          <w:rFonts w:ascii="Times New Roman" w:hAnsi="Times New Roman"/>
          <w:b w:val="false"/>
          <w:i w:val="false"/>
          <w:caps w:val="false"/>
          <w:smallCaps w:val="false"/>
          <w:sz w:val="22"/>
          <w:u w:val="single"/>
        </w:rPr>
        <w:t>Nkarta Products</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4.4.1.</w:t>
      </w:r>
      <w:r>
        <w:rPr>
          <w:rFonts w:ascii="Times New Roman" w:hAnsi="Times New Roman"/>
          <w:b w:val="false"/>
          <w:i w:val="false"/>
          <w:caps w:val="false"/>
          <w:smallCaps w:val="false"/>
          <w:sz w:val="22"/>
          <w:u w:val="single"/>
        </w:rPr>
        <w:t>Generally</w:t>
      </w:r>
      <w:r>
        <w:rPr>
          <w:rFonts w:ascii="Times New Roman" w:hAnsi="Times New Roman"/>
          <w:b w:val="false"/>
          <w:i w:val="false"/>
          <w:caps w:val="false"/>
          <w:smallCaps w:val="false"/>
          <w:sz w:val="22"/>
        </w:rPr>
        <w:t>.  For each Nkarta Product:</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(a)CRISPR shall grant to Nkarta the licenses set forth in Section 8.1.2;</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(b)as between the Parties, Nkarta shall lead all Research, Development, Manufacturing and Commercialization activities for Nkarta Products;</w:t>
      </w:r>
    </w:p>
    <w:p>
      <w:pPr>
        <w:pStyle w:val="TextBody"/>
        <w:spacing w:before="0" w:after="0"/>
        <w:ind w:left="720" w:right="0" w:hanging="0"/>
        <w:jc w:val="both"/>
        <w:rPr>
          <w:rFonts w:ascii="Times New Roman" w:hAnsi="Times New Roman"/>
          <w:b w:val="false"/>
          <w:i w:val="false"/>
          <w:caps w:val="false"/>
          <w:smallCaps w:val="false"/>
          <w:sz w:val="22"/>
        </w:rPr>
      </w:pPr>
      <w:bookmarkStart w:id="454" w:name="_Ref61001579"/>
      <w:bookmarkEnd w:id="454"/>
      <w:r>
        <w:rPr>
          <w:rFonts w:ascii="Times New Roman" w:hAnsi="Times New Roman"/>
          <w:b w:val="false"/>
          <w:i w:val="false"/>
          <w:caps w:val="false"/>
          <w:smallCaps w:val="false"/>
          <w:sz w:val="22"/>
        </w:rPr>
        <w:t>(c)CRISPR will [***];</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(d)Nkarta shall pay to CRISPR the milestones, royalties and sublicensing income set forth in Sections 10.1 through 10.3 for Nkarta Products, in each case, in accordance with Article 10;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(e)notwithstanding anything to the contrary hereunder, Nkarta Products shall not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4.4.2.In connection with each CTA filing for each Nkarta Product contemplated by Section 5.1.1 hereto, Nkarta will (i) provide to CRISPR not less than [***] days prior written notice of such CTA anticipated filing date and (ii) deliver to CRISPR an applicable Nkarta Product Package on or before the Delivery Date for such Nkarta Product.</w:t>
      </w:r>
    </w:p>
    <w:p>
      <w:pPr>
        <w:pStyle w:val="TextBody"/>
        <w:spacing w:before="0" w:after="240"/>
        <w:jc w:val="center"/>
        <w:rPr>
          <w:rFonts w:ascii="Times New Roman" w:hAnsi="Times New Roman"/>
          <w:b/>
          <w:i w:val="false"/>
          <w:caps w:val="false"/>
          <w:smallCaps w:val="false"/>
          <w:sz w:val="22"/>
        </w:rPr>
      </w:pPr>
      <w:bookmarkStart w:id="455" w:name="_Ref_docxtools_2771"/>
      <w:bookmarkEnd w:id="455"/>
      <w:r>
        <w:rPr>
          <w:rFonts w:ascii="Times New Roman" w:hAnsi="Times New Roman"/>
          <w:b/>
          <w:i w:val="false"/>
          <w:caps w:val="false"/>
          <w:smallCaps w:val="false"/>
          <w:sz w:val="22"/>
        </w:rPr>
        <w:t>Article 5.</w:t>
        <w:br/>
      </w:r>
      <w:bookmarkStart w:id="456" w:name="_Ref_docxtools_277"/>
      <w:bookmarkEnd w:id="456"/>
      <w:r>
        <w:rPr>
          <w:rFonts w:ascii="Times New Roman" w:hAnsi="Times New Roman"/>
          <w:b/>
          <w:i w:val="false"/>
          <w:caps w:val="false"/>
          <w:smallCaps w:val="false"/>
          <w:sz w:val="22"/>
        </w:rPr>
        <w:t>OPTION; RIGHT OF FIRST NEGOTIATION</w:t>
      </w:r>
    </w:p>
    <w:p>
      <w:pPr>
        <w:pStyle w:val="TextBody"/>
        <w:spacing w:before="0" w:after="240"/>
        <w:ind w:left="1260" w:right="0" w:hanging="0"/>
        <w:jc w:val="both"/>
        <w:rPr>
          <w:rFonts w:ascii="Times New Roman" w:hAnsi="Times New Roman"/>
          <w:b w:val="false"/>
          <w:i w:val="false"/>
          <w:caps w:val="false"/>
          <w:smallCaps w:val="false"/>
          <w:sz w:val="22"/>
        </w:rPr>
      </w:pPr>
      <w:bookmarkStart w:id="457" w:name="_Ref48435823"/>
      <w:bookmarkStart w:id="458" w:name="_Ref48355592"/>
      <w:bookmarkStart w:id="459" w:name="_Ref28036984"/>
      <w:bookmarkStart w:id="460" w:name="_Ref476243983"/>
      <w:bookmarkStart w:id="461" w:name="_Ref477162370"/>
      <w:bookmarkStart w:id="462" w:name="_Ref476159644"/>
      <w:bookmarkStart w:id="463" w:name="_Ref_docxtools_278"/>
      <w:bookmarkStart w:id="464" w:name="_Ref51601215"/>
      <w:bookmarkEnd w:id="457"/>
      <w:bookmarkEnd w:id="458"/>
      <w:bookmarkEnd w:id="459"/>
      <w:bookmarkEnd w:id="460"/>
      <w:bookmarkEnd w:id="461"/>
      <w:bookmarkEnd w:id="462"/>
      <w:bookmarkEnd w:id="463"/>
      <w:bookmarkEnd w:id="464"/>
      <w:r>
        <w:rPr>
          <w:rFonts w:ascii="Times New Roman" w:hAnsi="Times New Roman"/>
          <w:b w:val="false"/>
          <w:i w:val="false"/>
          <w:caps w:val="false"/>
          <w:smallCaps w:val="false"/>
          <w:sz w:val="22"/>
        </w:rPr>
        <w:t>5.1.</w:t>
      </w:r>
      <w:r>
        <w:rPr>
          <w:rFonts w:ascii="Times New Roman" w:hAnsi="Times New Roman"/>
          <w:b w:val="false"/>
          <w:i w:val="false"/>
          <w:caps w:val="false"/>
          <w:smallCaps w:val="false"/>
          <w:sz w:val="22"/>
          <w:u w:val="single"/>
        </w:rPr>
        <w:t>CRISPR Option</w:t>
      </w:r>
      <w:r>
        <w:rPr>
          <w:rFonts w:ascii="Times New Roman" w:hAnsi="Times New Roman"/>
          <w:b w:val="false"/>
          <w:i w:val="false"/>
          <w:caps w:val="false"/>
          <w:smallCaps w:val="false"/>
          <w:sz w:val="22"/>
        </w:rPr>
        <w:t>.</w:t>
      </w:r>
    </w:p>
    <w:p>
      <w:pPr>
        <w:pStyle w:val="TextBody"/>
        <w:spacing w:lineRule="auto" w:line="288" w:before="0" w:after="240"/>
        <w:ind w:left="720" w:right="0" w:hanging="0"/>
        <w:jc w:val="both"/>
        <w:rPr>
          <w:rFonts w:ascii="Times New Roman" w:hAnsi="Times New Roman"/>
          <w:b w:val="false"/>
          <w:i w:val="false"/>
          <w:caps w:val="false"/>
          <w:smallCaps w:val="false"/>
          <w:sz w:val="22"/>
        </w:rPr>
      </w:pPr>
      <w:bookmarkStart w:id="465" w:name="_AEIOULastRenderedPageBreakAEIOU21"/>
      <w:bookmarkStart w:id="466" w:name="_Ref50906624"/>
      <w:bookmarkStart w:id="467" w:name="_Ref69743322"/>
      <w:bookmarkStart w:id="468" w:name="_Ref_docxtools_279"/>
      <w:bookmarkStart w:id="469" w:name="_Ref61012757"/>
      <w:bookmarkStart w:id="470" w:name="_Hlk62718312"/>
      <w:bookmarkEnd w:id="465"/>
      <w:bookmarkEnd w:id="466"/>
      <w:bookmarkEnd w:id="467"/>
      <w:bookmarkEnd w:id="468"/>
      <w:bookmarkEnd w:id="469"/>
      <w:bookmarkEnd w:id="470"/>
      <w:r>
        <w:rPr>
          <w:rFonts w:ascii="Times New Roman" w:hAnsi="Times New Roman"/>
          <w:b w:val="false"/>
          <w:i w:val="false"/>
          <w:caps w:val="false"/>
          <w:smallCaps w:val="false"/>
          <w:sz w:val="22"/>
        </w:rPr>
        <w:t>5.1.1.</w:t>
      </w:r>
      <w:r>
        <w:rPr>
          <w:rFonts w:ascii="Times New Roman" w:hAnsi="Times New Roman"/>
          <w:b w:val="false"/>
          <w:i w:val="false"/>
          <w:caps w:val="false"/>
          <w:smallCaps w:val="false"/>
          <w:sz w:val="22"/>
          <w:u w:val="single"/>
        </w:rPr>
        <w:t>CRISPR Option Mechanics</w:t>
      </w:r>
      <w:r>
        <w:rPr>
          <w:rFonts w:ascii="Times New Roman" w:hAnsi="Times New Roman"/>
          <w:b w:val="false"/>
          <w:i w:val="false"/>
          <w:caps w:val="false"/>
          <w:smallCaps w:val="false"/>
          <w:sz w:val="22"/>
        </w:rPr>
        <w:t>.  Subject to the terms and conditions of this Agreement, Nkarta hereby grants to CRISPR an exclusive option on the Designated Optionable Nkarta Products to designate one (1) Designated Optionable Nkarta Product as a Collaboration Product (and, for clarity, CRISPR shall thereafter have the co-exclusive, worldwide joint right to Develop, Manufacture and Commercialize such Third Collaboration Product in the Territory on the applicable terms and conditions set forth hereunder in an applicable JDCA) (such option pursuant to this Section 5.1, the “</w:t>
      </w:r>
      <w:r>
        <w:rPr>
          <w:rFonts w:ascii="Times New Roman" w:hAnsi="Times New Roman"/>
          <w:b/>
          <w:i w:val="false"/>
          <w:caps w:val="false"/>
          <w:smallCaps w:val="false"/>
          <w:sz w:val="22"/>
        </w:rPr>
        <w:t>CRISPR Option</w:t>
      </w:r>
      <w:r>
        <w:rPr>
          <w:rFonts w:ascii="Times New Roman" w:hAnsi="Times New Roman"/>
          <w:b w:val="false"/>
          <w:i w:val="false"/>
          <w:caps w:val="false"/>
          <w:smallCaps w:val="false"/>
          <w:sz w:val="22"/>
        </w:rPr>
        <w:t xml:space="preserve">”).  The CRISPR Option is exercisable by CRISPR, in CRISPR’s sole discretion, by providing written notice at any time during the period from: (a) the Effective Date until [***] days following the date of receipt of the Nkarta Product Package by CRISPR for the first (1st) Designated Optionable Nkarta Product for which a CTA has been filed; (b) in the event that CRISPR does not exercise the CRISPR Option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21</w:t>
      </w:r>
    </w:p>
    <w:p>
      <w:pPr>
        <w:pStyle w:val="HorizontalLine"/>
        <w:rPr/>
      </w:pPr>
      <w:r>
        <w:rPr/>
      </w:r>
    </w:p>
    <w:p>
      <w:pPr>
        <w:pStyle w:val="TextBody"/>
        <w:spacing w:before="0" w:after="0"/>
        <w:rPr/>
      </w:pPr>
      <w:r>
        <w:rPr/>
        <w:t> </w:t>
      </w:r>
    </w:p>
    <w:p>
      <w:pPr>
        <w:pStyle w:val="TextBody"/>
        <w:spacing w:lineRule="auto" w:line="288"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for such Designated Optionable Nkarta Product pursuant to the foregoing clause (a), the Effective Date until [***] days following the date of receipt of the Nkarta Product Package by CRISPR for the second (2nd) Designated Optionable Nkarta Product for which a CTA has been filed; (c) the Effective Date until the date that CRISPR [***] pursuant to Section 5.1.5; or (d) the Effective Date until the date that [***] pursuant to Section 5.2 (such period for the applicable Designated Optionable Nkarta Product, the “</w:t>
      </w:r>
      <w:r>
        <w:rPr>
          <w:rFonts w:ascii="Times New Roman" w:hAnsi="Times New Roman"/>
          <w:b/>
          <w:i w:val="false"/>
          <w:caps w:val="false"/>
          <w:smallCaps w:val="false"/>
          <w:sz w:val="22"/>
        </w:rPr>
        <w:t>CRISPR Option Period</w:t>
      </w:r>
      <w:r>
        <w:rPr>
          <w:rFonts w:ascii="Times New Roman" w:hAnsi="Times New Roman"/>
          <w:b w:val="false"/>
          <w:i w:val="false"/>
          <w:caps w:val="false"/>
          <w:smallCaps w:val="false"/>
          <w:sz w:val="22"/>
        </w:rPr>
        <w:t>”).  For clarity, CRISPR shall only have the right to exercise the CRISPR Option one (1) time, unless CRISPR [***] pursuant to Section 5.1.5 or [***] pursuant to Section 5.2, in which case CRISPR would not have the further right to exercise the CRISPR Option.  If CRISPR does not exercise the CRISPR Option for the first (1st) Designated Optionable Nkarta Product for which a CTA has been filed pursuant to the foregoing clause (a), then such first (1st) Designated Optionable Nkarta Product shall automatically and immediately no longer be a Designated Optionable Nkarta Product, but CRISPR shall nevertheless retain the CRISPR Option on another Designated Optionable Nkarta Product during the remainder of the CRISPR Option Period.  For the avoidance of doubt, CRISPR shall not have a CRISPR Option on the Nkarta Product that is likely to become, in the reasonable and good faith expectation of Nkarta, the First Nkarta Product, and [***].  For clarity, after the first (1st) Designated Optionable Nkarta Product automatically becomes the First Nkarta Product, such former first (1st) Designated Optionable Nkarta Product shall no longer be deemed a Designated Optionable Nkarta Product.</w:t>
      </w:r>
    </w:p>
    <w:p>
      <w:pPr>
        <w:pStyle w:val="TextBody"/>
        <w:spacing w:before="0" w:after="240"/>
        <w:ind w:left="720" w:right="0" w:hanging="0"/>
        <w:jc w:val="both"/>
        <w:rPr>
          <w:rFonts w:ascii="Times New Roman" w:hAnsi="Times New Roman"/>
          <w:b w:val="false"/>
          <w:i w:val="false"/>
          <w:caps w:val="false"/>
          <w:smallCaps w:val="false"/>
          <w:sz w:val="22"/>
        </w:rPr>
      </w:pPr>
      <w:bookmarkStart w:id="471" w:name="_Ref_docxtools_280"/>
      <w:bookmarkStart w:id="472" w:name="_Ref61012799"/>
      <w:bookmarkEnd w:id="471"/>
      <w:bookmarkEnd w:id="472"/>
      <w:r>
        <w:rPr>
          <w:rFonts w:ascii="Times New Roman" w:hAnsi="Times New Roman"/>
          <w:b w:val="false"/>
          <w:i w:val="false"/>
          <w:caps w:val="false"/>
          <w:smallCaps w:val="false"/>
          <w:sz w:val="22"/>
        </w:rPr>
        <w:t>5.1.2.</w:t>
      </w:r>
      <w:r>
        <w:rPr>
          <w:rFonts w:ascii="Times New Roman" w:hAnsi="Times New Roman"/>
          <w:b w:val="false"/>
          <w:i w:val="false"/>
          <w:caps w:val="false"/>
          <w:smallCaps w:val="false"/>
          <w:sz w:val="22"/>
          <w:u w:val="single"/>
        </w:rPr>
        <w:t>Exercise Notice</w:t>
      </w:r>
      <w:r>
        <w:rPr>
          <w:rFonts w:ascii="Times New Roman" w:hAnsi="Times New Roman"/>
          <w:b w:val="false"/>
          <w:i w:val="false"/>
          <w:caps w:val="false"/>
          <w:smallCaps w:val="false"/>
          <w:sz w:val="22"/>
        </w:rPr>
        <w:t>.  During the applicable CRISPR Option Period, CRISPR shall have the right, but not the obligation, to exercise the CRISPR Option for the applicable Designated Optionable Nkarta Product in its sole discretion by delivering written notice of such exercise to Nkarta (the “</w:t>
      </w:r>
      <w:r>
        <w:rPr>
          <w:rFonts w:ascii="Times New Roman" w:hAnsi="Times New Roman"/>
          <w:b/>
          <w:i w:val="false"/>
          <w:caps w:val="false"/>
          <w:smallCaps w:val="false"/>
          <w:sz w:val="22"/>
        </w:rPr>
        <w:t>Exercise Notice</w:t>
      </w:r>
      <w:r>
        <w:rPr>
          <w:rFonts w:ascii="Times New Roman" w:hAnsi="Times New Roman"/>
          <w:b w:val="false"/>
          <w:i w:val="false"/>
          <w:caps w:val="false"/>
          <w:smallCaps w:val="false"/>
          <w:sz w:val="22"/>
        </w:rPr>
        <w:t>”).  During the applicable CRISPR Option Period, Nkarta shall provide CRISPR with any updated information to the Nkarta Product Package; provided that [***].  Upon the delivery of the Exercise Notice, such applicable Designated Optionable Nkarta Product shall be a Collaboration Product and would no longer be an Nkarta Product (the “</w:t>
      </w:r>
      <w:r>
        <w:rPr>
          <w:rFonts w:ascii="Times New Roman" w:hAnsi="Times New Roman"/>
          <w:b/>
          <w:i w:val="false"/>
          <w:caps w:val="false"/>
          <w:smallCaps w:val="false"/>
          <w:sz w:val="22"/>
        </w:rPr>
        <w:t>Third Collaboration Product</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5.1.3.</w:t>
      </w:r>
      <w:r>
        <w:rPr>
          <w:rFonts w:ascii="Times New Roman" w:hAnsi="Times New Roman"/>
          <w:b w:val="false"/>
          <w:i w:val="false"/>
          <w:caps w:val="false"/>
          <w:smallCaps w:val="false"/>
          <w:sz w:val="22"/>
          <w:u w:val="single"/>
        </w:rPr>
        <w:t>JDCA Timing</w:t>
      </w:r>
      <w:r>
        <w:rPr>
          <w:rFonts w:ascii="Times New Roman" w:hAnsi="Times New Roman"/>
          <w:b w:val="false"/>
          <w:i w:val="false"/>
          <w:caps w:val="false"/>
          <w:smallCaps w:val="false"/>
          <w:sz w:val="22"/>
        </w:rPr>
        <w:t>.  For the avoidance of doubt: (a) if CRISPR exercises the CRISPR Option for a Third Collaboration Product prior to CTA filing, such Third Collaboration Product shall be Researched under this Agreement until the Parties enter into a Joint Development and Commercialization Agreement pursuant to Section 7.1.1 for such Third Collaboration Product; and (b) if CRISPR exercises the CRISPR Option for a Third Collaboration Product at the time of CTA filing, the Parties shall negotiate in good faith and enter into the Joint Development and Commercialization Agreement pursuant to Section 7.1.1 for such Third Collaboration Product.  [***].</w:t>
      </w:r>
    </w:p>
    <w:p>
      <w:pPr>
        <w:pStyle w:val="TextBody"/>
        <w:spacing w:before="0" w:after="240"/>
        <w:ind w:left="720" w:right="0" w:hanging="0"/>
        <w:jc w:val="both"/>
        <w:rPr>
          <w:rFonts w:ascii="Times New Roman" w:hAnsi="Times New Roman"/>
          <w:b w:val="false"/>
          <w:i w:val="false"/>
          <w:caps w:val="false"/>
          <w:smallCaps w:val="false"/>
          <w:sz w:val="22"/>
        </w:rPr>
      </w:pPr>
      <w:bookmarkStart w:id="473" w:name="_Ref625895331"/>
      <w:bookmarkStart w:id="474" w:name="_Ref62399958"/>
      <w:bookmarkEnd w:id="473"/>
      <w:bookmarkEnd w:id="474"/>
      <w:r>
        <w:rPr>
          <w:rFonts w:ascii="Times New Roman" w:hAnsi="Times New Roman"/>
          <w:b w:val="false"/>
          <w:i w:val="false"/>
          <w:caps w:val="false"/>
          <w:smallCaps w:val="false"/>
          <w:sz w:val="22"/>
        </w:rPr>
        <w:t>5.1.4.</w:t>
      </w:r>
      <w:r>
        <w:rPr>
          <w:rFonts w:ascii="Times New Roman" w:hAnsi="Times New Roman"/>
          <w:b w:val="false"/>
          <w:i w:val="false"/>
          <w:caps w:val="false"/>
          <w:smallCaps w:val="false"/>
          <w:sz w:val="22"/>
          <w:u w:val="single"/>
        </w:rPr>
        <w:t>Solicitation with Respect to Nkarta Products</w:t>
      </w:r>
      <w:r>
        <w:rPr>
          <w:rFonts w:ascii="Times New Roman" w:hAnsi="Times New Roman"/>
          <w:b w:val="false"/>
          <w:i w:val="false"/>
          <w:caps w:val="false"/>
          <w:smallCaps w:val="false"/>
          <w:sz w:val="22"/>
        </w:rPr>
        <w:t>.  Subject to Section 5.1.5 and Section 5.2, during the Designation Term, Nkarta or any of its Affiliates, may authorize or otherwise permit its and its Affiliates’ employees, stockholders, agents, investment banker, attorney or accountant retained by it or any of its Affiliates to directly or indirectly, solicit, initiate, encourage or knowingly facilitate any inquiries with respect to, or the making, submission or announcement of, any offer or proposal for a license, divestiture, co-development or co-commercialization transaction or any similar transaction granting a Third Party control or economics rights with respect to any [***]</w:t>
      </w:r>
      <w:bookmarkStart w:id="475" w:name="_Ref62589533"/>
      <w:bookmarkEnd w:id="475"/>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476" w:name="_Ref_docxtools_283"/>
      <w:bookmarkEnd w:id="476"/>
      <w:r>
        <w:rPr>
          <w:rFonts w:ascii="Times New Roman" w:hAnsi="Times New Roman"/>
          <w:b w:val="false"/>
          <w:i w:val="false"/>
          <w:caps w:val="false"/>
          <w:smallCaps w:val="false"/>
          <w:sz w:val="22"/>
        </w:rPr>
        <w:t>5.1.5.[***]. If at any time prior to CRISPR exercising the CRISPR Option, Nkarta [***] then: (a) Nkarta shall promptly notify CRISPR in writing of [***] Business Days of [***]; (b) deliver: [***]; and (c) CRISPR would have the right to exercise the CRISPR Option pursuant to Section 5.1.1 and Section 5.1.2 for such [***]. If CRISPR elects to exercise its right [***] pursuant to this Section 5.1.5, then such [***] shall become the Third Collaboration Product. If CRISPR does not exercise the CRISPR Option within the CRISPR Option Period for such [***] that is [***], then, subject to Section 5.3, [***].  Notwithstanding the generality of the foregoing,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22</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477" w:name="_AEIOULastRenderedPageBreakAEIOU22"/>
      <w:bookmarkStart w:id="478" w:name="_Ref60613415"/>
      <w:bookmarkStart w:id="479" w:name="_Ref_docxtools_284"/>
      <w:bookmarkStart w:id="480" w:name="_Ref61009024"/>
      <w:bookmarkStart w:id="481" w:name="_Ref62342082"/>
      <w:bookmarkEnd w:id="477"/>
      <w:bookmarkEnd w:id="478"/>
      <w:bookmarkEnd w:id="479"/>
      <w:bookmarkEnd w:id="480"/>
      <w:bookmarkEnd w:id="481"/>
      <w:r>
        <w:rPr>
          <w:rFonts w:ascii="Times New Roman" w:hAnsi="Times New Roman"/>
          <w:b w:val="false"/>
          <w:i w:val="false"/>
          <w:caps w:val="false"/>
          <w:smallCaps w:val="false"/>
          <w:sz w:val="22"/>
        </w:rPr>
        <w:t>5.2.[***].  If at any time prior to CRISPR exercising the CRISPR Option, and subject to Section 5.4, Nkarta [***], then, the following provisions of Sections 5.2.1 and 5.2.2 shall apply (provided that, notwithstanding anything herein to the contrary, [***]. Notwithstanding the generality of the foregoing, if at any time prior to CRISPR exercising the CRISPR Option, Nkarta [***].</w:t>
      </w:r>
    </w:p>
    <w:p>
      <w:pPr>
        <w:pStyle w:val="TextBody"/>
        <w:spacing w:before="0" w:after="240"/>
        <w:ind w:left="720" w:right="0" w:hanging="0"/>
        <w:jc w:val="both"/>
        <w:rPr>
          <w:rFonts w:ascii="Times New Roman" w:hAnsi="Times New Roman"/>
          <w:b w:val="false"/>
          <w:i w:val="false"/>
          <w:caps w:val="false"/>
          <w:smallCaps w:val="false"/>
          <w:sz w:val="22"/>
        </w:rPr>
      </w:pPr>
      <w:bookmarkStart w:id="482" w:name="_Ref61009026"/>
      <w:bookmarkStart w:id="483" w:name="_Ref61012877"/>
      <w:bookmarkEnd w:id="482"/>
      <w:bookmarkEnd w:id="483"/>
      <w:r>
        <w:rPr>
          <w:rFonts w:ascii="Times New Roman" w:hAnsi="Times New Roman"/>
          <w:b w:val="false"/>
          <w:i w:val="false"/>
          <w:caps w:val="false"/>
          <w:smallCaps w:val="false"/>
          <w:sz w:val="22"/>
        </w:rPr>
        <w:t>5.2.1.</w:t>
      </w:r>
      <w:r>
        <w:rPr>
          <w:rFonts w:ascii="Times New Roman" w:hAnsi="Times New Roman"/>
          <w:b w:val="false"/>
          <w:i w:val="false"/>
          <w:caps w:val="false"/>
          <w:smallCaps w:val="false"/>
          <w:sz w:val="22"/>
          <w:u w:val="single"/>
        </w:rPr>
        <w:t xml:space="preserve">Notice; </w:t>
      </w:r>
      <w:r>
        <w:rPr>
          <w:rFonts w:ascii="Times New Roman" w:hAnsi="Times New Roman"/>
          <w:b w:val="false"/>
          <w:i w:val="false"/>
          <w:caps w:val="false"/>
          <w:smallCaps w:val="false"/>
          <w:sz w:val="22"/>
        </w:rPr>
        <w:t>[***].  Nkarta shall: (a) promptly notify CRISPR in writing of such proposed [***] within [***]; and (b) deliver: [***].</w:t>
      </w:r>
    </w:p>
    <w:p>
      <w:pPr>
        <w:pStyle w:val="TextBody"/>
        <w:spacing w:before="0" w:after="240"/>
        <w:ind w:left="720" w:right="0" w:hanging="0"/>
        <w:jc w:val="both"/>
        <w:rPr>
          <w:rFonts w:ascii="Times New Roman" w:hAnsi="Times New Roman"/>
          <w:b w:val="false"/>
          <w:i w:val="false"/>
          <w:caps w:val="false"/>
          <w:smallCaps w:val="false"/>
          <w:sz w:val="22"/>
        </w:rPr>
      </w:pPr>
      <w:bookmarkStart w:id="484" w:name="_Ref_docxtools_286"/>
      <w:bookmarkStart w:id="485" w:name="_Ref61012500"/>
      <w:bookmarkStart w:id="486" w:name="_Ref62342307"/>
      <w:bookmarkEnd w:id="484"/>
      <w:bookmarkEnd w:id="485"/>
      <w:bookmarkEnd w:id="486"/>
      <w:r>
        <w:rPr>
          <w:rFonts w:ascii="Times New Roman" w:hAnsi="Times New Roman"/>
          <w:b w:val="false"/>
          <w:i w:val="false"/>
          <w:caps w:val="false"/>
          <w:smallCaps w:val="false"/>
          <w:sz w:val="22"/>
        </w:rPr>
        <w:t>5.2.2.[***].</w:t>
      </w:r>
    </w:p>
    <w:p>
      <w:pPr>
        <w:pStyle w:val="TextBody"/>
        <w:spacing w:before="0" w:after="240"/>
        <w:ind w:left="1260" w:right="0" w:hanging="0"/>
        <w:jc w:val="both"/>
        <w:rPr>
          <w:rFonts w:ascii="Times New Roman" w:hAnsi="Times New Roman"/>
          <w:b w:val="false"/>
          <w:i w:val="false"/>
          <w:caps w:val="false"/>
          <w:smallCaps w:val="false"/>
          <w:sz w:val="22"/>
        </w:rPr>
      </w:pPr>
      <w:bookmarkStart w:id="487" w:name="_Ref62315424"/>
      <w:bookmarkEnd w:id="487"/>
      <w:r>
        <w:rPr>
          <w:rFonts w:ascii="Times New Roman" w:hAnsi="Times New Roman"/>
          <w:b w:val="false"/>
          <w:i w:val="false"/>
          <w:caps w:val="false"/>
          <w:smallCaps w:val="false"/>
          <w:sz w:val="22"/>
        </w:rPr>
        <w:t>5.3.</w:t>
      </w:r>
      <w:r>
        <w:rPr>
          <w:rFonts w:ascii="Times New Roman" w:hAnsi="Times New Roman"/>
          <w:b w:val="false"/>
          <w:i w:val="false"/>
          <w:caps w:val="false"/>
          <w:smallCaps w:val="false"/>
          <w:sz w:val="22"/>
          <w:u w:val="single"/>
        </w:rPr>
        <w:t>Restriction</w:t>
      </w:r>
      <w:r>
        <w:rPr>
          <w:rFonts w:ascii="Times New Roman" w:hAnsi="Times New Roman"/>
          <w:b w:val="false"/>
          <w:i w:val="false"/>
          <w:caps w:val="false"/>
          <w:smallCaps w:val="false"/>
          <w:sz w:val="22"/>
        </w:rPr>
        <w:t>.  Notwithstanding anything to the contrary in Section 5.1.5 or 5.2.2, if, once Nkarta has notified CRISPR of [***] with respect to a given [***], the Parties do not [***], as applicable, then Nkarta shall [***].</w:t>
      </w:r>
    </w:p>
    <w:p>
      <w:pPr>
        <w:pStyle w:val="TextBody"/>
        <w:spacing w:before="0" w:after="240"/>
        <w:ind w:left="1260" w:right="0" w:hanging="0"/>
        <w:jc w:val="both"/>
        <w:rPr>
          <w:rFonts w:ascii="Times New Roman" w:hAnsi="Times New Roman"/>
          <w:b w:val="false"/>
          <w:i w:val="false"/>
          <w:caps w:val="false"/>
          <w:smallCaps w:val="false"/>
          <w:sz w:val="22"/>
        </w:rPr>
      </w:pPr>
      <w:bookmarkStart w:id="488" w:name="_Hlk701788581"/>
      <w:bookmarkStart w:id="489" w:name="_Ref68095467"/>
      <w:bookmarkEnd w:id="488"/>
      <w:bookmarkEnd w:id="489"/>
      <w:r>
        <w:rPr>
          <w:rFonts w:ascii="Times New Roman" w:hAnsi="Times New Roman"/>
          <w:b w:val="false"/>
          <w:i w:val="false"/>
          <w:caps w:val="false"/>
          <w:smallCaps w:val="false"/>
          <w:sz w:val="22"/>
        </w:rPr>
        <w:t>5.4.</w:t>
      </w:r>
      <w:r>
        <w:rPr>
          <w:rFonts w:ascii="Times New Roman" w:hAnsi="Times New Roman"/>
          <w:b w:val="false"/>
          <w:i w:val="false"/>
          <w:caps w:val="false"/>
          <w:smallCaps w:val="false"/>
          <w:sz w:val="22"/>
          <w:u w:val="single"/>
        </w:rPr>
        <w:t>Effects of CRISPR’s Election Not to Exercise Rights Pursuant to Section 5.1.5 or Section 5.2.2</w:t>
      </w:r>
      <w:r>
        <w:rPr>
          <w:rFonts w:ascii="Times New Roman" w:hAnsi="Times New Roman"/>
          <w:b w:val="false"/>
          <w:i w:val="false"/>
          <w:caps w:val="false"/>
          <w:smallCaps w:val="false"/>
          <w:sz w:val="22"/>
        </w:rPr>
        <w:t xml:space="preserve">.  If CRISPR has the right to exercise the CRISPR Option pursuant to Section 5.1.5 for a given [***] </w:t>
      </w:r>
      <w:bookmarkStart w:id="490" w:name="_Hlk70178858"/>
      <w:bookmarkEnd w:id="490"/>
      <w:r>
        <w:rPr>
          <w:rFonts w:ascii="Times New Roman" w:hAnsi="Times New Roman"/>
          <w:b w:val="false"/>
          <w:i w:val="false"/>
          <w:caps w:val="false"/>
          <w:smallCaps w:val="false"/>
          <w:sz w:val="22"/>
        </w:rPr>
        <w:t>during the CRISPR Option Period but does not do so and Nkarta [***], then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5.5.</w:t>
      </w:r>
      <w:r>
        <w:rPr>
          <w:rFonts w:ascii="Times New Roman" w:hAnsi="Times New Roman"/>
          <w:b w:val="false"/>
          <w:i w:val="false"/>
          <w:caps w:val="false"/>
          <w:smallCaps w:val="false"/>
          <w:sz w:val="22"/>
          <w:u w:val="single"/>
        </w:rPr>
        <w:t xml:space="preserve">Excluded Scope of CRISPR Option, </w:t>
      </w:r>
      <w:r>
        <w:rPr>
          <w:rFonts w:ascii="Times New Roman" w:hAnsi="Times New Roman"/>
          <w:b w:val="false"/>
          <w:i w:val="false"/>
          <w:caps w:val="false"/>
          <w:smallCaps w:val="false"/>
          <w:sz w:val="22"/>
        </w:rPr>
        <w:t>[***].  Notwithstanding anything to the contrary, but subject to Sections 3.1, 5.1.5 and 5.2, CRISPR’s right for any CRISPR Option, [***] shall apply solely to the [***] and shall not apply to any Nkarta Products that are not the [***].</w:t>
      </w:r>
    </w:p>
    <w:p>
      <w:pPr>
        <w:pStyle w:val="TextBody"/>
        <w:spacing w:before="0" w:after="240"/>
        <w:jc w:val="center"/>
        <w:rPr>
          <w:rFonts w:ascii="Times New Roman" w:hAnsi="Times New Roman"/>
          <w:b/>
          <w:i w:val="false"/>
          <w:caps w:val="false"/>
          <w:smallCaps w:val="false"/>
          <w:sz w:val="22"/>
        </w:rPr>
      </w:pPr>
      <w:bookmarkStart w:id="491" w:name="_Ref_docxtools_2891"/>
      <w:bookmarkEnd w:id="491"/>
      <w:r>
        <w:rPr>
          <w:rFonts w:ascii="Times New Roman" w:hAnsi="Times New Roman"/>
          <w:b/>
          <w:i w:val="false"/>
          <w:caps w:val="false"/>
          <w:smallCaps w:val="false"/>
          <w:sz w:val="22"/>
        </w:rPr>
        <w:t>Article 6.</w:t>
        <w:br/>
      </w:r>
      <w:bookmarkStart w:id="492" w:name="_Ref_docxtools_289"/>
      <w:bookmarkEnd w:id="492"/>
      <w:r>
        <w:rPr>
          <w:rFonts w:ascii="Times New Roman" w:hAnsi="Times New Roman"/>
          <w:b/>
          <w:i w:val="false"/>
          <w:caps w:val="false"/>
          <w:smallCaps w:val="false"/>
          <w:sz w:val="22"/>
        </w:rPr>
        <w:t>GOVERNANCE</w:t>
      </w:r>
    </w:p>
    <w:p>
      <w:pPr>
        <w:pStyle w:val="TextBody"/>
        <w:spacing w:before="0" w:after="240"/>
        <w:ind w:left="1260" w:right="0" w:hanging="0"/>
        <w:jc w:val="both"/>
        <w:rPr>
          <w:rFonts w:ascii="Times New Roman" w:hAnsi="Times New Roman"/>
          <w:b w:val="false"/>
          <w:i w:val="false"/>
          <w:caps w:val="false"/>
          <w:smallCaps w:val="false"/>
          <w:sz w:val="22"/>
        </w:rPr>
      </w:pPr>
      <w:bookmarkStart w:id="493" w:name="_Ref418279198"/>
      <w:bookmarkStart w:id="494" w:name="_Ref416632119"/>
      <w:bookmarkEnd w:id="493"/>
      <w:bookmarkEnd w:id="494"/>
      <w:r>
        <w:rPr>
          <w:rFonts w:ascii="Times New Roman" w:hAnsi="Times New Roman"/>
          <w:b w:val="false"/>
          <w:i w:val="false"/>
          <w:caps w:val="false"/>
          <w:smallCaps w:val="false"/>
          <w:sz w:val="22"/>
        </w:rPr>
        <w:t>6.1.</w:t>
      </w:r>
      <w:r>
        <w:rPr>
          <w:rFonts w:ascii="Times New Roman" w:hAnsi="Times New Roman"/>
          <w:b w:val="false"/>
          <w:i w:val="false"/>
          <w:caps w:val="false"/>
          <w:smallCaps w:val="false"/>
          <w:sz w:val="22"/>
          <w:u w:val="single"/>
        </w:rPr>
        <w:t>Joint Steering Committee</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495" w:name="_Ref426703763"/>
      <w:bookmarkEnd w:id="495"/>
      <w:r>
        <w:rPr>
          <w:rFonts w:ascii="Times New Roman" w:hAnsi="Times New Roman"/>
          <w:b w:val="false"/>
          <w:i w:val="false"/>
          <w:caps w:val="false"/>
          <w:smallCaps w:val="false"/>
          <w:sz w:val="22"/>
        </w:rPr>
        <w:t>6.1.1.</w:t>
      </w:r>
      <w:r>
        <w:rPr>
          <w:rFonts w:ascii="Times New Roman" w:hAnsi="Times New Roman"/>
          <w:b w:val="false"/>
          <w:i w:val="false"/>
          <w:caps w:val="false"/>
          <w:smallCaps w:val="false"/>
          <w:sz w:val="22"/>
          <w:u w:val="single"/>
        </w:rPr>
        <w:t>Formation</w:t>
      </w:r>
      <w:r>
        <w:rPr>
          <w:rFonts w:ascii="Times New Roman" w:hAnsi="Times New Roman"/>
          <w:b w:val="false"/>
          <w:i w:val="false"/>
          <w:caps w:val="false"/>
          <w:smallCaps w:val="false"/>
          <w:sz w:val="22"/>
        </w:rPr>
        <w:t>.  Within thirty (30) days after the Effective Date, the Parties will establish a joint steering committee (the “</w:t>
      </w:r>
      <w:r>
        <w:rPr>
          <w:rFonts w:ascii="Times New Roman" w:hAnsi="Times New Roman"/>
          <w:b/>
          <w:i w:val="false"/>
          <w:caps w:val="false"/>
          <w:smallCaps w:val="false"/>
          <w:sz w:val="22"/>
        </w:rPr>
        <w:t>Joint Steering Committee</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JSC</w:t>
      </w:r>
      <w:r>
        <w:rPr>
          <w:rFonts w:ascii="Times New Roman" w:hAnsi="Times New Roman"/>
          <w:b w:val="false"/>
          <w:i w:val="false"/>
          <w:caps w:val="false"/>
          <w:smallCaps w:val="false"/>
          <w:sz w:val="22"/>
        </w:rPr>
        <w:t>”) to oversee and coordinate activities under this Agreement.  The JSC will be composed of three (3) representatives from each Party, and each representative [***].  Each Party may change its JSC representative by prior written notice to the other Party.  Each Party will nominate one of its members as a co-chair of the JSC, and each co-chair may name a successor.  The co-chairs shall collectively conduct meetings of the JSC.  The JSC will conduct its responsibilities hereunder in good faith and with reasonable care and diligence.  The JSC will meet in person or by other means (e.g., videoconference or teleconference) mutually acceptable to the Parties at least once each Calendar Quarter on such dates and at such times and places as agreed to by the members of the JSC.  The purpose of the JSC will be to provide the members periodic updates regarding progress of activities pursuant to this Agreement and to address the matters set forth in Section 6.1.2.  Each Party will be responsible for its own expenses relating to attendance at or participation in JSC meetings.</w:t>
      </w:r>
    </w:p>
    <w:p>
      <w:pPr>
        <w:pStyle w:val="TextBody"/>
        <w:spacing w:before="0" w:after="240"/>
        <w:ind w:left="720" w:right="0" w:hanging="0"/>
        <w:jc w:val="both"/>
        <w:rPr>
          <w:rFonts w:ascii="Times New Roman" w:hAnsi="Times New Roman"/>
          <w:b w:val="false"/>
          <w:i w:val="false"/>
          <w:caps w:val="false"/>
          <w:smallCaps w:val="false"/>
          <w:sz w:val="22"/>
        </w:rPr>
      </w:pPr>
      <w:bookmarkStart w:id="496" w:name="_Ref427134164"/>
      <w:bookmarkEnd w:id="496"/>
      <w:r>
        <w:rPr>
          <w:rFonts w:ascii="Times New Roman" w:hAnsi="Times New Roman"/>
          <w:b w:val="false"/>
          <w:i w:val="false"/>
          <w:caps w:val="false"/>
          <w:smallCaps w:val="false"/>
          <w:sz w:val="22"/>
        </w:rPr>
        <w:t>6.1.2.</w:t>
      </w:r>
      <w:r>
        <w:rPr>
          <w:rFonts w:ascii="Times New Roman" w:hAnsi="Times New Roman"/>
          <w:b w:val="false"/>
          <w:i w:val="false"/>
          <w:caps w:val="false"/>
          <w:smallCaps w:val="false"/>
          <w:sz w:val="22"/>
          <w:u w:val="single"/>
        </w:rPr>
        <w:t>Responsibilities</w:t>
      </w:r>
      <w:r>
        <w:rPr>
          <w:rFonts w:ascii="Times New Roman" w:hAnsi="Times New Roman"/>
          <w:b w:val="false"/>
          <w:i w:val="false"/>
          <w:caps w:val="false"/>
          <w:smallCaps w:val="false"/>
          <w:sz w:val="22"/>
        </w:rPr>
        <w:t xml:space="preserve">.  The JSC </w:t>
      </w:r>
      <w:r>
        <w:rPr>
          <w:rFonts w:ascii="Times New Roman" w:hAnsi="Times New Roman"/>
          <w:b w:val="false"/>
          <w:i w:val="false"/>
          <w:caps w:val="false"/>
          <w:smallCaps w:val="false"/>
          <w:color w:val="000000"/>
          <w:sz w:val="22"/>
        </w:rPr>
        <w:t>will:</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(a)review and approve each finalized Research Plan and any proposed amendment to each Research Plan;</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(b)prioritize the performance of activities under each Research Plan;</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(c)provide comments and recommendations to each Party with respect to the conduct of activities under each Research Plan;</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23</w:t>
      </w:r>
    </w:p>
    <w:p>
      <w:pPr>
        <w:pStyle w:val="HorizontalLine"/>
        <w:rPr/>
      </w:pPr>
      <w:r>
        <w:rPr/>
      </w:r>
    </w:p>
    <w:p>
      <w:pPr>
        <w:pStyle w:val="TextBody"/>
        <w:spacing w:before="0" w:after="0"/>
        <w:rPr/>
      </w:pPr>
      <w:r>
        <w:rPr/>
        <w:t> </w:t>
      </w:r>
    </w:p>
    <w:p>
      <w:pPr>
        <w:pStyle w:val="TextBody"/>
        <w:spacing w:before="0" w:after="0"/>
        <w:ind w:left="720" w:right="0" w:hanging="0"/>
        <w:jc w:val="both"/>
        <w:rPr>
          <w:rFonts w:ascii="Times New Roman" w:hAnsi="Times New Roman"/>
          <w:b w:val="false"/>
          <w:i w:val="false"/>
          <w:caps w:val="false"/>
          <w:smallCaps w:val="false"/>
          <w:sz w:val="22"/>
        </w:rPr>
      </w:pPr>
      <w:bookmarkStart w:id="497" w:name="_AEIOULastRenderedPageBreakAEIOU23"/>
      <w:bookmarkEnd w:id="497"/>
      <w:r>
        <w:rPr>
          <w:rFonts w:ascii="Times New Roman" w:hAnsi="Times New Roman"/>
          <w:b w:val="false"/>
          <w:i w:val="false"/>
          <w:caps w:val="false"/>
          <w:smallCaps w:val="false"/>
          <w:sz w:val="22"/>
        </w:rPr>
        <w:t>(d)provide a forum for the Parties to discuss the objectives and progress under each Research Plan and to exchange and review scientific information and data relating to the activities being conducted under each Research Plan, including with respect to publication strategy in accordance with Section 14.4.2;</w:t>
      </w:r>
    </w:p>
    <w:p>
      <w:pPr>
        <w:pStyle w:val="TextBody"/>
        <w:spacing w:before="0" w:after="0"/>
        <w:ind w:left="720" w:right="0" w:hanging="0"/>
        <w:jc w:val="both"/>
        <w:rPr>
          <w:rFonts w:ascii="Times New Roman" w:hAnsi="Times New Roman"/>
          <w:b w:val="false"/>
          <w:i w:val="false"/>
          <w:caps w:val="false"/>
          <w:smallCaps w:val="false"/>
          <w:sz w:val="22"/>
        </w:rPr>
      </w:pPr>
      <w:bookmarkStart w:id="498" w:name="_Ref62402486"/>
      <w:bookmarkEnd w:id="498"/>
      <w:r>
        <w:rPr>
          <w:rFonts w:ascii="Times New Roman" w:hAnsi="Times New Roman"/>
          <w:b w:val="false"/>
          <w:i w:val="false"/>
          <w:caps w:val="false"/>
          <w:smallCaps w:val="false"/>
          <w:sz w:val="22"/>
        </w:rPr>
        <w:t>(e)review a report prepared by the Parties containing the data generated, analysis performed and conclusions reached, and any other information and results therewith in connection with the performance of the Research Program and a conclusion whether to advance a given Collaboration Product to CTA filing;</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(f)review any updates provided to the JSC with respect to the Nkarta Activities for Nkarta Products;</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(g)discuss, review and oversee CRISPR’s [***];</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(h)in connection with the provision of a [***] provided by Nkarta to CRISPR pursuant to Section 5.2.1, [***];</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(i)review and discuss the performance of any activities with respect to Additional Gene-Editing Targets, including with respect to the Third Party Gatekeeper;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(j)perform such other duties as are specifically assigned to the JSC under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499" w:name="_Ref69840743"/>
      <w:bookmarkStart w:id="500" w:name="_Ref425856049"/>
      <w:bookmarkStart w:id="501" w:name="_Ref418256751"/>
      <w:bookmarkEnd w:id="499"/>
      <w:bookmarkEnd w:id="500"/>
      <w:bookmarkEnd w:id="501"/>
      <w:r>
        <w:rPr>
          <w:rFonts w:ascii="Times New Roman" w:hAnsi="Times New Roman"/>
          <w:b w:val="false"/>
          <w:i w:val="false"/>
          <w:caps w:val="false"/>
          <w:smallCaps w:val="false"/>
          <w:sz w:val="22"/>
        </w:rPr>
        <w:t>6.1.3.</w:t>
      </w:r>
      <w:r>
        <w:rPr>
          <w:rFonts w:ascii="Times New Roman" w:hAnsi="Times New Roman"/>
          <w:b w:val="false"/>
          <w:i w:val="false"/>
          <w:caps w:val="false"/>
          <w:smallCaps w:val="false"/>
          <w:sz w:val="22"/>
          <w:u w:val="single"/>
        </w:rPr>
        <w:t>Decision Making</w:t>
      </w:r>
      <w:r>
        <w:rPr>
          <w:rFonts w:ascii="Times New Roman" w:hAnsi="Times New Roman"/>
          <w:b w:val="false"/>
          <w:i w:val="false"/>
          <w:caps w:val="false"/>
          <w:smallCaps w:val="false"/>
          <w:sz w:val="22"/>
        </w:rPr>
        <w:t>.  The JSC members will use reasonable efforts to reach agreement on any and all matters that the JSC has the authority to decide and endeavor to reach consensus on all such matters, taking into consideration the views of each Party.  If the JSC is unable to reach consensus (with the CRISPR JSC members collectively having one (1) vote and the Nkarta JSC members collectively having one (1) vote) with respect to any such matter within [***] Business Days, the matter [***].  In resolving any matter that the JSC has authority to decide, the JSC will [***].</w:t>
      </w:r>
    </w:p>
    <w:p>
      <w:pPr>
        <w:pStyle w:val="TextBody"/>
        <w:spacing w:before="0" w:after="240"/>
        <w:ind w:left="1260" w:right="0" w:hanging="0"/>
        <w:jc w:val="both"/>
        <w:rPr>
          <w:rFonts w:ascii="Times New Roman" w:hAnsi="Times New Roman"/>
          <w:b w:val="false"/>
          <w:i w:val="false"/>
          <w:caps w:val="false"/>
          <w:smallCaps w:val="false"/>
          <w:sz w:val="22"/>
        </w:rPr>
      </w:pPr>
      <w:bookmarkStart w:id="502" w:name="_Ref_docxtools_304"/>
      <w:bookmarkStart w:id="503" w:name="Elo032O"/>
      <w:bookmarkEnd w:id="502"/>
      <w:bookmarkEnd w:id="503"/>
      <w:r>
        <w:rPr>
          <w:rFonts w:ascii="Times New Roman" w:hAnsi="Times New Roman"/>
          <w:b w:val="false"/>
          <w:i w:val="false"/>
          <w:caps w:val="false"/>
          <w:smallCaps w:val="false"/>
          <w:sz w:val="22"/>
        </w:rPr>
        <w:t>6.2.</w:t>
      </w:r>
      <w:r>
        <w:rPr>
          <w:rFonts w:ascii="Times New Roman" w:hAnsi="Times New Roman"/>
          <w:b w:val="false"/>
          <w:i w:val="false"/>
          <w:caps w:val="false"/>
          <w:smallCaps w:val="false"/>
          <w:sz w:val="22"/>
          <w:u w:val="single"/>
        </w:rPr>
        <w:t>Other Committees</w:t>
      </w:r>
      <w:r>
        <w:rPr>
          <w:rFonts w:ascii="Times New Roman" w:hAnsi="Times New Roman"/>
          <w:b w:val="false"/>
          <w:i w:val="false"/>
          <w:caps w:val="false"/>
          <w:smallCaps w:val="false"/>
          <w:sz w:val="22"/>
        </w:rPr>
        <w:t>.  The Parties may, by mutual agreement, form such other committees as may be necessary or desirable to facilitate the activities under this Agreement, and each member of such other committee will be of at least Director level of seniority (or higher) and have experience in the functional area that is the subject of such committee.  Any dispute arising from such committees or working groups will be escalated to the JSC for resolution.</w:t>
      </w:r>
    </w:p>
    <w:p>
      <w:pPr>
        <w:pStyle w:val="TextBody"/>
        <w:spacing w:before="0" w:after="240"/>
        <w:ind w:left="1260" w:right="0" w:hanging="0"/>
        <w:jc w:val="both"/>
        <w:rPr>
          <w:rFonts w:ascii="Times New Roman" w:hAnsi="Times New Roman"/>
          <w:b w:val="false"/>
          <w:i w:val="false"/>
          <w:caps w:val="false"/>
          <w:smallCaps w:val="false"/>
          <w:sz w:val="22"/>
        </w:rPr>
      </w:pPr>
      <w:bookmarkStart w:id="504" w:name="_Ref_docxtools_305"/>
      <w:bookmarkStart w:id="505" w:name="_Ref416626802"/>
      <w:bookmarkEnd w:id="504"/>
      <w:bookmarkEnd w:id="505"/>
      <w:r>
        <w:rPr>
          <w:rFonts w:ascii="Times New Roman" w:hAnsi="Times New Roman"/>
          <w:b w:val="false"/>
          <w:i w:val="false"/>
          <w:caps w:val="false"/>
          <w:smallCaps w:val="false"/>
          <w:sz w:val="22"/>
        </w:rPr>
        <w:t>6.3.</w:t>
      </w:r>
      <w:r>
        <w:rPr>
          <w:rFonts w:ascii="Times New Roman" w:hAnsi="Times New Roman"/>
          <w:b w:val="false"/>
          <w:i w:val="false"/>
          <w:caps w:val="false"/>
          <w:smallCaps w:val="false"/>
          <w:sz w:val="22"/>
          <w:u w:val="single"/>
        </w:rPr>
        <w:t>Alliance Managers</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506" w:name="_Ref426703784"/>
      <w:bookmarkEnd w:id="506"/>
      <w:r>
        <w:rPr>
          <w:rFonts w:ascii="Times New Roman" w:hAnsi="Times New Roman"/>
          <w:b w:val="false"/>
          <w:i w:val="false"/>
          <w:caps w:val="false"/>
          <w:smallCaps w:val="false"/>
          <w:sz w:val="22"/>
        </w:rPr>
        <w:t>6.3.1.</w:t>
      </w:r>
      <w:r>
        <w:rPr>
          <w:rFonts w:ascii="Times New Roman" w:hAnsi="Times New Roman"/>
          <w:b w:val="false"/>
          <w:i w:val="false"/>
          <w:caps w:val="false"/>
          <w:smallCaps w:val="false"/>
          <w:sz w:val="22"/>
          <w:u w:val="single"/>
        </w:rPr>
        <w:t>Appointment</w:t>
      </w:r>
      <w:r>
        <w:rPr>
          <w:rFonts w:ascii="Times New Roman" w:hAnsi="Times New Roman"/>
          <w:b w:val="false"/>
          <w:i w:val="false"/>
          <w:caps w:val="false"/>
          <w:smallCaps w:val="false"/>
          <w:sz w:val="22"/>
        </w:rPr>
        <w:t>.  Within thirty (30) days following the Effective Date, each Party will appoint (and notify the other Party of the identity of) a representative of such Party to act as its alliance manager under this Agreement (each, an “</w:t>
      </w:r>
      <w:r>
        <w:rPr>
          <w:rFonts w:ascii="Times New Roman" w:hAnsi="Times New Roman"/>
          <w:b/>
          <w:i w:val="false"/>
          <w:caps w:val="false"/>
          <w:smallCaps w:val="false"/>
          <w:sz w:val="22"/>
        </w:rPr>
        <w:t>Alliance Manager</w:t>
      </w:r>
      <w:r>
        <w:rPr>
          <w:rFonts w:ascii="Times New Roman" w:hAnsi="Times New Roman"/>
          <w:b w:val="false"/>
          <w:i w:val="false"/>
          <w:caps w:val="false"/>
          <w:smallCaps w:val="false"/>
          <w:sz w:val="22"/>
        </w:rPr>
        <w:t>”).  Each Party may replace its Alliance Manager at any time by written notice to the other Party.</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6.3.2.</w:t>
      </w:r>
      <w:r>
        <w:rPr>
          <w:rFonts w:ascii="Times New Roman" w:hAnsi="Times New Roman"/>
          <w:b w:val="false"/>
          <w:i w:val="false"/>
          <w:caps w:val="false"/>
          <w:smallCaps w:val="false"/>
          <w:sz w:val="22"/>
          <w:u w:val="single"/>
        </w:rPr>
        <w:t>Specific Responsibilities</w:t>
      </w:r>
      <w:r>
        <w:rPr>
          <w:rFonts w:ascii="Times New Roman" w:hAnsi="Times New Roman"/>
          <w:b w:val="false"/>
          <w:i w:val="false"/>
          <w:caps w:val="false"/>
          <w:smallCaps w:val="false"/>
          <w:sz w:val="22"/>
        </w:rPr>
        <w:t>.  The Alliance Managers may be, but will not be required to be, members of the JSC.  The Alliance Managers will serve as the primary contact point between the Parties for the purpose of providing each Party with information regarding the other Parties’ activities pursuant to this Agreement and will have the following responsibilities:</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24</w:t>
      </w:r>
    </w:p>
    <w:p>
      <w:pPr>
        <w:pStyle w:val="HorizontalLine"/>
        <w:rPr/>
      </w:pPr>
      <w:r>
        <w:rPr/>
      </w:r>
    </w:p>
    <w:p>
      <w:pPr>
        <w:pStyle w:val="TextBody"/>
        <w:spacing w:before="0" w:after="0"/>
        <w:rPr/>
      </w:pPr>
      <w:r>
        <w:rPr/>
        <w:t> </w:t>
      </w:r>
    </w:p>
    <w:p>
      <w:pPr>
        <w:pStyle w:val="TextBody"/>
        <w:spacing w:before="0" w:after="0"/>
        <w:ind w:left="720" w:right="0" w:hanging="0"/>
        <w:jc w:val="both"/>
        <w:rPr>
          <w:rFonts w:ascii="Times New Roman" w:hAnsi="Times New Roman"/>
          <w:b w:val="false"/>
          <w:i w:val="false"/>
          <w:caps w:val="false"/>
          <w:smallCaps w:val="false"/>
          <w:sz w:val="22"/>
        </w:rPr>
      </w:pPr>
      <w:bookmarkStart w:id="507" w:name="_AEIOULastRenderedPageBreakAEIOU24"/>
      <w:bookmarkEnd w:id="507"/>
      <w:r>
        <w:rPr>
          <w:rFonts w:ascii="Times New Roman" w:hAnsi="Times New Roman"/>
          <w:b w:val="false"/>
          <w:i w:val="false"/>
          <w:caps w:val="false"/>
          <w:smallCaps w:val="false"/>
          <w:sz w:val="22"/>
        </w:rPr>
        <w:t>(a)schedule meetings of the JSC, prepare and circulate agendas to JSC members at least five (5) days prior to each JSC meeting and circulate reasonably detailed, draft written minutes from each meeting within fourteen (14) days after each such meeting;</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(b)facilitate the flow of information and otherwise promoting communication, coordination and collaboration between the Parties;</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(c)provide a single point of communication for seeking consensus both internally within the respective Party’s organization and between the Parties regarding key strategy and planning issues;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(d)perform such other functions as requested by the JSC.</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6.4.</w:t>
      </w:r>
      <w:r>
        <w:rPr>
          <w:rFonts w:ascii="Times New Roman" w:hAnsi="Times New Roman"/>
          <w:b w:val="false"/>
          <w:i w:val="false"/>
          <w:caps w:val="false"/>
          <w:smallCaps w:val="false"/>
          <w:sz w:val="22"/>
          <w:u w:val="single"/>
        </w:rPr>
        <w:t>Withdrawal</w:t>
      </w:r>
      <w:r>
        <w:rPr>
          <w:rFonts w:ascii="Times New Roman" w:hAnsi="Times New Roman"/>
          <w:b w:val="false"/>
          <w:i w:val="false"/>
          <w:caps w:val="false"/>
          <w:smallCaps w:val="false"/>
          <w:sz w:val="22"/>
        </w:rPr>
        <w:t>.  A Party’s representation on the JSC and all other committees and working groups shall be at its sole discretion, as a matter of right and not obligation, for the sole purpose of participation in governance, decision-making, and information exchange with respect to activities within the authority of any such committee.  A Party shall have the right to withdraw, at any time, from participation on any or all of such committees upon 30 days’ prior written notice to the other Party, which notice shall be effective upon the expiration of such 30-day period.  Following the issuance of such notice:  (a) the withdrawing Party’s participation on the applicable committees shall be suspended; and (b) each Party shall have the obligation to provide and the right to continue to receive the information it would otherwise be required to provide and entitled to receive under the Agreement and to participate directly with the other Party in discussions, reviews and approvals currently allocated to the relevant committees pursuant to the Agreement.  If, at any time, following issuance of such a notice, the withdrawing Party wishes to resume participation in the relevant committee, the withdrawing Party shall notify the other Party in writing and, thereafter, the withdrawing Party’s representatives to the relevant committee shall be entitled to attend any subsequent meeting of such committee and to participate in the activities of, and decision-making by, such committee as provided in this Agreement as if such notice had not been issued by the withdrawing Party.  If a committee is disbanded, then any data and information of the nature intended to be shared within such committee shall be provided by each Party directly to the other Party.</w:t>
      </w:r>
    </w:p>
    <w:p>
      <w:pPr>
        <w:pStyle w:val="TextBody"/>
        <w:spacing w:before="0" w:after="240"/>
        <w:jc w:val="center"/>
        <w:rPr>
          <w:rFonts w:ascii="Times New Roman" w:hAnsi="Times New Roman"/>
          <w:b/>
          <w:i w:val="false"/>
          <w:caps w:val="false"/>
          <w:smallCaps w:val="false"/>
          <w:sz w:val="22"/>
        </w:rPr>
      </w:pPr>
      <w:bookmarkStart w:id="508" w:name="_Ref_docxtools_3131"/>
      <w:bookmarkEnd w:id="508"/>
      <w:r>
        <w:rPr>
          <w:rFonts w:ascii="Times New Roman" w:hAnsi="Times New Roman"/>
          <w:b/>
          <w:i w:val="false"/>
          <w:caps w:val="false"/>
          <w:smallCaps w:val="false"/>
          <w:sz w:val="22"/>
        </w:rPr>
        <w:t>Article 7.</w:t>
        <w:br/>
      </w:r>
      <w:bookmarkStart w:id="509" w:name="_Ref_docxtools_313"/>
      <w:bookmarkEnd w:id="509"/>
      <w:r>
        <w:rPr>
          <w:rFonts w:ascii="Times New Roman" w:hAnsi="Times New Roman"/>
          <w:b/>
          <w:i w:val="false"/>
          <w:caps w:val="false"/>
          <w:smallCaps w:val="false"/>
          <w:sz w:val="22"/>
        </w:rPr>
        <w:t>DEVELOPMENT AND COMMERCIALIZATION</w:t>
      </w:r>
    </w:p>
    <w:p>
      <w:pPr>
        <w:pStyle w:val="TextBody"/>
        <w:spacing w:before="0" w:after="240"/>
        <w:ind w:left="1260" w:right="0" w:hanging="0"/>
        <w:jc w:val="both"/>
        <w:rPr>
          <w:rFonts w:ascii="Times New Roman" w:hAnsi="Times New Roman"/>
          <w:b w:val="false"/>
          <w:i w:val="false"/>
          <w:caps w:val="false"/>
          <w:smallCaps w:val="false"/>
          <w:sz w:val="22"/>
        </w:rPr>
      </w:pPr>
      <w:bookmarkStart w:id="510" w:name="_Ref512324472"/>
      <w:bookmarkStart w:id="511" w:name="_Ref_docxtools_314"/>
      <w:bookmarkStart w:id="512" w:name="_Ref427060641"/>
      <w:bookmarkStart w:id="513" w:name="_Ref423445256"/>
      <w:bookmarkEnd w:id="510"/>
      <w:bookmarkEnd w:id="511"/>
      <w:bookmarkEnd w:id="512"/>
      <w:bookmarkEnd w:id="513"/>
      <w:r>
        <w:rPr>
          <w:rFonts w:ascii="Times New Roman" w:hAnsi="Times New Roman"/>
          <w:b w:val="false"/>
          <w:i w:val="false"/>
          <w:caps w:val="false"/>
          <w:smallCaps w:val="false"/>
          <w:sz w:val="22"/>
        </w:rPr>
        <w:t>7.1.</w:t>
      </w:r>
      <w:r>
        <w:rPr>
          <w:rFonts w:ascii="Times New Roman" w:hAnsi="Times New Roman"/>
          <w:b w:val="false"/>
          <w:i w:val="false"/>
          <w:caps w:val="false"/>
          <w:smallCaps w:val="false"/>
          <w:sz w:val="22"/>
          <w:u w:val="single"/>
        </w:rPr>
        <w:t>Development and Commercialization Terms</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514" w:name="_AEIOULastRenderedPageBreakAEIOU25"/>
      <w:bookmarkStart w:id="515" w:name="_Ref61014252"/>
      <w:bookmarkStart w:id="516" w:name="_Ref514247669"/>
      <w:bookmarkStart w:id="517" w:name="_Ref517429888"/>
      <w:bookmarkEnd w:id="514"/>
      <w:bookmarkEnd w:id="515"/>
      <w:bookmarkEnd w:id="516"/>
      <w:bookmarkEnd w:id="517"/>
      <w:r>
        <w:rPr>
          <w:rFonts w:ascii="Times New Roman" w:hAnsi="Times New Roman"/>
          <w:b w:val="false"/>
          <w:i w:val="false"/>
          <w:caps w:val="false"/>
          <w:smallCaps w:val="false"/>
          <w:sz w:val="22"/>
        </w:rPr>
        <w:t>7.1.1.</w:t>
      </w:r>
      <w:r>
        <w:rPr>
          <w:rFonts w:ascii="Times New Roman" w:hAnsi="Times New Roman"/>
          <w:b w:val="false"/>
          <w:i w:val="false"/>
          <w:caps w:val="false"/>
          <w:smallCaps w:val="false"/>
          <w:sz w:val="22"/>
          <w:u w:val="single"/>
        </w:rPr>
        <w:t>Negotiation of Joint Development and Commercialization Agreement</w:t>
      </w:r>
      <w:r>
        <w:rPr>
          <w:rFonts w:ascii="Times New Roman" w:hAnsi="Times New Roman"/>
          <w:b w:val="false"/>
          <w:i w:val="false"/>
          <w:caps w:val="false"/>
          <w:smallCaps w:val="false"/>
          <w:sz w:val="22"/>
        </w:rPr>
        <w:t>.  For each Collaboration Product, commencing at least [***] months before the anticipated filing of the first CTA for such Collaboration Product, the Parties shall in good faith negotiate toward an agreement for each such Collaboration Product pursuant to which the Parties would jointly develop and commercialize the Initial Collaboration Product and Second Collaboration Product (and, in the event of exercise of the CRISPR Option, the Third Collaboration Product) for use in the Field in the Territory (each, a “</w:t>
      </w:r>
      <w:r>
        <w:rPr>
          <w:rFonts w:ascii="Times New Roman" w:hAnsi="Times New Roman"/>
          <w:b/>
          <w:i w:val="false"/>
          <w:caps w:val="false"/>
          <w:smallCaps w:val="false"/>
          <w:sz w:val="22"/>
        </w:rPr>
        <w:t>Joint Development and Commercialization Agreement</w:t>
      </w:r>
      <w:r>
        <w:rPr>
          <w:rFonts w:ascii="Times New Roman" w:hAnsi="Times New Roman"/>
          <w:b w:val="false"/>
          <w:i w:val="false"/>
          <w:caps w:val="false"/>
          <w:smallCaps w:val="false"/>
          <w:sz w:val="22"/>
        </w:rPr>
        <w:t>” or “</w:t>
      </w:r>
      <w:r>
        <w:rPr>
          <w:rFonts w:ascii="Times New Roman" w:hAnsi="Times New Roman"/>
          <w:b/>
          <w:i w:val="false"/>
          <w:caps w:val="false"/>
          <w:smallCaps w:val="false"/>
          <w:sz w:val="22"/>
        </w:rPr>
        <w:t>JDCA</w:t>
      </w:r>
      <w:r>
        <w:rPr>
          <w:rFonts w:ascii="Times New Roman" w:hAnsi="Times New Roman"/>
          <w:b w:val="false"/>
          <w:i w:val="false"/>
          <w:caps w:val="false"/>
          <w:smallCaps w:val="false"/>
          <w:sz w:val="22"/>
        </w:rPr>
        <w:t xml:space="preserve">”); provided that if the CRISPR Option for the Third Collaboration Product is exercised later than such [***] month time period, the Parties shall in good faith negotiate a JDCA within [***] months of the exercise of the CRISPR Option for the Third Collaboration Product, as applicable.  Each Joint Development and Commercialization Agreement will be consistent with the principal terms set forth in </w:t>
      </w:r>
      <w:r>
        <w:rPr>
          <w:rFonts w:ascii="Times New Roman" w:hAnsi="Times New Roman"/>
          <w:b w:val="false"/>
          <w:i w:val="false"/>
          <w:caps w:val="false"/>
          <w:smallCaps w:val="false"/>
          <w:sz w:val="22"/>
          <w:u w:val="single"/>
        </w:rPr>
        <w:t>Exhibit C</w:t>
      </w:r>
      <w:r>
        <w:rPr>
          <w:rFonts w:ascii="Times New Roman" w:hAnsi="Times New Roman"/>
          <w:b w:val="false"/>
          <w:i w:val="false"/>
          <w:caps w:val="false"/>
          <w:smallCaps w:val="false"/>
          <w:sz w:val="22"/>
        </w:rPr>
        <w:t xml:space="preserve"> attached hereto and incorporated herein by reference and include such other terms as mutually agreed to by the Parties, including allocation, if any, for any payments that may be owed by a Party with respect to such Collaboration Product under any CRISPR In-License Agreement or Nkarta In-License Agreement, as applicable.  If the Parties are unable to agree to a final form of Joint Development and Commercialization Agreement on or prior to the earlier of [***] months prior to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25</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anticipated filing of a CTA for the Collaboration Product or if CRISPR exercises the CRISPR Option, if applicable, within [***] months after the exercise of the CRISPR Option (or such later date as agreed in writing by the Parties), then the Parties will [***].</w:t>
      </w:r>
    </w:p>
    <w:p>
      <w:pPr>
        <w:pStyle w:val="TextBody"/>
        <w:spacing w:before="0" w:after="240"/>
        <w:jc w:val="center"/>
        <w:rPr>
          <w:rFonts w:ascii="Times New Roman" w:hAnsi="Times New Roman"/>
          <w:b/>
          <w:i w:val="false"/>
          <w:caps w:val="false"/>
          <w:smallCaps w:val="false"/>
          <w:sz w:val="22"/>
        </w:rPr>
      </w:pPr>
      <w:bookmarkStart w:id="518" w:name="_Ref_docxtools_3161"/>
      <w:bookmarkEnd w:id="518"/>
      <w:r>
        <w:rPr>
          <w:rFonts w:ascii="Times New Roman" w:hAnsi="Times New Roman"/>
          <w:b/>
          <w:i w:val="false"/>
          <w:caps w:val="false"/>
          <w:smallCaps w:val="false"/>
          <w:sz w:val="22"/>
        </w:rPr>
        <w:t>Article 8.</w:t>
        <w:br/>
      </w:r>
      <w:bookmarkStart w:id="519" w:name="_Ref_docxtools_316"/>
      <w:bookmarkEnd w:id="519"/>
      <w:r>
        <w:rPr>
          <w:rFonts w:ascii="Times New Roman" w:hAnsi="Times New Roman"/>
          <w:b/>
          <w:i w:val="false"/>
          <w:caps w:val="false"/>
          <w:smallCaps w:val="false"/>
          <w:sz w:val="22"/>
        </w:rPr>
        <w:t>LICENSE GRANTS</w:t>
      </w:r>
    </w:p>
    <w:p>
      <w:pPr>
        <w:pStyle w:val="TextBody"/>
        <w:spacing w:before="0" w:after="240"/>
        <w:ind w:left="1260" w:right="0" w:hanging="0"/>
        <w:jc w:val="both"/>
        <w:rPr>
          <w:rFonts w:ascii="Times New Roman" w:hAnsi="Times New Roman"/>
          <w:b w:val="false"/>
          <w:i w:val="false"/>
          <w:caps w:val="false"/>
          <w:smallCaps w:val="false"/>
          <w:sz w:val="22"/>
        </w:rPr>
      </w:pPr>
      <w:bookmarkStart w:id="520" w:name="_Ref425416181"/>
      <w:bookmarkStart w:id="521" w:name="_Ref416780085"/>
      <w:bookmarkStart w:id="522" w:name="_Ref_docxtools_317"/>
      <w:bookmarkStart w:id="523" w:name="_Ref60997634"/>
      <w:bookmarkEnd w:id="520"/>
      <w:bookmarkEnd w:id="521"/>
      <w:bookmarkEnd w:id="522"/>
      <w:bookmarkEnd w:id="523"/>
      <w:r>
        <w:rPr>
          <w:rFonts w:ascii="Times New Roman" w:hAnsi="Times New Roman"/>
          <w:b w:val="false"/>
          <w:i w:val="false"/>
          <w:caps w:val="false"/>
          <w:smallCaps w:val="false"/>
          <w:sz w:val="22"/>
        </w:rPr>
        <w:t>8.1.</w:t>
      </w:r>
      <w:r>
        <w:rPr>
          <w:rFonts w:ascii="Times New Roman" w:hAnsi="Times New Roman"/>
          <w:b w:val="false"/>
          <w:i w:val="false"/>
          <w:caps w:val="false"/>
          <w:smallCaps w:val="false"/>
          <w:sz w:val="22"/>
          <w:u w:val="single"/>
        </w:rPr>
        <w:t>Licenses from CRISPR to Nkarta</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524" w:name="_Ref_docxtools_318"/>
      <w:bookmarkEnd w:id="524"/>
      <w:r>
        <w:rPr>
          <w:rFonts w:ascii="Times New Roman" w:hAnsi="Times New Roman"/>
          <w:b w:val="false"/>
          <w:i w:val="false"/>
          <w:caps w:val="false"/>
          <w:smallCaps w:val="false"/>
          <w:sz w:val="22"/>
        </w:rPr>
        <w:t>8.1.1.</w:t>
      </w:r>
      <w:r>
        <w:rPr>
          <w:rFonts w:ascii="Times New Roman" w:hAnsi="Times New Roman"/>
          <w:b w:val="false"/>
          <w:i w:val="false"/>
          <w:caps w:val="false"/>
          <w:smallCaps w:val="false"/>
          <w:sz w:val="22"/>
          <w:u w:val="single"/>
        </w:rPr>
        <w:t>Research License During the Term</w:t>
      </w:r>
      <w:r>
        <w:rPr>
          <w:rFonts w:ascii="Times New Roman" w:hAnsi="Times New Roman"/>
          <w:b w:val="false"/>
          <w:i w:val="false"/>
          <w:caps w:val="false"/>
          <w:smallCaps w:val="false"/>
          <w:sz w:val="22"/>
        </w:rPr>
        <w:t>.  Subject to the terms and conditions of this Agreement, CRISPR hereby grants to Nkarta and its Affiliates a non-exclusive, royalty-free, fully paid-up, worldwide license, with no right to grant sublicenses except to Subcontractors as provided under Section 2.8, under the CRISPR Technology solely to perform the Nkarta Activities during the Term.</w:t>
      </w:r>
    </w:p>
    <w:p>
      <w:pPr>
        <w:pStyle w:val="TextBody"/>
        <w:spacing w:before="0" w:after="240"/>
        <w:ind w:left="720" w:right="0" w:hanging="0"/>
        <w:jc w:val="both"/>
        <w:rPr>
          <w:rFonts w:ascii="Times New Roman" w:hAnsi="Times New Roman"/>
          <w:b w:val="false"/>
          <w:i w:val="false"/>
          <w:caps w:val="false"/>
          <w:smallCaps w:val="false"/>
          <w:sz w:val="22"/>
        </w:rPr>
      </w:pPr>
      <w:bookmarkStart w:id="525" w:name="_Ref_docxtools_319"/>
      <w:bookmarkStart w:id="526" w:name="_Ref60999026"/>
      <w:bookmarkEnd w:id="525"/>
      <w:bookmarkEnd w:id="526"/>
      <w:r>
        <w:rPr>
          <w:rFonts w:ascii="Times New Roman" w:hAnsi="Times New Roman"/>
          <w:b w:val="false"/>
          <w:i w:val="false"/>
          <w:caps w:val="false"/>
          <w:smallCaps w:val="false"/>
          <w:sz w:val="22"/>
        </w:rPr>
        <w:t>8.1.2.</w:t>
      </w:r>
      <w:r>
        <w:rPr>
          <w:rFonts w:ascii="Times New Roman" w:hAnsi="Times New Roman"/>
          <w:b w:val="false"/>
          <w:i w:val="false"/>
          <w:caps w:val="false"/>
          <w:smallCaps w:val="false"/>
          <w:sz w:val="22"/>
          <w:u w:val="single"/>
        </w:rPr>
        <w:t>Nkarta Product License</w:t>
      </w:r>
      <w:r>
        <w:rPr>
          <w:rFonts w:ascii="Times New Roman" w:hAnsi="Times New Roman"/>
          <w:b w:val="false"/>
          <w:i w:val="false"/>
          <w:caps w:val="false"/>
          <w:smallCaps w:val="false"/>
          <w:sz w:val="22"/>
        </w:rPr>
        <w:t>.  Subject to the terms and conditions of this Agreement, CRISPR hereby grants to Nkarta and its Affiliates a non-exclusive, worldwide license, with the right to grant sublicenses (including through multiple tiers) to Nkarta Product Sublicensees as provided in Section 8.1.3 and Subcontractors as provided in Section 2.8, under the CRISPR Technology necessary to Research, Develop, Manufacture and Commercialize Nkarta Products for use in the Field in the Territory.</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8.1.3</w:t>
      </w:r>
      <w:r>
        <w:rPr>
          <w:rFonts w:ascii="Times New Roman" w:hAnsi="Times New Roman"/>
          <w:b w:val="false"/>
          <w:i w:val="false"/>
          <w:caps w:val="false"/>
          <w:smallCaps w:val="false"/>
          <w:sz w:val="22"/>
          <w:u w:val="single"/>
        </w:rPr>
        <w:t>Nkarta Product Sublicenses</w:t>
      </w:r>
      <w:r>
        <w:rPr>
          <w:rFonts w:ascii="Times New Roman" w:hAnsi="Times New Roman"/>
          <w:b w:val="false"/>
          <w:i w:val="false"/>
          <w:caps w:val="false"/>
          <w:smallCaps w:val="false"/>
          <w:sz w:val="22"/>
        </w:rPr>
        <w:t>.  Nkarta may grant sublicenses (including through multiple tiers) of the license to it under Section 8.1.2 without CRISPR’s prior consent; provided, however, that: (a) each sublicense granted by Nkarta to any Nkarta Product Sublicensee pursuant to this Section 8.1.3 shall be subject to, and consistent with, the applicable terms and conditions of this Agreement (including Article 9 and Article 14) and shall require each Nkarta Product Sublicensee to comply with all applicable terms and conditions of this Agreement; and (b) each such sublicense terminates upon the termination of this Agreement.  In no event shall any sublicense granted pursuant to Section 8.1.3 diminish, reduce, relieve or eliminate any of the obligations of Nkarta under this Agreement.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8.1.3.</w:t>
      </w:r>
      <w:r>
        <w:rPr>
          <w:rFonts w:ascii="Times New Roman" w:hAnsi="Times New Roman"/>
          <w:b w:val="false"/>
          <w:i w:val="false"/>
          <w:caps w:val="false"/>
          <w:smallCaps w:val="false"/>
          <w:sz w:val="22"/>
          <w:u w:val="single"/>
        </w:rPr>
        <w:t>Nkarta Joint Technology</w:t>
      </w:r>
      <w:r>
        <w:rPr>
          <w:rFonts w:ascii="Times New Roman" w:hAnsi="Times New Roman"/>
          <w:b w:val="false"/>
          <w:i w:val="false"/>
          <w:caps w:val="false"/>
          <w:smallCaps w:val="false"/>
          <w:sz w:val="22"/>
        </w:rPr>
        <w:t>.  Subject to the terms and conditions of this Agreement, CRISPR hereby grants [***].  The term of this license shall [***].</w:t>
      </w:r>
    </w:p>
    <w:p>
      <w:pPr>
        <w:pStyle w:val="TextBody"/>
        <w:spacing w:before="0" w:after="240"/>
        <w:ind w:left="1260" w:right="0" w:hanging="0"/>
        <w:jc w:val="both"/>
        <w:rPr>
          <w:rFonts w:ascii="Times New Roman" w:hAnsi="Times New Roman"/>
          <w:b w:val="false"/>
          <w:i w:val="false"/>
          <w:caps w:val="false"/>
          <w:smallCaps w:val="false"/>
          <w:sz w:val="22"/>
        </w:rPr>
      </w:pPr>
      <w:bookmarkStart w:id="527" w:name="_Ref696666381"/>
      <w:bookmarkStart w:id="528" w:name="_Ref_docxtools_3231"/>
      <w:bookmarkStart w:id="529" w:name="_Ref513657935"/>
      <w:bookmarkStart w:id="530" w:name="_Toc244589898"/>
      <w:bookmarkStart w:id="531" w:name="_Toc138487443"/>
      <w:bookmarkStart w:id="532" w:name="_Toc138487250"/>
      <w:bookmarkStart w:id="533" w:name="_Toc137310653"/>
      <w:bookmarkStart w:id="534" w:name="_Toc135753986"/>
      <w:bookmarkStart w:id="535" w:name="_Ref135582911"/>
      <w:bookmarkStart w:id="536" w:name="_Toc135582382"/>
      <w:bookmarkStart w:id="537" w:name="_Toc135582087"/>
      <w:bookmarkStart w:id="538" w:name="_Toc135580618"/>
      <w:bookmarkStart w:id="539" w:name="_Toc115199740"/>
      <w:bookmarkStart w:id="540" w:name="_Toc115199311"/>
      <w:bookmarkStart w:id="541" w:name="_Toc115166688"/>
      <w:bookmarkStart w:id="542" w:name="_Toc115152283"/>
      <w:bookmarkStart w:id="543" w:name="_Toc115151559"/>
      <w:bookmarkStart w:id="544" w:name="_Toc115145330"/>
      <w:bookmarkStart w:id="545" w:name="_Toc115119028"/>
      <w:bookmarkStart w:id="546" w:name="_Toc115080850"/>
      <w:bookmarkStart w:id="547" w:name="_Toc115080596"/>
      <w:bookmarkStart w:id="548" w:name="_Ref416780153"/>
      <w:bookmarkStart w:id="549" w:name="_Toc412296765"/>
      <w:bookmarkStart w:id="550" w:name="_Toc263802938"/>
      <w:bookmarkStart w:id="551" w:name="_Toc263802629"/>
      <w:bookmarkStart w:id="552" w:name="_Ref263796206"/>
      <w:bookmarkStart w:id="553" w:name="_Toc244589897"/>
      <w:bookmarkStart w:id="554" w:name="_Toc138487442"/>
      <w:bookmarkStart w:id="555" w:name="_Toc138487249"/>
      <w:bookmarkStart w:id="556" w:name="_Toc137310652"/>
      <w:bookmarkStart w:id="557" w:name="_Toc135753985"/>
      <w:bookmarkStart w:id="558" w:name="_Toc135582381"/>
      <w:bookmarkStart w:id="559" w:name="_Toc135582086"/>
      <w:bookmarkStart w:id="560" w:name="_Toc135580617"/>
      <w:bookmarkStart w:id="561" w:name="_Toc115199738"/>
      <w:bookmarkStart w:id="562" w:name="_Toc115199309"/>
      <w:bookmarkStart w:id="563" w:name="_Toc115166686"/>
      <w:bookmarkStart w:id="564" w:name="_Toc115152281"/>
      <w:bookmarkStart w:id="565" w:name="_Toc115151557"/>
      <w:bookmarkStart w:id="566" w:name="_Toc115145328"/>
      <w:bookmarkStart w:id="567" w:name="_Toc115119026"/>
      <w:bookmarkStart w:id="568" w:name="_Toc115080848"/>
      <w:bookmarkStart w:id="569" w:name="_Toc115080594"/>
      <w:bookmarkStart w:id="570" w:name="_Ref_docxtools_322"/>
      <w:bookmarkStart w:id="571" w:name="_Ref60997651"/>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r>
        <w:rPr>
          <w:rFonts w:ascii="Times New Roman" w:hAnsi="Times New Roman"/>
          <w:b w:val="false"/>
          <w:i w:val="false"/>
          <w:caps w:val="false"/>
          <w:smallCaps w:val="false"/>
          <w:sz w:val="22"/>
        </w:rPr>
        <w:t>8.2.</w:t>
      </w:r>
      <w:r>
        <w:rPr>
          <w:rFonts w:ascii="Times New Roman" w:hAnsi="Times New Roman"/>
          <w:b w:val="false"/>
          <w:i w:val="false"/>
          <w:caps w:val="false"/>
          <w:smallCaps w:val="false"/>
          <w:sz w:val="22"/>
          <w:u w:val="single"/>
        </w:rPr>
        <w:t>Licenses from Nkarta to CRISPR</w:t>
      </w:r>
      <w:bookmarkStart w:id="572" w:name="_Ref69666638"/>
      <w:bookmarkStart w:id="573" w:name="_Ref_docxtools_323"/>
      <w:bookmarkEnd w:id="572"/>
      <w:bookmarkEnd w:id="573"/>
      <w:r>
        <w:rPr>
          <w:rFonts w:ascii="Times New Roman" w:hAnsi="Times New Roman"/>
          <w:b w:val="false"/>
          <w:i w:val="false"/>
          <w:caps w:val="false"/>
          <w:smallCaps w:val="false"/>
          <w:sz w:val="22"/>
        </w:rPr>
        <w:t>.  Subject to the terms and conditions of this Agreement, Nkarta hereby grants to CRISPR a non-exclusive, royalty-free, fully paid-up, worldwide license, with no right to grant sublicenses except to Subcontractors as provided under Section 2.8, under the Nkarta Technology solely to perform the CRISPR Activities during the Term.</w:t>
      </w:r>
    </w:p>
    <w:p>
      <w:pPr>
        <w:pStyle w:val="TextBody"/>
        <w:spacing w:before="0" w:after="240"/>
        <w:ind w:left="1260" w:right="0" w:hanging="0"/>
        <w:jc w:val="both"/>
        <w:rPr>
          <w:rFonts w:ascii="Times New Roman" w:hAnsi="Times New Roman"/>
          <w:b w:val="false"/>
          <w:i w:val="false"/>
          <w:caps w:val="false"/>
          <w:smallCaps w:val="false"/>
          <w:sz w:val="22"/>
        </w:rPr>
      </w:pPr>
      <w:bookmarkStart w:id="574" w:name="_Ref423505796"/>
      <w:bookmarkStart w:id="575" w:name="_Ref425857959"/>
      <w:bookmarkStart w:id="576" w:name="_Ref514754583"/>
      <w:bookmarkEnd w:id="574"/>
      <w:bookmarkEnd w:id="575"/>
      <w:bookmarkEnd w:id="576"/>
      <w:r>
        <w:rPr>
          <w:rFonts w:ascii="Times New Roman" w:hAnsi="Times New Roman"/>
          <w:b w:val="false"/>
          <w:i w:val="false"/>
          <w:caps w:val="false"/>
          <w:smallCaps w:val="false"/>
          <w:sz w:val="22"/>
        </w:rPr>
        <w:t>8.3.</w:t>
      </w:r>
      <w:r>
        <w:rPr>
          <w:rFonts w:ascii="Times New Roman" w:hAnsi="Times New Roman"/>
          <w:b w:val="false"/>
          <w:i w:val="false"/>
          <w:caps w:val="false"/>
          <w:smallCaps w:val="false"/>
          <w:sz w:val="22"/>
          <w:u w:val="single"/>
        </w:rPr>
        <w:t>No Implied Licenses</w:t>
      </w:r>
      <w:r>
        <w:rPr>
          <w:rFonts w:ascii="Times New Roman" w:hAnsi="Times New Roman"/>
          <w:b w:val="false"/>
          <w:i w:val="false"/>
          <w:caps w:val="false"/>
          <w:smallCaps w:val="false"/>
          <w:sz w:val="22"/>
        </w:rPr>
        <w:t>.  All rights in and to CRISPR Technology not expressly licensed or assigned to Nkarta under this Agreement are hereby retained by CRISPR or its Affiliates, and Nkarta agrees not to practice or use CRISPR Technology except as expressly permitted by this Agreement or any other written agreement between the Parties.  All rights in and to any Nkarta Technology not expressly licensed to CRISPR under this Agreement, are hereby retained by Nkarta or its Affiliates, and CRISPR agrees not to practice or use Nkarta Technology except as expressly permitted by this Agreement or any other written agreement between the Parties.  Except as expressly provided in this Agreement, no Party will be deemed by estoppel or implication to have granted the other Party any licenses or other right with respect to any intellectual property.</w:t>
      </w:r>
    </w:p>
    <w:p>
      <w:pPr>
        <w:pStyle w:val="TextBody"/>
        <w:spacing w:before="0" w:after="240"/>
        <w:jc w:val="center"/>
        <w:rPr>
          <w:rFonts w:ascii="Times New Roman" w:hAnsi="Times New Roman"/>
          <w:b/>
          <w:i w:val="false"/>
          <w:caps w:val="false"/>
          <w:smallCaps w:val="false"/>
          <w:sz w:val="22"/>
        </w:rPr>
      </w:pPr>
      <w:bookmarkStart w:id="577" w:name="_Ref_docxtools_3261"/>
      <w:bookmarkStart w:id="578" w:name="_Ref423514997"/>
      <w:bookmarkEnd w:id="577"/>
      <w:bookmarkEnd w:id="578"/>
      <w:r>
        <w:rPr>
          <w:rFonts w:ascii="Times New Roman" w:hAnsi="Times New Roman"/>
          <w:b/>
          <w:i w:val="false"/>
          <w:caps w:val="false"/>
          <w:smallCaps w:val="false"/>
          <w:sz w:val="22"/>
        </w:rPr>
        <w:t>Article 9.</w:t>
        <w:br/>
      </w:r>
      <w:bookmarkStart w:id="579" w:name="_Ref_docxtools_326"/>
      <w:bookmarkEnd w:id="579"/>
      <w:r>
        <w:rPr>
          <w:rFonts w:ascii="Times New Roman" w:hAnsi="Times New Roman"/>
          <w:b/>
          <w:i w:val="false"/>
          <w:caps w:val="false"/>
          <w:smallCaps w:val="false"/>
          <w:sz w:val="22"/>
        </w:rPr>
        <w:t>INTELLECTUAL PROPERTY</w:t>
      </w:r>
    </w:p>
    <w:p>
      <w:pPr>
        <w:pStyle w:val="TextBody"/>
        <w:spacing w:before="0" w:after="240"/>
        <w:ind w:left="1260" w:right="0" w:hanging="0"/>
        <w:jc w:val="both"/>
        <w:rPr>
          <w:rFonts w:ascii="Times New Roman" w:hAnsi="Times New Roman"/>
          <w:b w:val="false"/>
          <w:i w:val="false"/>
          <w:caps w:val="false"/>
          <w:smallCaps w:val="false"/>
          <w:sz w:val="22"/>
        </w:rPr>
      </w:pPr>
      <w:bookmarkStart w:id="580" w:name="_Ref514754602"/>
      <w:bookmarkEnd w:id="580"/>
      <w:r>
        <w:rPr>
          <w:rFonts w:ascii="Times New Roman" w:hAnsi="Times New Roman"/>
          <w:b w:val="false"/>
          <w:i w:val="false"/>
          <w:caps w:val="false"/>
          <w:smallCaps w:val="false"/>
          <w:sz w:val="22"/>
        </w:rPr>
        <w:t>9.1.</w:t>
      </w:r>
      <w:r>
        <w:rPr>
          <w:rFonts w:ascii="Times New Roman" w:hAnsi="Times New Roman"/>
          <w:b w:val="false"/>
          <w:i w:val="false"/>
          <w:caps w:val="false"/>
          <w:smallCaps w:val="false"/>
          <w:sz w:val="22"/>
          <w:u w:val="single"/>
        </w:rPr>
        <w:t>Ownership; Assignment</w:t>
      </w:r>
      <w:r>
        <w:rPr>
          <w:rFonts w:ascii="Times New Roman" w:hAnsi="Times New Roman"/>
          <w:b w:val="false"/>
          <w:i w:val="false"/>
          <w:caps w:val="false"/>
          <w:smallCaps w:val="false"/>
          <w:sz w:val="22"/>
        </w:rPr>
        <w:t>.</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26</w:t>
      </w:r>
    </w:p>
    <w:p>
      <w:pPr>
        <w:pStyle w:val="HorizontalLine"/>
        <w:rPr/>
      </w:pPr>
      <w:r>
        <w:rPr/>
      </w:r>
    </w:p>
    <w:p>
      <w:pPr>
        <w:pStyle w:val="TextBody"/>
        <w:spacing w:before="0" w:after="0"/>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581" w:name="_Ref4235396661"/>
      <w:bookmarkStart w:id="582" w:name="_AEIOULastRenderedPageBreakAEIOU26"/>
      <w:bookmarkStart w:id="583" w:name="_Ref423539662"/>
      <w:bookmarkEnd w:id="581"/>
      <w:bookmarkEnd w:id="582"/>
      <w:bookmarkEnd w:id="583"/>
      <w:r>
        <w:rPr>
          <w:rFonts w:ascii="Times New Roman" w:hAnsi="Times New Roman"/>
          <w:b w:val="false"/>
          <w:i w:val="false"/>
          <w:caps w:val="false"/>
          <w:smallCaps w:val="false"/>
          <w:sz w:val="22"/>
        </w:rPr>
        <w:t>9.1.1.</w:t>
      </w:r>
      <w:r>
        <w:rPr>
          <w:rFonts w:ascii="Times New Roman" w:hAnsi="Times New Roman"/>
          <w:b w:val="false"/>
          <w:i w:val="false"/>
          <w:caps w:val="false"/>
          <w:smallCaps w:val="false"/>
          <w:sz w:val="22"/>
          <w:u w:val="single"/>
        </w:rPr>
        <w:t>CRISPR Background Technology and Nkarta Background Technology</w:t>
      </w:r>
      <w:bookmarkStart w:id="584" w:name="_Ref423539666"/>
      <w:bookmarkEnd w:id="584"/>
      <w:r>
        <w:rPr>
          <w:rFonts w:ascii="Times New Roman" w:hAnsi="Times New Roman"/>
          <w:b w:val="false"/>
          <w:i w:val="false"/>
          <w:caps w:val="false"/>
          <w:smallCaps w:val="false"/>
          <w:sz w:val="22"/>
        </w:rPr>
        <w:t>.  As between the Parties, CRISPR will own and retain all of its rights, title and interest in and to the CRISPR Background Know-How and CRISPR Background Patents and Nkarta will own and retain all of its rights, title and interest in and to any Nkarta Background Know-How and Nkarta Background Patents, subject, in each case, to any rights or licenses expressly granted by one Party to the other Party under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585" w:name="_Ref433224698"/>
      <w:bookmarkEnd w:id="585"/>
      <w:r>
        <w:rPr>
          <w:rFonts w:ascii="Times New Roman" w:hAnsi="Times New Roman"/>
          <w:b w:val="false"/>
          <w:i w:val="false"/>
          <w:caps w:val="false"/>
          <w:smallCaps w:val="false"/>
          <w:sz w:val="22"/>
        </w:rPr>
        <w:t>9.1.2.</w:t>
      </w:r>
      <w:r>
        <w:rPr>
          <w:rFonts w:ascii="Times New Roman" w:hAnsi="Times New Roman"/>
          <w:b w:val="false"/>
          <w:i w:val="false"/>
          <w:caps w:val="false"/>
          <w:smallCaps w:val="false"/>
          <w:sz w:val="22"/>
          <w:u w:val="single"/>
        </w:rPr>
        <w:t xml:space="preserve">Program Technology; </w:t>
      </w:r>
      <w:r>
        <w:rPr>
          <w:rFonts w:ascii="Times New Roman" w:hAnsi="Times New Roman"/>
          <w:b w:val="false"/>
          <w:i w:val="false"/>
          <w:caps w:val="false"/>
          <w:smallCaps w:val="false"/>
          <w:sz w:val="22"/>
        </w:rPr>
        <w:t>[***].</w:t>
      </w:r>
    </w:p>
    <w:p>
      <w:pPr>
        <w:pStyle w:val="TextBody"/>
        <w:spacing w:before="0" w:after="0"/>
        <w:ind w:left="720" w:right="0" w:hanging="0"/>
        <w:jc w:val="both"/>
        <w:rPr>
          <w:rFonts w:ascii="Times New Roman" w:hAnsi="Times New Roman"/>
          <w:b w:val="false"/>
          <w:i w:val="false"/>
          <w:caps w:val="false"/>
          <w:smallCaps w:val="false"/>
          <w:sz w:val="22"/>
        </w:rPr>
      </w:pPr>
      <w:bookmarkStart w:id="586" w:name="_Ref4333810441"/>
      <w:bookmarkStart w:id="587" w:name="_Hlk634304991"/>
      <w:bookmarkStart w:id="588" w:name="_Ref433380795"/>
      <w:bookmarkEnd w:id="586"/>
      <w:bookmarkEnd w:id="587"/>
      <w:bookmarkEnd w:id="588"/>
      <w:r>
        <w:rPr>
          <w:rFonts w:ascii="Times New Roman" w:hAnsi="Times New Roman"/>
          <w:b w:val="false"/>
          <w:i w:val="false"/>
          <w:caps w:val="false"/>
          <w:smallCaps w:val="false"/>
          <w:sz w:val="22"/>
        </w:rPr>
        <w:t>(a)</w:t>
      </w:r>
      <w:bookmarkStart w:id="589" w:name="_Hlk63430499"/>
      <w:bookmarkEnd w:id="589"/>
      <w:r>
        <w:rPr>
          <w:rFonts w:ascii="Times New Roman" w:hAnsi="Times New Roman"/>
          <w:b w:val="false"/>
          <w:i w:val="false"/>
          <w:caps w:val="false"/>
          <w:smallCaps w:val="false"/>
          <w:sz w:val="22"/>
        </w:rPr>
        <w:t>As between the Parties, CRISPR will be the sole owner of any Know-How conceived, discovered, developed, invented or created solely by CRISPR or its Affiliates or Third Parties acting on their behalf while conducting CRISPR Activities under this Agreement (“</w:t>
      </w:r>
      <w:r>
        <w:rPr>
          <w:rFonts w:ascii="Times New Roman" w:hAnsi="Times New Roman"/>
          <w:b/>
          <w:i w:val="false"/>
          <w:caps w:val="false"/>
          <w:smallCaps w:val="false"/>
          <w:sz w:val="22"/>
        </w:rPr>
        <w:t>CRISPR Program Know-How</w:t>
      </w:r>
      <w:r>
        <w:rPr>
          <w:rFonts w:ascii="Times New Roman" w:hAnsi="Times New Roman"/>
          <w:b w:val="false"/>
          <w:i w:val="false"/>
          <w:caps w:val="false"/>
          <w:smallCaps w:val="false"/>
          <w:sz w:val="22"/>
        </w:rPr>
        <w:t>”) and any Patents that Cover or claim such Know-How (“</w:t>
      </w:r>
      <w:r>
        <w:rPr>
          <w:rFonts w:ascii="Times New Roman" w:hAnsi="Times New Roman"/>
          <w:b/>
          <w:i w:val="false"/>
          <w:caps w:val="false"/>
          <w:smallCaps w:val="false"/>
          <w:sz w:val="22"/>
        </w:rPr>
        <w:t>CRISPR Program Patents</w:t>
      </w:r>
      <w:r>
        <w:rPr>
          <w:rFonts w:ascii="Times New Roman" w:hAnsi="Times New Roman"/>
          <w:b w:val="false"/>
          <w:i w:val="false"/>
          <w:caps w:val="false"/>
          <w:smallCaps w:val="false"/>
          <w:sz w:val="22"/>
        </w:rPr>
        <w:t>” and together with the CRISPR Program Know-How, the “</w:t>
      </w:r>
      <w:r>
        <w:rPr>
          <w:rFonts w:ascii="Times New Roman" w:hAnsi="Times New Roman"/>
          <w:b/>
          <w:i w:val="false"/>
          <w:caps w:val="false"/>
          <w:smallCaps w:val="false"/>
          <w:sz w:val="22"/>
        </w:rPr>
        <w:t>CRISPR Program Technology</w:t>
      </w:r>
      <w:bookmarkStart w:id="590" w:name="_Ref433381044"/>
      <w:bookmarkEnd w:id="590"/>
      <w:r>
        <w:rPr>
          <w:rFonts w:ascii="Times New Roman" w:hAnsi="Times New Roman"/>
          <w:b w:val="false"/>
          <w:i w:val="false"/>
          <w:caps w:val="false"/>
          <w:smallCaps w:val="false"/>
          <w:sz w:val="22"/>
        </w:rPr>
        <w:t>”), and will retain all of its rights, title and interest thereto, subject to any assignment, rights or licenses expressly granted by CRISPR to Nkarta under this Agreement.</w:t>
      </w:r>
    </w:p>
    <w:p>
      <w:pPr>
        <w:pStyle w:val="TextBody"/>
        <w:spacing w:before="0" w:after="0"/>
        <w:ind w:left="720" w:right="0" w:hanging="0"/>
        <w:jc w:val="both"/>
        <w:rPr>
          <w:rFonts w:ascii="Times New Roman" w:hAnsi="Times New Roman"/>
          <w:b w:val="false"/>
          <w:i w:val="false"/>
          <w:caps w:val="false"/>
          <w:smallCaps w:val="false"/>
          <w:sz w:val="22"/>
        </w:rPr>
      </w:pPr>
      <w:bookmarkStart w:id="591" w:name="_Ref4325799361"/>
      <w:bookmarkStart w:id="592" w:name="_Ref4333841601"/>
      <w:bookmarkStart w:id="593" w:name="_Ref5161523791"/>
      <w:bookmarkStart w:id="594" w:name="_Ref5123245091"/>
      <w:bookmarkStart w:id="595" w:name="_Ref5142545971"/>
      <w:bookmarkStart w:id="596" w:name="_Ref61016338"/>
      <w:bookmarkEnd w:id="591"/>
      <w:bookmarkEnd w:id="592"/>
      <w:bookmarkEnd w:id="593"/>
      <w:bookmarkEnd w:id="594"/>
      <w:bookmarkEnd w:id="595"/>
      <w:bookmarkEnd w:id="596"/>
      <w:r>
        <w:rPr>
          <w:rFonts w:ascii="Times New Roman" w:hAnsi="Times New Roman"/>
          <w:b w:val="false"/>
          <w:i w:val="false"/>
          <w:caps w:val="false"/>
          <w:smallCaps w:val="false"/>
          <w:sz w:val="22"/>
        </w:rPr>
        <w:t>(b)As between the Parties, Nkarta will be the sole owner of any Know-How conceived, discovered, developed, invented or created solely by Nkarta or its Affiliates or Third Parties acting on their behalf while conducting Nkarta Activities under this Agreement (“</w:t>
      </w:r>
      <w:r>
        <w:rPr>
          <w:rFonts w:ascii="Times New Roman" w:hAnsi="Times New Roman"/>
          <w:b/>
          <w:i w:val="false"/>
          <w:caps w:val="false"/>
          <w:smallCaps w:val="false"/>
          <w:sz w:val="22"/>
        </w:rPr>
        <w:t>Nkarta Program Know-How</w:t>
      </w:r>
      <w:r>
        <w:rPr>
          <w:rFonts w:ascii="Times New Roman" w:hAnsi="Times New Roman"/>
          <w:b w:val="false"/>
          <w:i w:val="false"/>
          <w:caps w:val="false"/>
          <w:smallCaps w:val="false"/>
          <w:sz w:val="22"/>
        </w:rPr>
        <w:t>”) and any Patents that Cover or claim Nkarta Program Know-How (“</w:t>
      </w:r>
      <w:r>
        <w:rPr>
          <w:rFonts w:ascii="Times New Roman" w:hAnsi="Times New Roman"/>
          <w:b/>
          <w:i w:val="false"/>
          <w:caps w:val="false"/>
          <w:smallCaps w:val="false"/>
          <w:sz w:val="22"/>
        </w:rPr>
        <w:t>Nkarta Program Patents</w:t>
      </w:r>
      <w:r>
        <w:rPr>
          <w:rFonts w:ascii="Times New Roman" w:hAnsi="Times New Roman"/>
          <w:b w:val="false"/>
          <w:i w:val="false"/>
          <w:caps w:val="false"/>
          <w:smallCaps w:val="false"/>
          <w:sz w:val="22"/>
        </w:rPr>
        <w:t>” and together with the Nkarta Program Know-How, the “</w:t>
      </w:r>
      <w:r>
        <w:rPr>
          <w:rFonts w:ascii="Times New Roman" w:hAnsi="Times New Roman"/>
          <w:b/>
          <w:i w:val="false"/>
          <w:caps w:val="false"/>
          <w:smallCaps w:val="false"/>
          <w:sz w:val="22"/>
        </w:rPr>
        <w:t>Nkarta Program Technology</w:t>
      </w:r>
      <w:bookmarkStart w:id="597" w:name="_Ref432579936"/>
      <w:bookmarkStart w:id="598" w:name="_Ref433384160"/>
      <w:bookmarkStart w:id="599" w:name="_Ref516152379"/>
      <w:bookmarkStart w:id="600" w:name="_Ref512324509"/>
      <w:bookmarkStart w:id="601" w:name="_Ref514254597"/>
      <w:bookmarkEnd w:id="597"/>
      <w:bookmarkEnd w:id="598"/>
      <w:bookmarkEnd w:id="599"/>
      <w:bookmarkEnd w:id="600"/>
      <w:bookmarkEnd w:id="601"/>
      <w:r>
        <w:rPr>
          <w:rFonts w:ascii="Times New Roman" w:hAnsi="Times New Roman"/>
          <w:b w:val="false"/>
          <w:i w:val="false"/>
          <w:caps w:val="false"/>
          <w:smallCaps w:val="false"/>
          <w:sz w:val="22"/>
        </w:rPr>
        <w:t>”), and will retain all of its rights, title and interest thereto, subject to any rights or licenses expressly granted by Nkarta to CRISPR under this Agreement.</w:t>
      </w:r>
    </w:p>
    <w:p>
      <w:pPr>
        <w:pStyle w:val="TextBody"/>
        <w:spacing w:before="0" w:after="0"/>
        <w:ind w:left="720" w:right="0" w:hanging="0"/>
        <w:jc w:val="both"/>
        <w:rPr>
          <w:rFonts w:ascii="Times New Roman" w:hAnsi="Times New Roman"/>
          <w:b w:val="false"/>
          <w:i w:val="false"/>
          <w:caps w:val="false"/>
          <w:smallCaps w:val="false"/>
          <w:sz w:val="22"/>
        </w:rPr>
      </w:pPr>
      <w:bookmarkStart w:id="602" w:name="_Hlk634305551"/>
      <w:bookmarkStart w:id="603" w:name="_Ref61014290"/>
      <w:bookmarkStart w:id="604" w:name="_Ref60588489"/>
      <w:bookmarkStart w:id="605" w:name="_Hlk63430602"/>
      <w:bookmarkEnd w:id="602"/>
      <w:bookmarkEnd w:id="603"/>
      <w:bookmarkEnd w:id="604"/>
      <w:bookmarkEnd w:id="605"/>
      <w:r>
        <w:rPr>
          <w:rFonts w:ascii="Times New Roman" w:hAnsi="Times New Roman"/>
          <w:b w:val="false"/>
          <w:i w:val="false"/>
          <w:caps w:val="false"/>
          <w:smallCaps w:val="false"/>
          <w:sz w:val="22"/>
        </w:rPr>
        <w:t>(c)Any Know-How conceived, discovered, developed, invented or created under this Agreement jointly by Nkarta, its Affiliates or Third Parties acting on Nkarta’s behalf, on the one hand, and CRISPR, its Affiliates or Third Parties acting on CRISPR’s behalf, on the other hand, in each case, while conducting Research Activities, or otherwise collaborating, under this Agreement (“</w:t>
      </w:r>
      <w:r>
        <w:rPr>
          <w:rFonts w:ascii="Times New Roman" w:hAnsi="Times New Roman"/>
          <w:b/>
          <w:i w:val="false"/>
          <w:caps w:val="false"/>
          <w:smallCaps w:val="false"/>
          <w:sz w:val="22"/>
        </w:rPr>
        <w:t>Joint Know-How</w:t>
      </w:r>
      <w:bookmarkStart w:id="606" w:name="_Hlk63430555"/>
      <w:bookmarkEnd w:id="606"/>
      <w:r>
        <w:rPr>
          <w:rFonts w:ascii="Times New Roman" w:hAnsi="Times New Roman"/>
          <w:b w:val="false"/>
          <w:i w:val="false"/>
          <w:caps w:val="false"/>
          <w:smallCaps w:val="false"/>
          <w:sz w:val="22"/>
        </w:rPr>
        <w:t>”) and any Patents that Cover or claim Joint Know-How (“</w:t>
      </w:r>
      <w:r>
        <w:rPr>
          <w:rFonts w:ascii="Times New Roman" w:hAnsi="Times New Roman"/>
          <w:b/>
          <w:i w:val="false"/>
          <w:caps w:val="false"/>
          <w:smallCaps w:val="false"/>
          <w:sz w:val="22"/>
        </w:rPr>
        <w:t>Joint Patents</w:t>
      </w:r>
      <w:r>
        <w:rPr>
          <w:rFonts w:ascii="Times New Roman" w:hAnsi="Times New Roman"/>
          <w:b w:val="false"/>
          <w:i w:val="false"/>
          <w:caps w:val="false"/>
          <w:smallCaps w:val="false"/>
          <w:sz w:val="22"/>
        </w:rPr>
        <w:t>” and together with the Joint Know-How, the “</w:t>
      </w:r>
      <w:r>
        <w:rPr>
          <w:rFonts w:ascii="Times New Roman" w:hAnsi="Times New Roman"/>
          <w:b/>
          <w:i w:val="false"/>
          <w:caps w:val="false"/>
          <w:smallCaps w:val="false"/>
          <w:sz w:val="22"/>
        </w:rPr>
        <w:t>Joint Technology</w:t>
      </w:r>
      <w:r>
        <w:rPr>
          <w:rFonts w:ascii="Times New Roman" w:hAnsi="Times New Roman"/>
          <w:b w:val="false"/>
          <w:i w:val="false"/>
          <w:caps w:val="false"/>
          <w:smallCaps w:val="false"/>
          <w:sz w:val="22"/>
        </w:rPr>
        <w:t>”), will be owned jointly by the Parties on an equal and undivided basis, including all rights, title and interest thereto, subject to any assignment, rights or licenses expressly granted by one Party to the other Party under this Agreement.  Each Party agrees to assign, and hereby assigns, its right, title, and interest in any Joint Technology to the other Party so that each Party shall have a joint and undivided interest in such Joint Technology.  Except to the extent a Party is restricted by the licenses granted to the other Party and any other terms of this Agreement, each Party shall be entitled to practice and exploit the Joint Technology without any duty of accounting or obligation to seek consent from the other Party with respect thereto.</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w:t>
      </w:r>
    </w:p>
    <w:p>
      <w:pPr>
        <w:pStyle w:val="TextBody"/>
        <w:spacing w:before="0" w:after="240"/>
        <w:ind w:left="720" w:right="0" w:hanging="0"/>
        <w:jc w:val="both"/>
        <w:rPr>
          <w:rFonts w:ascii="Times New Roman" w:hAnsi="Times New Roman"/>
          <w:b w:val="false"/>
          <w:i w:val="false"/>
          <w:caps w:val="false"/>
          <w:smallCaps w:val="false"/>
          <w:sz w:val="22"/>
        </w:rPr>
      </w:pPr>
      <w:bookmarkStart w:id="607" w:name="_Ref610161971"/>
      <w:bookmarkStart w:id="608" w:name="_Ref5129406301"/>
      <w:bookmarkStart w:id="609" w:name="_Ref433134809"/>
      <w:bookmarkStart w:id="610" w:name="_Ref66797600"/>
      <w:bookmarkEnd w:id="607"/>
      <w:bookmarkEnd w:id="608"/>
      <w:bookmarkEnd w:id="609"/>
      <w:bookmarkEnd w:id="610"/>
      <w:r>
        <w:rPr>
          <w:rFonts w:ascii="Times New Roman" w:hAnsi="Times New Roman"/>
          <w:b w:val="false"/>
          <w:i w:val="false"/>
          <w:caps w:val="false"/>
          <w:smallCaps w:val="false"/>
          <w:sz w:val="22"/>
        </w:rPr>
        <w:t>9.1.3.</w:t>
      </w:r>
      <w:bookmarkStart w:id="611" w:name="_Ref512940630"/>
      <w:bookmarkEnd w:id="611"/>
      <w:r>
        <w:rPr>
          <w:rFonts w:ascii="Times New Roman" w:hAnsi="Times New Roman"/>
          <w:b w:val="false"/>
          <w:i w:val="false"/>
          <w:caps w:val="false"/>
          <w:smallCaps w:val="false"/>
          <w:sz w:val="22"/>
          <w:u w:val="single"/>
        </w:rPr>
        <w:t>New In-Licenses</w:t>
      </w:r>
      <w:bookmarkStart w:id="612" w:name="_Ref61016197"/>
      <w:bookmarkEnd w:id="612"/>
      <w:r>
        <w:rPr>
          <w:rFonts w:ascii="Times New Roman" w:hAnsi="Times New Roman"/>
          <w:b w:val="false"/>
          <w:i w:val="false"/>
          <w:caps w:val="false"/>
          <w:smallCaps w:val="false"/>
          <w:sz w:val="22"/>
        </w:rPr>
        <w:t>.  The Parties shall be free to in-license or otherwise acquire rights to intellectual property from any Third Party that, if so acquired by CRISPR would constitute part of the CRISPR Background Technology, or that, if so acquired by Nkarta, would constitute part of the Nkarta Background Technology, and that may, in either case, become subject to the licenses granted under this Agreement (each such agreement as is entered into by CRISPR is a “</w:t>
      </w:r>
      <w:r>
        <w:rPr>
          <w:rFonts w:ascii="Times New Roman" w:hAnsi="Times New Roman"/>
          <w:b/>
          <w:i w:val="false"/>
          <w:caps w:val="false"/>
          <w:smallCaps w:val="false"/>
          <w:sz w:val="22"/>
        </w:rPr>
        <w:t>New CRISPR In-License</w:t>
      </w:r>
      <w:r>
        <w:rPr>
          <w:rFonts w:ascii="Times New Roman" w:hAnsi="Times New Roman"/>
          <w:b w:val="false"/>
          <w:i w:val="false"/>
          <w:caps w:val="false"/>
          <w:smallCaps w:val="false"/>
          <w:sz w:val="22"/>
        </w:rPr>
        <w:t>” and each such agreement as is entered into by Nkarta is a “</w:t>
      </w:r>
      <w:r>
        <w:rPr>
          <w:rFonts w:ascii="Times New Roman" w:hAnsi="Times New Roman"/>
          <w:b/>
          <w:i w:val="false"/>
          <w:caps w:val="false"/>
          <w:smallCaps w:val="false"/>
          <w:sz w:val="22"/>
        </w:rPr>
        <w:t>New Nkarta In-License</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613" w:name="_AEIOULastRenderedPageBreakAEIOU27"/>
      <w:bookmarkEnd w:id="613"/>
      <w:r>
        <w:rPr>
          <w:rFonts w:ascii="Times New Roman" w:hAnsi="Times New Roman"/>
          <w:b w:val="false"/>
          <w:i w:val="false"/>
          <w:caps w:val="false"/>
          <w:smallCaps w:val="false"/>
          <w:sz w:val="22"/>
        </w:rPr>
        <w:t>9.1.4.</w:t>
      </w:r>
      <w:r>
        <w:rPr>
          <w:rFonts w:ascii="Times New Roman" w:hAnsi="Times New Roman"/>
          <w:b w:val="false"/>
          <w:i w:val="false"/>
          <w:caps w:val="false"/>
          <w:smallCaps w:val="false"/>
          <w:sz w:val="22"/>
          <w:u w:val="single"/>
        </w:rPr>
        <w:t>Nkarta Products</w:t>
      </w:r>
      <w:r>
        <w:rPr>
          <w:rFonts w:ascii="Times New Roman" w:hAnsi="Times New Roman"/>
          <w:b w:val="false"/>
          <w:i w:val="false"/>
          <w:caps w:val="false"/>
          <w:smallCaps w:val="false"/>
          <w:sz w:val="22"/>
        </w:rPr>
        <w:t>.  As between the Parties, Nkarta will be the sole owner of any Know-How conceived, discovered, developed, invented or created solely by Nkarta or its Affiliates or Third Parties acting on their behalf while exercising its rights to such Nkarta Products under this Agreement (“</w:t>
      </w:r>
      <w:r>
        <w:rPr>
          <w:rFonts w:ascii="Times New Roman" w:hAnsi="Times New Roman"/>
          <w:b/>
          <w:i w:val="false"/>
          <w:caps w:val="false"/>
          <w:smallCaps w:val="false"/>
          <w:sz w:val="22"/>
        </w:rPr>
        <w:t>Nkarta Product Know-How</w:t>
      </w:r>
      <w:r>
        <w:rPr>
          <w:rFonts w:ascii="Times New Roman" w:hAnsi="Times New Roman"/>
          <w:b w:val="false"/>
          <w:i w:val="false"/>
          <w:caps w:val="false"/>
          <w:smallCaps w:val="false"/>
          <w:sz w:val="22"/>
        </w:rPr>
        <w:t>”) and any Patents that Cover or claim Nkarta Product Know-How (“</w:t>
      </w:r>
      <w:r>
        <w:rPr>
          <w:rFonts w:ascii="Times New Roman" w:hAnsi="Times New Roman"/>
          <w:b/>
          <w:i w:val="false"/>
          <w:caps w:val="false"/>
          <w:smallCaps w:val="false"/>
          <w:sz w:val="22"/>
        </w:rPr>
        <w:t xml:space="preserve">Nkarta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27</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i w:val="false"/>
          <w:caps w:val="false"/>
          <w:smallCaps w:val="false"/>
          <w:sz w:val="22"/>
        </w:rPr>
        <w:t>Product Patents</w:t>
      </w:r>
      <w:r>
        <w:rPr>
          <w:rFonts w:ascii="Times New Roman" w:hAnsi="Times New Roman"/>
          <w:b w:val="false"/>
          <w:i w:val="false"/>
          <w:caps w:val="false"/>
          <w:smallCaps w:val="false"/>
          <w:sz w:val="22"/>
        </w:rPr>
        <w:t>” and together with the Nkarta Product Know-How, the “</w:t>
      </w:r>
      <w:r>
        <w:rPr>
          <w:rFonts w:ascii="Times New Roman" w:hAnsi="Times New Roman"/>
          <w:b/>
          <w:i w:val="false"/>
          <w:caps w:val="false"/>
          <w:smallCaps w:val="false"/>
          <w:sz w:val="22"/>
        </w:rPr>
        <w:t>Nkarta Product Technology</w:t>
      </w:r>
      <w:r>
        <w:rPr>
          <w:rFonts w:ascii="Times New Roman" w:hAnsi="Times New Roman"/>
          <w:b w:val="false"/>
          <w:i w:val="false"/>
          <w:caps w:val="false"/>
          <w:smallCaps w:val="false"/>
          <w:sz w:val="22"/>
        </w:rPr>
        <w:t>”), and will retain all of its rights, title and interest thereto, subject to any rights or licenses expressly granted by Nkarta to CRISPR under this Agreement.</w:t>
      </w:r>
    </w:p>
    <w:p>
      <w:pPr>
        <w:pStyle w:val="TextBody"/>
        <w:spacing w:before="0" w:after="240"/>
        <w:ind w:left="1260" w:right="0" w:hanging="0"/>
        <w:jc w:val="both"/>
        <w:rPr>
          <w:rFonts w:ascii="Times New Roman" w:hAnsi="Times New Roman"/>
          <w:b w:val="false"/>
          <w:i w:val="false"/>
          <w:caps w:val="false"/>
          <w:smallCaps w:val="false"/>
          <w:sz w:val="22"/>
        </w:rPr>
      </w:pPr>
      <w:bookmarkStart w:id="614" w:name="_Ref514754649"/>
      <w:bookmarkStart w:id="615" w:name="_Ref423516547"/>
      <w:bookmarkEnd w:id="614"/>
      <w:bookmarkEnd w:id="615"/>
      <w:r>
        <w:rPr>
          <w:rFonts w:ascii="Times New Roman" w:hAnsi="Times New Roman"/>
          <w:b w:val="false"/>
          <w:i w:val="false"/>
          <w:caps w:val="false"/>
          <w:smallCaps w:val="false"/>
          <w:sz w:val="22"/>
        </w:rPr>
        <w:t>9.2.</w:t>
      </w:r>
      <w:r>
        <w:rPr>
          <w:rFonts w:ascii="Times New Roman" w:hAnsi="Times New Roman"/>
          <w:b w:val="false"/>
          <w:i w:val="false"/>
          <w:caps w:val="false"/>
          <w:smallCaps w:val="false"/>
          <w:sz w:val="22"/>
          <w:u w:val="single"/>
        </w:rPr>
        <w:t>Prosecution and Maintenance of Patents</w:t>
      </w:r>
      <w:r>
        <w:rPr>
          <w:rFonts w:ascii="Times New Roman" w:hAnsi="Times New Roman"/>
          <w:b w:val="false"/>
          <w:i w:val="false"/>
          <w:caps w:val="false"/>
          <w:smallCaps w:val="false"/>
          <w:sz w:val="22"/>
        </w:rPr>
        <w:t>.  The Parties hereby agree as follows with respect to the Prosecution and Maintenance of certain Patents.</w:t>
      </w:r>
    </w:p>
    <w:p>
      <w:pPr>
        <w:pStyle w:val="TextBody"/>
        <w:spacing w:before="0" w:after="240"/>
        <w:ind w:left="720" w:right="0" w:hanging="0"/>
        <w:jc w:val="both"/>
        <w:rPr>
          <w:rFonts w:ascii="Times New Roman" w:hAnsi="Times New Roman"/>
          <w:b w:val="false"/>
          <w:i w:val="false"/>
          <w:caps w:val="false"/>
          <w:smallCaps w:val="false"/>
          <w:sz w:val="22"/>
        </w:rPr>
      </w:pPr>
      <w:bookmarkStart w:id="616" w:name="_Ref429558228"/>
      <w:bookmarkStart w:id="617" w:name="_Ref433199622"/>
      <w:bookmarkEnd w:id="616"/>
      <w:bookmarkEnd w:id="617"/>
      <w:r>
        <w:rPr>
          <w:rFonts w:ascii="Times New Roman" w:hAnsi="Times New Roman"/>
          <w:b w:val="false"/>
          <w:i w:val="false"/>
          <w:caps w:val="false"/>
          <w:smallCaps w:val="false"/>
          <w:sz w:val="22"/>
        </w:rPr>
        <w:t>9.2.1.</w:t>
      </w:r>
      <w:r>
        <w:rPr>
          <w:rFonts w:ascii="Times New Roman" w:hAnsi="Times New Roman"/>
          <w:b w:val="false"/>
          <w:i w:val="false"/>
          <w:caps w:val="false"/>
          <w:smallCaps w:val="false"/>
          <w:sz w:val="22"/>
          <w:u w:val="single"/>
        </w:rPr>
        <w:t>CRISPR Patents</w:t>
      </w:r>
      <w:r>
        <w:rPr>
          <w:rFonts w:ascii="Times New Roman" w:hAnsi="Times New Roman"/>
          <w:b w:val="false"/>
          <w:i w:val="false"/>
          <w:caps w:val="false"/>
          <w:smallCaps w:val="false"/>
          <w:sz w:val="22"/>
        </w:rPr>
        <w:t>.  As between the Parties, CRISPR will control and be responsible for all aspects of the Prosecution and Maintenance of CRISPR Patents (excluding Joint Patents).</w:t>
      </w:r>
    </w:p>
    <w:p>
      <w:pPr>
        <w:pStyle w:val="TextBody"/>
        <w:spacing w:before="0" w:after="240"/>
        <w:ind w:left="720" w:right="0" w:hanging="0"/>
        <w:jc w:val="both"/>
        <w:rPr>
          <w:rFonts w:ascii="Times New Roman" w:hAnsi="Times New Roman"/>
          <w:b w:val="false"/>
          <w:i w:val="false"/>
          <w:caps w:val="false"/>
          <w:smallCaps w:val="false"/>
          <w:sz w:val="22"/>
        </w:rPr>
      </w:pPr>
      <w:bookmarkStart w:id="618" w:name="_Ref429558544"/>
      <w:bookmarkEnd w:id="618"/>
      <w:r>
        <w:rPr>
          <w:rFonts w:ascii="Times New Roman" w:hAnsi="Times New Roman"/>
          <w:b w:val="false"/>
          <w:i w:val="false"/>
          <w:caps w:val="false"/>
          <w:smallCaps w:val="false"/>
          <w:sz w:val="22"/>
        </w:rPr>
        <w:t>9.2.2.</w:t>
      </w:r>
      <w:r>
        <w:rPr>
          <w:rFonts w:ascii="Times New Roman" w:hAnsi="Times New Roman"/>
          <w:b w:val="false"/>
          <w:i w:val="false"/>
          <w:caps w:val="false"/>
          <w:smallCaps w:val="false"/>
          <w:sz w:val="22"/>
          <w:u w:val="single"/>
        </w:rPr>
        <w:t>Nkarta Patents</w:t>
      </w:r>
      <w:r>
        <w:rPr>
          <w:rFonts w:ascii="Times New Roman" w:hAnsi="Times New Roman"/>
          <w:b w:val="false"/>
          <w:i w:val="false"/>
          <w:caps w:val="false"/>
          <w:smallCaps w:val="false"/>
          <w:sz w:val="22"/>
        </w:rPr>
        <w:t>.  As between the Parties, Nkarta will control and be responsible for all aspects of the Prosecution and Maintenance of all Nkarta Patents (excluding Joint Patents).</w:t>
      </w:r>
    </w:p>
    <w:p>
      <w:pPr>
        <w:pStyle w:val="TextBody"/>
        <w:spacing w:before="0" w:after="240"/>
        <w:ind w:left="720" w:right="0" w:hanging="0"/>
        <w:jc w:val="both"/>
        <w:rPr>
          <w:rFonts w:ascii="Times New Roman" w:hAnsi="Times New Roman"/>
          <w:b w:val="false"/>
          <w:i w:val="false"/>
          <w:caps w:val="false"/>
          <w:smallCaps w:val="false"/>
          <w:sz w:val="22"/>
        </w:rPr>
      </w:pPr>
      <w:bookmarkStart w:id="619" w:name="_Ref423516123"/>
      <w:bookmarkEnd w:id="619"/>
      <w:r>
        <w:rPr>
          <w:rFonts w:ascii="Times New Roman" w:hAnsi="Times New Roman"/>
          <w:b w:val="false"/>
          <w:i w:val="false"/>
          <w:caps w:val="false"/>
          <w:smallCaps w:val="false"/>
          <w:sz w:val="22"/>
        </w:rPr>
        <w:t>9.2.3.</w:t>
      </w:r>
      <w:r>
        <w:rPr>
          <w:rFonts w:ascii="Times New Roman" w:hAnsi="Times New Roman"/>
          <w:b w:val="false"/>
          <w:i w:val="false"/>
          <w:caps w:val="false"/>
          <w:smallCaps w:val="false"/>
          <w:sz w:val="22"/>
          <w:u w:val="single"/>
        </w:rPr>
        <w:t>Joint Patents</w:t>
      </w:r>
      <w:r>
        <w:rPr>
          <w:rFonts w:ascii="Times New Roman" w:hAnsi="Times New Roman"/>
          <w:b w:val="false"/>
          <w:i w:val="false"/>
          <w:caps w:val="false"/>
          <w:smallCaps w:val="false"/>
          <w:sz w:val="22"/>
        </w:rPr>
        <w:t>.</w:t>
      </w:r>
    </w:p>
    <w:p>
      <w:pPr>
        <w:pStyle w:val="TextBody"/>
        <w:spacing w:before="0" w:after="0"/>
        <w:ind w:left="720" w:right="0" w:hanging="0"/>
        <w:jc w:val="both"/>
        <w:rPr>
          <w:rFonts w:ascii="Times New Roman" w:hAnsi="Times New Roman"/>
          <w:b w:val="false"/>
          <w:i w:val="false"/>
          <w:caps w:val="false"/>
          <w:smallCaps w:val="false"/>
          <w:sz w:val="22"/>
        </w:rPr>
      </w:pPr>
      <w:bookmarkStart w:id="620" w:name="_Ref4235163681"/>
      <w:bookmarkStart w:id="621" w:name="_Ref4235161831"/>
      <w:bookmarkEnd w:id="620"/>
      <w:bookmarkEnd w:id="621"/>
      <w:r>
        <w:rPr>
          <w:rFonts w:ascii="Times New Roman" w:hAnsi="Times New Roman"/>
          <w:b w:val="false"/>
          <w:i w:val="false"/>
          <w:caps w:val="false"/>
          <w:smallCaps w:val="false"/>
          <w:sz w:val="22"/>
        </w:rPr>
        <w:t>(a)[***] will have the first right, but not the obligation, to control and be responsible for all aspects of the Prosecution and Maintenance of all Joint Patents, using counsel selected by [***] and reasonably acceptable to [***].  [***] will promptly inform [***]</w:t>
      </w:r>
      <w:bookmarkStart w:id="622" w:name="_Ref423516183"/>
      <w:bookmarkEnd w:id="622"/>
      <w:r>
        <w:rPr>
          <w:rFonts w:ascii="Times New Roman" w:hAnsi="Times New Roman"/>
          <w:b w:val="false"/>
          <w:i w:val="false"/>
          <w:caps w:val="false"/>
          <w:smallCaps w:val="false"/>
          <w:sz w:val="22"/>
        </w:rPr>
        <w:t xml:space="preserve"> through the Parties’ respective Patent Coordinators as to material developments with respect to the Prosecution and Maintenance of the Joint Patents</w:t>
      </w:r>
      <w:bookmarkStart w:id="623" w:name="_Ref423516368"/>
      <w:bookmarkEnd w:id="623"/>
      <w:r>
        <w:rPr>
          <w:rFonts w:ascii="Times New Roman" w:hAnsi="Times New Roman"/>
          <w:b w:val="false"/>
          <w:i w:val="false"/>
          <w:caps w:val="false"/>
          <w:smallCaps w:val="false"/>
          <w:sz w:val="22"/>
        </w:rPr>
        <w:t>.  [***] will confer with [***] and consider in good faith and reasonably incorporate or implement [***] comments prior to submitting filings and correspondence for the Joint Patents, provided that [***] provides such comments promptly (given the filing deadline) after receiving the draft filings and correspondence from [***].  [***] agrees to reasonably cooperate with [***] in the Prosecution and Maintenance of the Joint Patents, including (i) executing all papers and instruments so as to enable [***] to apply for and to prosecute the Joint Patents to the extent provided for in this Agreement, and (ii) promptly informing [***] of any matters coming to [***] attention that may materially affect the Prosecution and Maintenance of any Joint Patents.</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(b)If, during the Term, [***] intends not to file or to abandon any Joint Patent, [***] will notify [***] of such intention at least [***] days before the deadline for filing such Joint Patent or the date such Joint Patent will become abandoned, and [***] will have the right, but not the obligation, to assume responsibility for the Prosecution and Maintenance thereof with counsel of its own choice.  In such event, [***] will keep [***] reasonably informed through the Parties’ respective Patent Coordinators as to material developments with respect to the Prosecution and Maintenance of any such Joint Patent.  [***] will confer with [***] and consider in good faith [***] comments prior to submitting filings and correspondence for the Joint Patents, provided that [***] provides such comments promptly (given the filing deadline) after receiving the draft filings and correspondence from [***].  [***] agrees to reasonably cooperate with [***] in the Prosecution and Maintenance of the Joint Patents, including (i) executing all papers and instruments so as to enable [***] to apply for and to prosecute the Joint Patents to the extent provided for in this Agreement, and (ii) promptly informing [***] of any matters coming to [***] attention that may materially affect the Prosecution and Maintenance of any Joint Patents.</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(c)Neither Party will make any Patent submission (including the filing of patent applications) with respect to any Joint Patent, to the extent that it could reasonably be expected to prejudice or adversely affect the potential patentability of any claimed subject matter of a CRISPR Background Patent (in the case of Nkarta) or Nkarta Background Patent (in the case of CRISPR), except with the other Party’s prior written consent (such consent not to be unreasonably withheld and such consent to be negotiated in good faith with all due consideration to any deadlines).</w:t>
      </w:r>
    </w:p>
    <w:p>
      <w:pPr>
        <w:pStyle w:val="TextBody"/>
        <w:spacing w:before="0" w:after="240"/>
        <w:ind w:left="1260" w:right="0" w:hanging="0"/>
        <w:jc w:val="both"/>
        <w:rPr>
          <w:rFonts w:ascii="Times New Roman" w:hAnsi="Times New Roman"/>
          <w:b w:val="false"/>
          <w:i w:val="false"/>
          <w:caps w:val="false"/>
          <w:smallCaps w:val="false"/>
          <w:sz w:val="22"/>
        </w:rPr>
      </w:pPr>
      <w:bookmarkStart w:id="624" w:name="_AEIOULastRenderedPageBreakAEIOU28"/>
      <w:bookmarkStart w:id="625" w:name="_Ref423583813"/>
      <w:bookmarkStart w:id="626" w:name="_Ref426706357"/>
      <w:bookmarkEnd w:id="624"/>
      <w:bookmarkEnd w:id="625"/>
      <w:bookmarkEnd w:id="626"/>
      <w:r>
        <w:rPr>
          <w:rFonts w:ascii="Times New Roman" w:hAnsi="Times New Roman"/>
          <w:b w:val="false"/>
          <w:i w:val="false"/>
          <w:caps w:val="false"/>
          <w:smallCaps w:val="false"/>
          <w:sz w:val="22"/>
        </w:rPr>
        <w:t>9.3.</w:t>
      </w:r>
      <w:r>
        <w:rPr>
          <w:rFonts w:ascii="Times New Roman" w:hAnsi="Times New Roman"/>
          <w:b w:val="false"/>
          <w:i w:val="false"/>
          <w:caps w:val="false"/>
          <w:smallCaps w:val="false"/>
          <w:sz w:val="22"/>
          <w:u w:val="single"/>
        </w:rPr>
        <w:t>Patent Coordinators</w:t>
      </w:r>
      <w:r>
        <w:rPr>
          <w:rFonts w:ascii="Times New Roman" w:hAnsi="Times New Roman"/>
          <w:b w:val="false"/>
          <w:i w:val="false"/>
          <w:caps w:val="false"/>
          <w:smallCaps w:val="false"/>
          <w:sz w:val="22"/>
        </w:rPr>
        <w:t>.  Each Party will appoint a patent coordinator reasonably acceptable to the other Party (each, a “</w:t>
      </w:r>
      <w:r>
        <w:rPr>
          <w:rFonts w:ascii="Times New Roman" w:hAnsi="Times New Roman"/>
          <w:b/>
          <w:i w:val="false"/>
          <w:caps w:val="false"/>
          <w:smallCaps w:val="false"/>
          <w:sz w:val="22"/>
        </w:rPr>
        <w:t>Patent Coordinator</w:t>
      </w:r>
      <w:r>
        <w:rPr>
          <w:rFonts w:ascii="Times New Roman" w:hAnsi="Times New Roman"/>
          <w:b w:val="false"/>
          <w:i w:val="false"/>
          <w:caps w:val="false"/>
          <w:smallCaps w:val="false"/>
          <w:sz w:val="22"/>
        </w:rPr>
        <w:t xml:space="preserve">”) to serve as such Party's primary liaison with the other Party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28</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on matters relating to the Prosecution and Maintenance and enforcement of Nkarta Program Patents, CRISPR Program Patents and Joint Patents.  The Patent Coordinators will meet in person or by means of telephone or video conference at least once each Calendar Quarter during the Term.  Each Party may replace its Patent Coordinator at any time by providing notice in writing to the other Party.  The initial Patent Coordinators will be:</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For Nkarta: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For CRISPR: [***]</w:t>
      </w:r>
    </w:p>
    <w:p>
      <w:pPr>
        <w:pStyle w:val="TextBody"/>
        <w:spacing w:before="0" w:after="240"/>
        <w:ind w:left="1260" w:right="0" w:hanging="0"/>
        <w:jc w:val="both"/>
        <w:rPr>
          <w:rFonts w:ascii="Times New Roman" w:hAnsi="Times New Roman"/>
          <w:b w:val="false"/>
          <w:i w:val="false"/>
          <w:caps w:val="false"/>
          <w:smallCaps w:val="false"/>
          <w:sz w:val="22"/>
        </w:rPr>
      </w:pPr>
      <w:bookmarkStart w:id="627" w:name="_Ref4267063781"/>
      <w:bookmarkStart w:id="628" w:name="_Ref4235168071"/>
      <w:bookmarkStart w:id="629" w:name="_Ref514754660"/>
      <w:bookmarkEnd w:id="627"/>
      <w:bookmarkEnd w:id="628"/>
      <w:bookmarkEnd w:id="629"/>
      <w:r>
        <w:rPr>
          <w:rFonts w:ascii="Times New Roman" w:hAnsi="Times New Roman"/>
          <w:b w:val="false"/>
          <w:i w:val="false"/>
          <w:caps w:val="false"/>
          <w:smallCaps w:val="false"/>
          <w:sz w:val="22"/>
        </w:rPr>
        <w:t>9.4.</w:t>
      </w:r>
      <w:r>
        <w:rPr>
          <w:rFonts w:ascii="Times New Roman" w:hAnsi="Times New Roman"/>
          <w:b w:val="false"/>
          <w:i w:val="false"/>
          <w:caps w:val="false"/>
          <w:smallCaps w:val="false"/>
          <w:sz w:val="22"/>
          <w:u w:val="single"/>
        </w:rPr>
        <w:t>Defense of Claims Brought by Third Parties</w:t>
      </w:r>
      <w:bookmarkStart w:id="630" w:name="_Ref426706378"/>
      <w:bookmarkStart w:id="631" w:name="_Ref423516807"/>
      <w:bookmarkEnd w:id="630"/>
      <w:bookmarkEnd w:id="631"/>
      <w:r>
        <w:rPr>
          <w:rFonts w:ascii="Times New Roman" w:hAnsi="Times New Roman"/>
          <w:b w:val="false"/>
          <w:i w:val="false"/>
          <w:caps w:val="false"/>
          <w:smallCaps w:val="false"/>
          <w:sz w:val="22"/>
        </w:rPr>
        <w:t>.  If a Third Party initiates a Proceeding against either Party claiming a Patent owned by or licensed to such Third Party is infringed by the Research Activities, each Party that is named as a defendant in such Proceeding will have the right to defend itself in such Proceeding, including settlement of any such Proceeding.  The other Party will reasonably assist the defending Party in defending such Proceeding and cooperate in any such litigation [***].  The defending Party will provide the other Party with prompt written notice of the commencement of any such Proceeding and will keep the other Party apprised of the progress of such Proceeding and will promptly furnish the other Party with a copy of each communication relating to the alleged infringement that is received by such Party.  If both Parties are named as defendants in any Proceeding, both Parties may defend such Proceeding and the Parties will reasonably cooperate with respect to such defense.</w:t>
      </w:r>
    </w:p>
    <w:p>
      <w:pPr>
        <w:pStyle w:val="TextBody"/>
        <w:spacing w:before="0" w:after="240"/>
        <w:ind w:left="1260" w:right="0" w:hanging="0"/>
        <w:jc w:val="both"/>
        <w:rPr>
          <w:rFonts w:ascii="Times New Roman" w:hAnsi="Times New Roman"/>
          <w:b w:val="false"/>
          <w:i w:val="false"/>
          <w:caps w:val="false"/>
          <w:smallCaps w:val="false"/>
          <w:sz w:val="22"/>
        </w:rPr>
      </w:pPr>
      <w:bookmarkStart w:id="632" w:name="_Ref423516870"/>
      <w:bookmarkEnd w:id="632"/>
      <w:r>
        <w:rPr>
          <w:rFonts w:ascii="Times New Roman" w:hAnsi="Times New Roman"/>
          <w:b w:val="false"/>
          <w:i w:val="false"/>
          <w:caps w:val="false"/>
          <w:smallCaps w:val="false"/>
          <w:sz w:val="22"/>
        </w:rPr>
        <w:t>9.5.</w:t>
      </w:r>
      <w:r>
        <w:rPr>
          <w:rFonts w:ascii="Times New Roman" w:hAnsi="Times New Roman"/>
          <w:b w:val="false"/>
          <w:i w:val="false"/>
          <w:caps w:val="false"/>
          <w:smallCaps w:val="false"/>
          <w:sz w:val="22"/>
          <w:u w:val="single"/>
        </w:rPr>
        <w:t>Enforcement of Patents</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633" w:name="_Ref_docxtools_348"/>
      <w:bookmarkStart w:id="634" w:name="_Ref423580600"/>
      <w:bookmarkEnd w:id="633"/>
      <w:bookmarkEnd w:id="634"/>
      <w:r>
        <w:rPr>
          <w:rFonts w:ascii="Times New Roman" w:hAnsi="Times New Roman"/>
          <w:b w:val="false"/>
          <w:i w:val="false"/>
          <w:caps w:val="false"/>
          <w:smallCaps w:val="false"/>
          <w:sz w:val="22"/>
        </w:rPr>
        <w:t>9.5.1.</w:t>
      </w:r>
      <w:r>
        <w:rPr>
          <w:rFonts w:ascii="Times New Roman" w:hAnsi="Times New Roman"/>
          <w:b w:val="false"/>
          <w:i w:val="false"/>
          <w:caps w:val="false"/>
          <w:smallCaps w:val="false"/>
          <w:sz w:val="22"/>
          <w:u w:val="single"/>
        </w:rPr>
        <w:t>Joint Patents</w:t>
      </w:r>
      <w:r>
        <w:rPr>
          <w:rFonts w:ascii="Times New Roman" w:hAnsi="Times New Roman"/>
          <w:b w:val="false"/>
          <w:i w:val="false"/>
          <w:caps w:val="false"/>
          <w:smallCaps w:val="false"/>
          <w:sz w:val="22"/>
        </w:rPr>
        <w:t>.</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w:t>
      </w:r>
      <w:r>
        <w:rPr>
          <w:rFonts w:ascii="Times New Roman" w:hAnsi="Times New Roman"/>
          <w:b w:val="false"/>
          <w:i w:val="false"/>
          <w:caps w:val="false"/>
          <w:smallCaps w:val="false"/>
          <w:sz w:val="22"/>
          <w:u w:val="single"/>
        </w:rPr>
        <w:t>Duty to Notify</w:t>
      </w:r>
      <w:r>
        <w:rPr>
          <w:rFonts w:ascii="Times New Roman" w:hAnsi="Times New Roman"/>
          <w:b w:val="false"/>
          <w:i w:val="false"/>
          <w:caps w:val="false"/>
          <w:smallCaps w:val="false"/>
          <w:sz w:val="22"/>
        </w:rPr>
        <w:t>.  If either Party learns of an infringement, unauthorized use, misappropriation or threatened infringement by a Third Party with respect to any Joint Patents, such Party will promptly notify the other Party in writing and will provide such other Party with available information regarding such infringement.</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w:t>
      </w:r>
      <w:r>
        <w:rPr>
          <w:rFonts w:ascii="Times New Roman" w:hAnsi="Times New Roman"/>
          <w:b w:val="false"/>
          <w:i w:val="false"/>
          <w:caps w:val="false"/>
          <w:smallCaps w:val="false"/>
          <w:sz w:val="22"/>
          <w:u w:val="single"/>
        </w:rPr>
        <w:t>Primary Right</w:t>
      </w:r>
      <w:r>
        <w:rPr>
          <w:rFonts w:ascii="Times New Roman" w:hAnsi="Times New Roman"/>
          <w:b w:val="false"/>
          <w:i w:val="false"/>
          <w:caps w:val="false"/>
          <w:smallCaps w:val="false"/>
          <w:sz w:val="22"/>
        </w:rPr>
        <w:t>.  [***] will have the first right, but not the obligation, to institute, prosecute, and control a Proceeding with respect to defense or enforcement of the Joint Patents.  [***] will have the right to engage counsel of its own choice in connection with such Proceeding [***].  [***] will provide [***] with prompt written notice of the commencement of any such Proceeding, and [***] will keep [***] apprised of the progress of such Proceeding.</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w:t>
      </w:r>
      <w:r>
        <w:rPr>
          <w:rFonts w:ascii="Times New Roman" w:hAnsi="Times New Roman"/>
          <w:b w:val="false"/>
          <w:i w:val="false"/>
          <w:caps w:val="false"/>
          <w:smallCaps w:val="false"/>
          <w:sz w:val="22"/>
          <w:u w:val="single"/>
        </w:rPr>
        <w:t>Secondary Right</w:t>
      </w:r>
      <w:r>
        <w:rPr>
          <w:rFonts w:ascii="Times New Roman" w:hAnsi="Times New Roman"/>
          <w:b w:val="false"/>
          <w:i w:val="false"/>
          <w:caps w:val="false"/>
          <w:smallCaps w:val="false"/>
          <w:sz w:val="22"/>
        </w:rPr>
        <w:t>.  If [***] fails to cause the termination of an infringement of the Joint Patents and fails to initiate a Proceeding with respect thereto no later than [***] days after receipt of notice thereof, [***] will have the right, but not the obligation, to institute, prosecute, and control a Proceeding with respect to enforcement of the relevant Joint Patents.  [***] will have the right to engage counsel of its own choice in connection with such Proceeding [***]. [***] will provide [***] with prompt written notice of the commencement of any such Proceeding, and [***] will keep [***] apprised of the progress of such Proceeding.</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w:t>
      </w:r>
      <w:r>
        <w:rPr>
          <w:rFonts w:ascii="Times New Roman" w:hAnsi="Times New Roman"/>
          <w:b w:val="false"/>
          <w:i w:val="false"/>
          <w:caps w:val="false"/>
          <w:smallCaps w:val="false"/>
          <w:sz w:val="22"/>
          <w:u w:val="single"/>
        </w:rPr>
        <w:t>Share of Recoveries</w:t>
      </w:r>
      <w:r>
        <w:rPr>
          <w:rFonts w:ascii="Times New Roman" w:hAnsi="Times New Roman"/>
          <w:b w:val="false"/>
          <w:i w:val="false"/>
          <w:caps w:val="false"/>
          <w:smallCaps w:val="false"/>
          <w:sz w:val="22"/>
        </w:rPr>
        <w:t>.  Any damages or other monetary awards recovered with respect to a Proceeding brought pursuant to this Section 9.5.1 will be shared as follows:  (i) the amount of such recovery will first be applied to [***]; then (ii) any remaining proceeds will be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9.5.2.</w:t>
      </w:r>
      <w:r>
        <w:rPr>
          <w:rFonts w:ascii="Times New Roman" w:hAnsi="Times New Roman"/>
          <w:b w:val="false"/>
          <w:i w:val="false"/>
          <w:caps w:val="false"/>
          <w:smallCaps w:val="false"/>
          <w:sz w:val="22"/>
          <w:u w:val="single"/>
        </w:rPr>
        <w:t>Patents Solely Owned by CRISPR</w:t>
      </w:r>
      <w:r>
        <w:rPr>
          <w:rFonts w:ascii="Times New Roman" w:hAnsi="Times New Roman"/>
          <w:b w:val="false"/>
          <w:i w:val="false"/>
          <w:caps w:val="false"/>
          <w:smallCaps w:val="false"/>
          <w:sz w:val="22"/>
        </w:rPr>
        <w:t>.  CRISPR will retain all rights to pursue an infringement of any Patent solely owned by CRISPR and CRISPR will retain all recoveries with respect thereto.</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29</w:t>
      </w:r>
    </w:p>
    <w:p>
      <w:pPr>
        <w:pStyle w:val="HorizontalLine"/>
        <w:rPr/>
      </w:pPr>
      <w:r>
        <w:rPr/>
      </w:r>
    </w:p>
    <w:p>
      <w:pPr>
        <w:pStyle w:val="TextBody"/>
        <w:spacing w:before="0" w:after="0"/>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635" w:name="_AEIOULastRenderedPageBreakAEIOU29"/>
      <w:bookmarkEnd w:id="635"/>
      <w:r>
        <w:rPr>
          <w:rFonts w:ascii="Times New Roman" w:hAnsi="Times New Roman"/>
          <w:b w:val="false"/>
          <w:i w:val="false"/>
          <w:caps w:val="false"/>
          <w:smallCaps w:val="false"/>
          <w:sz w:val="22"/>
        </w:rPr>
        <w:t>9.5.3.</w:t>
      </w:r>
      <w:r>
        <w:rPr>
          <w:rFonts w:ascii="Times New Roman" w:hAnsi="Times New Roman"/>
          <w:b w:val="false"/>
          <w:i w:val="false"/>
          <w:caps w:val="false"/>
          <w:smallCaps w:val="false"/>
          <w:sz w:val="22"/>
          <w:u w:val="single"/>
        </w:rPr>
        <w:t>Patents Solely Owned by Nkarta</w:t>
      </w:r>
      <w:r>
        <w:rPr>
          <w:rFonts w:ascii="Times New Roman" w:hAnsi="Times New Roman"/>
          <w:b w:val="false"/>
          <w:i w:val="false"/>
          <w:caps w:val="false"/>
          <w:smallCaps w:val="false"/>
          <w:sz w:val="22"/>
        </w:rPr>
        <w:t>.  Nkarta will retain all rights to pursue an infringement of any Patent solely owned by Nkarta and Nkarta will retain all recoveries with respect thereto.</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9.6.</w:t>
      </w:r>
      <w:r>
        <w:rPr>
          <w:rFonts w:ascii="Times New Roman" w:hAnsi="Times New Roman"/>
          <w:b w:val="false"/>
          <w:i w:val="false"/>
          <w:caps w:val="false"/>
          <w:smallCaps w:val="false"/>
          <w:sz w:val="22"/>
          <w:u w:val="single"/>
        </w:rPr>
        <w:t>CREATE Act</w:t>
      </w:r>
      <w:r>
        <w:rPr>
          <w:rFonts w:ascii="Times New Roman" w:hAnsi="Times New Roman"/>
          <w:b w:val="false"/>
          <w:i w:val="false"/>
          <w:caps w:val="false"/>
          <w:smallCaps w:val="false"/>
          <w:sz w:val="22"/>
        </w:rPr>
        <w:t>.  Notwithstanding anything to the contrary in this Article 9, neither Party will have the right to make an election under the CREATE Act when exercising its rights under this Article 9 without the prior written agreement of the Parties.  With respect to any such permitted election, the Parties will use reasonable efforts to cooperate and coordinate their activities with respect to any submissions, filings or other activities in support thereof.  The Parties acknowledge and agree that this Agreement is a “joint research agreement” as defined in the CREATE Act.</w:t>
      </w:r>
    </w:p>
    <w:p>
      <w:pPr>
        <w:pStyle w:val="TextBody"/>
        <w:spacing w:before="0" w:after="240"/>
        <w:jc w:val="center"/>
        <w:rPr>
          <w:rFonts w:ascii="Times New Roman" w:hAnsi="Times New Roman"/>
          <w:b/>
          <w:i w:val="false"/>
          <w:caps w:val="false"/>
          <w:smallCaps w:val="false"/>
          <w:sz w:val="22"/>
        </w:rPr>
      </w:pPr>
      <w:bookmarkStart w:id="636" w:name="_Ref_docxtools_3561"/>
      <w:bookmarkStart w:id="637" w:name="_Ref609991701"/>
      <w:bookmarkEnd w:id="636"/>
      <w:bookmarkEnd w:id="637"/>
      <w:r>
        <w:rPr>
          <w:rFonts w:ascii="Times New Roman" w:hAnsi="Times New Roman"/>
          <w:b/>
          <w:i w:val="false"/>
          <w:caps w:val="false"/>
          <w:smallCaps w:val="false"/>
          <w:sz w:val="22"/>
        </w:rPr>
        <w:t>Article 10.</w:t>
        <w:br/>
      </w:r>
      <w:bookmarkStart w:id="638" w:name="_Ref_docxtools_356"/>
      <w:bookmarkStart w:id="639" w:name="_Ref60999170"/>
      <w:bookmarkEnd w:id="638"/>
      <w:bookmarkEnd w:id="639"/>
      <w:r>
        <w:rPr>
          <w:rFonts w:ascii="Times New Roman" w:hAnsi="Times New Roman"/>
          <w:b/>
          <w:i w:val="false"/>
          <w:caps w:val="false"/>
          <w:smallCaps w:val="false"/>
          <w:sz w:val="22"/>
        </w:rPr>
        <w:t>FINANCIALS</w:t>
      </w:r>
    </w:p>
    <w:p>
      <w:pPr>
        <w:pStyle w:val="TextBody"/>
        <w:spacing w:before="0" w:after="240"/>
        <w:ind w:left="1260" w:right="0" w:hanging="0"/>
        <w:jc w:val="both"/>
        <w:rPr>
          <w:rFonts w:ascii="Times New Roman" w:hAnsi="Times New Roman"/>
          <w:b w:val="false"/>
          <w:i w:val="false"/>
          <w:caps w:val="false"/>
          <w:smallCaps w:val="false"/>
          <w:sz w:val="22"/>
        </w:rPr>
      </w:pPr>
      <w:bookmarkStart w:id="640" w:name="_Ref48735221"/>
      <w:bookmarkEnd w:id="640"/>
      <w:r>
        <w:rPr>
          <w:rFonts w:ascii="Times New Roman" w:hAnsi="Times New Roman"/>
          <w:b w:val="false"/>
          <w:i w:val="false"/>
          <w:caps w:val="false"/>
          <w:smallCaps w:val="false"/>
          <w:sz w:val="22"/>
        </w:rPr>
        <w:t>10.1.</w:t>
      </w:r>
      <w:r>
        <w:rPr>
          <w:rFonts w:ascii="Times New Roman" w:hAnsi="Times New Roman"/>
          <w:b w:val="false"/>
          <w:i w:val="false"/>
          <w:caps w:val="false"/>
          <w:smallCaps w:val="false"/>
          <w:sz w:val="22"/>
          <w:u w:val="single"/>
        </w:rPr>
        <w:t>Milestone Payments for Nkarta Products</w:t>
      </w:r>
      <w:r>
        <w:rPr>
          <w:rFonts w:ascii="Times New Roman" w:hAnsi="Times New Roman"/>
          <w:b w:val="false"/>
          <w:i w:val="false"/>
          <w:caps w:val="false"/>
          <w:smallCaps w:val="false"/>
          <w:sz w:val="22"/>
        </w:rPr>
        <w:t>.  Nkarta shall pay to CRISPR the milestone payments set forth in this Section 10.1 within the period of time set forth herein.</w:t>
      </w:r>
    </w:p>
    <w:p>
      <w:pPr>
        <w:pStyle w:val="TextBody"/>
        <w:spacing w:before="0" w:after="240"/>
        <w:ind w:left="720" w:right="0" w:hanging="0"/>
        <w:jc w:val="both"/>
        <w:rPr>
          <w:rFonts w:ascii="Times New Roman" w:hAnsi="Times New Roman"/>
          <w:b w:val="false"/>
          <w:i w:val="false"/>
          <w:caps w:val="false"/>
          <w:smallCaps w:val="false"/>
          <w:sz w:val="22"/>
        </w:rPr>
      </w:pPr>
      <w:bookmarkStart w:id="641" w:name="_Ref61672314"/>
      <w:bookmarkStart w:id="642" w:name="_Ref48734397"/>
      <w:bookmarkEnd w:id="641"/>
      <w:bookmarkEnd w:id="642"/>
      <w:r>
        <w:rPr>
          <w:rFonts w:ascii="Times New Roman" w:hAnsi="Times New Roman"/>
          <w:b w:val="false"/>
          <w:i w:val="false"/>
          <w:caps w:val="false"/>
          <w:smallCaps w:val="false"/>
          <w:sz w:val="22"/>
        </w:rPr>
        <w:t>10.1.1.</w:t>
      </w:r>
      <w:r>
        <w:rPr>
          <w:rFonts w:ascii="Times New Roman" w:hAnsi="Times New Roman"/>
          <w:b w:val="false"/>
          <w:i w:val="false"/>
          <w:caps w:val="false"/>
          <w:smallCaps w:val="false"/>
          <w:sz w:val="22"/>
          <w:u w:val="single"/>
        </w:rPr>
        <w:t>Event Milestones</w:t>
      </w:r>
      <w:r>
        <w:rPr>
          <w:rFonts w:ascii="Times New Roman" w:hAnsi="Times New Roman"/>
          <w:b w:val="false"/>
          <w:i w:val="false"/>
          <w:caps w:val="false"/>
          <w:smallCaps w:val="false"/>
          <w:sz w:val="22"/>
        </w:rPr>
        <w:t xml:space="preserve">.  Nkarta shall, in connection with the first occurrence of each milestone event listed below </w:t>
      </w:r>
      <w:r>
        <w:rPr>
          <w:rFonts w:ascii="Times New Roman" w:hAnsi="Times New Roman"/>
          <w:b w:val="false"/>
          <w:i w:val="false"/>
          <w:caps w:val="false"/>
          <w:smallCaps w:val="false"/>
          <w:color w:val="000000"/>
          <w:sz w:val="22"/>
        </w:rPr>
        <w:t>with</w:t>
      </w:r>
      <w:r>
        <w:rPr>
          <w:rFonts w:ascii="Times New Roman" w:hAnsi="Times New Roman"/>
          <w:b w:val="false"/>
          <w:i w:val="false"/>
          <w:caps w:val="false"/>
          <w:smallCaps w:val="false"/>
          <w:sz w:val="22"/>
        </w:rPr>
        <w:t xml:space="preserve"> respect to each Nkarta Product (whether achieved by Nkarta, its Affiliate or a sublicensee), pay CRISPR the milestone payments listed below in accordance with the procedure set forth in Section 10.1.2.  Each such payment shall be non-refundable and non-creditable.</w:t>
      </w:r>
    </w:p>
    <w:tbl>
      <w:tblPr>
        <w:tblW w:w="5185" w:type="dxa"/>
        <w:jc w:val="left"/>
        <w:tblInd w:w="0" w:type="dxa"/>
        <w:tblCellMar>
          <w:top w:w="0" w:type="dxa"/>
          <w:left w:w="0" w:type="dxa"/>
          <w:bottom w:w="0" w:type="dxa"/>
          <w:right w:w="0" w:type="dxa"/>
        </w:tblCellMar>
      </w:tblPr>
      <w:tblGrid>
        <w:gridCol w:w="1655"/>
        <w:gridCol w:w="3530"/>
      </w:tblGrid>
      <w:tr>
        <w:trPr/>
        <w:tc>
          <w:tcPr>
            <w:tcW w:w="1655" w:type="dxa"/>
            <w:tcBorders/>
            <w:shd w:fill="auto" w:val="clear"/>
            <w:vAlign w:val="center"/>
          </w:tcPr>
          <w:p>
            <w:pPr>
              <w:pStyle w:val="TableContents"/>
              <w:spacing w:before="0" w:after="283"/>
              <w:rPr>
                <w:sz w:val="4"/>
                <w:szCs w:val="4"/>
              </w:rPr>
            </w:pPr>
            <w:r>
              <w:rPr>
                <w:sz w:val="4"/>
                <w:szCs w:val="4"/>
              </w:rPr>
            </w:r>
          </w:p>
        </w:tc>
        <w:tc>
          <w:tcPr>
            <w:tcW w:w="3530" w:type="dxa"/>
            <w:tcBorders/>
            <w:shd w:fill="auto" w:val="clear"/>
            <w:vAlign w:val="center"/>
          </w:tcPr>
          <w:p>
            <w:pPr>
              <w:pStyle w:val="TableContents"/>
              <w:spacing w:before="0" w:after="283"/>
              <w:rPr>
                <w:sz w:val="4"/>
                <w:szCs w:val="4"/>
              </w:rPr>
            </w:pPr>
            <w:r>
              <w:rPr>
                <w:sz w:val="4"/>
                <w:szCs w:val="4"/>
              </w:rPr>
            </w:r>
          </w:p>
        </w:tc>
      </w:tr>
      <w:tr>
        <w:trPr/>
        <w:tc>
          <w:tcPr>
            <w:tcW w:w="165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i w:val="false"/>
                <w:caps w:val="false"/>
                <w:smallCaps w:val="false"/>
                <w:sz w:val="24"/>
              </w:rPr>
            </w:pPr>
            <w:r>
              <w:rPr>
                <w:rFonts w:ascii="Times New Roman" w:hAnsi="Times New Roman"/>
                <w:b/>
                <w:i w:val="false"/>
                <w:caps w:val="false"/>
                <w:smallCaps w:val="false"/>
                <w:sz w:val="24"/>
              </w:rPr>
              <w:t>Milestone Event</w:t>
            </w:r>
          </w:p>
        </w:tc>
        <w:tc>
          <w:tcPr>
            <w:tcW w:w="35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i w:val="false"/>
                <w:caps w:val="false"/>
                <w:smallCaps w:val="false"/>
                <w:sz w:val="24"/>
              </w:rPr>
            </w:pPr>
            <w:r>
              <w:rPr>
                <w:rFonts w:ascii="Times New Roman" w:hAnsi="Times New Roman"/>
                <w:b/>
                <w:i w:val="false"/>
                <w:caps w:val="false"/>
                <w:smallCaps w:val="false"/>
                <w:sz w:val="24"/>
              </w:rPr>
              <w:t>Milestone Payment (in US Dollars)</w:t>
            </w:r>
          </w:p>
        </w:tc>
      </w:tr>
      <w:tr>
        <w:trPr/>
        <w:tc>
          <w:tcPr>
            <w:tcW w:w="165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35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165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35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165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35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165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35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bl>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bookmarkStart w:id="643" w:name="_Ref78012372"/>
      <w:bookmarkEnd w:id="643"/>
      <w:r>
        <w:rPr>
          <w:rFonts w:ascii="Times New Roman" w:hAnsi="Times New Roman"/>
          <w:b w:val="false"/>
          <w:i w:val="false"/>
          <w:caps w:val="false"/>
          <w:smallCaps w:val="false"/>
          <w:sz w:val="22"/>
        </w:rPr>
        <w:t>The term “</w:t>
      </w:r>
      <w:r>
        <w:rPr>
          <w:rFonts w:ascii="Times New Roman" w:hAnsi="Times New Roman"/>
          <w:b/>
          <w:i w:val="false"/>
          <w:caps w:val="false"/>
          <w:smallCaps w:val="false"/>
          <w:sz w:val="22"/>
        </w:rPr>
        <w:t>Indication</w:t>
      </w:r>
      <w:r>
        <w:rPr>
          <w:rFonts w:ascii="Times New Roman" w:hAnsi="Times New Roman"/>
          <w:b w:val="false"/>
          <w:i w:val="false"/>
          <w:caps w:val="false"/>
          <w:smallCaps w:val="false"/>
          <w:sz w:val="22"/>
        </w:rPr>
        <w:t>” as used above means, with respect to a particular Nkarta Product, [***].</w:t>
      </w:r>
    </w:p>
    <w:p>
      <w:pPr>
        <w:pStyle w:val="TextBody"/>
        <w:spacing w:before="0" w:after="240"/>
        <w:ind w:left="720" w:right="0" w:hanging="0"/>
        <w:jc w:val="both"/>
        <w:rPr>
          <w:rFonts w:ascii="Times New Roman" w:hAnsi="Times New Roman"/>
          <w:b w:val="false"/>
          <w:i w:val="false"/>
          <w:caps w:val="false"/>
          <w:smallCaps w:val="false"/>
          <w:sz w:val="22"/>
        </w:rPr>
      </w:pPr>
      <w:bookmarkStart w:id="644" w:name="_Ref48738977"/>
      <w:bookmarkEnd w:id="644"/>
      <w:r>
        <w:rPr>
          <w:rFonts w:ascii="Times New Roman" w:hAnsi="Times New Roman"/>
          <w:b w:val="false"/>
          <w:i w:val="false"/>
          <w:caps w:val="false"/>
          <w:smallCaps w:val="false"/>
          <w:sz w:val="22"/>
        </w:rPr>
        <w:t>10.1.2.</w:t>
      </w:r>
      <w:r>
        <w:rPr>
          <w:rFonts w:ascii="Times New Roman" w:hAnsi="Times New Roman"/>
          <w:b w:val="false"/>
          <w:i w:val="false"/>
          <w:caps w:val="false"/>
          <w:smallCaps w:val="false"/>
          <w:sz w:val="22"/>
          <w:u w:val="single"/>
        </w:rPr>
        <w:t>Notice of Event Milestone Achievement</w:t>
      </w:r>
      <w:r>
        <w:rPr>
          <w:rFonts w:ascii="Times New Roman" w:hAnsi="Times New Roman"/>
          <w:b w:val="false"/>
          <w:i w:val="false"/>
          <w:caps w:val="false"/>
          <w:smallCaps w:val="false"/>
          <w:sz w:val="22"/>
        </w:rPr>
        <w:t>.  Nkarta shall notify CRISPR in writing within [***] days following the achievement of each milestone event set forth in Section 10.1.1, and Nkarta shall, with respect to achievement of each milestone event set forth in Section 10.1.1, within [***] days following the receipt of an invoice for achievement of each such milestone event, pay CRISPR the appropriate milestone payment.</w:t>
      </w:r>
    </w:p>
    <w:p>
      <w:pPr>
        <w:pStyle w:val="TextBody"/>
        <w:spacing w:before="0" w:after="240"/>
        <w:ind w:left="1260" w:right="0" w:hanging="0"/>
        <w:jc w:val="both"/>
        <w:rPr>
          <w:rFonts w:ascii="Times New Roman" w:hAnsi="Times New Roman"/>
          <w:b w:val="false"/>
          <w:i w:val="false"/>
          <w:caps w:val="false"/>
          <w:smallCaps w:val="false"/>
          <w:sz w:val="22"/>
        </w:rPr>
      </w:pPr>
      <w:bookmarkStart w:id="645" w:name="_Ref546725871"/>
      <w:bookmarkStart w:id="646" w:name="_Ref487345391"/>
      <w:bookmarkStart w:id="647" w:name="_Ref193477341"/>
      <w:bookmarkStart w:id="648" w:name="_Ref_docxtools_377"/>
      <w:bookmarkStart w:id="649" w:name="_Toc121382376"/>
      <w:bookmarkStart w:id="650" w:name="_Toc121379048"/>
      <w:bookmarkStart w:id="651" w:name="_Toc121378627"/>
      <w:bookmarkStart w:id="652" w:name="_Ref54672597"/>
      <w:bookmarkStart w:id="653" w:name="_Toc28403607"/>
      <w:bookmarkStart w:id="654" w:name="_Ref19350621"/>
      <w:bookmarkStart w:id="655" w:name="_Ref19350459"/>
      <w:bookmarkEnd w:id="645"/>
      <w:bookmarkEnd w:id="646"/>
      <w:bookmarkEnd w:id="647"/>
      <w:bookmarkEnd w:id="648"/>
      <w:bookmarkEnd w:id="649"/>
      <w:bookmarkEnd w:id="650"/>
      <w:bookmarkEnd w:id="651"/>
      <w:bookmarkEnd w:id="652"/>
      <w:bookmarkEnd w:id="653"/>
      <w:bookmarkEnd w:id="654"/>
      <w:bookmarkEnd w:id="655"/>
      <w:r>
        <w:rPr>
          <w:rFonts w:ascii="Times New Roman" w:hAnsi="Times New Roman"/>
          <w:b w:val="false"/>
          <w:i w:val="false"/>
          <w:caps w:val="false"/>
          <w:smallCaps w:val="false"/>
          <w:sz w:val="22"/>
        </w:rPr>
        <w:t>10.2.</w:t>
      </w:r>
      <w:r>
        <w:rPr>
          <w:rFonts w:ascii="Times New Roman" w:hAnsi="Times New Roman"/>
          <w:b w:val="false"/>
          <w:i w:val="false"/>
          <w:caps w:val="false"/>
          <w:smallCaps w:val="false"/>
          <w:sz w:val="22"/>
          <w:u w:val="single"/>
        </w:rPr>
        <w:t>Royalties</w:t>
      </w:r>
      <w:bookmarkStart w:id="656" w:name="_Ref54672587"/>
      <w:bookmarkStart w:id="657" w:name="_Ref48734539"/>
      <w:bookmarkStart w:id="658" w:name="_Ref19347734"/>
      <w:bookmarkEnd w:id="656"/>
      <w:bookmarkEnd w:id="657"/>
      <w:bookmarkEnd w:id="658"/>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659" w:name="_Ref487344521"/>
      <w:bookmarkStart w:id="660" w:name="_Ref49082434"/>
      <w:bookmarkEnd w:id="659"/>
      <w:bookmarkEnd w:id="660"/>
      <w:r>
        <w:rPr>
          <w:rFonts w:ascii="Times New Roman" w:hAnsi="Times New Roman"/>
          <w:b w:val="false"/>
          <w:i w:val="false"/>
          <w:caps w:val="false"/>
          <w:smallCaps w:val="false"/>
          <w:sz w:val="22"/>
        </w:rPr>
        <w:t>10.2.1.</w:t>
      </w:r>
      <w:r>
        <w:rPr>
          <w:rFonts w:ascii="Times New Roman" w:hAnsi="Times New Roman"/>
          <w:b w:val="false"/>
          <w:i w:val="false"/>
          <w:caps w:val="false"/>
          <w:smallCaps w:val="false"/>
          <w:sz w:val="22"/>
          <w:u w:val="single"/>
        </w:rPr>
        <w:t>Royalties for Nkarta Products</w:t>
      </w:r>
      <w:bookmarkStart w:id="661" w:name="_Ref48734452"/>
      <w:bookmarkEnd w:id="661"/>
      <w:r>
        <w:rPr>
          <w:rFonts w:ascii="Times New Roman" w:hAnsi="Times New Roman"/>
          <w:b w:val="false"/>
          <w:i w:val="false"/>
          <w:caps w:val="false"/>
          <w:smallCaps w:val="false"/>
          <w:sz w:val="22"/>
        </w:rPr>
        <w:t>.</w:t>
      </w:r>
    </w:p>
    <w:p>
      <w:pPr>
        <w:pStyle w:val="TextBody"/>
        <w:spacing w:before="0" w:after="0"/>
        <w:ind w:left="720" w:right="0" w:hanging="0"/>
        <w:jc w:val="both"/>
        <w:rPr>
          <w:rFonts w:ascii="Times New Roman" w:hAnsi="Times New Roman"/>
          <w:b w:val="false"/>
          <w:i w:val="false"/>
          <w:caps w:val="false"/>
          <w:smallCaps w:val="false"/>
          <w:sz w:val="22"/>
        </w:rPr>
      </w:pPr>
      <w:bookmarkStart w:id="662" w:name="_Ref60994670"/>
      <w:bookmarkEnd w:id="662"/>
      <w:r>
        <w:rPr>
          <w:rFonts w:ascii="Times New Roman" w:hAnsi="Times New Roman"/>
          <w:b w:val="false"/>
          <w:i w:val="false"/>
          <w:caps w:val="false"/>
          <w:smallCaps w:val="false"/>
          <w:sz w:val="22"/>
        </w:rPr>
        <w:t>(a)Nkarta shall pay CRISPR royalties on a Calendar Quarterly basis with respect to Net Sales during such Calendar Quarter, for each Nkarta Product calculated on a worldwide basis, as set forth in this Section 10.2.  Royalties payable under this Section 10.2 shall be paid by Nkarta to CRISPR on an Nkarta Product-by-Nkarta Product and country-by-country basis from the date of First Commercial Sale of each Nkarta Product in a country with respect to which royalty payments are due, until the latest of: [***] (“</w:t>
      </w:r>
      <w:r>
        <w:rPr>
          <w:rFonts w:ascii="Times New Roman" w:hAnsi="Times New Roman"/>
          <w:b/>
          <w:i w:val="false"/>
          <w:caps w:val="false"/>
          <w:smallCaps w:val="false"/>
          <w:sz w:val="22"/>
        </w:rPr>
        <w:t>Royalty Term</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663" w:name="_Ref65586031"/>
      <w:bookmarkEnd w:id="663"/>
      <w:r>
        <w:rPr>
          <w:rFonts w:ascii="Times New Roman" w:hAnsi="Times New Roman"/>
          <w:b w:val="false"/>
          <w:i w:val="false"/>
          <w:caps w:val="false"/>
          <w:smallCaps w:val="false"/>
          <w:sz w:val="22"/>
        </w:rPr>
        <w:t>(b)During the Royalty Term, on an Nkarta Product-by-Nkarta Product basis, Nkarta shall pay to CRISPR a royalty on total annual Net Sales in the Territory equal to the following portions of Net Sales multiplied by the applicable royalty rate for such portion:</w:t>
      </w:r>
    </w:p>
    <w:p>
      <w:pPr>
        <w:pStyle w:val="TextBody"/>
        <w:spacing w:before="240" w:after="0"/>
        <w:ind w:left="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30</w:t>
      </w:r>
    </w:p>
    <w:p>
      <w:pPr>
        <w:pStyle w:val="HorizontalLine"/>
        <w:rPr/>
      </w:pPr>
      <w:r>
        <w:rPr/>
      </w:r>
    </w:p>
    <w:p>
      <w:pPr>
        <w:pStyle w:val="TextBody"/>
        <w:spacing w:before="0" w:after="0"/>
        <w:ind w:left="0" w:right="0" w:hanging="0"/>
        <w:rPr/>
      </w:pPr>
      <w:r>
        <w:rPr/>
        <w:t> </w:t>
      </w:r>
    </w:p>
    <w:tbl>
      <w:tblPr>
        <w:tblW w:w="8650" w:type="dxa"/>
        <w:jc w:val="center"/>
        <w:tblInd w:w="0" w:type="dxa"/>
        <w:tblCellMar>
          <w:top w:w="0" w:type="dxa"/>
          <w:left w:w="0" w:type="dxa"/>
          <w:bottom w:w="0" w:type="dxa"/>
          <w:right w:w="0" w:type="dxa"/>
        </w:tblCellMar>
      </w:tblPr>
      <w:tblGrid>
        <w:gridCol w:w="7385"/>
        <w:gridCol w:w="1265"/>
      </w:tblGrid>
      <w:tr>
        <w:trPr/>
        <w:tc>
          <w:tcPr>
            <w:tcW w:w="7385"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7385"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7385" w:type="dxa"/>
            <w:tcBorders>
              <w:top w:val="single" w:sz="6" w:space="0" w:color="000000"/>
              <w:left w:val="single" w:sz="6" w:space="0" w:color="000000"/>
              <w:bottom w:val="single" w:sz="6" w:space="0" w:color="000000"/>
              <w:right w:val="single" w:sz="6" w:space="0" w:color="000000"/>
            </w:tcBorders>
            <w:shd w:fill="D9D9D9"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bookmarkStart w:id="664" w:name="_AEIOULastRenderedPageBreakAEIOU30"/>
            <w:bookmarkEnd w:id="664"/>
            <w:r>
              <w:rPr>
                <w:rFonts w:ascii="Times New Roman" w:hAnsi="Times New Roman"/>
                <w:b w:val="false"/>
                <w:i w:val="false"/>
                <w:caps w:val="false"/>
                <w:smallCaps w:val="false"/>
                <w:sz w:val="24"/>
              </w:rPr>
              <w:t>Portion of Total Annual Net Sales of Each Nkarta Product in a Calendar Year</w:t>
            </w:r>
          </w:p>
        </w:tc>
        <w:tc>
          <w:tcPr>
            <w:tcW w:w="1265" w:type="dxa"/>
            <w:tcBorders>
              <w:top w:val="single" w:sz="6" w:space="0" w:color="000000"/>
              <w:left w:val="single" w:sz="6" w:space="0" w:color="000000"/>
              <w:bottom w:val="single" w:sz="6" w:space="0" w:color="000000"/>
              <w:right w:val="single" w:sz="6" w:space="0" w:color="000000"/>
            </w:tcBorders>
            <w:shd w:fill="D9D9D9"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Royalty Rate</w:t>
            </w:r>
          </w:p>
        </w:tc>
      </w:tr>
      <w:tr>
        <w:trPr/>
        <w:tc>
          <w:tcPr>
            <w:tcW w:w="738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Up to [***]</w:t>
            </w:r>
          </w:p>
        </w:tc>
        <w:tc>
          <w:tcPr>
            <w:tcW w:w="126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738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Greater than or equal to [***] and less than [***]</w:t>
            </w:r>
          </w:p>
        </w:tc>
        <w:tc>
          <w:tcPr>
            <w:tcW w:w="126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738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Greater than or equal to [***]</w:t>
            </w:r>
          </w:p>
        </w:tc>
        <w:tc>
          <w:tcPr>
            <w:tcW w:w="126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By way of example, if the annual Net Sales of a given Nkarta Product in a particular Calendar Year are [***].</w:t>
      </w:r>
    </w:p>
    <w:p>
      <w:pPr>
        <w:pStyle w:val="TextBody"/>
        <w:spacing w:before="0" w:after="0"/>
        <w:jc w:val="both"/>
        <w:rPr/>
      </w:pPr>
      <w:r>
        <w:rPr/>
        <w:t>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(c)Royalties payable under this Section 10.2 shall be subject to the following offsets and reductions:</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(i)If there is no Valid Claim [***] claiming or Covering a given Nkarta Product in such country, and either: (A) [***]; or (B) [***], then, commencing in the first Calendar Quarter after the date on which there is no such Valid Claim [***] and continuing for each Calendar Quarter until the end of the Royalty Term for such Nkarta Product in such country, the applicable royalty rate that would otherwise be owed on such Net Sales of such Nkarta Product in such country will be reduced to [***] of the rates set forth in Section 10.2.1(b).</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(ii)If one or more Biosimilar Products with respect to an Nkarta Product are being sold in a country in a Calendar Quarter, then, the royalty rate applicable to Net Sales of such Nkarta Product in such country in such Calendar Quarter shall be reduced to [***] of the rates set forth in Section 10.2.1(b) in any Calendar Quarter during which such Biosimilar Product(s), by total sales in such country [***].</w:t>
      </w:r>
    </w:p>
    <w:p>
      <w:pPr>
        <w:pStyle w:val="TextBody"/>
        <w:spacing w:before="0" w:after="0"/>
        <w:jc w:val="both"/>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665" w:name="_Ref70620092"/>
      <w:bookmarkEnd w:id="665"/>
      <w:r>
        <w:rPr>
          <w:rFonts w:ascii="Times New Roman" w:hAnsi="Times New Roman"/>
          <w:b w:val="false"/>
          <w:i w:val="false"/>
          <w:caps w:val="false"/>
          <w:smallCaps w:val="false"/>
          <w:sz w:val="22"/>
        </w:rPr>
        <w:t>(iii)[***].</w:t>
      </w:r>
    </w:p>
    <w:p>
      <w:pPr>
        <w:pStyle w:val="TextBody"/>
        <w:spacing w:before="0" w:after="240"/>
        <w:ind w:left="720" w:right="0" w:hanging="0"/>
        <w:jc w:val="both"/>
        <w:rPr>
          <w:rFonts w:ascii="Times New Roman" w:hAnsi="Times New Roman"/>
          <w:b w:val="false"/>
          <w:i w:val="false"/>
          <w:caps w:val="false"/>
          <w:smallCaps w:val="false"/>
          <w:sz w:val="22"/>
        </w:rPr>
      </w:pPr>
      <w:bookmarkStart w:id="666" w:name="_Ref70619719"/>
      <w:bookmarkEnd w:id="666"/>
      <w:r>
        <w:rPr>
          <w:rFonts w:ascii="Times New Roman" w:hAnsi="Times New Roman"/>
          <w:b w:val="false"/>
          <w:i w:val="false"/>
          <w:caps w:val="false"/>
          <w:smallCaps w:val="false"/>
          <w:sz w:val="22"/>
        </w:rPr>
        <w:t>(iv)If: [***].</w:t>
      </w:r>
    </w:p>
    <w:p>
      <w:pPr>
        <w:pStyle w:val="TextBody"/>
        <w:spacing w:before="0" w:after="240"/>
        <w:ind w:left="720" w:right="0" w:hanging="0"/>
        <w:jc w:val="both"/>
        <w:rPr>
          <w:rFonts w:ascii="Times New Roman" w:hAnsi="Times New Roman"/>
          <w:b w:val="false"/>
          <w:i w:val="false"/>
          <w:caps w:val="false"/>
          <w:smallCaps w:val="false"/>
          <w:sz w:val="22"/>
        </w:rPr>
      </w:pPr>
      <w:bookmarkStart w:id="667" w:name="_Ref49115385"/>
      <w:bookmarkEnd w:id="667"/>
      <w:r>
        <w:rPr>
          <w:rFonts w:ascii="Times New Roman" w:hAnsi="Times New Roman"/>
          <w:b w:val="false"/>
          <w:i w:val="false"/>
          <w:caps w:val="false"/>
          <w:smallCaps w:val="false"/>
          <w:sz w:val="22"/>
        </w:rPr>
        <w:t>10.2.2.</w:t>
      </w:r>
      <w:r>
        <w:rPr>
          <w:rFonts w:ascii="Times New Roman" w:hAnsi="Times New Roman"/>
          <w:b w:val="false"/>
          <w:i w:val="false"/>
          <w:caps w:val="false"/>
          <w:smallCaps w:val="false"/>
          <w:sz w:val="22"/>
          <w:u w:val="single"/>
        </w:rPr>
        <w:t>Reports; Payment of Royalty</w:t>
      </w:r>
      <w:r>
        <w:rPr>
          <w:rFonts w:ascii="Times New Roman" w:hAnsi="Times New Roman"/>
          <w:b w:val="false"/>
          <w:i w:val="false"/>
          <w:caps w:val="false"/>
          <w:smallCaps w:val="false"/>
          <w:sz w:val="22"/>
        </w:rPr>
        <w:t>.  During the Royalty Term following the First Commercial Sale of Nkarta Product, Nkarta shall within [***] days after the end of each of the first three (3) Calendar Quarters, and within [***] days after the end of the fourth Calendar Quarter, furnish to CRISPR a written report for such Calendar Quarter showing, unless otherwise agreed by the Parties in writing: (a) for each of the Major Markets, on an Nkarta Product-by-Nkarta Product basis, the Net Sales and royalties due during such Calendar Quarter; and (b) for all other sales outside of the Major Markets, on an Nkarta Product-by-Nkarta Product basis, the Net Sales and royalties due during such Calendar Quarter.  Nkarta shall pay all royalties due under this Agreement with respect to a Calendar Quarter by the date that the report for each such Calendar Quarter is due.</w:t>
      </w:r>
    </w:p>
    <w:p>
      <w:pPr>
        <w:pStyle w:val="TextBody"/>
        <w:spacing w:before="0" w:after="240"/>
        <w:ind w:left="1260" w:right="0" w:hanging="0"/>
        <w:jc w:val="both"/>
        <w:rPr>
          <w:rFonts w:ascii="Times New Roman" w:hAnsi="Times New Roman"/>
          <w:b w:val="false"/>
          <w:i w:val="false"/>
          <w:caps w:val="false"/>
          <w:smallCaps w:val="false"/>
          <w:sz w:val="22"/>
        </w:rPr>
      </w:pPr>
      <w:bookmarkStart w:id="668" w:name="_Toc121382377"/>
      <w:bookmarkStart w:id="669" w:name="_Toc121379049"/>
      <w:bookmarkStart w:id="670" w:name="_Toc121378628"/>
      <w:bookmarkStart w:id="671" w:name="_Ref78012977"/>
      <w:bookmarkStart w:id="672" w:name="_Toc28403608"/>
      <w:bookmarkStart w:id="673" w:name="_Ref26760188"/>
      <w:bookmarkStart w:id="674" w:name="_Ref48734493"/>
      <w:bookmarkStart w:id="675" w:name="_Ref61001038"/>
      <w:bookmarkEnd w:id="668"/>
      <w:bookmarkEnd w:id="669"/>
      <w:bookmarkEnd w:id="670"/>
      <w:bookmarkEnd w:id="671"/>
      <w:bookmarkEnd w:id="672"/>
      <w:bookmarkEnd w:id="673"/>
      <w:bookmarkEnd w:id="674"/>
      <w:bookmarkEnd w:id="675"/>
      <w:r>
        <w:rPr>
          <w:rFonts w:ascii="Times New Roman" w:hAnsi="Times New Roman"/>
          <w:b w:val="false"/>
          <w:i w:val="false"/>
          <w:caps w:val="false"/>
          <w:smallCaps w:val="false"/>
          <w:sz w:val="22"/>
        </w:rPr>
        <w:t>10.3.</w:t>
      </w:r>
      <w:r>
        <w:rPr>
          <w:rFonts w:ascii="Times New Roman" w:hAnsi="Times New Roman"/>
          <w:b w:val="false"/>
          <w:i w:val="false"/>
          <w:caps w:val="false"/>
          <w:smallCaps w:val="false"/>
          <w:sz w:val="22"/>
          <w:u w:val="single"/>
        </w:rPr>
        <w:t>Sublicensing Income</w:t>
      </w:r>
      <w:r>
        <w:rPr>
          <w:rFonts w:ascii="Times New Roman" w:hAnsi="Times New Roman"/>
          <w:b w:val="false"/>
          <w:i w:val="false"/>
          <w:caps w:val="false"/>
          <w:smallCaps w:val="false"/>
          <w:sz w:val="22"/>
        </w:rPr>
        <w:t>.  Subject to Section 10.3.3, Nkarta shall pay to CRISPR a portion of certain non-royalty sublicensing income received from the sublicensing of [***] (each sublicense agreement, an “</w:t>
      </w:r>
      <w:r>
        <w:rPr>
          <w:rFonts w:ascii="Times New Roman" w:hAnsi="Times New Roman"/>
          <w:b/>
          <w:i w:val="false"/>
          <w:caps w:val="false"/>
          <w:smallCaps w:val="false"/>
          <w:sz w:val="22"/>
        </w:rPr>
        <w:t>Nkarta Product Sublicense Agreement</w:t>
      </w:r>
      <w:r>
        <w:rPr>
          <w:rFonts w:ascii="Times New Roman" w:hAnsi="Times New Roman"/>
          <w:b w:val="false"/>
          <w:i w:val="false"/>
          <w:caps w:val="false"/>
          <w:smallCaps w:val="false"/>
          <w:sz w:val="22"/>
        </w:rPr>
        <w:t>”, and each sublicensee, an “</w:t>
      </w:r>
      <w:r>
        <w:rPr>
          <w:rFonts w:ascii="Times New Roman" w:hAnsi="Times New Roman"/>
          <w:b/>
          <w:i w:val="false"/>
          <w:caps w:val="false"/>
          <w:smallCaps w:val="false"/>
          <w:sz w:val="22"/>
        </w:rPr>
        <w:t>Nkarta Product Sublicensee</w:t>
      </w:r>
      <w:r>
        <w:rPr>
          <w:rFonts w:ascii="Times New Roman" w:hAnsi="Times New Roman"/>
          <w:b w:val="false"/>
          <w:i w:val="false"/>
          <w:caps w:val="false"/>
          <w:smallCaps w:val="false"/>
          <w:sz w:val="22"/>
        </w:rPr>
        <w:t>”) in accordance with the following:</w:t>
      </w:r>
    </w:p>
    <w:p>
      <w:pPr>
        <w:pStyle w:val="TextBody"/>
        <w:spacing w:before="0" w:after="240"/>
        <w:ind w:left="720" w:right="0" w:hanging="0"/>
        <w:jc w:val="both"/>
        <w:rPr>
          <w:rFonts w:ascii="Times New Roman" w:hAnsi="Times New Roman"/>
          <w:b w:val="false"/>
          <w:i w:val="false"/>
          <w:caps w:val="false"/>
          <w:smallCaps w:val="false"/>
          <w:sz w:val="22"/>
        </w:rPr>
      </w:pPr>
      <w:bookmarkStart w:id="676" w:name="_Ref65587888"/>
      <w:bookmarkStart w:id="677" w:name="_Ref61018688"/>
      <w:bookmarkEnd w:id="676"/>
      <w:bookmarkEnd w:id="677"/>
      <w:r>
        <w:rPr>
          <w:rFonts w:ascii="Times New Roman" w:hAnsi="Times New Roman"/>
          <w:b w:val="false"/>
          <w:i w:val="false"/>
          <w:caps w:val="false"/>
          <w:smallCaps w:val="false"/>
          <w:sz w:val="22"/>
        </w:rPr>
        <w:t>10.3.1.for any Nkarta Products sublicensed under an Nkarta Product Sublicense Agreement prior to [***]; and</w:t>
      </w:r>
    </w:p>
    <w:p>
      <w:pPr>
        <w:pStyle w:val="TextBody"/>
        <w:spacing w:before="0" w:after="240"/>
        <w:ind w:left="720" w:right="0" w:hanging="0"/>
        <w:jc w:val="both"/>
        <w:rPr>
          <w:rFonts w:ascii="Times New Roman" w:hAnsi="Times New Roman"/>
          <w:b w:val="false"/>
          <w:i w:val="false"/>
          <w:caps w:val="false"/>
          <w:smallCaps w:val="false"/>
          <w:sz w:val="22"/>
        </w:rPr>
      </w:pPr>
      <w:bookmarkStart w:id="678" w:name="_Ref65587894"/>
      <w:bookmarkEnd w:id="678"/>
      <w:r>
        <w:rPr>
          <w:rFonts w:ascii="Times New Roman" w:hAnsi="Times New Roman"/>
          <w:b w:val="false"/>
          <w:i w:val="false"/>
          <w:caps w:val="false"/>
          <w:smallCaps w:val="false"/>
          <w:sz w:val="22"/>
        </w:rPr>
        <w:t>10.3.2.for any Nkarta Products sublicensed after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31</w:t>
      </w:r>
    </w:p>
    <w:p>
      <w:pPr>
        <w:pStyle w:val="HorizontalLine"/>
        <w:rPr/>
      </w:pPr>
      <w:r>
        <w:rPr/>
      </w:r>
    </w:p>
    <w:p>
      <w:pPr>
        <w:pStyle w:val="TextBody"/>
        <w:spacing w:before="0" w:after="0"/>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679" w:name="_AEIOULastRenderedPageBreakAEIOU31"/>
      <w:bookmarkStart w:id="680" w:name="_Ref65587651"/>
      <w:bookmarkEnd w:id="679"/>
      <w:bookmarkEnd w:id="680"/>
      <w:r>
        <w:rPr>
          <w:rFonts w:ascii="Times New Roman" w:hAnsi="Times New Roman"/>
          <w:b w:val="false"/>
          <w:i w:val="false"/>
          <w:caps w:val="false"/>
          <w:smallCaps w:val="false"/>
          <w:sz w:val="22"/>
        </w:rPr>
        <w:t>10.3.3.Notwithstanding anything to the contrary, the following shall be excluded from the scope of any sublicensing income on which Nkarta owes CRISPR under Section 10.3.1 or Section 10.3.2: [***].</w:t>
      </w:r>
    </w:p>
    <w:p>
      <w:pPr>
        <w:pStyle w:val="TextBody"/>
        <w:spacing w:before="0" w:after="240"/>
        <w:ind w:left="1260" w:right="0" w:hanging="0"/>
        <w:jc w:val="both"/>
        <w:rPr>
          <w:rFonts w:ascii="Times New Roman" w:hAnsi="Times New Roman"/>
          <w:b w:val="false"/>
          <w:i w:val="false"/>
          <w:caps w:val="false"/>
          <w:smallCaps w:val="false"/>
          <w:sz w:val="22"/>
        </w:rPr>
      </w:pPr>
      <w:bookmarkStart w:id="681" w:name="_Ref61001703"/>
      <w:bookmarkEnd w:id="681"/>
      <w:r>
        <w:rPr>
          <w:rFonts w:ascii="Times New Roman" w:hAnsi="Times New Roman"/>
          <w:b w:val="false"/>
          <w:i w:val="false"/>
          <w:caps w:val="false"/>
          <w:smallCaps w:val="false"/>
          <w:sz w:val="22"/>
        </w:rPr>
        <w:t>10.4.[***].</w:t>
      </w:r>
    </w:p>
    <w:p>
      <w:pPr>
        <w:pStyle w:val="TextBody"/>
        <w:spacing w:before="0" w:after="240"/>
        <w:ind w:left="1260" w:right="0" w:hanging="0"/>
        <w:jc w:val="both"/>
        <w:rPr>
          <w:rFonts w:ascii="Times New Roman" w:hAnsi="Times New Roman"/>
          <w:b w:val="false"/>
          <w:i w:val="false"/>
          <w:caps w:val="false"/>
          <w:smallCaps w:val="false"/>
          <w:sz w:val="22"/>
        </w:rPr>
      </w:pPr>
      <w:bookmarkStart w:id="682" w:name="_Ref487345981"/>
      <w:bookmarkEnd w:id="682"/>
      <w:r>
        <w:rPr>
          <w:rFonts w:ascii="Times New Roman" w:hAnsi="Times New Roman"/>
          <w:b w:val="false"/>
          <w:i w:val="false"/>
          <w:caps w:val="false"/>
          <w:smallCaps w:val="false"/>
          <w:sz w:val="22"/>
        </w:rPr>
        <w:t>10.5.</w:t>
      </w:r>
      <w:r>
        <w:rPr>
          <w:rFonts w:ascii="Times New Roman" w:hAnsi="Times New Roman"/>
          <w:b w:val="false"/>
          <w:i w:val="false"/>
          <w:caps w:val="false"/>
          <w:smallCaps w:val="false"/>
          <w:sz w:val="22"/>
          <w:u w:val="single"/>
        </w:rPr>
        <w:t>Third Party Payments</w:t>
      </w:r>
      <w:r>
        <w:rPr>
          <w:rFonts w:ascii="Times New Roman" w:hAnsi="Times New Roman"/>
          <w:b w:val="false"/>
          <w:i w:val="false"/>
          <w:caps w:val="false"/>
          <w:smallCaps w:val="false"/>
          <w:sz w:val="22"/>
        </w:rPr>
        <w:t>.  Each Party shall bea</w:t>
      </w:r>
      <w:bookmarkStart w:id="683" w:name="_Ref48734598"/>
      <w:bookmarkEnd w:id="683"/>
      <w:r>
        <w:rPr>
          <w:rFonts w:ascii="Times New Roman" w:hAnsi="Times New Roman"/>
          <w:b w:val="false"/>
          <w:i w:val="false"/>
          <w:caps w:val="false"/>
          <w:smallCaps w:val="false"/>
          <w:sz w:val="22"/>
        </w:rPr>
        <w:t>r all Third Party license payments, milestones, royalties, damages and other payments owed with respect to the Nkarta Products in consideration for a license under intellectual property that is either: (a) licensed or sublicensed to a Party or any of its Affiliates as of the Effective Date; or (b) intellectual property that a Party has received notice of potential infringement from a Third Party as of the Effective Date.  [***].</w:t>
      </w:r>
    </w:p>
    <w:p>
      <w:pPr>
        <w:pStyle w:val="TextBody"/>
        <w:spacing w:before="0" w:after="240"/>
        <w:ind w:left="1260" w:right="0" w:hanging="0"/>
        <w:jc w:val="both"/>
        <w:rPr/>
      </w:pPr>
      <w:bookmarkStart w:id="684" w:name="_Ref49083054"/>
      <w:bookmarkEnd w:id="684"/>
      <w:r>
        <w:rPr>
          <w:strike w:val="false"/>
          <w:dstrike w:val="false"/>
          <w:u w:val="none"/>
          <w:effect w:val="none"/>
        </w:rPr>
        <w:t>10.6.</w:t>
      </w:r>
      <w:r>
        <w:rPr>
          <w:color w:val="000000"/>
          <w:u w:val="single"/>
        </w:rPr>
        <w:t>Payment Date</w:t>
      </w:r>
      <w:r>
        <w:rPr>
          <w:color w:val="000000"/>
        </w:rPr>
        <w:t>.  </w:t>
      </w:r>
      <w:r>
        <w:rPr>
          <w:strike w:val="false"/>
          <w:dstrike w:val="false"/>
          <w:color w:val="000000"/>
          <w:u w:val="none"/>
          <w:effect w:val="none"/>
        </w:rPr>
        <w:t xml:space="preserve">Any payments that are not paid on or before the date such payments are due under this Agreement shall bear simple interest at an annual rate equal to the lesser of: (a) the “prime rate” as reported by </w:t>
      </w:r>
      <w:r>
        <w:rPr>
          <w:i/>
          <w:strike w:val="false"/>
          <w:dstrike w:val="false"/>
          <w:color w:val="000000"/>
          <w:u w:val="none"/>
          <w:effect w:val="none"/>
        </w:rPr>
        <w:t>The Wall Street Journal</w:t>
      </w:r>
      <w:r>
        <w:rPr>
          <w:strike w:val="false"/>
          <w:dstrike w:val="false"/>
          <w:color w:val="000000"/>
          <w:u w:val="none"/>
          <w:effect w:val="none"/>
        </w:rPr>
        <w:t xml:space="preserve">, plus </w:t>
      </w:r>
      <w:r>
        <w:rPr>
          <w:color w:val="000000"/>
        </w:rPr>
        <w:t>[***]</w:t>
      </w:r>
      <w:r>
        <w:rPr>
          <w:strike w:val="false"/>
          <w:dstrike w:val="false"/>
          <w:color w:val="000000"/>
          <w:u w:val="none"/>
          <w:effect w:val="none"/>
        </w:rPr>
        <w:t>; or (b) the highest rate permitted by applicable Law, in each case calculated on the number of days such payment is delinquent, compounded monthly; except that, with respect to any disputed payments, no interest payment will be due on the disputed amount until such dispute is resolved and the interest that will be payable thereon will be based on the finally-resolved amount of such payment, calculated from the original date on which the disputed payment was due through the date on which payment is actually made.</w:t>
      </w:r>
    </w:p>
    <w:p>
      <w:pPr>
        <w:pStyle w:val="TextBody"/>
        <w:spacing w:before="0" w:after="240"/>
        <w:ind w:left="1260" w:right="0" w:hanging="0"/>
        <w:jc w:val="both"/>
        <w:rPr>
          <w:rFonts w:ascii="Times New Roman" w:hAnsi="Times New Roman"/>
          <w:b w:val="false"/>
          <w:i w:val="false"/>
          <w:caps w:val="false"/>
          <w:smallCaps w:val="false"/>
          <w:sz w:val="22"/>
        </w:rPr>
      </w:pPr>
      <w:bookmarkStart w:id="685" w:name="_Ref398491521"/>
      <w:bookmarkStart w:id="686" w:name="_Toc41301882"/>
      <w:bookmarkStart w:id="687" w:name="_Ref39852834"/>
      <w:bookmarkEnd w:id="685"/>
      <w:bookmarkEnd w:id="686"/>
      <w:bookmarkEnd w:id="687"/>
      <w:r>
        <w:rPr>
          <w:rFonts w:ascii="Times New Roman" w:hAnsi="Times New Roman"/>
          <w:b w:val="false"/>
          <w:i w:val="false"/>
          <w:caps w:val="false"/>
          <w:smallCaps w:val="false"/>
          <w:sz w:val="22"/>
        </w:rPr>
        <w:t>10.7.</w:t>
      </w:r>
      <w:bookmarkStart w:id="688" w:name="_Ref39849152"/>
      <w:bookmarkEnd w:id="688"/>
      <w:r>
        <w:rPr>
          <w:rFonts w:ascii="Times New Roman" w:hAnsi="Times New Roman"/>
          <w:b w:val="false"/>
          <w:i w:val="false"/>
          <w:caps w:val="false"/>
          <w:smallCaps w:val="false"/>
          <w:sz w:val="22"/>
          <w:u w:val="single"/>
        </w:rPr>
        <w:t>Audits</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689" w:name="_Ref49115498"/>
      <w:bookmarkEnd w:id="689"/>
      <w:r>
        <w:rPr>
          <w:rFonts w:ascii="Times New Roman" w:hAnsi="Times New Roman"/>
          <w:b w:val="false"/>
          <w:i w:val="false"/>
          <w:caps w:val="false"/>
          <w:smallCaps w:val="false"/>
          <w:sz w:val="22"/>
        </w:rPr>
        <w:t>10.7.1.</w:t>
      </w:r>
      <w:r>
        <w:rPr>
          <w:rFonts w:ascii="Times New Roman" w:hAnsi="Times New Roman"/>
          <w:b w:val="false"/>
          <w:i w:val="false"/>
          <w:caps w:val="false"/>
          <w:smallCaps w:val="false"/>
          <w:sz w:val="22"/>
          <w:u w:val="single"/>
        </w:rPr>
        <w:t>Auditor</w:t>
      </w:r>
      <w:r>
        <w:rPr>
          <w:rFonts w:ascii="Times New Roman" w:hAnsi="Times New Roman"/>
          <w:b w:val="false"/>
          <w:i w:val="false"/>
          <w:caps w:val="false"/>
          <w:smallCaps w:val="false"/>
          <w:sz w:val="22"/>
        </w:rPr>
        <w:t>.  Each of CRISPR, with respect to Collaboration Products and Nkarta Products, and Nkarta, with respect to Collaboration Products, may, upon such auditing Party’s request and at [***], cause an internationally recognized independent accounting firm selected by such auditing Party (the “</w:t>
      </w:r>
      <w:r>
        <w:rPr>
          <w:rFonts w:ascii="Times New Roman" w:hAnsi="Times New Roman"/>
          <w:b/>
          <w:i w:val="false"/>
          <w:caps w:val="false"/>
          <w:smallCaps w:val="false"/>
          <w:sz w:val="22"/>
        </w:rPr>
        <w:t>Auditor</w:t>
      </w:r>
      <w:r>
        <w:rPr>
          <w:rFonts w:ascii="Times New Roman" w:hAnsi="Times New Roman"/>
          <w:b w:val="false"/>
          <w:i w:val="false"/>
          <w:caps w:val="false"/>
          <w:smallCaps w:val="false"/>
          <w:sz w:val="22"/>
        </w:rPr>
        <w:t>”) to audit, during ordinary business hours, the books and records of the other Party, its Affiliates and sublicensees and the correctness of any payment made or required to be made, and any report underlying any such payment (or lack thereof), pursuant to the terms of this Agreement.  Prior to commencing its work pursuant to this Agreement, the Auditor will enter into an appropriate confidentiality agreement with the audited Party obligating the Auditor to be bound by obligations of confidentiality and restrictions on use of such audited Party’s Confidential Information that are no less restrictive than the obligations set forth in Article 14.</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10.7.2.</w:t>
      </w:r>
      <w:r>
        <w:rPr>
          <w:rFonts w:ascii="Times New Roman" w:hAnsi="Times New Roman"/>
          <w:b w:val="false"/>
          <w:i w:val="false"/>
          <w:caps w:val="false"/>
          <w:smallCaps w:val="false"/>
          <w:sz w:val="22"/>
          <w:u w:val="single"/>
        </w:rPr>
        <w:t>Limitations</w:t>
      </w:r>
      <w:r>
        <w:rPr>
          <w:rFonts w:ascii="Times New Roman" w:hAnsi="Times New Roman"/>
          <w:b w:val="false"/>
          <w:i w:val="false"/>
          <w:caps w:val="false"/>
          <w:smallCaps w:val="false"/>
          <w:sz w:val="22"/>
        </w:rPr>
        <w:t>.  In respect of each audit of each audited Party, its Affiliates’ and sublicensees’ books and records: (a) the audited Party and each of its Affiliates and sublicensees may be audited only once per Calendar Year; (b) no books and records for any given Calendar Year may be audited more than once, but such audited Party’s and its Affiliates’ and sublicensees’ books and records shall still be made available if such records impact another Calendar Year being audited; and (c) the auditing Party shall only be entitled to audit books and records of the audited Party from the three (3) Calendar Years prior to the Calendar Year in which the audit request is made.</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10.7.3.</w:t>
      </w:r>
      <w:r>
        <w:rPr>
          <w:rFonts w:ascii="Times New Roman" w:hAnsi="Times New Roman"/>
          <w:b w:val="false"/>
          <w:i w:val="false"/>
          <w:caps w:val="false"/>
          <w:smallCaps w:val="false"/>
          <w:sz w:val="22"/>
          <w:u w:val="single"/>
        </w:rPr>
        <w:t>Audit Notice</w:t>
      </w:r>
      <w:r>
        <w:rPr>
          <w:rFonts w:ascii="Times New Roman" w:hAnsi="Times New Roman"/>
          <w:b w:val="false"/>
          <w:i w:val="false"/>
          <w:caps w:val="false"/>
          <w:smallCaps w:val="false"/>
          <w:sz w:val="22"/>
        </w:rPr>
        <w:t>.  In order to initiate an audit for a particular Calendar Year, the auditing Party shall provide written notice of such audit to the audited Party, and an information request list identifying the applicable period, and books and records, for such audit.  The audited Party shall, and shall ensure that its Affiliates and sublicensees, reasonably accommodate the scheduling of such audit.  The audited Party shall, and shall ensure that its Affiliates and sublicensees, provide the Auditor with reasonable access to the applicable books and records for such period and otherwise reasonably cooperate with such audit.</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32</w:t>
      </w:r>
    </w:p>
    <w:p>
      <w:pPr>
        <w:pStyle w:val="HorizontalLine"/>
        <w:rPr/>
      </w:pPr>
      <w:r>
        <w:rPr/>
      </w:r>
    </w:p>
    <w:p>
      <w:pPr>
        <w:pStyle w:val="TextBody"/>
        <w:spacing w:before="0" w:after="0"/>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690" w:name="_Toc413018831"/>
      <w:bookmarkStart w:id="691" w:name="_Ref398528441"/>
      <w:bookmarkStart w:id="692" w:name="_AEIOULastRenderedPageBreakAEIOU32"/>
      <w:bookmarkEnd w:id="690"/>
      <w:bookmarkEnd w:id="691"/>
      <w:bookmarkEnd w:id="692"/>
      <w:r>
        <w:rPr>
          <w:rFonts w:ascii="Times New Roman" w:hAnsi="Times New Roman"/>
          <w:b w:val="false"/>
          <w:i w:val="false"/>
          <w:caps w:val="false"/>
          <w:smallCaps w:val="false"/>
          <w:sz w:val="22"/>
        </w:rPr>
        <w:t>10.7.4..</w:t>
      </w:r>
      <w:r>
        <w:rPr>
          <w:rFonts w:ascii="Times New Roman" w:hAnsi="Times New Roman"/>
          <w:b w:val="false"/>
          <w:i w:val="false"/>
          <w:caps w:val="false"/>
          <w:smallCaps w:val="false"/>
          <w:sz w:val="22"/>
          <w:u w:val="single"/>
        </w:rPr>
        <w:t>Payments</w:t>
      </w:r>
      <w:r>
        <w:rPr>
          <w:rFonts w:ascii="Times New Roman" w:hAnsi="Times New Roman"/>
          <w:b w:val="false"/>
          <w:i w:val="false"/>
          <w:caps w:val="false"/>
          <w:smallCaps w:val="false"/>
          <w:sz w:val="22"/>
        </w:rPr>
        <w:t xml:space="preserve">.  If the audit shows any under-reporting or underpayment, or overpayment by the audited Party, that under-reporting, underpayment or overpayment shall be reported to the auditing Party, and: (a) the audited Party shall remit any underpayment (together with interest at the rate set forth in Section 10.6) to the auditing Party within [***] days after receiving the audit report; and (b) the auditing Party may credit any overpayment to the auditing. Party against future payments owed by the audited Party to the auditing Party under this Agreement.  Further, if the audit for any Calendar Year shows an under-reporting or underpayment by the audited Party for that Calendar Year in excess of [***] of the amounts properly determined, the audited Party shall reimburse the auditing Party for its reasonable Out-of-Pocket Costs in connection with such audit, which reimbursement shall be made within [***] </w:t>
      </w:r>
      <w:bookmarkStart w:id="693" w:name="_Toc41301883"/>
      <w:bookmarkStart w:id="694" w:name="_Ref39852844"/>
      <w:bookmarkEnd w:id="693"/>
      <w:bookmarkEnd w:id="694"/>
      <w:r>
        <w:rPr>
          <w:rFonts w:ascii="Times New Roman" w:hAnsi="Times New Roman"/>
          <w:b w:val="false"/>
          <w:i w:val="false"/>
          <w:caps w:val="false"/>
          <w:smallCaps w:val="false"/>
          <w:sz w:val="22"/>
        </w:rPr>
        <w:t>days after receiving appropriate invoices and other support for such audit-related costs.</w:t>
      </w:r>
    </w:p>
    <w:p>
      <w:pPr>
        <w:pStyle w:val="TextBody"/>
        <w:spacing w:before="0" w:after="240"/>
        <w:ind w:left="1260" w:right="0" w:hanging="0"/>
        <w:jc w:val="both"/>
        <w:rPr>
          <w:rFonts w:ascii="Times New Roman" w:hAnsi="Times New Roman"/>
          <w:b w:val="false"/>
          <w:i w:val="false"/>
          <w:caps w:val="false"/>
          <w:smallCaps w:val="false"/>
          <w:sz w:val="22"/>
        </w:rPr>
      </w:pPr>
      <w:bookmarkStart w:id="695" w:name="_Ref398522301"/>
      <w:bookmarkStart w:id="696" w:name="_Ref65590720"/>
      <w:bookmarkEnd w:id="695"/>
      <w:bookmarkEnd w:id="696"/>
      <w:r>
        <w:rPr>
          <w:rFonts w:ascii="Times New Roman" w:hAnsi="Times New Roman"/>
          <w:b w:val="false"/>
          <w:i w:val="false"/>
          <w:caps w:val="false"/>
          <w:smallCaps w:val="false"/>
          <w:sz w:val="22"/>
        </w:rPr>
        <w:t>10.8.</w:t>
      </w:r>
      <w:r>
        <w:rPr>
          <w:rFonts w:ascii="Times New Roman" w:hAnsi="Times New Roman"/>
          <w:b w:val="false"/>
          <w:i w:val="false"/>
          <w:caps w:val="false"/>
          <w:smallCaps w:val="false"/>
          <w:sz w:val="22"/>
          <w:u w:val="single"/>
        </w:rPr>
        <w:t xml:space="preserve">Tax </w:t>
      </w:r>
      <w:bookmarkStart w:id="697" w:name="_Ref39852230"/>
      <w:bookmarkEnd w:id="697"/>
      <w:r>
        <w:rPr>
          <w:rFonts w:ascii="Times New Roman" w:hAnsi="Times New Roman"/>
          <w:b w:val="false"/>
          <w:i w:val="false"/>
          <w:caps w:val="false"/>
          <w:smallCaps w:val="false"/>
          <w:sz w:val="22"/>
          <w:u w:val="single"/>
        </w:rPr>
        <w:t>Matters</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10.8.1.</w:t>
      </w:r>
      <w:r>
        <w:rPr>
          <w:rFonts w:ascii="Times New Roman" w:hAnsi="Times New Roman"/>
          <w:b w:val="false"/>
          <w:i w:val="false"/>
          <w:caps w:val="false"/>
          <w:smallCaps w:val="false"/>
          <w:sz w:val="22"/>
          <w:u w:val="single"/>
        </w:rPr>
        <w:t>Taxes on Income</w:t>
      </w:r>
      <w:r>
        <w:rPr>
          <w:rFonts w:ascii="Times New Roman" w:hAnsi="Times New Roman"/>
          <w:b w:val="false"/>
          <w:i w:val="false"/>
          <w:caps w:val="false"/>
          <w:smallCaps w:val="false"/>
          <w:sz w:val="22"/>
        </w:rPr>
        <w:t>.  Notwithstanding anything else in this Section 10.8, each Party shall solely bear and pay all Taxes imposed on such Party’s net income or gain (in each case, however denominated) arising directly or indirectly from the activities of the Parties under this Agreement.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10.8.2</w:t>
      </w:r>
      <w:r>
        <w:rPr>
          <w:rFonts w:ascii="Times New Roman" w:hAnsi="Times New Roman"/>
          <w:b w:val="false"/>
          <w:i w:val="false"/>
          <w:caps w:val="false"/>
          <w:smallCaps w:val="false"/>
          <w:sz w:val="22"/>
          <w:u w:val="single"/>
        </w:rPr>
        <w:t>Tax</w:t>
      </w:r>
      <w:r>
        <w:rPr>
          <w:rFonts w:ascii="Times New Roman" w:hAnsi="Times New Roman"/>
          <w:b w:val="false"/>
          <w:i w:val="false"/>
          <w:caps w:val="false"/>
          <w:smallCaps w:val="false"/>
          <w:sz w:val="22"/>
        </w:rPr>
        <w:t xml:space="preserve"> Cooperation.  The Parties shall use Commercially Reasonable Efforts to cooperate with one another and shall use Commercially Reasonable Efforts to avoid or reduce, to the extent permitted by Applicable Laws, tax withholding or similar obligations in respect of royalties, milestone payments, and other payments made by Nkarta to CRISPR under this Agreement.  [***].  To the extent that amounts are so withheld and paid to the proper taxing authority, such amounts shall be treated for all purposes of this Agreement as having been paid to the persons with respect to whom such amounts were withheld.  Each Party shall comply with (or provide the other Party with) any certification, identification or other reporting requirements that may be reasonably necessary in order for Nkarta to not withhold Tax or to withhold Tax at a reduced rate under an applicable bilateral income tax treaty.  Each Party shall provide the other with commercially reasonable assistance to enable the recovery, as permitted by Applicable Laws, of withholding Taxes or similar obligations resulting from payments made under this Agreement, such recovery to be [***].</w:t>
      </w:r>
    </w:p>
    <w:p>
      <w:pPr>
        <w:pStyle w:val="TextBody"/>
        <w:spacing w:before="0" w:after="240"/>
        <w:ind w:left="1260" w:right="0" w:hanging="0"/>
        <w:jc w:val="both"/>
        <w:rPr>
          <w:rFonts w:ascii="Times New Roman" w:hAnsi="Times New Roman"/>
          <w:b w:val="false"/>
          <w:i w:val="false"/>
          <w:caps w:val="false"/>
          <w:smallCaps w:val="false"/>
          <w:sz w:val="22"/>
        </w:rPr>
      </w:pPr>
      <w:bookmarkStart w:id="698" w:name="_Toc121382379"/>
      <w:bookmarkStart w:id="699" w:name="_Toc121379051"/>
      <w:bookmarkStart w:id="700" w:name="_Toc121378630"/>
      <w:bookmarkStart w:id="701" w:name="_Toc28403610"/>
      <w:bookmarkEnd w:id="698"/>
      <w:bookmarkEnd w:id="699"/>
      <w:bookmarkEnd w:id="700"/>
      <w:bookmarkEnd w:id="701"/>
      <w:r>
        <w:rPr>
          <w:rFonts w:ascii="Times New Roman" w:hAnsi="Times New Roman"/>
          <w:b w:val="false"/>
          <w:i w:val="false"/>
          <w:caps w:val="false"/>
          <w:smallCaps w:val="false"/>
          <w:sz w:val="22"/>
        </w:rPr>
        <w:t>10.9.</w:t>
      </w:r>
      <w:r>
        <w:rPr>
          <w:rFonts w:ascii="Times New Roman" w:hAnsi="Times New Roman"/>
          <w:b w:val="false"/>
          <w:i w:val="false"/>
          <w:caps w:val="false"/>
          <w:smallCaps w:val="false"/>
          <w:sz w:val="22"/>
          <w:u w:val="single"/>
        </w:rPr>
        <w:t>Payment Method and Exchange Rate</w:t>
      </w:r>
      <w:r>
        <w:rPr>
          <w:rFonts w:ascii="Times New Roman" w:hAnsi="Times New Roman"/>
          <w:b w:val="false"/>
          <w:i w:val="false"/>
          <w:caps w:val="false"/>
          <w:smallCaps w:val="false"/>
          <w:sz w:val="22"/>
        </w:rPr>
        <w:t>.  Nkarta shall pay all amounts due hereunder in United States dollars by electronic funds transfer of immediately available funds to the bank account CRISPR designates in writing from time to time.  Conversion of sales recorded in local currencies to United States dollars shall be performed in a manner consistent with Nkarta’s normal practices used to prepare its audited financial statements for internal and external reporting purposes, consistently applied.</w:t>
      </w:r>
    </w:p>
    <w:p>
      <w:pPr>
        <w:pStyle w:val="TextBody"/>
        <w:spacing w:before="0" w:after="240"/>
        <w:jc w:val="center"/>
        <w:rPr>
          <w:rFonts w:ascii="Times New Roman" w:hAnsi="Times New Roman"/>
          <w:b/>
          <w:i w:val="false"/>
          <w:caps w:val="false"/>
          <w:smallCaps w:val="false"/>
          <w:sz w:val="22"/>
        </w:rPr>
      </w:pPr>
      <w:bookmarkStart w:id="702" w:name="_Ref_docxtools_4171"/>
      <w:bookmarkStart w:id="703" w:name="_Ref4235183171"/>
      <w:bookmarkEnd w:id="702"/>
      <w:bookmarkEnd w:id="703"/>
      <w:r>
        <w:rPr>
          <w:rFonts w:ascii="Times New Roman" w:hAnsi="Times New Roman"/>
          <w:b/>
          <w:i w:val="false"/>
          <w:caps w:val="false"/>
          <w:smallCaps w:val="false"/>
          <w:sz w:val="22"/>
        </w:rPr>
        <w:t>Article 11.</w:t>
        <w:br/>
      </w:r>
      <w:bookmarkStart w:id="704" w:name="_Ref_docxtools_417"/>
      <w:bookmarkStart w:id="705" w:name="_Ref423518317"/>
      <w:bookmarkEnd w:id="704"/>
      <w:bookmarkEnd w:id="705"/>
      <w:r>
        <w:rPr>
          <w:rFonts w:ascii="Times New Roman" w:hAnsi="Times New Roman"/>
          <w:b/>
          <w:i w:val="false"/>
          <w:caps w:val="false"/>
          <w:smallCaps w:val="false"/>
          <w:sz w:val="22"/>
        </w:rPr>
        <w:t>REPRESENTATIONS AND WARRANTIES</w:t>
      </w:r>
    </w:p>
    <w:p>
      <w:pPr>
        <w:pStyle w:val="TextBody"/>
        <w:spacing w:before="0" w:after="240"/>
        <w:ind w:left="1260" w:right="0" w:hanging="0"/>
        <w:jc w:val="both"/>
        <w:rPr>
          <w:rFonts w:ascii="Times New Roman" w:hAnsi="Times New Roman"/>
          <w:b w:val="false"/>
          <w:i w:val="false"/>
          <w:caps w:val="false"/>
          <w:smallCaps w:val="false"/>
          <w:sz w:val="22"/>
        </w:rPr>
      </w:pPr>
      <w:bookmarkStart w:id="706" w:name="_Ref516566337"/>
      <w:bookmarkEnd w:id="706"/>
      <w:r>
        <w:rPr>
          <w:rFonts w:ascii="Times New Roman" w:hAnsi="Times New Roman"/>
          <w:b w:val="false"/>
          <w:i w:val="false"/>
          <w:caps w:val="false"/>
          <w:smallCaps w:val="false"/>
          <w:sz w:val="22"/>
        </w:rPr>
        <w:t>11.1.</w:t>
      </w:r>
      <w:r>
        <w:rPr>
          <w:rFonts w:ascii="Times New Roman" w:hAnsi="Times New Roman"/>
          <w:b w:val="false"/>
          <w:i w:val="false"/>
          <w:caps w:val="false"/>
          <w:smallCaps w:val="false"/>
          <w:sz w:val="22"/>
          <w:u w:val="single"/>
        </w:rPr>
        <w:t>Representations and Warranties of Nkarta</w:t>
      </w:r>
      <w:r>
        <w:rPr>
          <w:rFonts w:ascii="Times New Roman" w:hAnsi="Times New Roman"/>
          <w:b w:val="false"/>
          <w:i w:val="false"/>
          <w:caps w:val="false"/>
          <w:smallCaps w:val="false"/>
          <w:sz w:val="22"/>
        </w:rPr>
        <w:t xml:space="preserve">.  Nkarta hereby represents and warrants to CRISPR, as of the Effective Date, that, except as otherwise set forth on </w:t>
      </w:r>
      <w:r>
        <w:rPr>
          <w:rFonts w:ascii="Times New Roman" w:hAnsi="Times New Roman"/>
          <w:b w:val="false"/>
          <w:i w:val="false"/>
          <w:caps w:val="false"/>
          <w:smallCaps w:val="false"/>
          <w:sz w:val="22"/>
          <w:u w:val="single"/>
        </w:rPr>
        <w:t>Schedule 11.1</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11.1.1.Nkarta is duly organized, validly existing and in good standing under the laws of the jurisdiction of its incorporation or organization and has full corporate power and authority to enter into this Agreement and to carry out the provisions hereof;</w:t>
      </w:r>
    </w:p>
    <w:p>
      <w:pPr>
        <w:pStyle w:val="TextBody"/>
        <w:spacing w:before="0" w:after="240"/>
        <w:ind w:left="720" w:right="0" w:hanging="0"/>
        <w:jc w:val="both"/>
        <w:rPr>
          <w:rFonts w:ascii="Times New Roman" w:hAnsi="Times New Roman"/>
          <w:b w:val="false"/>
          <w:i w:val="false"/>
          <w:caps w:val="false"/>
          <w:smallCaps w:val="false"/>
          <w:sz w:val="22"/>
        </w:rPr>
      </w:pPr>
      <w:bookmarkStart w:id="707" w:name="El29v2O1"/>
      <w:bookmarkStart w:id="708" w:name="El28v2O1"/>
      <w:bookmarkStart w:id="709" w:name="El24v2O1"/>
      <w:bookmarkStart w:id="710" w:name="El23v2O1"/>
      <w:bookmarkStart w:id="711" w:name="DocXTextRef1521"/>
      <w:bookmarkEnd w:id="707"/>
      <w:bookmarkEnd w:id="708"/>
      <w:bookmarkEnd w:id="709"/>
      <w:bookmarkEnd w:id="710"/>
      <w:bookmarkEnd w:id="711"/>
      <w:r>
        <w:rPr>
          <w:rFonts w:ascii="Times New Roman" w:hAnsi="Times New Roman"/>
          <w:b w:val="false"/>
          <w:i w:val="false"/>
          <w:caps w:val="false"/>
          <w:smallCaps w:val="false"/>
          <w:sz w:val="22"/>
        </w:rPr>
        <w:t>11.1.2.</w:t>
      </w:r>
      <w:bookmarkStart w:id="712" w:name="DocXTextRef152"/>
      <w:bookmarkEnd w:id="712"/>
      <w:r>
        <w:rPr>
          <w:rFonts w:ascii="Times New Roman" w:hAnsi="Times New Roman"/>
          <w:b w:val="false"/>
          <w:i w:val="false"/>
          <w:caps w:val="false"/>
          <w:smallCaps w:val="false"/>
          <w:sz w:val="22"/>
        </w:rPr>
        <w:t>Nkarta: (a)</w:t>
      </w:r>
      <w:bookmarkStart w:id="713" w:name="El23v2O"/>
      <w:bookmarkEnd w:id="713"/>
      <w:r>
        <w:rPr>
          <w:rFonts w:ascii="Times New Roman" w:hAnsi="Times New Roman"/>
          <w:b w:val="false"/>
          <w:i w:val="false"/>
          <w:caps w:val="false"/>
          <w:smallCaps w:val="false"/>
          <w:sz w:val="22"/>
        </w:rPr>
        <w:t xml:space="preserve"> has the requisite corporate power and authority and the legal right to enter into this Agreement </w:t>
      </w:r>
      <w:bookmarkStart w:id="714" w:name="El24v2O"/>
      <w:bookmarkEnd w:id="714"/>
      <w:r>
        <w:rPr>
          <w:rFonts w:ascii="Times New Roman" w:hAnsi="Times New Roman"/>
          <w:b w:val="false"/>
          <w:i w:val="false"/>
          <w:caps w:val="false"/>
          <w:smallCaps w:val="false"/>
          <w:sz w:val="22"/>
        </w:rPr>
        <w:t>and to perform its obligations hereunder</w:t>
      </w:r>
      <w:bookmarkStart w:id="715" w:name="El28v2O"/>
      <w:bookmarkEnd w:id="715"/>
      <w:r>
        <w:rPr>
          <w:rFonts w:ascii="Times New Roman" w:hAnsi="Times New Roman"/>
          <w:b w:val="false"/>
          <w:i w:val="false"/>
          <w:caps w:val="false"/>
          <w:smallCaps w:val="false"/>
          <w:sz w:val="22"/>
        </w:rPr>
        <w:t xml:space="preserve">; and (b) has taken all requisite corporate action on its part to authorize the execution and delivery of this Agreement </w:t>
      </w:r>
      <w:bookmarkStart w:id="716" w:name="El29v2O"/>
      <w:bookmarkEnd w:id="716"/>
      <w:r>
        <w:rPr>
          <w:rFonts w:ascii="Times New Roman" w:hAnsi="Times New Roman"/>
          <w:b w:val="false"/>
          <w:i w:val="false"/>
          <w:caps w:val="false"/>
          <w:smallCaps w:val="false"/>
          <w:sz w:val="22"/>
        </w:rPr>
        <w:t>and the performance of its obligations hereunder;</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33</w:t>
      </w:r>
    </w:p>
    <w:p>
      <w:pPr>
        <w:pStyle w:val="HorizontalLine"/>
        <w:rPr/>
      </w:pPr>
      <w:r>
        <w:rPr/>
      </w:r>
    </w:p>
    <w:p>
      <w:pPr>
        <w:pStyle w:val="TextBody"/>
        <w:spacing w:before="0" w:after="0"/>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717" w:name="El26v2O1"/>
      <w:bookmarkStart w:id="718" w:name="_AEIOULastRenderedPageBreakAEIOU33"/>
      <w:bookmarkEnd w:id="717"/>
      <w:bookmarkEnd w:id="718"/>
      <w:r>
        <w:rPr>
          <w:rFonts w:ascii="Times New Roman" w:hAnsi="Times New Roman"/>
          <w:b w:val="false"/>
          <w:i w:val="false"/>
          <w:caps w:val="false"/>
          <w:smallCaps w:val="false"/>
          <w:sz w:val="22"/>
        </w:rPr>
        <w:t>11.1.3.</w:t>
      </w:r>
      <w:bookmarkStart w:id="719" w:name="El26v2O"/>
      <w:bookmarkEnd w:id="719"/>
      <w:r>
        <w:rPr>
          <w:rFonts w:ascii="Times New Roman" w:hAnsi="Times New Roman"/>
          <w:b w:val="false"/>
          <w:i w:val="false"/>
          <w:caps w:val="false"/>
          <w:smallCaps w:val="false"/>
          <w:sz w:val="22"/>
        </w:rPr>
        <w:t>Nkarta has the requisite resources and expertise to perform its obligations hereunder;</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11.1.4.this Agreement has been duly executed and delivered on behalf of Nkarta, and constitutes a legal, valid and binding obligation, enforceable against Nkarta in accordance with the terms hereof;</w:t>
      </w:r>
    </w:p>
    <w:p>
      <w:pPr>
        <w:pStyle w:val="TextBody"/>
        <w:spacing w:before="0" w:after="240"/>
        <w:ind w:left="720" w:right="0" w:hanging="0"/>
        <w:jc w:val="both"/>
        <w:rPr>
          <w:rFonts w:ascii="Times New Roman" w:hAnsi="Times New Roman"/>
          <w:b w:val="false"/>
          <w:i w:val="false"/>
          <w:caps w:val="false"/>
          <w:smallCaps w:val="false"/>
          <w:sz w:val="22"/>
        </w:rPr>
      </w:pPr>
      <w:bookmarkStart w:id="720" w:name="_Ref524364320"/>
      <w:bookmarkEnd w:id="720"/>
      <w:r>
        <w:rPr>
          <w:rFonts w:ascii="Times New Roman" w:hAnsi="Times New Roman"/>
          <w:b w:val="false"/>
          <w:i w:val="false"/>
          <w:caps w:val="false"/>
          <w:smallCaps w:val="false"/>
          <w:sz w:val="22"/>
        </w:rPr>
        <w:t>11.1.5.the execution, delivery and performance of this Agreement by Nkarta does not and will not constitute a default under or conflict with any agreement, instrument or understanding, oral or written, to which Nkarta is a party or by which Nkarta is bound, or violate any law or regulation of any court, governmental body or administrative or other agency having jurisdiction over Nkarta;</w:t>
      </w:r>
    </w:p>
    <w:p>
      <w:pPr>
        <w:pStyle w:val="TextBody"/>
        <w:spacing w:before="0" w:after="240"/>
        <w:ind w:left="720" w:right="0" w:hanging="0"/>
        <w:jc w:val="both"/>
        <w:rPr>
          <w:rFonts w:ascii="Times New Roman" w:hAnsi="Times New Roman"/>
          <w:b w:val="false"/>
          <w:i w:val="false"/>
          <w:caps w:val="false"/>
          <w:smallCaps w:val="false"/>
          <w:sz w:val="22"/>
        </w:rPr>
      </w:pPr>
      <w:bookmarkStart w:id="721" w:name="El2dv2O1"/>
      <w:bookmarkStart w:id="722" w:name="El2cv2O1"/>
      <w:bookmarkStart w:id="723" w:name="El2ev2O1"/>
      <w:bookmarkStart w:id="724" w:name="_Ref524364322"/>
      <w:bookmarkStart w:id="725" w:name="_Toc263802732"/>
      <w:bookmarkEnd w:id="721"/>
      <w:bookmarkEnd w:id="722"/>
      <w:bookmarkEnd w:id="723"/>
      <w:bookmarkEnd w:id="724"/>
      <w:bookmarkEnd w:id="725"/>
      <w:r>
        <w:rPr>
          <w:rFonts w:ascii="Times New Roman" w:hAnsi="Times New Roman"/>
          <w:b w:val="false"/>
          <w:i w:val="false"/>
          <w:caps w:val="false"/>
          <w:smallCaps w:val="false"/>
          <w:sz w:val="22"/>
        </w:rPr>
        <w:t>11.1.6.</w:t>
      </w:r>
      <w:bookmarkStart w:id="726" w:name="El2ev2O"/>
      <w:bookmarkEnd w:id="726"/>
      <w:r>
        <w:rPr>
          <w:rFonts w:ascii="Times New Roman" w:hAnsi="Times New Roman"/>
          <w:b w:val="false"/>
          <w:i w:val="false"/>
          <w:caps w:val="false"/>
          <w:smallCaps w:val="false"/>
          <w:sz w:val="22"/>
        </w:rPr>
        <w:t xml:space="preserve">Nkarta has obtained all necessary consents, approvals and authorizations of all Governmental Authorities and other Persons or </w:t>
      </w:r>
      <w:bookmarkStart w:id="727" w:name="El2cv2O"/>
      <w:bookmarkEnd w:id="727"/>
      <w:r>
        <w:rPr>
          <w:rFonts w:ascii="Times New Roman" w:hAnsi="Times New Roman"/>
          <w:b w:val="false"/>
          <w:i w:val="false"/>
          <w:caps w:val="false"/>
          <w:smallCaps w:val="false"/>
          <w:sz w:val="22"/>
        </w:rPr>
        <w:t xml:space="preserve">entities required to be obtained by it </w:t>
      </w:r>
      <w:bookmarkStart w:id="728" w:name="El2dv2O"/>
      <w:bookmarkEnd w:id="728"/>
      <w:r>
        <w:rPr>
          <w:rFonts w:ascii="Times New Roman" w:hAnsi="Times New Roman"/>
          <w:b w:val="false"/>
          <w:i w:val="false"/>
          <w:caps w:val="false"/>
          <w:smallCaps w:val="false"/>
          <w:sz w:val="22"/>
        </w:rPr>
        <w:t>in connection with the execution and delivery of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729" w:name="_Ref524364323"/>
      <w:bookmarkEnd w:id="729"/>
      <w:r>
        <w:rPr>
          <w:rFonts w:ascii="Times New Roman" w:hAnsi="Times New Roman"/>
          <w:b w:val="false"/>
          <w:i w:val="false"/>
          <w:caps w:val="false"/>
          <w:smallCaps w:val="false"/>
          <w:sz w:val="22"/>
        </w:rPr>
        <w:t>11.1.7.the Nkarta Technology constitutes all of the Patents and Know-How Controlled by Nkarta that are necessary to: (a) conduct the Research Program; or (b) conduct Nkarta Activities on Nkarta Products;</w:t>
      </w:r>
    </w:p>
    <w:p>
      <w:pPr>
        <w:pStyle w:val="TextBody"/>
        <w:spacing w:before="0" w:after="240"/>
        <w:ind w:left="720" w:right="0" w:hanging="0"/>
        <w:jc w:val="both"/>
        <w:rPr>
          <w:rFonts w:ascii="Times New Roman" w:hAnsi="Times New Roman"/>
          <w:b w:val="false"/>
          <w:i w:val="false"/>
          <w:caps w:val="false"/>
          <w:smallCaps w:val="false"/>
          <w:sz w:val="22"/>
        </w:rPr>
      </w:pPr>
      <w:bookmarkStart w:id="730" w:name="_Ref524364327"/>
      <w:bookmarkEnd w:id="730"/>
      <w:r>
        <w:rPr>
          <w:rFonts w:ascii="Times New Roman" w:hAnsi="Times New Roman"/>
          <w:b w:val="false"/>
          <w:i w:val="false"/>
          <w:caps w:val="false"/>
          <w:smallCaps w:val="false"/>
          <w:sz w:val="22"/>
        </w:rPr>
        <w:t>11.1.8.Nkarta is the sole and exclusive owner or exclusive licensee of the Nkarta Background Patents, free and clear of any liens, charges and encumbrances (other than encumbrances under the terms of any agreement pursuant to which any such Patents are licensed to Nkarta), and neither any license granted by Nkarta to any Third Party, nor any license granted by any Third Party to Nkarta conflicts with the license grants to CRISPR under Section 8.2 and Nkarta is entitled to grant all rights and licenses (or sublicenses, as the case may be) under such Nkarta Background Patents it purports to grant to CRISPR under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731" w:name="_Ref516566389"/>
      <w:bookmarkEnd w:id="731"/>
      <w:r>
        <w:rPr>
          <w:rFonts w:ascii="Times New Roman" w:hAnsi="Times New Roman"/>
          <w:b w:val="false"/>
          <w:i w:val="false"/>
          <w:caps w:val="false"/>
          <w:smallCaps w:val="false"/>
          <w:sz w:val="22"/>
        </w:rPr>
        <w:t>11.1.9.</w:t>
      </w:r>
      <w:r>
        <w:rPr>
          <w:rFonts w:ascii="Times New Roman" w:hAnsi="Times New Roman"/>
          <w:b w:val="false"/>
          <w:i w:val="false"/>
          <w:caps w:val="false"/>
          <w:smallCaps w:val="false"/>
          <w:sz w:val="22"/>
          <w:u w:val="single"/>
        </w:rPr>
        <w:t>Schedule 11.1.9</w:t>
      </w:r>
      <w:r>
        <w:rPr>
          <w:rFonts w:ascii="Times New Roman" w:hAnsi="Times New Roman"/>
          <w:b w:val="false"/>
          <w:i w:val="false"/>
          <w:caps w:val="false"/>
          <w:smallCaps w:val="false"/>
          <w:sz w:val="22"/>
        </w:rPr>
        <w:t xml:space="preserve"> sets forth a true, correct and complete list of all Nkarta Background Patents as of the Effective Date and indicates whether such Patent is owned by Nkarta or licensed by Nkarta from a Third Party and if so, identifies the licensor or sublicensor from which the Patent is licensed;</w:t>
      </w:r>
    </w:p>
    <w:p>
      <w:pPr>
        <w:pStyle w:val="TextBody"/>
        <w:spacing w:before="0" w:after="240"/>
        <w:ind w:left="720" w:right="0" w:hanging="0"/>
        <w:jc w:val="both"/>
        <w:rPr>
          <w:rFonts w:ascii="Times New Roman" w:hAnsi="Times New Roman"/>
          <w:b w:val="false"/>
          <w:i w:val="false"/>
          <w:caps w:val="false"/>
          <w:smallCaps w:val="false"/>
          <w:sz w:val="22"/>
        </w:rPr>
      </w:pPr>
      <w:bookmarkStart w:id="732" w:name="_Ref524364331"/>
      <w:bookmarkEnd w:id="732"/>
      <w:r>
        <w:rPr>
          <w:rFonts w:ascii="Times New Roman" w:hAnsi="Times New Roman"/>
          <w:b w:val="false"/>
          <w:i w:val="false"/>
          <w:caps w:val="false"/>
          <w:smallCaps w:val="false"/>
          <w:sz w:val="22"/>
        </w:rPr>
        <w:t>11.1.10.to its Knowledge, no Third Party (a) is infringing any Nkarta Background Patents or (b) has challenged the extent, validity or enforceability of Nkarta Background Patents (including by way of example through the institution or written threat of institution of interference, nullity or similar invalidity proceedings before the United States Patent and Trademark Office or any analogous foreign Governmental Authority);</w:t>
      </w:r>
    </w:p>
    <w:p>
      <w:pPr>
        <w:pStyle w:val="TextBody"/>
        <w:spacing w:before="0" w:after="240"/>
        <w:ind w:left="720" w:right="0" w:hanging="0"/>
        <w:jc w:val="both"/>
        <w:rPr>
          <w:rFonts w:ascii="Times New Roman" w:hAnsi="Times New Roman"/>
          <w:b w:val="false"/>
          <w:i w:val="false"/>
          <w:caps w:val="false"/>
          <w:smallCaps w:val="false"/>
          <w:sz w:val="22"/>
        </w:rPr>
      </w:pPr>
      <w:bookmarkStart w:id="733" w:name="_Ref524364333"/>
      <w:bookmarkEnd w:id="733"/>
      <w:r>
        <w:rPr>
          <w:rFonts w:ascii="Times New Roman" w:hAnsi="Times New Roman"/>
          <w:b w:val="false"/>
          <w:i w:val="false"/>
          <w:caps w:val="false"/>
          <w:smallCaps w:val="false"/>
          <w:sz w:val="22"/>
        </w:rPr>
        <w:t>11.1.11.there are no judgments or settlements against or owed by Nkarta or, to Nkarta’s Knowledge, pending or threatened claims or litigation, in either case relating to the Nkarta Background Technology;</w:t>
      </w:r>
    </w:p>
    <w:p>
      <w:pPr>
        <w:pStyle w:val="TextBody"/>
        <w:spacing w:before="0" w:after="240"/>
        <w:ind w:left="720" w:right="0" w:hanging="0"/>
        <w:jc w:val="both"/>
        <w:rPr>
          <w:rFonts w:ascii="Times New Roman" w:hAnsi="Times New Roman"/>
          <w:b w:val="false"/>
          <w:i w:val="false"/>
          <w:caps w:val="false"/>
          <w:smallCaps w:val="false"/>
          <w:sz w:val="22"/>
        </w:rPr>
      </w:pPr>
      <w:bookmarkStart w:id="734" w:name="_Ref524364336"/>
      <w:bookmarkEnd w:id="734"/>
      <w:r>
        <w:rPr>
          <w:rFonts w:ascii="Times New Roman" w:hAnsi="Times New Roman"/>
          <w:b w:val="false"/>
          <w:i w:val="false"/>
          <w:caps w:val="false"/>
          <w:smallCaps w:val="false"/>
          <w:sz w:val="22"/>
        </w:rPr>
        <w:t>11.1.12.there is no action, claim, demand, suit, proceeding, arbitration, grievance, citation, summons, subpoena, inquiry or investigation of any nature, civil, criminal, regulatory or otherwise, in law or in equity, pending or, to Nkarta’s Knowledge, threatened against Nkarta, any of its Affiliates or any Third Party, in each case in connection with the Nkarta Background Technology or relating to the transactions contemplated by this Agreement; and</w:t>
      </w:r>
    </w:p>
    <w:p>
      <w:pPr>
        <w:pStyle w:val="TextBody"/>
        <w:spacing w:before="0" w:after="240"/>
        <w:ind w:left="720" w:right="0" w:hanging="0"/>
        <w:jc w:val="both"/>
        <w:rPr>
          <w:rFonts w:ascii="Times New Roman" w:hAnsi="Times New Roman"/>
          <w:b w:val="false"/>
          <w:i w:val="false"/>
          <w:caps w:val="false"/>
          <w:smallCaps w:val="false"/>
          <w:sz w:val="22"/>
        </w:rPr>
      </w:pPr>
      <w:bookmarkStart w:id="735" w:name="_AEIOULastRenderedPageBreakAEIOU34"/>
      <w:bookmarkStart w:id="736" w:name="_Ref524364337"/>
      <w:bookmarkEnd w:id="735"/>
      <w:bookmarkEnd w:id="736"/>
      <w:r>
        <w:rPr>
          <w:rFonts w:ascii="Times New Roman" w:hAnsi="Times New Roman"/>
          <w:b w:val="false"/>
          <w:i w:val="false"/>
          <w:caps w:val="false"/>
          <w:smallCaps w:val="false"/>
          <w:sz w:val="22"/>
        </w:rPr>
        <w:t xml:space="preserve">11.1.13.Nkarta has not employed (and, to Nkarta’s Knowledge, Nkarta has not used a contractor or consultant that has employed) any Person debarred by the FDA (or subject to a similar sanction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34</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of EMA or foreign equivalent), or any Person that is the subject of an FDA debarment investigation or proceeding (or similar proceeding of EMA or foreign equivalent), in any capacity in connection with this Agreement.</w:t>
      </w:r>
    </w:p>
    <w:p>
      <w:pPr>
        <w:pStyle w:val="TextBody"/>
        <w:spacing w:before="0" w:after="240"/>
        <w:ind w:left="1260" w:right="0" w:hanging="0"/>
        <w:jc w:val="both"/>
        <w:rPr>
          <w:rFonts w:ascii="Times New Roman" w:hAnsi="Times New Roman"/>
          <w:b w:val="false"/>
          <w:i w:val="false"/>
          <w:caps w:val="false"/>
          <w:smallCaps w:val="false"/>
          <w:sz w:val="22"/>
        </w:rPr>
      </w:pPr>
      <w:bookmarkStart w:id="737" w:name="_Ref426044046"/>
      <w:bookmarkEnd w:id="737"/>
      <w:r>
        <w:rPr>
          <w:rFonts w:ascii="Times New Roman" w:hAnsi="Times New Roman"/>
          <w:b w:val="false"/>
          <w:i w:val="false"/>
          <w:caps w:val="false"/>
          <w:smallCaps w:val="false"/>
          <w:sz w:val="22"/>
        </w:rPr>
        <w:t>11.2.</w:t>
      </w:r>
      <w:r>
        <w:rPr>
          <w:rFonts w:ascii="Times New Roman" w:hAnsi="Times New Roman"/>
          <w:b w:val="false"/>
          <w:i w:val="false"/>
          <w:caps w:val="false"/>
          <w:smallCaps w:val="false"/>
          <w:sz w:val="22"/>
          <w:u w:val="single"/>
        </w:rPr>
        <w:t>Representations and Warranties of CRISPR</w:t>
      </w:r>
      <w:r>
        <w:rPr>
          <w:rFonts w:ascii="Times New Roman" w:hAnsi="Times New Roman"/>
          <w:b w:val="false"/>
          <w:i w:val="false"/>
          <w:caps w:val="false"/>
          <w:smallCaps w:val="false"/>
          <w:sz w:val="22"/>
        </w:rPr>
        <w:t xml:space="preserve">.  CRISPR hereby represents and warrants to Nkarta, as of the Effective Date, that, except as otherwise set forth on </w:t>
      </w:r>
      <w:r>
        <w:rPr>
          <w:rFonts w:ascii="Times New Roman" w:hAnsi="Times New Roman"/>
          <w:b w:val="false"/>
          <w:i w:val="false"/>
          <w:caps w:val="false"/>
          <w:smallCaps w:val="false"/>
          <w:sz w:val="22"/>
          <w:u w:val="single"/>
        </w:rPr>
        <w:t>Schedule 11.2</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11.2.1.CRISPR is duly organized, validly existing and in good standing under the laws of the jurisdiction of its incorporation or organization and has full corporate power and authority to enter into this Agreement and to carry out the provisions hereof;</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11.2.2.CRISPR: (a) has the requisite corporate power and authority and the legal right to enter into this Agreement and to perform its obligations hereunder; and (b) has taken all requisite corporate action on its part to authorize the execution and delivery of this Agreement and the performance of its obligations hereunder;</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11.2.3.CRISPR has the requisite resources and expertise to perform its obligations hereunder;</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11.2.4.this Agreement has been duly executed and delivered on behalf of CRISPR, and constitutes a legal, valid and binding obligation, enforceable against it in accordance with the terms hereof;</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11.2.5.the execution, delivery and performance of this Agreement by CRISPR does not and will not constitute a default under or conflict with any agreement, instrument or understanding, oral or written, to which it is a party or by which it is bound, or violate any law or regulation of any court, governmental body or administrative or other agency having jurisdiction over CRISPR;</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11.2.6.CRISPR has obtained all necessary consents, approvals and authorizations of all Governmental Authorities and other Persons or entities required to be obtained by CRISPR in connection with the execution and delivery of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738" w:name="_Toc2638027441"/>
      <w:bookmarkEnd w:id="738"/>
      <w:r>
        <w:rPr>
          <w:rFonts w:ascii="Times New Roman" w:hAnsi="Times New Roman"/>
          <w:b w:val="false"/>
          <w:i w:val="false"/>
          <w:caps w:val="false"/>
          <w:smallCaps w:val="false"/>
          <w:sz w:val="22"/>
        </w:rPr>
        <w:t>11.2.7.</w:t>
      </w:r>
      <w:bookmarkStart w:id="739" w:name="_Toc263802744"/>
      <w:bookmarkEnd w:id="739"/>
      <w:r>
        <w:rPr>
          <w:rFonts w:ascii="Times New Roman" w:hAnsi="Times New Roman"/>
          <w:b w:val="false"/>
          <w:i w:val="false"/>
          <w:caps w:val="false"/>
          <w:smallCaps w:val="false"/>
          <w:sz w:val="22"/>
        </w:rPr>
        <w:t>the CRISPR Technology constitutes all of the Patents and Know-How Controlled by CRISPR that are necessary to: (a) conduct the Research Program; or (b) conduct CRISPR Activities on Nkarta Products;</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11.2.8.CRISPR is the sole and exclusive owner or exclusive licensee of the CRISPR Background Patents, free and clear of any liens, charges and encumbrances (other than encumbrances under the terms of any agreement pursuant to which any such Patents are licensed to CRISPR), and neither any license granted by CRISPR to any Third Party, nor any license granted by any Third Party to CRISPR conflicts with the license grants to Nkarta under Section 8.1 and CRISPR is entitled to grant all rights and licenses (or sublicenses, as the case may be) under CRISPR Background Patents it purports to grant to Nkarta under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740" w:name="_Toc263802745"/>
      <w:bookmarkStart w:id="741" w:name="_Ref516566423"/>
      <w:bookmarkStart w:id="742" w:name="_Ref423527275"/>
      <w:bookmarkEnd w:id="740"/>
      <w:bookmarkEnd w:id="741"/>
      <w:bookmarkEnd w:id="742"/>
      <w:r>
        <w:rPr>
          <w:rFonts w:ascii="Times New Roman" w:hAnsi="Times New Roman"/>
          <w:b w:val="false"/>
          <w:i w:val="false"/>
          <w:caps w:val="false"/>
          <w:smallCaps w:val="false"/>
          <w:sz w:val="22"/>
        </w:rPr>
        <w:t>11.2.9.</w:t>
      </w:r>
      <w:r>
        <w:rPr>
          <w:rFonts w:ascii="Times New Roman" w:hAnsi="Times New Roman"/>
          <w:b w:val="false"/>
          <w:i w:val="false"/>
          <w:caps w:val="false"/>
          <w:smallCaps w:val="false"/>
          <w:sz w:val="22"/>
          <w:u w:val="single"/>
        </w:rPr>
        <w:t>Schedule 11.2.9</w:t>
      </w:r>
      <w:r>
        <w:rPr>
          <w:rFonts w:ascii="Times New Roman" w:hAnsi="Times New Roman"/>
          <w:b w:val="false"/>
          <w:i w:val="false"/>
          <w:caps w:val="false"/>
          <w:smallCaps w:val="false"/>
          <w:sz w:val="22"/>
        </w:rPr>
        <w:t xml:space="preserve"> sets forth a true, correct and complete list of all CRISPR Background Patents as of the Effective Date and indicates whether such Patent is owned by CRISPR or licensed by CRISPR from a Third Party and if so, identifies the licensor or sublicensor from which the Patent is licensed;</w:t>
      </w:r>
    </w:p>
    <w:p>
      <w:pPr>
        <w:pStyle w:val="TextBody"/>
        <w:spacing w:before="0" w:after="240"/>
        <w:ind w:left="720" w:right="0" w:hanging="0"/>
        <w:jc w:val="both"/>
        <w:rPr>
          <w:rFonts w:ascii="Times New Roman" w:hAnsi="Times New Roman"/>
          <w:b w:val="false"/>
          <w:i w:val="false"/>
          <w:caps w:val="false"/>
          <w:smallCaps w:val="false"/>
          <w:sz w:val="22"/>
        </w:rPr>
      </w:pPr>
      <w:bookmarkStart w:id="743" w:name="_AEIOULastRenderedPageBreakAEIOU35"/>
      <w:bookmarkStart w:id="744" w:name="_Toc263802737"/>
      <w:bookmarkEnd w:id="743"/>
      <w:bookmarkEnd w:id="744"/>
      <w:r>
        <w:rPr>
          <w:rFonts w:ascii="Times New Roman" w:hAnsi="Times New Roman"/>
          <w:b w:val="false"/>
          <w:i w:val="false"/>
          <w:caps w:val="false"/>
          <w:smallCaps w:val="false"/>
          <w:sz w:val="22"/>
        </w:rPr>
        <w:t xml:space="preserve">11.2.10.to its Knowledge, no Third Party (a) is infringing any CRISPR Background Patents or (b) has challenged the extent, validity or enforceability of CRISPR Background Patents (including by way of example through the institution or written threat of institution of interference, nullity or similar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35</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invalidity proceedings before the United States Patent and Trademark Office or any analogous foreign Governmental Authority);</w:t>
      </w:r>
    </w:p>
    <w:p>
      <w:pPr>
        <w:pStyle w:val="TextBody"/>
        <w:spacing w:before="0" w:after="240"/>
        <w:ind w:left="720" w:right="0" w:hanging="0"/>
        <w:jc w:val="both"/>
        <w:rPr>
          <w:rFonts w:ascii="Times New Roman" w:hAnsi="Times New Roman"/>
          <w:b w:val="false"/>
          <w:i w:val="false"/>
          <w:caps w:val="false"/>
          <w:smallCaps w:val="false"/>
          <w:sz w:val="22"/>
        </w:rPr>
      </w:pPr>
      <w:bookmarkStart w:id="745" w:name="_Toc263802749"/>
      <w:bookmarkEnd w:id="745"/>
      <w:r>
        <w:rPr>
          <w:rFonts w:ascii="Times New Roman" w:hAnsi="Times New Roman"/>
          <w:b w:val="false"/>
          <w:i w:val="false"/>
          <w:caps w:val="false"/>
          <w:smallCaps w:val="false"/>
          <w:sz w:val="22"/>
        </w:rPr>
        <w:t>11.2.11.there are no judgments or settlements against or owed by CRISPR or, to CRISPR’s Knowledge, pending or threatened claims or litigation, in either case relating to the CRISPR Background Technology;</w:t>
      </w:r>
    </w:p>
    <w:p>
      <w:pPr>
        <w:pStyle w:val="TextBody"/>
        <w:spacing w:before="0" w:after="240"/>
        <w:ind w:left="720" w:right="0" w:hanging="0"/>
        <w:jc w:val="both"/>
        <w:rPr>
          <w:rFonts w:ascii="Times New Roman" w:hAnsi="Times New Roman"/>
          <w:b w:val="false"/>
          <w:i w:val="false"/>
          <w:caps w:val="false"/>
          <w:smallCaps w:val="false"/>
          <w:sz w:val="22"/>
        </w:rPr>
      </w:pPr>
      <w:bookmarkStart w:id="746" w:name="_Toc263802757"/>
      <w:bookmarkEnd w:id="746"/>
      <w:r>
        <w:rPr>
          <w:rFonts w:ascii="Times New Roman" w:hAnsi="Times New Roman"/>
          <w:b w:val="false"/>
          <w:i w:val="false"/>
          <w:caps w:val="false"/>
          <w:smallCaps w:val="false"/>
          <w:sz w:val="22"/>
        </w:rPr>
        <w:t>11.2.12.there is no action, claim, demand, suit, proceeding, arbitration, grievance, citation, summons, subpoena, inquiry or investigation of any nature, civil, criminal, regulatory or otherwise, in law or in equity, pending or, to CRISPR’s Knowledge, threatened against CRISPR, any of its Affiliates or any Third Party, in each case in connection with the CRISPR Background Technology or relating to the transactions contemplated by this Agreement;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11.2.13.CRISPR has not employed (and, to CRISPR’s Knowledge, CRISPR has not used a contractor or consultant that has employed) any Person debarred by the FDA (or subject to a similar sanction of EMA or foreign equivalent), or any Person that is the subject of an FDA debarment investigation or proceeding (or similar proceeding of EMA or foreign equivalent), in any capacity in connection with this Agreement.</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w:t>
      </w:r>
      <w:r>
        <w:rPr>
          <w:rFonts w:ascii="Times New Roman" w:hAnsi="Times New Roman"/>
          <w:b w:val="false"/>
          <w:i w:val="false"/>
          <w:caps w:val="false"/>
          <w:smallCaps w:val="false"/>
          <w:sz w:val="22"/>
          <w:u w:val="single"/>
        </w:rPr>
        <w:t>CRISPR Covenants</w:t>
      </w:r>
      <w:r>
        <w:rPr>
          <w:rFonts w:ascii="Times New Roman" w:hAnsi="Times New Roman"/>
          <w:b w:val="false"/>
          <w:i w:val="false"/>
          <w:caps w:val="false"/>
          <w:smallCaps w:val="false"/>
          <w:sz w:val="22"/>
        </w:rPr>
        <w:t>.  CRISPR hereby covenants to Nkarta that, except as expressly permitted under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747" w:name="_Ref423581881"/>
      <w:bookmarkEnd w:id="747"/>
      <w:r>
        <w:rPr>
          <w:rFonts w:ascii="Times New Roman" w:hAnsi="Times New Roman"/>
          <w:b w:val="false"/>
          <w:i w:val="false"/>
          <w:caps w:val="false"/>
          <w:smallCaps w:val="false"/>
          <w:sz w:val="22"/>
        </w:rPr>
        <w:t>11.3.1.it will maintain and not breach any CRISPR In-License Agreements that provide a grant of rights from such Third Party to CRISPR that are Controlled by CRISPR and are licensed from CRISPR to Nkarta for a Collaboration Product or an Nkarta Product under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748" w:name="_Toc263802741"/>
      <w:bookmarkStart w:id="749" w:name="_Ref_docxtools_448"/>
      <w:bookmarkEnd w:id="748"/>
      <w:bookmarkEnd w:id="749"/>
      <w:r>
        <w:rPr>
          <w:rFonts w:ascii="Times New Roman" w:hAnsi="Times New Roman"/>
          <w:b w:val="false"/>
          <w:i w:val="false"/>
          <w:caps w:val="false"/>
          <w:smallCaps w:val="false"/>
          <w:sz w:val="22"/>
        </w:rPr>
        <w:t>11.3.2.it will promptly notify Nkarta of any material breach by one or more CRISPR Entities or a Third Party of any CRISPR In-License Agreements (including any New CRISPR In-License) that provides a grant of rights from such Third Party to one or more CRISPR Entities and are licensed or may reasonably expected to become subject to a license from CRISPR to Nkarta to conduct Nkarta Activities, or for a Collaboration Product or an Nkarta Product, or otherwise under this Agreement;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11.3.3.it will not, and will cause its Affiliates not to license, sell, assign or otherwise transfer to any Person any CRISPR Technology (or agree to do any of the foregoing), except as will not adversely restrict, limit or encumber the rights granted to Nkarta under Section 8.1;</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11.3.4.it will notify Nkarta of any intellectual property rights of any Third Party that relate primarily to Gene-Editing Technology and that CRISPR determines are necessary for the practice of any CRISPR Background Technology and are not subject to a CRISPR In-License Agreement;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11.3.5.it will use Commercially Reasonable Efforts to obtain and maintain the requisite resources and expertise to perform its obligations hereunder;</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11.3.6.all employees and Subcontractors of CRISPR performing CRISPR Activities hereunder on behalf of CRISPR will be obligated to assign to CRISPR all right, title and interest in and to any inventions developed by them, whether or not patentable, or, solely with respect to Subcontractors, grant exclusive license rights to CRISPR with a right to grant sublicenses through multiple tiers;</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11.3.7.it will not engage, in any capacity in connection with this Agreement any Person who either has been debarred by the FDA or any foreign equivalent, is the subject of a conviction described in Section 306 of the FD&amp;C Act or is subject to any such similar sanction; and</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36</w:t>
      </w:r>
    </w:p>
    <w:p>
      <w:pPr>
        <w:pStyle w:val="HorizontalLine"/>
        <w:rPr/>
      </w:pPr>
      <w:r>
        <w:rPr/>
      </w:r>
    </w:p>
    <w:p>
      <w:pPr>
        <w:pStyle w:val="TextBody"/>
        <w:spacing w:before="0" w:after="0"/>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750" w:name="_AEIOULastRenderedPageBreakAEIOU36"/>
      <w:bookmarkEnd w:id="750"/>
      <w:r>
        <w:rPr>
          <w:rFonts w:ascii="Times New Roman" w:hAnsi="Times New Roman"/>
          <w:b w:val="false"/>
          <w:i w:val="false"/>
          <w:caps w:val="false"/>
          <w:smallCaps w:val="false"/>
          <w:sz w:val="22"/>
        </w:rPr>
        <w:t>11.3.8.it will inform Nkarta in writing promptly if it or any Person engaged by CRISPR or any of its Affiliates who is performing CRISPR Activities under this Agreement is debarred or is the subject of a conviction described in Section 306 of the FD&amp;C Act or subject to any such similar sanction, or if any action, suit, claim, investigation or legal or administrative proceeding is pending or, to CRISPR’s Knowledge, is threatened, relating to the debarment or conviction of CRISPR, any of its Affiliates or any such Person performing CRISPR Activities hereunder.</w:t>
      </w:r>
    </w:p>
    <w:p>
      <w:pPr>
        <w:pStyle w:val="TextBody"/>
        <w:spacing w:before="0" w:after="240"/>
        <w:ind w:left="1260" w:right="0" w:hanging="0"/>
        <w:jc w:val="both"/>
        <w:rPr>
          <w:rFonts w:ascii="Times New Roman" w:hAnsi="Times New Roman"/>
          <w:b w:val="false"/>
          <w:i w:val="false"/>
          <w:caps w:val="false"/>
          <w:smallCaps w:val="false"/>
          <w:sz w:val="22"/>
        </w:rPr>
      </w:pPr>
      <w:bookmarkStart w:id="751" w:name="_Ref423539680"/>
      <w:bookmarkEnd w:id="751"/>
      <w:r>
        <w:rPr>
          <w:rFonts w:ascii="Times New Roman" w:hAnsi="Times New Roman"/>
          <w:b w:val="false"/>
          <w:i w:val="false"/>
          <w:caps w:val="false"/>
          <w:smallCaps w:val="false"/>
          <w:sz w:val="22"/>
        </w:rPr>
        <w:t>11.4.</w:t>
      </w:r>
      <w:r>
        <w:rPr>
          <w:rFonts w:ascii="Times New Roman" w:hAnsi="Times New Roman"/>
          <w:b w:val="false"/>
          <w:i w:val="false"/>
          <w:caps w:val="false"/>
          <w:smallCaps w:val="false"/>
          <w:sz w:val="22"/>
          <w:u w:val="single"/>
        </w:rPr>
        <w:t>Nkarta Covenants</w:t>
      </w:r>
      <w:r>
        <w:rPr>
          <w:rFonts w:ascii="Times New Roman" w:hAnsi="Times New Roman"/>
          <w:b w:val="false"/>
          <w:i w:val="false"/>
          <w:caps w:val="false"/>
          <w:smallCaps w:val="false"/>
          <w:sz w:val="22"/>
        </w:rPr>
        <w:t>.  Nkarta hereby covenants to CRISPR that, except as expressly permitted under this Agreement: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11.4.1.it will maintain and not breach any Nkarta In-License Agreements that provide a grant of rights from such Third Party to Nkarta that are Controlled by Nkarta and are licensed or may become subject to a license from Nkarta to CRISPR for a Collaboration Product under this Agreement;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11.4.2.it will promptly notify CRISPR of any material breach by Nkarta or a Third Party of any Nkarta In-License Agreements (including any New Nkarta In-License) that provides a grant of rights from such Third Party to Nkarta and are licensed or may become subject to a license from Nkarta to CRISPR to conduct CRISPR Activities or for a Collaboration Product under this Agreement;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11.4.3.it will not, and will cause its Affiliates not to license, sell, assign or otherwise transfer to any Person any Nkarta Technology (or agree to do any of the foregoing), except as will not adversely restrict, limit or encumber the rights granted to CRISPR under Section 8.2;</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11.4.4.it will notify CRISPR of any intellectual property rights of any Third Party that relate primarily to NK Cell Technology and that Nkarta determines are necessary for the practice of any Nkarta Background Technology and are not subject to a Nkarta In-License Agreement;</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11.4.5.it will use Commercially Reasonable Efforts to obtain and maintain the requisite resources and expertise to perform its obligations hereunder;</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11.4.6.all employees and Subcontractors of Nkarta performing Nkarta Activities hereunder on behalf of Nkarta will be obligated to assign to Nkarta all right, title and interest in and to any inventions developed by them, whether or not patentable, or, solely with respect to Subcontractors, grant exclusive license rights to Nkarta with a right to grant sublicenses through multiple tiers;</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11.4.7.it will not engage, in any capacity in connection with this Agreement any Person who either has been debarred by the FDA or any foreign equivalent, is the subject of a conviction described in Section 306 of the FD&amp;C Act or is subject to any such similar sanction;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11.4.8.it will inform CRISPR in writing promptly if it or any Person engaged by Nkarta or any of its Affiliates who is performing Nkarta Activities under this Agreement or any ancillary agreements is debarred or is the subject of a conviction described in Section 306 of the FD&amp;C Act or subject to any such similar sanction, or if any action, suit, claim, investigation or legal or administrative proceeding is pending or, to Nkarta’s Knowledge, is threatened, relating to the debarment or conviction of CRISPR, any of its Affiliates or any such Person performing Nkarta Activities hereunder.</w:t>
      </w:r>
    </w:p>
    <w:p>
      <w:pPr>
        <w:pStyle w:val="TextBody"/>
        <w:spacing w:before="0" w:after="240"/>
        <w:ind w:left="1260" w:right="0" w:hanging="0"/>
        <w:jc w:val="both"/>
        <w:rPr>
          <w:rFonts w:ascii="Times New Roman" w:hAnsi="Times New Roman"/>
          <w:b w:val="false"/>
          <w:i w:val="false"/>
          <w:caps w:val="false"/>
          <w:smallCaps w:val="false"/>
          <w:sz w:val="22"/>
        </w:rPr>
      </w:pPr>
      <w:bookmarkStart w:id="752" w:name="_AEIOULastRenderedPageBreakAEIOU37"/>
      <w:bookmarkStart w:id="753" w:name="_Ref524358504"/>
      <w:bookmarkStart w:id="754" w:name="_Ref514754681"/>
      <w:bookmarkEnd w:id="752"/>
      <w:bookmarkEnd w:id="753"/>
      <w:bookmarkEnd w:id="754"/>
      <w:r>
        <w:rPr>
          <w:rFonts w:ascii="Times New Roman" w:hAnsi="Times New Roman"/>
          <w:b w:val="false"/>
          <w:i w:val="false"/>
          <w:caps w:val="false"/>
          <w:smallCaps w:val="false"/>
          <w:sz w:val="22"/>
        </w:rPr>
        <w:t>11.5.</w:t>
      </w:r>
      <w:r>
        <w:rPr>
          <w:rFonts w:ascii="Times New Roman" w:hAnsi="Times New Roman"/>
          <w:b w:val="false"/>
          <w:i w:val="false"/>
          <w:caps w:val="false"/>
          <w:smallCaps w:val="false"/>
          <w:sz w:val="22"/>
          <w:u w:val="single"/>
        </w:rPr>
        <w:t>Disclaimer</w:t>
      </w:r>
      <w:r>
        <w:rPr>
          <w:rFonts w:ascii="Times New Roman" w:hAnsi="Times New Roman"/>
          <w:b w:val="false"/>
          <w:i w:val="false"/>
          <w:caps w:val="false"/>
          <w:smallCaps w:val="false"/>
          <w:sz w:val="22"/>
        </w:rPr>
        <w:t xml:space="preserve">.  Except as otherwise expressly set forth in this Agreement, neither Party nor its Affiliates makes any representation or extends any warranty of any kind, either express or implied, including any warranty of merchantability or fitness for a particular purpose.  Nkarta and CRISPR understand that each Collaboration Product is the subject of ongoing Research and that neither Party can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37</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assure the safety, usefulness or commercial or technical viability of any Collaboration Product or the results of the Research Program.</w:t>
      </w:r>
    </w:p>
    <w:p>
      <w:pPr>
        <w:pStyle w:val="TextBody"/>
        <w:spacing w:before="0" w:after="240"/>
        <w:jc w:val="center"/>
        <w:rPr>
          <w:rFonts w:ascii="Times New Roman" w:hAnsi="Times New Roman"/>
          <w:b/>
          <w:i w:val="false"/>
          <w:caps w:val="false"/>
          <w:smallCaps w:val="false"/>
          <w:sz w:val="22"/>
        </w:rPr>
      </w:pPr>
      <w:bookmarkStart w:id="755" w:name="_Ref_docxtools_4651"/>
      <w:bookmarkStart w:id="756" w:name="_Ref4235371071"/>
      <w:bookmarkEnd w:id="755"/>
      <w:bookmarkEnd w:id="756"/>
      <w:r>
        <w:rPr>
          <w:rFonts w:ascii="Times New Roman" w:hAnsi="Times New Roman"/>
          <w:b/>
          <w:i w:val="false"/>
          <w:caps w:val="false"/>
          <w:smallCaps w:val="false"/>
          <w:sz w:val="22"/>
        </w:rPr>
        <w:t>Article 12.</w:t>
        <w:br/>
      </w:r>
      <w:bookmarkStart w:id="757" w:name="_Ref_docxtools_465"/>
      <w:bookmarkStart w:id="758" w:name="_Ref423537107"/>
      <w:bookmarkEnd w:id="757"/>
      <w:bookmarkEnd w:id="758"/>
      <w:r>
        <w:rPr>
          <w:rFonts w:ascii="Times New Roman" w:hAnsi="Times New Roman"/>
          <w:b/>
          <w:i w:val="false"/>
          <w:caps w:val="false"/>
          <w:smallCaps w:val="false"/>
          <w:sz w:val="22"/>
        </w:rPr>
        <w:t>INDEMNIFICATION; INSURANCE</w:t>
      </w:r>
    </w:p>
    <w:p>
      <w:pPr>
        <w:pStyle w:val="TextBody"/>
        <w:spacing w:before="0" w:after="240"/>
        <w:ind w:left="1260" w:right="0" w:hanging="0"/>
        <w:jc w:val="both"/>
        <w:rPr>
          <w:rFonts w:ascii="Times New Roman" w:hAnsi="Times New Roman"/>
          <w:b w:val="false"/>
          <w:i w:val="false"/>
          <w:caps w:val="false"/>
          <w:smallCaps w:val="false"/>
          <w:sz w:val="22"/>
        </w:rPr>
      </w:pPr>
      <w:bookmarkStart w:id="759" w:name="_Ref433126939"/>
      <w:bookmarkStart w:id="760" w:name="_Ref426706472"/>
      <w:bookmarkStart w:id="761" w:name="_Ref426706428"/>
      <w:bookmarkStart w:id="762" w:name="_Ref416949071"/>
      <w:bookmarkStart w:id="763" w:name="_Ref412540603"/>
      <w:bookmarkStart w:id="764" w:name="_Toc412296825"/>
      <w:bookmarkStart w:id="765" w:name="_Toc263802998"/>
      <w:bookmarkStart w:id="766" w:name="_Toc263802781"/>
      <w:bookmarkStart w:id="767" w:name="_Ref263795233"/>
      <w:bookmarkStart w:id="768" w:name="_Ref263791532"/>
      <w:bookmarkStart w:id="769" w:name="_Ref263791139"/>
      <w:bookmarkStart w:id="770" w:name="_Toc244589953"/>
      <w:bookmarkEnd w:id="759"/>
      <w:bookmarkEnd w:id="760"/>
      <w:bookmarkEnd w:id="761"/>
      <w:bookmarkEnd w:id="762"/>
      <w:bookmarkEnd w:id="763"/>
      <w:bookmarkEnd w:id="764"/>
      <w:bookmarkEnd w:id="765"/>
      <w:bookmarkEnd w:id="766"/>
      <w:bookmarkEnd w:id="767"/>
      <w:bookmarkEnd w:id="768"/>
      <w:bookmarkEnd w:id="769"/>
      <w:bookmarkEnd w:id="770"/>
      <w:r>
        <w:rPr>
          <w:rFonts w:ascii="Times New Roman" w:hAnsi="Times New Roman"/>
          <w:b w:val="false"/>
          <w:i w:val="false"/>
          <w:caps w:val="false"/>
          <w:smallCaps w:val="false"/>
          <w:sz w:val="22"/>
        </w:rPr>
        <w:t>12.1.</w:t>
      </w:r>
      <w:r>
        <w:rPr>
          <w:rFonts w:ascii="Times New Roman" w:hAnsi="Times New Roman"/>
          <w:b w:val="false"/>
          <w:i w:val="false"/>
          <w:caps w:val="false"/>
          <w:smallCaps w:val="false"/>
          <w:sz w:val="22"/>
          <w:u w:val="single"/>
        </w:rPr>
        <w:t>Indemnification by Nkarta</w:t>
      </w:r>
      <w:r>
        <w:rPr>
          <w:rFonts w:ascii="Times New Roman" w:hAnsi="Times New Roman"/>
          <w:b w:val="false"/>
          <w:i w:val="false"/>
          <w:caps w:val="false"/>
          <w:smallCaps w:val="false"/>
          <w:sz w:val="22"/>
        </w:rPr>
        <w:t>.  Nkarta will indemnify, defend and hold harmless CRISPR, each of its Affiliates, and each of its and its Affiliates’ employees, officers, directors and agents (each, an “</w:t>
      </w:r>
      <w:r>
        <w:rPr>
          <w:rFonts w:ascii="Times New Roman" w:hAnsi="Times New Roman"/>
          <w:b/>
          <w:i w:val="false"/>
          <w:caps w:val="false"/>
          <w:smallCaps w:val="false"/>
          <w:sz w:val="22"/>
        </w:rPr>
        <w:t>CRISPR Indemnified Party</w:t>
      </w:r>
      <w:r>
        <w:rPr>
          <w:rFonts w:ascii="Times New Roman" w:hAnsi="Times New Roman"/>
          <w:b w:val="false"/>
          <w:i w:val="false"/>
          <w:caps w:val="false"/>
          <w:smallCaps w:val="false"/>
          <w:sz w:val="22"/>
        </w:rPr>
        <w:t>”) from and against any and all liability, loss, damage, expense (including reasonable attorneys’ fees and expenses) and cost (collectively, a “</w:t>
      </w:r>
      <w:r>
        <w:rPr>
          <w:rFonts w:ascii="Times New Roman" w:hAnsi="Times New Roman"/>
          <w:b/>
          <w:i w:val="false"/>
          <w:caps w:val="false"/>
          <w:smallCaps w:val="false"/>
          <w:sz w:val="22"/>
        </w:rPr>
        <w:t>Liability</w:t>
      </w:r>
      <w:r>
        <w:rPr>
          <w:rFonts w:ascii="Times New Roman" w:hAnsi="Times New Roman"/>
          <w:b w:val="false"/>
          <w:i w:val="false"/>
          <w:caps w:val="false"/>
          <w:smallCaps w:val="false"/>
          <w:sz w:val="22"/>
        </w:rPr>
        <w:t>”) that any CRISPR Indemnified Party may be required to pay to one or more Third Parties to the extent resulting from or arising out of any claim by any Third Party based on:</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12.1.1.[***]; or</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12.1.2.[***].</w:t>
      </w:r>
    </w:p>
    <w:p>
      <w:pPr>
        <w:pStyle w:val="TextBody"/>
        <w:spacing w:before="0" w:after="240"/>
        <w:ind w:left="1260" w:right="0" w:hanging="0"/>
        <w:jc w:val="both"/>
        <w:rPr>
          <w:rFonts w:ascii="Times New Roman" w:hAnsi="Times New Roman"/>
          <w:b w:val="false"/>
          <w:i w:val="false"/>
          <w:caps w:val="false"/>
          <w:smallCaps w:val="false"/>
          <w:sz w:val="22"/>
        </w:rPr>
      </w:pPr>
      <w:bookmarkStart w:id="771" w:name="_Toc135754041"/>
      <w:bookmarkStart w:id="772" w:name="_Ref135585763"/>
      <w:bookmarkStart w:id="773" w:name="_Ref135585717"/>
      <w:bookmarkStart w:id="774" w:name="_Ref135582881"/>
      <w:bookmarkStart w:id="775" w:name="_Toc135582437"/>
      <w:bookmarkStart w:id="776" w:name="_Toc135582142"/>
      <w:bookmarkStart w:id="777" w:name="_Toc135580672"/>
      <w:bookmarkStart w:id="778" w:name="_Toc115199780"/>
      <w:bookmarkStart w:id="779" w:name="_Toc115199351"/>
      <w:bookmarkStart w:id="780" w:name="_Toc115166729"/>
      <w:bookmarkStart w:id="781" w:name="_Toc115152324"/>
      <w:bookmarkStart w:id="782" w:name="_Toc115151600"/>
      <w:bookmarkStart w:id="783" w:name="_Toc115145371"/>
      <w:bookmarkStart w:id="784" w:name="_Toc115119069"/>
      <w:bookmarkStart w:id="785" w:name="_Toc115080889"/>
      <w:bookmarkStart w:id="786" w:name="_Toc115080635"/>
      <w:bookmarkStart w:id="787" w:name="_Ref512324988"/>
      <w:bookmarkStart w:id="788" w:name="_Ref431311444"/>
      <w:bookmarkStart w:id="789" w:name="_Ref426706447"/>
      <w:bookmarkStart w:id="790" w:name="_Ref416949081"/>
      <w:bookmarkStart w:id="791" w:name="_Toc412296826"/>
      <w:bookmarkStart w:id="792" w:name="_Toc263802999"/>
      <w:bookmarkStart w:id="793" w:name="_Toc263802784"/>
      <w:bookmarkStart w:id="794" w:name="_Ref263795250"/>
      <w:bookmarkStart w:id="795" w:name="_Ref263794385"/>
      <w:bookmarkStart w:id="796" w:name="_Ref263792049"/>
      <w:bookmarkStart w:id="797" w:name="_Toc244589954"/>
      <w:bookmarkStart w:id="798" w:name="_Toc138487530"/>
      <w:bookmarkStart w:id="799" w:name="_Toc138487337"/>
      <w:bookmarkStart w:id="800" w:name="_Toc137310707"/>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r>
        <w:rPr>
          <w:rFonts w:ascii="Times New Roman" w:hAnsi="Times New Roman"/>
          <w:b w:val="false"/>
          <w:i w:val="false"/>
          <w:caps w:val="false"/>
          <w:smallCaps w:val="false"/>
          <w:sz w:val="22"/>
        </w:rPr>
        <w:t>12.2.</w:t>
      </w:r>
      <w:r>
        <w:rPr>
          <w:rFonts w:ascii="Times New Roman" w:hAnsi="Times New Roman"/>
          <w:b w:val="false"/>
          <w:i w:val="false"/>
          <w:caps w:val="false"/>
          <w:smallCaps w:val="false"/>
          <w:sz w:val="22"/>
          <w:u w:val="single"/>
        </w:rPr>
        <w:t>Indemnification by CRISPR</w:t>
      </w:r>
      <w:r>
        <w:rPr>
          <w:rFonts w:ascii="Times New Roman" w:hAnsi="Times New Roman"/>
          <w:b w:val="false"/>
          <w:i w:val="false"/>
          <w:caps w:val="false"/>
          <w:smallCaps w:val="false"/>
          <w:sz w:val="22"/>
        </w:rPr>
        <w:t>.  Each CRISPR Entity will jointly and severally indemnify, defend and hold harmless Nkarta and its Affiliates, and each of its and their respective employees, officers, directors and agents (each, a “</w:t>
      </w:r>
      <w:r>
        <w:rPr>
          <w:rFonts w:ascii="Times New Roman" w:hAnsi="Times New Roman"/>
          <w:b/>
          <w:i w:val="false"/>
          <w:caps w:val="false"/>
          <w:smallCaps w:val="false"/>
          <w:sz w:val="22"/>
        </w:rPr>
        <w:t>Nkarta Indemnified Party</w:t>
      </w:r>
      <w:r>
        <w:rPr>
          <w:rFonts w:ascii="Times New Roman" w:hAnsi="Times New Roman"/>
          <w:b w:val="false"/>
          <w:i w:val="false"/>
          <w:caps w:val="false"/>
          <w:smallCaps w:val="false"/>
          <w:sz w:val="22"/>
        </w:rPr>
        <w:t>”) from and against any and all Liabilities that any Nkarta Indemnified Party may be required to pay to one or more Third Parties to the extent resulting from or arising out of:</w:t>
      </w:r>
    </w:p>
    <w:p>
      <w:pPr>
        <w:pStyle w:val="TextBody"/>
        <w:spacing w:before="0" w:after="240"/>
        <w:ind w:left="720" w:right="0" w:hanging="0"/>
        <w:jc w:val="both"/>
        <w:rPr>
          <w:rFonts w:ascii="Times New Roman" w:hAnsi="Times New Roman"/>
          <w:b w:val="false"/>
          <w:i w:val="false"/>
          <w:caps w:val="false"/>
          <w:smallCaps w:val="false"/>
          <w:sz w:val="22"/>
        </w:rPr>
      </w:pPr>
      <w:bookmarkStart w:id="801" w:name="_Toc2638027861"/>
      <w:bookmarkStart w:id="802" w:name="_Toc263802785"/>
      <w:bookmarkEnd w:id="801"/>
      <w:bookmarkEnd w:id="802"/>
      <w:r>
        <w:rPr>
          <w:rFonts w:ascii="Times New Roman" w:hAnsi="Times New Roman"/>
          <w:b w:val="false"/>
          <w:i w:val="false"/>
          <w:caps w:val="false"/>
          <w:smallCaps w:val="false"/>
          <w:sz w:val="22"/>
        </w:rPr>
        <w:t>12.2.1.</w:t>
      </w:r>
      <w:bookmarkStart w:id="803" w:name="_Toc263802786"/>
      <w:bookmarkEnd w:id="803"/>
      <w:r>
        <w:rPr>
          <w:rFonts w:ascii="Times New Roman" w:hAnsi="Times New Roman"/>
          <w:b w:val="false"/>
          <w:i w:val="false"/>
          <w:caps w:val="false"/>
          <w:smallCaps w:val="false"/>
          <w:sz w:val="22"/>
        </w:rPr>
        <w:t>[***]; or</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12.2.2.[***].</w:t>
      </w:r>
    </w:p>
    <w:p>
      <w:pPr>
        <w:pStyle w:val="TextBody"/>
        <w:spacing w:before="0" w:after="240"/>
        <w:ind w:left="1260" w:right="0" w:hanging="0"/>
        <w:jc w:val="both"/>
        <w:rPr>
          <w:rFonts w:ascii="Times New Roman" w:hAnsi="Times New Roman"/>
          <w:b w:val="false"/>
          <w:i w:val="false"/>
          <w:caps w:val="false"/>
          <w:smallCaps w:val="false"/>
          <w:sz w:val="22"/>
        </w:rPr>
      </w:pPr>
      <w:bookmarkStart w:id="804" w:name="_Ref426706490"/>
      <w:bookmarkStart w:id="805" w:name="_Toc412296827"/>
      <w:bookmarkStart w:id="806" w:name="_Toc263803000"/>
      <w:bookmarkStart w:id="807" w:name="_Toc263802787"/>
      <w:bookmarkStart w:id="808" w:name="_Ref263791471"/>
      <w:bookmarkStart w:id="809" w:name="_Toc244589955"/>
      <w:bookmarkStart w:id="810" w:name="_Toc138487531"/>
      <w:bookmarkStart w:id="811" w:name="_Toc138487338"/>
      <w:bookmarkStart w:id="812" w:name="_Toc137310708"/>
      <w:bookmarkStart w:id="813" w:name="_Toc135754042"/>
      <w:bookmarkStart w:id="814" w:name="_Ref135582613"/>
      <w:bookmarkStart w:id="815" w:name="_Ref135582599"/>
      <w:bookmarkStart w:id="816" w:name="_Toc135582438"/>
      <w:bookmarkStart w:id="817" w:name="_Toc135582143"/>
      <w:bookmarkStart w:id="818" w:name="_Toc135580673"/>
      <w:bookmarkStart w:id="819" w:name="_Toc115199781"/>
      <w:bookmarkStart w:id="820" w:name="_Toc115199352"/>
      <w:bookmarkStart w:id="821" w:name="_Toc115166730"/>
      <w:bookmarkStart w:id="822" w:name="_Toc115152325"/>
      <w:bookmarkStart w:id="823" w:name="_Toc115151601"/>
      <w:bookmarkStart w:id="824" w:name="_Toc115145372"/>
      <w:bookmarkStart w:id="825" w:name="_Toc115119070"/>
      <w:bookmarkStart w:id="826" w:name="_Toc115080890"/>
      <w:bookmarkStart w:id="827" w:name="_Toc115080636"/>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Pr>
          <w:rFonts w:ascii="Times New Roman" w:hAnsi="Times New Roman"/>
          <w:b w:val="false"/>
          <w:i w:val="false"/>
          <w:caps w:val="false"/>
          <w:smallCaps w:val="false"/>
          <w:sz w:val="22"/>
        </w:rPr>
        <w:t>12.3.</w:t>
      </w:r>
      <w:r>
        <w:rPr>
          <w:rFonts w:ascii="Times New Roman" w:hAnsi="Times New Roman"/>
          <w:b w:val="false"/>
          <w:i w:val="false"/>
          <w:caps w:val="false"/>
          <w:smallCaps w:val="false"/>
          <w:sz w:val="22"/>
          <w:u w:val="single"/>
        </w:rPr>
        <w:t>Procedure</w:t>
      </w:r>
      <w:r>
        <w:rPr>
          <w:rFonts w:ascii="Times New Roman" w:hAnsi="Times New Roman"/>
          <w:b w:val="false"/>
          <w:i w:val="false"/>
          <w:caps w:val="false"/>
          <w:smallCaps w:val="false"/>
          <w:sz w:val="22"/>
        </w:rPr>
        <w:t>.  Each Party will notify the other Party in writing if it becomes aware of a claim for which indemnification may be sought hereunder.  In case any proceeding (including any governmental investigation) will be instituted involving any Party in respect of which indemnity may be sought pursuant to this Article 12, such Party (the “</w:t>
      </w:r>
      <w:r>
        <w:rPr>
          <w:rFonts w:ascii="Times New Roman" w:hAnsi="Times New Roman"/>
          <w:b/>
          <w:i w:val="false"/>
          <w:caps w:val="false"/>
          <w:smallCaps w:val="false"/>
          <w:sz w:val="22"/>
        </w:rPr>
        <w:t>Indemnified Party</w:t>
      </w:r>
      <w:r>
        <w:rPr>
          <w:rFonts w:ascii="Times New Roman" w:hAnsi="Times New Roman"/>
          <w:b w:val="false"/>
          <w:i w:val="false"/>
          <w:caps w:val="false"/>
          <w:smallCaps w:val="false"/>
          <w:sz w:val="22"/>
        </w:rPr>
        <w:t>”) will give prompt written notice of the indemnity claim to the other Party (the “</w:t>
      </w:r>
      <w:r>
        <w:rPr>
          <w:rFonts w:ascii="Times New Roman" w:hAnsi="Times New Roman"/>
          <w:b/>
          <w:i w:val="false"/>
          <w:caps w:val="false"/>
          <w:smallCaps w:val="false"/>
          <w:sz w:val="22"/>
        </w:rPr>
        <w:t>Indemnifying Party</w:t>
      </w:r>
      <w:r>
        <w:rPr>
          <w:rFonts w:ascii="Times New Roman" w:hAnsi="Times New Roman"/>
          <w:b w:val="false"/>
          <w:i w:val="false"/>
          <w:caps w:val="false"/>
          <w:smallCaps w:val="false"/>
          <w:sz w:val="22"/>
        </w:rPr>
        <w:t>”) and provide a copy to the Indemnifying Party of any complaint, summons or other written or verbal notice that the Indemnified Party receives in connection with any such claim.  An Indemnified Party’s failure to deliver written notice will relieve the Indemnifying Party of liability to the Indemnified Party under this Article 12 only to the extent such delay is prejudicial to the Indemnifying Party’s ability to defend such claim.  Provided that the Indemnifying Party is not contesting the indemnity obligation, the Indemnified Party will permit the Indemnifying Party to control any litigation relating to such claim and the disposition of such claim by negotiated settlement or otherwise and any failure to contest prior to assuming control will be deemed to be an admission of the obligation to indemnify.  The Indemnifying Party will act reasonably and in good faith with respect to all matters relating to such claim and will not settle or otherwise resolve such claim [***].</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12.4.</w:t>
      </w:r>
      <w:r>
        <w:rPr>
          <w:rFonts w:ascii="Times New Roman" w:hAnsi="Times New Roman"/>
          <w:b w:val="false"/>
          <w:i w:val="false"/>
          <w:caps w:val="false"/>
          <w:smallCaps w:val="false"/>
          <w:sz w:val="22"/>
          <w:u w:val="single"/>
        </w:rPr>
        <w:t>Insurance</w:t>
      </w:r>
      <w:r>
        <w:rPr>
          <w:rFonts w:ascii="Times New Roman" w:hAnsi="Times New Roman"/>
          <w:b w:val="false"/>
          <w:i w:val="false"/>
          <w:caps w:val="false"/>
          <w:smallCaps w:val="false"/>
          <w:sz w:val="22"/>
        </w:rPr>
        <w:t>.  Each Party will maintain, at its cost, reasonable insurance against liability and other risks associated with its activities contemplated by this Agreement and will furnish to the other Party evidence of such insurance upon request.  Notwithstanding the foregoing, either Party may self-insure to the extent that it self-insures for its other activities.</w:t>
      </w:r>
    </w:p>
    <w:p>
      <w:pPr>
        <w:pStyle w:val="TextBody"/>
        <w:spacing w:before="0" w:after="240"/>
        <w:ind w:left="1260" w:right="0" w:hanging="0"/>
        <w:jc w:val="both"/>
        <w:rPr>
          <w:rFonts w:ascii="Times New Roman" w:hAnsi="Times New Roman"/>
          <w:b w:val="false"/>
          <w:i w:val="false"/>
          <w:caps w:val="false"/>
          <w:smallCaps w:val="false"/>
          <w:sz w:val="22"/>
        </w:rPr>
      </w:pPr>
      <w:bookmarkStart w:id="828" w:name="_AEIOULastRenderedPageBreakAEIOU38"/>
      <w:bookmarkStart w:id="829" w:name="_Ref515875329"/>
      <w:bookmarkEnd w:id="828"/>
      <w:bookmarkEnd w:id="829"/>
      <w:r>
        <w:rPr>
          <w:rFonts w:ascii="Times New Roman" w:hAnsi="Times New Roman"/>
          <w:b w:val="false"/>
          <w:i w:val="false"/>
          <w:caps w:val="false"/>
          <w:smallCaps w:val="false"/>
          <w:sz w:val="22"/>
        </w:rPr>
        <w:t>12.5.</w:t>
      </w:r>
      <w:r>
        <w:rPr>
          <w:rFonts w:ascii="Times New Roman" w:hAnsi="Times New Roman"/>
          <w:b w:val="false"/>
          <w:i w:val="false"/>
          <w:caps w:val="false"/>
          <w:smallCaps w:val="false"/>
          <w:sz w:val="22"/>
          <w:u w:val="single"/>
        </w:rPr>
        <w:t>Limitation of Consequential Damages</w:t>
      </w:r>
      <w:r>
        <w:rPr>
          <w:rFonts w:ascii="Times New Roman" w:hAnsi="Times New Roman"/>
          <w:b w:val="false"/>
          <w:i w:val="false"/>
          <w:caps w:val="false"/>
          <w:smallCaps w:val="false"/>
          <w:sz w:val="22"/>
        </w:rPr>
        <w:t xml:space="preserve">.  Except for (a) claims of a Third Party that are subject to indemnification under this Article 12, (b) claims arising out of a Party’s willful misconduct, or (c) a Party’s breach of Article 3 or Article 14, neither Party nor any of its Affiliates will be liable to the other Party or its Affiliates for any incidental, consequential, special, punitive or other indirect damages or lost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38</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or imputed profits or royalties, lost data or cost of procurement of substitute goods or services,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pStyle w:val="TextBody"/>
        <w:spacing w:before="0" w:after="240"/>
        <w:jc w:val="center"/>
        <w:rPr>
          <w:rFonts w:ascii="Times New Roman" w:hAnsi="Times New Roman"/>
          <w:b/>
          <w:i w:val="false"/>
          <w:caps w:val="false"/>
          <w:smallCaps w:val="false"/>
          <w:sz w:val="22"/>
        </w:rPr>
      </w:pPr>
      <w:bookmarkStart w:id="830" w:name="_Ref4235372561"/>
      <w:bookmarkEnd w:id="830"/>
      <w:r>
        <w:rPr>
          <w:rFonts w:ascii="Times New Roman" w:hAnsi="Times New Roman"/>
          <w:b/>
          <w:i w:val="false"/>
          <w:caps w:val="false"/>
          <w:smallCaps w:val="false"/>
          <w:sz w:val="22"/>
        </w:rPr>
        <w:t>Article 13.</w:t>
        <w:br/>
      </w:r>
      <w:bookmarkStart w:id="831" w:name="_Ref423537256"/>
      <w:bookmarkEnd w:id="831"/>
      <w:r>
        <w:rPr>
          <w:rFonts w:ascii="Times New Roman" w:hAnsi="Times New Roman"/>
          <w:b/>
          <w:i w:val="false"/>
          <w:caps w:val="false"/>
          <w:smallCaps w:val="false"/>
          <w:sz w:val="22"/>
        </w:rPr>
        <w:t>TERM; TERMINATION</w:t>
      </w:r>
    </w:p>
    <w:p>
      <w:pPr>
        <w:pStyle w:val="TextBody"/>
        <w:spacing w:before="0" w:after="240"/>
        <w:ind w:left="1260" w:right="0" w:hanging="0"/>
        <w:jc w:val="both"/>
        <w:rPr>
          <w:rFonts w:ascii="Times New Roman" w:hAnsi="Times New Roman"/>
          <w:b w:val="false"/>
          <w:i w:val="false"/>
          <w:caps w:val="false"/>
          <w:smallCaps w:val="false"/>
          <w:sz w:val="22"/>
        </w:rPr>
      </w:pPr>
      <w:bookmarkStart w:id="832" w:name="_Ref423538168"/>
      <w:bookmarkEnd w:id="832"/>
      <w:r>
        <w:rPr>
          <w:rFonts w:ascii="Times New Roman" w:hAnsi="Times New Roman"/>
          <w:b w:val="false"/>
          <w:i w:val="false"/>
          <w:caps w:val="false"/>
          <w:smallCaps w:val="false"/>
          <w:sz w:val="22"/>
        </w:rPr>
        <w:t>13.1.</w:t>
      </w:r>
      <w:r>
        <w:rPr>
          <w:rFonts w:ascii="Times New Roman" w:hAnsi="Times New Roman"/>
          <w:b w:val="false"/>
          <w:i w:val="false"/>
          <w:caps w:val="false"/>
          <w:smallCaps w:val="false"/>
          <w:sz w:val="22"/>
          <w:u w:val="single"/>
        </w:rPr>
        <w:t>Term</w:t>
      </w:r>
      <w:r>
        <w:rPr>
          <w:rFonts w:ascii="Times New Roman" w:hAnsi="Times New Roman"/>
          <w:b w:val="false"/>
          <w:i w:val="false"/>
          <w:caps w:val="false"/>
          <w:smallCaps w:val="false"/>
          <w:sz w:val="22"/>
        </w:rPr>
        <w:t>.  This Agreement is effective as of the Effective Date and will continue in full force and effect until terminated in accordance with the other provisions of this Article 13, and the consequences of such termination are set forth in Section 13.3.1, 13.3.2 and 13.4.  On an Nkarta Product-by-Nkarta Product basis, upon the expiration (but not early termination) of the Royalty Term for each Nkarta Product, the licenses granted to Nkarta for such Nkarta Product shall continue in effect, as non-exclusive, fully paid-up, royalty-free, transferable, perpetual and irrevocable licenses, with the right to grant sublicenses through multiple tiers, with respect to such Nkarta Product in the Field in the Territory.</w:t>
      </w:r>
    </w:p>
    <w:p>
      <w:pPr>
        <w:pStyle w:val="TextBody"/>
        <w:spacing w:before="0" w:after="240"/>
        <w:ind w:left="1260" w:right="0" w:hanging="0"/>
        <w:jc w:val="both"/>
        <w:rPr>
          <w:rFonts w:ascii="Times New Roman" w:hAnsi="Times New Roman"/>
          <w:b w:val="false"/>
          <w:i w:val="false"/>
          <w:caps w:val="false"/>
          <w:smallCaps w:val="false"/>
          <w:sz w:val="22"/>
        </w:rPr>
      </w:pPr>
      <w:bookmarkStart w:id="833" w:name="_Ref514240270"/>
      <w:bookmarkEnd w:id="833"/>
      <w:r>
        <w:rPr>
          <w:rFonts w:ascii="Times New Roman" w:hAnsi="Times New Roman"/>
          <w:b w:val="false"/>
          <w:i w:val="false"/>
          <w:caps w:val="false"/>
          <w:smallCaps w:val="false"/>
          <w:sz w:val="22"/>
        </w:rPr>
        <w:t>13.2.</w:t>
      </w:r>
      <w:r>
        <w:rPr>
          <w:rFonts w:ascii="Times New Roman" w:hAnsi="Times New Roman"/>
          <w:b w:val="false"/>
          <w:i w:val="false"/>
          <w:caps w:val="false"/>
          <w:smallCaps w:val="false"/>
          <w:sz w:val="22"/>
          <w:u w:val="single"/>
        </w:rPr>
        <w:t>Termination of the Agreement</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834" w:name="_Ref5143216311"/>
      <w:bookmarkStart w:id="835" w:name="_Ref625830271"/>
      <w:bookmarkStart w:id="836" w:name="_Ref4266218401"/>
      <w:bookmarkStart w:id="837" w:name="_Ref4235412441"/>
      <w:bookmarkStart w:id="838" w:name="_Ref_docxtools_479"/>
      <w:bookmarkStart w:id="839" w:name="_Ref65607694"/>
      <w:bookmarkStart w:id="840" w:name="_Ref423538805"/>
      <w:bookmarkEnd w:id="834"/>
      <w:bookmarkEnd w:id="835"/>
      <w:bookmarkEnd w:id="836"/>
      <w:bookmarkEnd w:id="837"/>
      <w:bookmarkEnd w:id="838"/>
      <w:bookmarkEnd w:id="839"/>
      <w:bookmarkEnd w:id="840"/>
      <w:r>
        <w:rPr>
          <w:rFonts w:ascii="Times New Roman" w:hAnsi="Times New Roman"/>
          <w:b w:val="false"/>
          <w:i w:val="false"/>
          <w:caps w:val="false"/>
          <w:smallCaps w:val="false"/>
          <w:sz w:val="22"/>
        </w:rPr>
        <w:t>13.2.1.</w:t>
      </w:r>
      <w:r>
        <w:rPr>
          <w:rFonts w:ascii="Times New Roman" w:hAnsi="Times New Roman"/>
          <w:b w:val="false"/>
          <w:i w:val="false"/>
          <w:caps w:val="false"/>
          <w:smallCaps w:val="false"/>
          <w:sz w:val="22"/>
          <w:u w:val="single"/>
        </w:rPr>
        <w:t>Termination for Material Breach</w:t>
      </w:r>
      <w:r>
        <w:rPr>
          <w:rFonts w:ascii="Times New Roman" w:hAnsi="Times New Roman"/>
          <w:b w:val="false"/>
          <w:i w:val="false"/>
          <w:caps w:val="false"/>
          <w:smallCaps w:val="false"/>
          <w:sz w:val="22"/>
        </w:rPr>
        <w:t>.</w:t>
      </w:r>
      <w:bookmarkStart w:id="841" w:name="_Ref514321631"/>
      <w:bookmarkStart w:id="842" w:name="_Ref62583027"/>
      <w:bookmarkStart w:id="843" w:name="_Ref426621840"/>
      <w:bookmarkStart w:id="844" w:name="_Ref423541244"/>
      <w:bookmarkEnd w:id="841"/>
      <w:bookmarkEnd w:id="842"/>
      <w:bookmarkEnd w:id="843"/>
      <w:bookmarkEnd w:id="844"/>
      <w:r>
        <w:rPr>
          <w:rFonts w:ascii="Times New Roman" w:hAnsi="Times New Roman"/>
          <w:b w:val="false"/>
          <w:i w:val="false"/>
          <w:caps w:val="false"/>
          <w:smallCaps w:val="false"/>
          <w:sz w:val="22"/>
        </w:rPr>
        <w:t>  If a Party materially breaches this Agreement either in its entirety or with respect to a particular Collaboration Product for which the Parties have not entered a JDCA and begun work under such JDCA (including if a Party fails to use Commercially Reasonable Efforts to perform its Research Activities set forth in a Research Plan as required under Section 2.6.1 with respect to such Collaboration Product) or Nkarta Product, then the other Party may deliver written notice of such material breach to such Party.  If the breach is curable, the Breaching Party will have [***] days from the receipt of such notice to cure such breach.  If either the Breaching Party fails to cure such breach within [***] day period or the breach is not subject to cure, the Non-Breaching Party, in its sole discretion, may terminate this Agreement in its entirety or with respect to the applicable Collaboration Product for which the Parties have not entered a JDCA and begun work under such JDCA, as applicable (in each case, a “</w:t>
      </w:r>
      <w:r>
        <w:rPr>
          <w:rFonts w:ascii="Times New Roman" w:hAnsi="Times New Roman"/>
          <w:b/>
          <w:i w:val="false"/>
          <w:caps w:val="false"/>
          <w:smallCaps w:val="false"/>
          <w:sz w:val="22"/>
        </w:rPr>
        <w:t>Terminated Product</w:t>
      </w:r>
      <w:r>
        <w:rPr>
          <w:rFonts w:ascii="Times New Roman" w:hAnsi="Times New Roman"/>
          <w:b w:val="false"/>
          <w:i w:val="false"/>
          <w:caps w:val="false"/>
          <w:smallCaps w:val="false"/>
          <w:sz w:val="22"/>
        </w:rPr>
        <w:t>”) or with respect to the applicable Nkarta Product, by providing written notice to the Breaching Party.  Any right to terminate this Agreement under this Section 13.2.1 shall be stayed and the applicable cure period tolled if, during such cure period, the Party alleged to have been in material breach shall have initiated dispute resolution in accordance with Section 15.1 with respect to the alleged breach, which stay and tolling shall continue until such dispute has been resolved in accordance with Section 15.1.  If a Party is determined to be in material breach of this Agreement, the other Party may terminate this Agreement if the Breaching Party fails to cure the breach within the balance of the [***] day cure period after the conclusion of the dispute resolution procedure.</w:t>
      </w:r>
    </w:p>
    <w:p>
      <w:pPr>
        <w:pStyle w:val="TextBody"/>
        <w:spacing w:before="0" w:after="240"/>
        <w:ind w:left="720" w:right="0" w:hanging="0"/>
        <w:jc w:val="both"/>
        <w:rPr>
          <w:rFonts w:ascii="Times New Roman" w:hAnsi="Times New Roman"/>
          <w:b w:val="false"/>
          <w:i w:val="false"/>
          <w:caps w:val="false"/>
          <w:smallCaps w:val="false"/>
          <w:sz w:val="22"/>
        </w:rPr>
      </w:pPr>
      <w:bookmarkStart w:id="845" w:name="_Ref5143218171"/>
      <w:bookmarkStart w:id="846" w:name="_Ref4089949671"/>
      <w:bookmarkStart w:id="847" w:name="_Ref4089945181"/>
      <w:bookmarkStart w:id="848" w:name="_Ref426706533"/>
      <w:bookmarkStart w:id="849" w:name="_Ref423539811"/>
      <w:bookmarkEnd w:id="845"/>
      <w:bookmarkEnd w:id="846"/>
      <w:bookmarkEnd w:id="847"/>
      <w:bookmarkEnd w:id="848"/>
      <w:bookmarkEnd w:id="849"/>
      <w:r>
        <w:rPr>
          <w:rFonts w:ascii="Times New Roman" w:hAnsi="Times New Roman"/>
          <w:b w:val="false"/>
          <w:i w:val="false"/>
          <w:caps w:val="false"/>
          <w:smallCaps w:val="false"/>
          <w:sz w:val="22"/>
        </w:rPr>
        <w:t>13.2.2.</w:t>
      </w:r>
      <w:r>
        <w:rPr>
          <w:rFonts w:ascii="Times New Roman" w:hAnsi="Times New Roman"/>
          <w:b w:val="false"/>
          <w:i w:val="false"/>
          <w:caps w:val="false"/>
          <w:smallCaps w:val="false"/>
          <w:sz w:val="22"/>
          <w:u w:val="single"/>
        </w:rPr>
        <w:t>Termination for Insolvency</w:t>
      </w:r>
      <w:bookmarkStart w:id="850" w:name="_Ref408994967"/>
      <w:bookmarkStart w:id="851" w:name="_Ref408994518"/>
      <w:bookmarkEnd w:id="850"/>
      <w:bookmarkEnd w:id="851"/>
      <w:r>
        <w:rPr>
          <w:rFonts w:ascii="Times New Roman" w:hAnsi="Times New Roman"/>
          <w:b w:val="false"/>
          <w:i w:val="false"/>
          <w:caps w:val="false"/>
          <w:smallCaps w:val="false"/>
          <w:sz w:val="22"/>
        </w:rPr>
        <w:t xml:space="preserve">. </w:t>
      </w:r>
      <w:bookmarkStart w:id="852" w:name="_Ref514321817"/>
      <w:bookmarkEnd w:id="852"/>
      <w:r>
        <w:rPr>
          <w:rFonts w:ascii="Times New Roman" w:hAnsi="Times New Roman"/>
          <w:b w:val="false"/>
          <w:i w:val="false"/>
          <w:caps w:val="false"/>
          <w:smallCaps w:val="false"/>
          <w:sz w:val="22"/>
        </w:rPr>
        <w:t>If either Party makes an assignment for the benefit of creditors, appoints or suffers appointment of a receiver or trustee over all or substantially all of its property, files a petition under any bankruptcy or insolvency act or has any such petition filed against it that is not discharged within [***] days of the filing thereof (each, an “</w:t>
      </w:r>
      <w:r>
        <w:rPr>
          <w:rFonts w:ascii="Times New Roman" w:hAnsi="Times New Roman"/>
          <w:b/>
          <w:i w:val="false"/>
          <w:caps w:val="false"/>
          <w:smallCaps w:val="false"/>
          <w:sz w:val="22"/>
        </w:rPr>
        <w:t>Insolvency Event</w:t>
      </w:r>
      <w:r>
        <w:rPr>
          <w:rFonts w:ascii="Times New Roman" w:hAnsi="Times New Roman"/>
          <w:b w:val="false"/>
          <w:i w:val="false"/>
          <w:caps w:val="false"/>
          <w:smallCaps w:val="false"/>
          <w:sz w:val="22"/>
        </w:rPr>
        <w:t>”), then the other Party may terminate this Agreement in its entirety effective immediately upon written notice.</w:t>
      </w:r>
    </w:p>
    <w:p>
      <w:pPr>
        <w:pStyle w:val="TextBody"/>
        <w:spacing w:before="0" w:after="240"/>
        <w:ind w:left="720" w:right="0" w:hanging="0"/>
        <w:jc w:val="both"/>
        <w:rPr>
          <w:rFonts w:ascii="Times New Roman" w:hAnsi="Times New Roman"/>
          <w:b w:val="false"/>
          <w:i w:val="false"/>
          <w:caps w:val="false"/>
          <w:smallCaps w:val="false"/>
          <w:sz w:val="22"/>
        </w:rPr>
      </w:pPr>
      <w:bookmarkStart w:id="853" w:name="_AEIOULastRenderedPageBreakAEIOU39"/>
      <w:bookmarkStart w:id="854" w:name="_Ref514321814"/>
      <w:bookmarkEnd w:id="853"/>
      <w:bookmarkEnd w:id="854"/>
      <w:r>
        <w:rPr>
          <w:rFonts w:ascii="Times New Roman" w:hAnsi="Times New Roman"/>
          <w:b w:val="false"/>
          <w:i w:val="false"/>
          <w:caps w:val="false"/>
          <w:smallCaps w:val="false"/>
          <w:sz w:val="22"/>
        </w:rPr>
        <w:t>(a)All rights and licenses now or hereafter granted by a Party under or pursuant to this Agreement are, for all purposes of Section 365(n) of the U.S. Bankruptcy Code, licenses of rights to “intellectual property” as defined in the U.S. Bankruptcy Code.  Upon the occurrence of any Insolvency Event with respect to a Party (the “</w:t>
      </w:r>
      <w:r>
        <w:rPr>
          <w:rFonts w:ascii="Times New Roman" w:hAnsi="Times New Roman"/>
          <w:b/>
          <w:i w:val="false"/>
          <w:caps w:val="false"/>
          <w:smallCaps w:val="false"/>
          <w:sz w:val="22"/>
        </w:rPr>
        <w:t>Licensor Party</w:t>
      </w:r>
      <w:r>
        <w:rPr>
          <w:rFonts w:ascii="Times New Roman" w:hAnsi="Times New Roman"/>
          <w:b w:val="false"/>
          <w:i w:val="false"/>
          <w:caps w:val="false"/>
          <w:smallCaps w:val="false"/>
          <w:sz w:val="22"/>
        </w:rPr>
        <w:t>”), the Granting Party agrees that the other Party (the “</w:t>
      </w:r>
      <w:r>
        <w:rPr>
          <w:rFonts w:ascii="Times New Roman" w:hAnsi="Times New Roman"/>
          <w:b/>
          <w:i w:val="false"/>
          <w:caps w:val="false"/>
          <w:smallCaps w:val="false"/>
          <w:sz w:val="22"/>
        </w:rPr>
        <w:t>Licensee Party</w:t>
      </w:r>
      <w:r>
        <w:rPr>
          <w:rFonts w:ascii="Times New Roman" w:hAnsi="Times New Roman"/>
          <w:b w:val="false"/>
          <w:i w:val="false"/>
          <w:caps w:val="false"/>
          <w:smallCaps w:val="false"/>
          <w:sz w:val="22"/>
        </w:rPr>
        <w:t xml:space="preserve">”), as licensee of such rights under Section 8.1 or 8.2, as applicable, will retain and may fully exercise all of its rights and elections under the U.S. Bankruptcy Code, subject to payment of the Licensee Party’s royalty obligations under this Agreement.  Without limiting the generality of the foregoing, Licensor Party and Licensee Party intend and agree that any sale of Licensor Party’s assets under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39</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Section 363 of the U.S. Bankruptcy Code shall be subject to Licensee Party’s rights under Section 365(n) of the U.S. Bankruptcy Code, that Licensee Party cannot be compelled to accept a money satisfaction of its interests in the intellectual property licensed pursuant to this Agreement, and that any such sale therefore may not be made to a purchaser “free and clear” of Licensee Party’s rights under this Agreement and Section 365(n) of the U.S. Bankruptcy Code without the express, contemporaneous and written consent of Licensee Party.  The Licensor Party will, during the Term, create and maintain current copies or, if not amenable to copying, detailed descriptions or other appropriate embodiments, to the extent feasible, of all intellectual property licensed under this Agreement.  Each Party acknowledges and agrees that “embodiments” of intellectual property within the meaning of Section 365(n) include laboratory notebooks, cell lines, product samples and inventory, research studies and data, all Regulatory Approvals and Marketing Approvals (and all applications for Regulatory Approval and Marketing Approval) and rights of reference therein.  If (x) a case under the U.S. Bankruptcy Code is commenced by or against a Licensor Party, (y) this Agreement is rejected as provided in the U.S. Bankruptcy Code, and (z) the Licensee Party elects to retain its rights hereunder as provided in Section 365(n) of the U.S. Bankruptcy Code, the Licensor Party (in any capacity, including debtor-in-possession) and its successors and assigns (including a trustee) will:</w:t>
      </w:r>
    </w:p>
    <w:p>
      <w:pPr>
        <w:pStyle w:val="TextBody"/>
        <w:spacing w:before="0" w:after="240"/>
        <w:ind w:left="720" w:right="0" w:hanging="0"/>
        <w:jc w:val="both"/>
        <w:rPr>
          <w:rFonts w:ascii="Times New Roman" w:hAnsi="Times New Roman"/>
          <w:b w:val="false"/>
          <w:i w:val="false"/>
          <w:caps w:val="false"/>
          <w:smallCaps w:val="false"/>
          <w:sz w:val="22"/>
        </w:rPr>
      </w:pPr>
      <w:bookmarkStart w:id="855" w:name="_Ref395098198"/>
      <w:bookmarkEnd w:id="855"/>
      <w:r>
        <w:rPr>
          <w:rFonts w:ascii="Times New Roman" w:hAnsi="Times New Roman"/>
          <w:b w:val="false"/>
          <w:i w:val="false"/>
          <w:caps w:val="false"/>
          <w:smallCaps w:val="false"/>
          <w:sz w:val="22"/>
        </w:rPr>
        <w:t>(i)provide to the Licensee Party all such intellectual property licensed to the Licensee Party under Section 8.1 or 8.2, as applicable (including all embodiments thereof), held by the Licensor Party and such successors and assigns, or otherwise available to them, immediately upon the Licensee Party’s written request.  Whenever the Licensor Party or any of its successors or assigns provides to the Licensee Party any of the intellectual property licensed hereunder (or any embodiment thereof) pursuant to this Section, the Licensee Party will have the right to perform the Licensor Party’s obligations hereunder with respect to such intellectual property, but neither such provision nor such performance by the Licensee Party will release the Licensor Party from liability resulting from rejection of the license or the failure to perform such obligations;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(ii)not interfere with the Licensee Party’s rights under this Agreement, to such intellectual property licensed to the Licensee Party under Section 8.1 or 8.2 of this Agreement, as applicable (including such embodiments), including any right to obtain such intellectual property (or such embodiments) from another entity, to the extent provided in Section 365(n) of the U.S. Bankruptcy Code.</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(b)All rights, powers and remedies of the Licensee Party provided herein are in addition to and not in substitution for any and all other rights, powers and remedies now or hereafter existing at law or in equity (including the U.S. Bankruptcy Code) in the event of the commencement of a case under the U.S. Bankruptcy Code with respect to the Licensor Party.  The Parties agree that they intend the following rights to extend to the maximum extent permitted by Applicable Law, and to be enforceable under U.S. Bankruptcy Code Section 365(n):</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(i)the right of access to any intellectual property rights licensed to the Licensee Party under Section 8.1 or 8.2, as applicable (including all embodiments thereof), by the Licensor Party, or any Third Party with whom the Licensor Party contracts to perform an obligation of the Licensor Party under this Agreement, and, in the case of any such Third Party, which is necessary for the Research Activities; and</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(ii)the right to contract directly with any Third Party to complete the Research Activities.</w:t>
      </w:r>
    </w:p>
    <w:p>
      <w:pPr>
        <w:pStyle w:val="TextBody"/>
        <w:spacing w:before="0" w:after="240"/>
        <w:ind w:left="720" w:right="0" w:hanging="0"/>
        <w:jc w:val="both"/>
        <w:rPr>
          <w:rFonts w:ascii="Times New Roman" w:hAnsi="Times New Roman"/>
          <w:b w:val="false"/>
          <w:i w:val="false"/>
          <w:caps w:val="false"/>
          <w:smallCaps w:val="false"/>
          <w:sz w:val="22"/>
        </w:rPr>
      </w:pPr>
      <w:bookmarkStart w:id="856" w:name="_AEIOULastRenderedPageBreakAEIOU40"/>
      <w:bookmarkStart w:id="857" w:name="_Ref69664773"/>
      <w:bookmarkStart w:id="858" w:name="_Ref65608430"/>
      <w:bookmarkEnd w:id="856"/>
      <w:bookmarkEnd w:id="857"/>
      <w:bookmarkEnd w:id="858"/>
      <w:r>
        <w:rPr>
          <w:rFonts w:ascii="Times New Roman" w:hAnsi="Times New Roman"/>
          <w:b w:val="false"/>
          <w:i w:val="false"/>
          <w:caps w:val="false"/>
          <w:smallCaps w:val="false"/>
          <w:sz w:val="22"/>
        </w:rPr>
        <w:t>13.2.3.</w:t>
      </w:r>
      <w:r>
        <w:rPr>
          <w:rFonts w:ascii="Times New Roman" w:hAnsi="Times New Roman"/>
          <w:b w:val="false"/>
          <w:i w:val="false"/>
          <w:caps w:val="false"/>
          <w:smallCaps w:val="false"/>
          <w:sz w:val="22"/>
          <w:u w:val="single"/>
        </w:rPr>
        <w:t>Termination by Nkarta for Convenience</w:t>
      </w:r>
      <w:r>
        <w:rPr>
          <w:rFonts w:ascii="Times New Roman" w:hAnsi="Times New Roman"/>
          <w:b w:val="false"/>
          <w:i w:val="false"/>
          <w:caps w:val="false"/>
          <w:smallCaps w:val="false"/>
          <w:sz w:val="22"/>
        </w:rPr>
        <w:t xml:space="preserve">.  At any time, Nkarta may terminate this Agreement, at its sole discretion and at-will, on an Nkarta Product-by-Nkarta Product basis, by providing written notice of termination to CRISPR, which notice includes an effective date of termination at least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40</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days after the date of the notice, except that, prior to the expiry of the CRISPR Option Period, in no event shall Nkarta be entitled to terminate this Agreement with respect to [***].</w:t>
      </w:r>
    </w:p>
    <w:p>
      <w:pPr>
        <w:pStyle w:val="TextBody"/>
        <w:spacing w:before="0" w:after="240"/>
        <w:ind w:left="1260" w:right="0" w:hanging="0"/>
        <w:jc w:val="both"/>
        <w:rPr>
          <w:rFonts w:ascii="Times New Roman" w:hAnsi="Times New Roman"/>
          <w:b w:val="false"/>
          <w:i w:val="false"/>
          <w:caps w:val="false"/>
          <w:smallCaps w:val="false"/>
          <w:sz w:val="22"/>
        </w:rPr>
      </w:pPr>
      <w:bookmarkStart w:id="859" w:name="_Ref520123936"/>
      <w:bookmarkStart w:id="860" w:name="_Ref514754716"/>
      <w:bookmarkStart w:id="861" w:name="_Ref423504814"/>
      <w:bookmarkStart w:id="862" w:name="_cp_blt_2_426"/>
      <w:bookmarkEnd w:id="859"/>
      <w:bookmarkEnd w:id="860"/>
      <w:bookmarkEnd w:id="861"/>
      <w:bookmarkEnd w:id="862"/>
      <w:r>
        <w:rPr>
          <w:rFonts w:ascii="Times New Roman" w:hAnsi="Times New Roman"/>
          <w:b w:val="false"/>
          <w:i w:val="false"/>
          <w:caps w:val="false"/>
          <w:smallCaps w:val="false"/>
          <w:sz w:val="22"/>
        </w:rPr>
        <w:t>13.3.</w:t>
      </w:r>
      <w:r>
        <w:rPr>
          <w:rFonts w:ascii="Times New Roman" w:hAnsi="Times New Roman"/>
          <w:b w:val="false"/>
          <w:i w:val="false"/>
          <w:caps w:val="false"/>
          <w:smallCaps w:val="false"/>
          <w:sz w:val="22"/>
          <w:u w:val="single"/>
        </w:rPr>
        <w:t>Consequences of Termination of the Agreement</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863" w:name="_Ref423538298"/>
      <w:bookmarkEnd w:id="863"/>
      <w:r>
        <w:rPr>
          <w:rFonts w:ascii="Times New Roman" w:hAnsi="Times New Roman"/>
          <w:b w:val="false"/>
          <w:i w:val="false"/>
          <w:caps w:val="false"/>
          <w:smallCaps w:val="false"/>
          <w:sz w:val="22"/>
        </w:rPr>
        <w:t>13.3.1.</w:t>
      </w:r>
      <w:r>
        <w:rPr>
          <w:rFonts w:ascii="Times New Roman" w:hAnsi="Times New Roman"/>
          <w:b w:val="false"/>
          <w:i w:val="false"/>
          <w:caps w:val="false"/>
          <w:smallCaps w:val="false"/>
          <w:sz w:val="22"/>
          <w:u w:val="single"/>
        </w:rPr>
        <w:t>In General</w:t>
      </w:r>
      <w:r>
        <w:rPr>
          <w:rFonts w:ascii="Times New Roman" w:hAnsi="Times New Roman"/>
          <w:b w:val="false"/>
          <w:i w:val="false"/>
          <w:caps w:val="false"/>
          <w:smallCaps w:val="false"/>
          <w:sz w:val="22"/>
        </w:rPr>
        <w:t>.  If this Agreement is terminated by a Party in accordance with this Article 13 at any time and for any reason, the following terms will apply (either with respect to this Agreement in its entirety or with respect to the applicable Terminated Product or Nkarta Product):</w:t>
      </w:r>
    </w:p>
    <w:p>
      <w:pPr>
        <w:pStyle w:val="TextBody"/>
        <w:spacing w:before="0" w:after="0"/>
        <w:ind w:left="720" w:right="0" w:hanging="0"/>
        <w:jc w:val="both"/>
        <w:rPr>
          <w:rFonts w:ascii="Times New Roman" w:hAnsi="Times New Roman"/>
          <w:b w:val="false"/>
          <w:i w:val="false"/>
          <w:caps w:val="false"/>
          <w:smallCaps w:val="false"/>
          <w:sz w:val="22"/>
        </w:rPr>
      </w:pPr>
      <w:bookmarkStart w:id="864" w:name="_Ref4235409691"/>
      <w:bookmarkStart w:id="865" w:name="_Ref423540965"/>
      <w:bookmarkEnd w:id="864"/>
      <w:bookmarkEnd w:id="865"/>
      <w:r>
        <w:rPr>
          <w:rFonts w:ascii="Times New Roman" w:hAnsi="Times New Roman"/>
          <w:b w:val="false"/>
          <w:i w:val="false"/>
          <w:caps w:val="false"/>
          <w:smallCaps w:val="false"/>
          <w:sz w:val="22"/>
        </w:rPr>
        <w:t>(a)</w:t>
      </w:r>
      <w:bookmarkStart w:id="866" w:name="_Ref423540969"/>
      <w:bookmarkEnd w:id="866"/>
      <w:r>
        <w:rPr>
          <w:rFonts w:ascii="Times New Roman" w:hAnsi="Times New Roman"/>
          <w:b w:val="false"/>
          <w:i w:val="false"/>
          <w:caps w:val="false"/>
          <w:smallCaps w:val="false"/>
          <w:sz w:val="22"/>
        </w:rPr>
        <w:t>The Parties will return (or destroy, as directed by the other Party) all data, files, records and other materials containing or comprising the other Party’s Confidential Information, except to the extent such Confidential Information is subject to a license or similar grant of rights that survives such termination.  Notwithstanding the foregoing, the Parties will be permitted to retain one copy of such data, files, records, and other materials for archival and legal compliance purposes subject to an ongoing obligation of confidentiality.</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(b)Termination of this Agreement or with respect to a Terminated Product or Nkarta Product for any reason will be without prejudice to any rights or financial compensation that will have accrued to the benefit of a Party prior to such termination.  Such termination will not relieve a Party from obligations that are expressly indicated to survive the termination of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867" w:name="_Ref423540959"/>
      <w:bookmarkEnd w:id="867"/>
      <w:r>
        <w:rPr>
          <w:rFonts w:ascii="Times New Roman" w:hAnsi="Times New Roman"/>
          <w:b w:val="false"/>
          <w:i w:val="false"/>
          <w:caps w:val="false"/>
          <w:smallCaps w:val="false"/>
          <w:sz w:val="22"/>
        </w:rPr>
        <w:t>(c)The following provisions of this Agreement will survive any termination of this Agreement:  Sections 2.8 (last sentence thereof), 2.9.1(a) and (b) (for purposes of final reconciliation), 2.9.1(d) (for the time period set forth therein), 2.10, 8.3, 9.1.1, 9.1.2, 9.1.4, 9.2, 9.4, 9.5, 9.6, 10.2.1 (with respect to royalties accruing prior to the expiration or termination), 10.2.2 (with respect to Net Sales occurring prior to the expiration or termination), 10.3 (with respect to sublicensing income accruing prior to the expiration or termination), 10.5 (with respect to royalties accruing prior to the expiration or termination), 10.6, 10.7, 10.8, 10.9, 11.5, 12.1, 12.2, 12.3, 12.5, 13.3 and 13.4 and ARTICLE 1, ARTICLE 14, ARTICLE 15 and ARTICLE 16. .</w:t>
      </w:r>
    </w:p>
    <w:p>
      <w:pPr>
        <w:pStyle w:val="TextBody"/>
        <w:spacing w:before="0" w:after="240"/>
        <w:ind w:left="720" w:right="0" w:hanging="0"/>
        <w:jc w:val="both"/>
        <w:rPr>
          <w:rFonts w:ascii="Times New Roman" w:hAnsi="Times New Roman"/>
          <w:b w:val="false"/>
          <w:i w:val="false"/>
          <w:caps w:val="false"/>
          <w:smallCaps w:val="false"/>
          <w:sz w:val="22"/>
        </w:rPr>
      </w:pPr>
      <w:bookmarkStart w:id="868" w:name="_Ref62643905"/>
      <w:bookmarkStart w:id="869" w:name="_Ref512941089"/>
      <w:bookmarkEnd w:id="868"/>
      <w:bookmarkEnd w:id="869"/>
      <w:r>
        <w:rPr>
          <w:rFonts w:ascii="Times New Roman" w:hAnsi="Times New Roman"/>
          <w:b w:val="false"/>
          <w:i w:val="false"/>
          <w:caps w:val="false"/>
          <w:smallCaps w:val="false"/>
          <w:sz w:val="22"/>
        </w:rPr>
        <w:t>13.3.2.</w:t>
      </w:r>
      <w:r>
        <w:rPr>
          <w:rFonts w:ascii="Times New Roman" w:hAnsi="Times New Roman"/>
          <w:b w:val="false"/>
          <w:i w:val="false"/>
          <w:caps w:val="false"/>
          <w:smallCaps w:val="false"/>
          <w:sz w:val="22"/>
          <w:u w:val="single"/>
        </w:rPr>
        <w:t>Specific Consequences of Termination for Collaboration Products</w:t>
      </w:r>
      <w:r>
        <w:rPr>
          <w:rFonts w:ascii="Times New Roman" w:hAnsi="Times New Roman"/>
          <w:b w:val="false"/>
          <w:i w:val="false"/>
          <w:caps w:val="false"/>
          <w:smallCaps w:val="false"/>
          <w:sz w:val="22"/>
        </w:rPr>
        <w:t>.  The provisions of this Section 13.3.2 shall apply with respect to all Collaboration Products if this Agreement is terminated in its entirety, or solely with respect to a Terminated Product if the termination was with respect to a given Terminated Product.  If this Agreement expires or is terminated by a Party in accordance with this Article 13 at any time and for any reason, the following terms will apply (either with respect to this Agreement in its entirety or with respect to the applicable Terminated Product):</w:t>
      </w:r>
    </w:p>
    <w:p>
      <w:pPr>
        <w:pStyle w:val="TextBody"/>
        <w:spacing w:before="0" w:after="240"/>
        <w:ind w:left="720" w:right="0" w:hanging="0"/>
        <w:jc w:val="both"/>
        <w:rPr>
          <w:rFonts w:ascii="Times New Roman" w:hAnsi="Times New Roman"/>
          <w:b w:val="false"/>
          <w:i w:val="false"/>
          <w:caps w:val="false"/>
          <w:smallCaps w:val="false"/>
          <w:sz w:val="22"/>
        </w:rPr>
      </w:pPr>
      <w:bookmarkStart w:id="870" w:name="_Ref514323647"/>
      <w:bookmarkEnd w:id="870"/>
      <w:r>
        <w:rPr>
          <w:rFonts w:ascii="Times New Roman" w:hAnsi="Times New Roman"/>
          <w:b w:val="false"/>
          <w:i w:val="false"/>
          <w:caps w:val="false"/>
          <w:smallCaps w:val="false"/>
          <w:sz w:val="22"/>
        </w:rPr>
        <w:t>(a)The following terms shall have the following meanings for purposes of this Section 13.3.2:</w:t>
      </w:r>
    </w:p>
    <w:p>
      <w:pPr>
        <w:pStyle w:val="TextBody"/>
        <w:spacing w:before="0" w:after="240"/>
        <w:ind w:left="720" w:right="0" w:hanging="0"/>
        <w:jc w:val="both"/>
        <w:rPr>
          <w:rFonts w:ascii="Times New Roman" w:hAnsi="Times New Roman"/>
          <w:b w:val="false"/>
          <w:i w:val="false"/>
          <w:caps w:val="false"/>
          <w:smallCaps w:val="false"/>
          <w:sz w:val="22"/>
        </w:rPr>
      </w:pPr>
      <w:bookmarkStart w:id="871" w:name="_Ref514323627"/>
      <w:bookmarkEnd w:id="871"/>
      <w:r>
        <w:rPr>
          <w:rFonts w:ascii="Times New Roman" w:hAnsi="Times New Roman"/>
          <w:b w:val="false"/>
          <w:i w:val="false"/>
          <w:caps w:val="false"/>
          <w:smallCaps w:val="false"/>
          <w:sz w:val="22"/>
        </w:rPr>
        <w:t>(i)If CRISPR terminates: (A) this Agreement in its entirety or with respect to a Terminated Product, as applicable, pursuant to Section 13.2.1 because of an uncured material breach by Nkarta; or (B) this Agreement in its entirety under Section 13.2.2 because Nkarta suffers an Insolvency Event, then, for purposes of this Section 13.3.2, CRISPR shall be deemed the Continuation Party and Nkarta shall be deemed to be the Granting Party.</w:t>
      </w:r>
    </w:p>
    <w:p>
      <w:pPr>
        <w:pStyle w:val="TextBody"/>
        <w:spacing w:before="0" w:after="240"/>
        <w:ind w:left="720" w:right="0" w:hanging="0"/>
        <w:jc w:val="both"/>
        <w:rPr>
          <w:rFonts w:ascii="Times New Roman" w:hAnsi="Times New Roman"/>
          <w:b w:val="false"/>
          <w:i w:val="false"/>
          <w:caps w:val="false"/>
          <w:smallCaps w:val="false"/>
          <w:sz w:val="22"/>
        </w:rPr>
      </w:pPr>
      <w:bookmarkStart w:id="872" w:name="_Ref514323629"/>
      <w:bookmarkEnd w:id="872"/>
      <w:r>
        <w:rPr>
          <w:rFonts w:ascii="Times New Roman" w:hAnsi="Times New Roman"/>
          <w:b w:val="false"/>
          <w:i w:val="false"/>
          <w:caps w:val="false"/>
          <w:smallCaps w:val="false"/>
          <w:sz w:val="22"/>
        </w:rPr>
        <w:t>(ii)If Nkarta terminates: (A) this Agreement in its entirety or with respect to a Terminated Product, as applicable, pursuant to Section 13.2.1 because of an uncured material breach by CRISPR; or (B) this Agreement in its entirety under Section 13.2.2 because CRISPR suffers an Insolvency Event, then, for purposes of this Section 13.3.2, Nkarta shall be deemed the Continuation Party and CRISPR shall be deemed to be the Granting Party.</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41</w:t>
      </w:r>
    </w:p>
    <w:p>
      <w:pPr>
        <w:pStyle w:val="HorizontalLine"/>
        <w:rPr/>
      </w:pPr>
      <w:r>
        <w:rPr/>
      </w:r>
    </w:p>
    <w:p>
      <w:pPr>
        <w:pStyle w:val="TextBody"/>
        <w:spacing w:before="0" w:after="0"/>
        <w:rPr/>
      </w:pPr>
      <w:r>
        <w:rPr/>
        <w:t> </w:t>
      </w:r>
    </w:p>
    <w:p>
      <w:pPr>
        <w:pStyle w:val="TextBody"/>
        <w:spacing w:before="0" w:after="240"/>
        <w:ind w:left="720" w:right="0" w:hanging="0"/>
        <w:jc w:val="both"/>
        <w:rPr>
          <w:rFonts w:ascii="Times New Roman" w:hAnsi="Times New Roman"/>
          <w:b w:val="false"/>
          <w:i w:val="false"/>
          <w:caps w:val="false"/>
          <w:smallCaps w:val="false"/>
          <w:sz w:val="22"/>
        </w:rPr>
      </w:pPr>
      <w:bookmarkStart w:id="873" w:name="_Ref5143240261"/>
      <w:bookmarkStart w:id="874" w:name="_Ref5204685421"/>
      <w:bookmarkStart w:id="875" w:name="_AEIOULastRenderedPageBreakAEIOU41"/>
      <w:bookmarkStart w:id="876" w:name="_Ref514323826"/>
      <w:bookmarkEnd w:id="873"/>
      <w:bookmarkEnd w:id="874"/>
      <w:bookmarkEnd w:id="875"/>
      <w:bookmarkEnd w:id="876"/>
      <w:r>
        <w:rPr>
          <w:rFonts w:ascii="Times New Roman" w:hAnsi="Times New Roman"/>
          <w:b w:val="false"/>
          <w:i w:val="false"/>
          <w:caps w:val="false"/>
          <w:smallCaps w:val="false"/>
          <w:sz w:val="22"/>
        </w:rPr>
        <w:t>(iii)The identification of the Granting Party shall be determined by reference to Section 13.3.2(a)(i) or Section 13.3.2(a)(ii), as applicable (the “</w:t>
      </w:r>
      <w:r>
        <w:rPr>
          <w:rFonts w:ascii="Times New Roman" w:hAnsi="Times New Roman"/>
          <w:b/>
          <w:i w:val="false"/>
          <w:caps w:val="false"/>
          <w:smallCaps w:val="false"/>
          <w:sz w:val="22"/>
        </w:rPr>
        <w:t>Granting Party</w:t>
      </w:r>
      <w:r>
        <w:rPr>
          <w:rFonts w:ascii="Times New Roman" w:hAnsi="Times New Roman"/>
          <w:b w:val="false"/>
          <w:i w:val="false"/>
          <w:caps w:val="false"/>
          <w:smallCaps w:val="false"/>
          <w:sz w:val="22"/>
        </w:rPr>
        <w:t>”), and the identification of the Continuation Party shall be determined by reference to Section 13.3.2(a)(i) or Section 13.3.2(a)(ii), as applicable (the “</w:t>
      </w:r>
      <w:r>
        <w:rPr>
          <w:rFonts w:ascii="Times New Roman" w:hAnsi="Times New Roman"/>
          <w:b/>
          <w:i w:val="false"/>
          <w:caps w:val="false"/>
          <w:smallCaps w:val="false"/>
          <w:sz w:val="22"/>
        </w:rPr>
        <w:t>Continuation Party</w:t>
      </w:r>
      <w:bookmarkStart w:id="877" w:name="_Ref514324026"/>
      <w:bookmarkStart w:id="878" w:name="_Ref520468542"/>
      <w:bookmarkEnd w:id="877"/>
      <w:bookmarkEnd w:id="878"/>
      <w:r>
        <w:rPr>
          <w:rFonts w:ascii="Times New Roman" w:hAnsi="Times New Roman"/>
          <w:b w:val="false"/>
          <w:i w:val="false"/>
          <w:caps w:val="false"/>
          <w:smallCaps w:val="false"/>
          <w:sz w:val="22"/>
        </w:rPr>
        <w:t>”).</w:t>
      </w:r>
    </w:p>
    <w:p>
      <w:pPr>
        <w:pStyle w:val="TextBody"/>
        <w:spacing w:before="0" w:after="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(b)The licenses in Sections 8.1.1, 8.1.2, and 8.2 with respect to the applicable Terminated Product, and any sublicenses of those licenses, shall automatically terminate as of the effective date of such termination, and the rights under such licenses and sublicenses shall revert to the licensing Party.</w:t>
      </w:r>
    </w:p>
    <w:p>
      <w:pPr>
        <w:pStyle w:val="TextBody"/>
        <w:spacing w:before="0" w:after="0"/>
        <w:ind w:left="720" w:right="0" w:hanging="0"/>
        <w:jc w:val="both"/>
        <w:rPr>
          <w:rFonts w:ascii="Times New Roman" w:hAnsi="Times New Roman"/>
          <w:b w:val="false"/>
          <w:i w:val="false"/>
          <w:caps w:val="false"/>
          <w:smallCaps w:val="false"/>
          <w:sz w:val="22"/>
        </w:rPr>
      </w:pPr>
      <w:bookmarkStart w:id="879" w:name="_Ref_docxtools_500"/>
      <w:bookmarkEnd w:id="879"/>
      <w:r>
        <w:rPr>
          <w:rFonts w:ascii="Times New Roman" w:hAnsi="Times New Roman"/>
          <w:b w:val="false"/>
          <w:i w:val="false"/>
          <w:caps w:val="false"/>
          <w:smallCaps w:val="false"/>
          <w:sz w:val="22"/>
        </w:rPr>
        <w:t>(c)The Granting Party and the Continuation Party shall promptly begin negotiating in good faith the commercially reasonable terms (including milestone payments and royalties) of a license agreement (the “</w:t>
      </w:r>
      <w:r>
        <w:rPr>
          <w:rFonts w:ascii="Times New Roman" w:hAnsi="Times New Roman"/>
          <w:b/>
          <w:i w:val="false"/>
          <w:caps w:val="false"/>
          <w:smallCaps w:val="false"/>
          <w:sz w:val="22"/>
        </w:rPr>
        <w:t>Continuation Agreement</w:t>
      </w:r>
      <w:r>
        <w:rPr>
          <w:rFonts w:ascii="Times New Roman" w:hAnsi="Times New Roman"/>
          <w:b w:val="false"/>
          <w:i w:val="false"/>
          <w:caps w:val="false"/>
          <w:smallCaps w:val="false"/>
          <w:sz w:val="22"/>
        </w:rPr>
        <w:t>”) under which the Granting Party, subject to the terms and conditions of this Agreement, would grant to the Continuation Party a [***].  Notwithstanding anything to the contrary herein, to the extent that any CRISPR Technology or Nkarta Technology, as applicable, is Controlled by the Granting Party pursuant to the terms of any Third Party agreement, any such license shall be subject to any applicable terms and conditions of such Third Party agreement, including any payment obligations to such Third Party that would arise from the Continuation Party’s exercise of a license under such CRISPR Technology or Nkarta Technology, as applicable.  If the Parties are unable to agree to a final form of Continuation Agreement [***] months after the start of negotiating such Continuation Agreement (or such later date as agreed in writing by the Parties), then the Parties will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(d)Under the Continuation Agreement, the Granting Party would do the following to allow the Continuation Party to continue Researching, Developing, Manufacturing and Commercializing such Terminated Product in the Field (it being agreed that the Parties intend to use Commercially Reasonable Efforts to minimize any material business interruptions):</w:t>
      </w:r>
    </w:p>
    <w:p>
      <w:pPr>
        <w:pStyle w:val="TextBody"/>
        <w:spacing w:before="0" w:after="240"/>
        <w:ind w:left="720" w:right="0" w:hanging="0"/>
        <w:jc w:val="both"/>
        <w:rPr/>
      </w:pPr>
      <w:r>
        <w:rPr/>
        <w:t>(i)</w:t>
      </w:r>
      <w:r>
        <w:rPr>
          <w:color w:val="000000"/>
        </w:rPr>
        <w:t>[***];</w:t>
      </w:r>
    </w:p>
    <w:p>
      <w:pPr>
        <w:pStyle w:val="TextBody"/>
        <w:spacing w:before="0" w:after="240"/>
        <w:ind w:left="720" w:right="0" w:hanging="0"/>
        <w:jc w:val="both"/>
        <w:rPr/>
      </w:pPr>
      <w:r>
        <w:rPr/>
        <w:t>(ii)</w:t>
      </w:r>
      <w:r>
        <w:rPr>
          <w:color w:val="000000"/>
        </w:rPr>
        <w:t>[***];</w:t>
      </w:r>
    </w:p>
    <w:p>
      <w:pPr>
        <w:pStyle w:val="TextBody"/>
        <w:spacing w:before="0" w:after="240"/>
        <w:ind w:left="720" w:right="0" w:hanging="0"/>
        <w:jc w:val="both"/>
        <w:rPr/>
      </w:pPr>
      <w:r>
        <w:rPr/>
        <w:t>(iii)</w:t>
      </w:r>
      <w:r>
        <w:rPr>
          <w:color w:val="000000"/>
        </w:rPr>
        <w:t>no later than [***] after the effective date of the Continuation Agreement,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(iv)as promptly as practicable, transfer to the Continuation Party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(v)Under the Continuation Agreement,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(vi)if the Granting Party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(vii)Under the Continuation Agreement, if the Continuation Party so requests, the Granting Party would transfer to the Continuation Party [***];</w:t>
      </w:r>
    </w:p>
    <w:p>
      <w:pPr>
        <w:pStyle w:val="TextBody"/>
        <w:spacing w:before="0" w:after="240"/>
        <w:ind w:left="720" w:right="0" w:hanging="0"/>
        <w:jc w:val="both"/>
        <w:rPr/>
      </w:pPr>
      <w:r>
        <w:rPr/>
        <w:t>(viii)</w:t>
      </w:r>
      <w:r>
        <w:rPr>
          <w:color w:val="000000"/>
        </w:rPr>
        <w:t>Under the Continuation Agreement, undertake, and coordinate with the Continuation Party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(ix)Under the Continuation Agreement, provide [***]; and</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42</w:t>
      </w:r>
    </w:p>
    <w:p>
      <w:pPr>
        <w:pStyle w:val="HorizontalLine"/>
        <w:rPr/>
      </w:pPr>
      <w:r>
        <w:rPr/>
      </w:r>
    </w:p>
    <w:p>
      <w:pPr>
        <w:pStyle w:val="TextBody"/>
        <w:spacing w:before="0" w:after="0"/>
        <w:rPr/>
      </w:pPr>
      <w:r>
        <w:rPr/>
        <w:t> </w:t>
      </w:r>
    </w:p>
    <w:p>
      <w:pPr>
        <w:pStyle w:val="TextBody"/>
        <w:spacing w:before="0" w:after="240"/>
        <w:ind w:left="720" w:right="0" w:hanging="0"/>
        <w:jc w:val="both"/>
        <w:rPr/>
      </w:pPr>
      <w:bookmarkStart w:id="880" w:name="_AEIOULastRenderedPageBreakAEIOU42"/>
      <w:bookmarkEnd w:id="880"/>
      <w:r>
        <w:rPr/>
        <w:t>(x)</w:t>
      </w:r>
      <w:r>
        <w:rPr>
          <w:color w:val="000000"/>
        </w:rPr>
        <w:t>execute all documents and take all such further actions as may be reasonably necessary and requested by the Continuation Party in order to give effect to the foregoing clauses.</w:t>
      </w:r>
    </w:p>
    <w:p>
      <w:pPr>
        <w:pStyle w:val="TextBody"/>
        <w:spacing w:before="0" w:after="0"/>
        <w:ind w:left="720" w:right="0" w:hanging="0"/>
        <w:jc w:val="both"/>
        <w:rPr/>
      </w:pPr>
      <w:r>
        <w:rPr/>
        <w:t>(e)</w:t>
      </w:r>
      <w:r>
        <w:rPr>
          <w:color w:val="000000"/>
        </w:rPr>
        <w:t>Each Party shall provide [***].</w:t>
      </w:r>
    </w:p>
    <w:p>
      <w:pPr>
        <w:pStyle w:val="TextBody"/>
        <w:spacing w:before="0" w:after="240"/>
        <w:ind w:left="720" w:right="0" w:hanging="0"/>
        <w:jc w:val="both"/>
        <w:rPr/>
      </w:pPr>
      <w:r>
        <w:rPr/>
        <w:t>(f)</w:t>
      </w:r>
      <w:r>
        <w:rPr>
          <w:color w:val="000000"/>
        </w:rPr>
        <w:t>Upon a termination of this Agreement with respect to a given Terminated Product, the Granting Party shall not, itself or with or through any Affiliates or Third Parties, [***].</w:t>
      </w:r>
    </w:p>
    <w:p>
      <w:pPr>
        <w:pStyle w:val="TextBody"/>
        <w:spacing w:before="0" w:after="240"/>
        <w:ind w:left="1260" w:right="0" w:hanging="0"/>
        <w:jc w:val="both"/>
        <w:rPr/>
      </w:pPr>
      <w:r>
        <w:rPr/>
        <w:t>13.4.</w:t>
      </w:r>
      <w:r>
        <w:rPr>
          <w:color w:val="000000"/>
          <w:u w:val="single"/>
        </w:rPr>
        <w:t>Specific Consequences of Termination for Nkarta Products</w:t>
      </w:r>
      <w:r>
        <w:rPr>
          <w:color w:val="000000"/>
        </w:rPr>
        <w:t>.</w:t>
      </w:r>
    </w:p>
    <w:p>
      <w:pPr>
        <w:pStyle w:val="TextBody"/>
        <w:spacing w:before="0" w:after="0"/>
        <w:ind w:left="720" w:right="0" w:hanging="0"/>
        <w:jc w:val="both"/>
        <w:rPr/>
      </w:pPr>
      <w:r>
        <w:rPr/>
        <w:t>(a)</w:t>
      </w:r>
      <w:r>
        <w:rPr>
          <w:color w:val="000000"/>
        </w:rPr>
        <w:t>If: (i) CRISPR terminates: (A) this Agreement in its entirety or with respect to a Terminated Product, as applicable, pursuant to Section 13.2.1 because of an uncured material breach by Nkarta; or (B) this Agreement in its entirety under Section 13.2.2; or (ii) Nkarta terminates either this Agreement or any Nkarta Product pursuant to Section 13.2.3, then, Nkarta or its Affiliates or sublicensees may sell any Nkarta Products in existence as of the effective date of such termination over a period of [***] days after the effective date of such termination, subject to payment of applicable royalties on such sales under Section 10.2, and after such sell-off period, Nkarta shall cease and discontinue (and shall cause its Affiliates and sublicensees to cease and discontinue) the Research, Development, Manufacture and Commercialization of such Nkarta Product.  Except for the foregoing right to sell existing inventory of Nkarta Products, the licenses in Section 8.1.2, and any sublicenses of those licenses, shall automatically terminate as of the effective date of such termination, and the rights under such licenses and sublicenses shall revert to the licensing Party.  The termination and reversion of rights shall apply on an Nkarta Product-by-Nkarta Product basis, or with respect to all Nkarta Products, depending on whether the applicable termination is for a given Nkarta Product or for the entire Agreement.</w:t>
      </w:r>
    </w:p>
    <w:p>
      <w:pPr>
        <w:pStyle w:val="TextBody"/>
        <w:spacing w:before="0" w:after="240"/>
        <w:ind w:left="720" w:right="0" w:hanging="0"/>
        <w:jc w:val="both"/>
        <w:rPr/>
      </w:pPr>
      <w:bookmarkStart w:id="881" w:name="_Ref69845018"/>
      <w:bookmarkEnd w:id="881"/>
      <w:r>
        <w:rPr/>
        <w:t>(b)</w:t>
      </w:r>
      <w:r>
        <w:rPr>
          <w:color w:val="000000"/>
        </w:rPr>
        <w:t>If Nkarta terminates: (A) this Agreement in its entirety or with respect to any Nkarta Product, as applicable, pursuant to Section 13.2.1 because of an uncured material breach by CRISPR; or (B) this Agreement in its entirety under Section 13.2.2, then: (i) Nkarta or its Affiliates or sublicensees may sell any Nkarta Products in existence as of the effective date of such termination over a period of [***] days after the effective date of such termination, subject to payment of applicable royalties on such sales under Section 10.2; (ii) except for the foregoing right to sell existing inventory of Nkarta Products, the licenses in Section 8.1.2, and any sublicenses of those licenses, shall automatically terminate as of the effective date of such termination, and the rights under such licenses and sublicenses shall revert to the licensing Party; and (iii) CRISPR and Nkarta shall promptly begin negotiating in good faith the commercially reasonable terms (including milestone payments and royalties) of a license agreement (the “</w:t>
      </w:r>
      <w:r>
        <w:rPr>
          <w:b/>
          <w:color w:val="000000"/>
        </w:rPr>
        <w:t>Nkarta Product Continuation Agreement</w:t>
      </w:r>
      <w:r>
        <w:rPr>
          <w:color w:val="000000"/>
        </w:rPr>
        <w:t>”) under which CRISPR, subject to the terms and conditions of this Agreement, would grant to Nkarta a non-exclusive, royalty bearing license under the CRISPR Technology that is necessary or reasonably useful to Research, Develop, Manufacture and Commercialize the applicable Nkarta Product(s) for use in the Field.  The foregoing license shall be sublicensable solely to the recipient of a license by Nkarta of intellectual property Controlled by Nkarta that pertains to such Nkarta Product(s).  Notwithstanding anything to the contrary herein, to the extent that any CRISPR Technology is Controlled by CRISPR pursuant to the terms of any Third Party agreement, any such license shall be subject to any applicable terms and conditions of such Third Party agreement, including any payment obligations to such Third Party that would arise from Nkarta’s exercise of a license under such CRISPR Technology.  If the Parties are unable to agree to a final form of Nkarta Product Continuation Agreement [***] months after the start of negotiating such Nkarta Product Continuation Agreement (or such later date as agreed in writing by the Parties), then the Parties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bookmarkStart w:id="882" w:name="_Ref4235397251"/>
      <w:bookmarkStart w:id="883" w:name="_AEIOULastRenderedPageBreakAEIOU43"/>
      <w:bookmarkEnd w:id="882"/>
      <w:bookmarkEnd w:id="883"/>
      <w:r>
        <w:rPr>
          <w:rFonts w:ascii="Times New Roman" w:hAnsi="Times New Roman"/>
          <w:b/>
          <w:i w:val="false"/>
          <w:caps w:val="false"/>
          <w:smallCaps w:val="false"/>
          <w:sz w:val="22"/>
        </w:rPr>
        <w:t>Article 14.</w:t>
        <w:br/>
      </w:r>
      <w:bookmarkStart w:id="884" w:name="_Ref423539725"/>
      <w:bookmarkEnd w:id="884"/>
      <w:r>
        <w:rPr>
          <w:rFonts w:ascii="Times New Roman" w:hAnsi="Times New Roman"/>
          <w:b/>
          <w:i w:val="false"/>
          <w:caps w:val="false"/>
          <w:smallCaps w:val="false"/>
          <w:sz w:val="22"/>
        </w:rPr>
        <w:t>CONFIDENTIALITY</w:t>
      </w:r>
    </w:p>
    <w:p>
      <w:pPr>
        <w:pStyle w:val="TextBody"/>
        <w:spacing w:before="0" w:after="240"/>
        <w:ind w:left="1260" w:right="0" w:hanging="0"/>
        <w:jc w:val="both"/>
        <w:rPr>
          <w:rFonts w:ascii="Times New Roman" w:hAnsi="Times New Roman"/>
          <w:b w:val="false"/>
          <w:i w:val="false"/>
          <w:caps w:val="false"/>
          <w:smallCaps w:val="false"/>
          <w:sz w:val="22"/>
        </w:rPr>
      </w:pPr>
      <w:bookmarkStart w:id="885" w:name="_Ref416815315"/>
      <w:bookmarkStart w:id="886" w:name="_Toc412296803"/>
      <w:bookmarkStart w:id="887" w:name="_Toc263802976"/>
      <w:bookmarkStart w:id="888" w:name="_Toc263802716"/>
      <w:bookmarkStart w:id="889" w:name="_Ref263791424"/>
      <w:bookmarkStart w:id="890" w:name="_Toc244589932"/>
      <w:bookmarkStart w:id="891" w:name="_Toc138487503"/>
      <w:bookmarkStart w:id="892" w:name="_Toc138487310"/>
      <w:bookmarkStart w:id="893" w:name="_Toc137310686"/>
      <w:bookmarkStart w:id="894" w:name="_Toc135754020"/>
      <w:bookmarkStart w:id="895" w:name="_Ref135582716"/>
      <w:bookmarkStart w:id="896" w:name="_Toc135582416"/>
      <w:bookmarkStart w:id="897" w:name="_Toc135582121"/>
      <w:bookmarkStart w:id="898" w:name="_Toc135580651"/>
      <w:bookmarkStart w:id="899" w:name="_Toc115199758"/>
      <w:bookmarkStart w:id="900" w:name="_Toc115199329"/>
      <w:bookmarkStart w:id="901" w:name="_Toc115166705"/>
      <w:bookmarkStart w:id="902" w:name="_Toc115152300"/>
      <w:bookmarkStart w:id="903" w:name="_Toc115151576"/>
      <w:bookmarkStart w:id="904" w:name="_Toc115145347"/>
      <w:bookmarkStart w:id="905" w:name="_Toc115119045"/>
      <w:bookmarkStart w:id="906" w:name="_Toc115080865"/>
      <w:bookmarkStart w:id="907" w:name="_Toc115080611"/>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rFonts w:ascii="Times New Roman" w:hAnsi="Times New Roman"/>
          <w:b w:val="false"/>
          <w:i w:val="false"/>
          <w:caps w:val="false"/>
          <w:smallCaps w:val="false"/>
          <w:sz w:val="22"/>
        </w:rPr>
        <w:t>14.1.</w:t>
      </w:r>
      <w:r>
        <w:rPr>
          <w:rFonts w:ascii="Times New Roman" w:hAnsi="Times New Roman"/>
          <w:b w:val="false"/>
          <w:i w:val="false"/>
          <w:caps w:val="false"/>
          <w:smallCaps w:val="false"/>
          <w:sz w:val="22"/>
          <w:u w:val="single"/>
        </w:rPr>
        <w:t>Confidentiality</w:t>
      </w:r>
      <w:r>
        <w:rPr>
          <w:rFonts w:ascii="Times New Roman" w:hAnsi="Times New Roman"/>
          <w:b w:val="false"/>
          <w:i w:val="false"/>
          <w:caps w:val="false"/>
          <w:smallCaps w:val="false"/>
          <w:sz w:val="22"/>
        </w:rPr>
        <w:t>.  Except to the extent expressly authorized by this Agreement or otherwise agreed in writing, the Parties agree that, during the Term and for [***] years thereafter, each Party (the “</w:t>
      </w:r>
      <w:r>
        <w:rPr>
          <w:rFonts w:ascii="Times New Roman" w:hAnsi="Times New Roman"/>
          <w:b/>
          <w:i w:val="false"/>
          <w:caps w:val="false"/>
          <w:smallCaps w:val="false"/>
          <w:sz w:val="22"/>
        </w:rPr>
        <w:t>Receiving Party</w:t>
      </w:r>
      <w:r>
        <w:rPr>
          <w:rFonts w:ascii="Times New Roman" w:hAnsi="Times New Roman"/>
          <w:b w:val="false"/>
          <w:i w:val="false"/>
          <w:caps w:val="false"/>
          <w:smallCaps w:val="false"/>
          <w:sz w:val="22"/>
        </w:rPr>
        <w:t>”) receiving any Confidential Information of the other Party (the “</w:t>
      </w:r>
      <w:r>
        <w:rPr>
          <w:rFonts w:ascii="Times New Roman" w:hAnsi="Times New Roman"/>
          <w:b/>
          <w:i w:val="false"/>
          <w:caps w:val="false"/>
          <w:smallCaps w:val="false"/>
          <w:sz w:val="22"/>
        </w:rPr>
        <w:t>Disclosing Party</w:t>
      </w:r>
      <w:r>
        <w:rPr>
          <w:rFonts w:ascii="Times New Roman" w:hAnsi="Times New Roman"/>
          <w:b w:val="false"/>
          <w:i w:val="false"/>
          <w:caps w:val="false"/>
          <w:smallCaps w:val="false"/>
          <w:sz w:val="22"/>
        </w:rPr>
        <w:t>”) hereunder will: (a) keep the Disclosing Party’s Confidential Information confidential; (b) not publish, or allow to be published, and will not otherwise disclose, or permit the disclosure of, the Disclosing Party’s Confidential Information in any manner not expressly authorized pursuant to the terms of this Agreement; and (c) not use, or permit to be used, the Disclosing Party’s Confidential Information for any purpose other than as expressly authorized pursuant to the terms of this Agreement.</w:t>
      </w:r>
    </w:p>
    <w:p>
      <w:pPr>
        <w:pStyle w:val="TextBody"/>
        <w:spacing w:before="0" w:after="240"/>
        <w:ind w:left="1260" w:right="0" w:hanging="0"/>
        <w:jc w:val="both"/>
        <w:rPr>
          <w:rFonts w:ascii="Times New Roman" w:hAnsi="Times New Roman"/>
          <w:b w:val="false"/>
          <w:i w:val="false"/>
          <w:caps w:val="false"/>
          <w:smallCaps w:val="false"/>
          <w:sz w:val="22"/>
        </w:rPr>
      </w:pPr>
      <w:bookmarkStart w:id="908" w:name="_Ref427162639"/>
      <w:bookmarkStart w:id="909" w:name="_Ref421741070"/>
      <w:bookmarkStart w:id="910" w:name="_Toc412296804"/>
      <w:bookmarkStart w:id="911" w:name="_Toc263802977"/>
      <w:bookmarkStart w:id="912" w:name="_Toc263802717"/>
      <w:bookmarkStart w:id="913" w:name="_Ref263797003"/>
      <w:bookmarkStart w:id="914" w:name="_Toc244589933"/>
      <w:bookmarkStart w:id="915" w:name="_Toc138487504"/>
      <w:bookmarkStart w:id="916" w:name="_Toc138487311"/>
      <w:bookmarkStart w:id="917" w:name="_Toc137310687"/>
      <w:bookmarkStart w:id="918" w:name="_Toc135754021"/>
      <w:bookmarkStart w:id="919" w:name="_Ref135585441"/>
      <w:bookmarkStart w:id="920" w:name="_Ref135585280"/>
      <w:bookmarkStart w:id="921" w:name="_Toc135582417"/>
      <w:bookmarkStart w:id="922" w:name="_Toc135582122"/>
      <w:bookmarkStart w:id="923" w:name="_Toc135580652"/>
      <w:bookmarkStart w:id="924" w:name="_Toc115199759"/>
      <w:bookmarkStart w:id="925" w:name="_Toc115199330"/>
      <w:bookmarkStart w:id="926" w:name="_Toc115166706"/>
      <w:bookmarkStart w:id="927" w:name="_Toc115152301"/>
      <w:bookmarkStart w:id="928" w:name="_Toc115151577"/>
      <w:bookmarkStart w:id="929" w:name="_Toc115145348"/>
      <w:bookmarkStart w:id="930" w:name="_Toc115119046"/>
      <w:bookmarkStart w:id="931" w:name="_Toc115080866"/>
      <w:bookmarkStart w:id="932" w:name="_Toc115080612"/>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rFonts w:ascii="Times New Roman" w:hAnsi="Times New Roman"/>
          <w:b w:val="false"/>
          <w:i w:val="false"/>
          <w:caps w:val="false"/>
          <w:smallCaps w:val="false"/>
          <w:sz w:val="22"/>
        </w:rPr>
        <w:t>14.2.</w:t>
      </w:r>
      <w:r>
        <w:rPr>
          <w:rFonts w:ascii="Times New Roman" w:hAnsi="Times New Roman"/>
          <w:b w:val="false"/>
          <w:i w:val="false"/>
          <w:caps w:val="false"/>
          <w:smallCaps w:val="false"/>
          <w:sz w:val="22"/>
          <w:u w:val="single"/>
        </w:rPr>
        <w:t>Authorized Disclosure</w:t>
      </w:r>
      <w:r>
        <w:rPr>
          <w:rFonts w:ascii="Times New Roman" w:hAnsi="Times New Roman"/>
          <w:b w:val="false"/>
          <w:i w:val="false"/>
          <w:caps w:val="false"/>
          <w:smallCaps w:val="false"/>
          <w:sz w:val="22"/>
        </w:rPr>
        <w:t>.  Notwithstanding the foregoing provisions of Section 14.1, each Party may disclose Confidential Information belonging to the other Party to the extent such disclosure is reasonably necessary to:</w:t>
      </w:r>
    </w:p>
    <w:p>
      <w:pPr>
        <w:pStyle w:val="TextBody"/>
        <w:spacing w:before="0" w:after="240"/>
        <w:ind w:left="720" w:right="0" w:hanging="0"/>
        <w:jc w:val="both"/>
        <w:rPr>
          <w:rFonts w:ascii="Times New Roman" w:hAnsi="Times New Roman"/>
          <w:b w:val="false"/>
          <w:i w:val="false"/>
          <w:caps w:val="false"/>
          <w:smallCaps w:val="false"/>
          <w:sz w:val="22"/>
        </w:rPr>
      </w:pPr>
      <w:bookmarkStart w:id="933" w:name="_Toc263802718"/>
      <w:bookmarkEnd w:id="933"/>
      <w:r>
        <w:rPr>
          <w:rFonts w:ascii="Times New Roman" w:hAnsi="Times New Roman"/>
          <w:b w:val="false"/>
          <w:i w:val="false"/>
          <w:caps w:val="false"/>
          <w:smallCaps w:val="false"/>
          <w:sz w:val="22"/>
        </w:rPr>
        <w:t>14.2.1.engage in Prosecution and Maintenance activities as contemplated by this Agreement;</w:t>
      </w:r>
    </w:p>
    <w:p>
      <w:pPr>
        <w:pStyle w:val="TextBody"/>
        <w:spacing w:before="0" w:after="240"/>
        <w:ind w:left="720" w:right="0" w:hanging="0"/>
        <w:jc w:val="both"/>
        <w:rPr>
          <w:rFonts w:ascii="Times New Roman" w:hAnsi="Times New Roman"/>
          <w:b w:val="false"/>
          <w:i w:val="false"/>
          <w:caps w:val="false"/>
          <w:smallCaps w:val="false"/>
          <w:sz w:val="22"/>
        </w:rPr>
      </w:pPr>
      <w:bookmarkStart w:id="934" w:name="_Toc263802719"/>
      <w:bookmarkEnd w:id="934"/>
      <w:r>
        <w:rPr>
          <w:rFonts w:ascii="Times New Roman" w:hAnsi="Times New Roman"/>
          <w:b w:val="false"/>
          <w:i w:val="false"/>
          <w:caps w:val="false"/>
          <w:smallCaps w:val="false"/>
          <w:sz w:val="22"/>
        </w:rPr>
        <w:t>14.2.2.prosecute or defend litigation;</w:t>
      </w:r>
    </w:p>
    <w:p>
      <w:pPr>
        <w:pStyle w:val="TextBody"/>
        <w:spacing w:before="0" w:after="240"/>
        <w:ind w:left="720" w:right="0" w:hanging="0"/>
        <w:jc w:val="both"/>
        <w:rPr>
          <w:rFonts w:ascii="Times New Roman" w:hAnsi="Times New Roman"/>
          <w:b w:val="false"/>
          <w:i w:val="false"/>
          <w:caps w:val="false"/>
          <w:smallCaps w:val="false"/>
          <w:sz w:val="22"/>
        </w:rPr>
      </w:pPr>
      <w:bookmarkStart w:id="935" w:name="_Toc263802720"/>
      <w:bookmarkEnd w:id="935"/>
      <w:r>
        <w:rPr>
          <w:rFonts w:ascii="Times New Roman" w:hAnsi="Times New Roman"/>
          <w:b w:val="false"/>
          <w:i w:val="false"/>
          <w:caps w:val="false"/>
          <w:smallCaps w:val="false"/>
          <w:sz w:val="22"/>
        </w:rPr>
        <w:t>14.2.3.exercise its rights and perform its obligations hereunder; or</w:t>
      </w:r>
    </w:p>
    <w:p>
      <w:pPr>
        <w:pStyle w:val="TextBody"/>
        <w:spacing w:before="0" w:after="240"/>
        <w:ind w:left="720" w:right="0" w:hanging="0"/>
        <w:jc w:val="both"/>
        <w:rPr>
          <w:rFonts w:ascii="Times New Roman" w:hAnsi="Times New Roman"/>
          <w:b w:val="false"/>
          <w:i w:val="false"/>
          <w:caps w:val="false"/>
          <w:smallCaps w:val="false"/>
          <w:sz w:val="22"/>
        </w:rPr>
      </w:pPr>
      <w:bookmarkStart w:id="936" w:name="_Toc263802721"/>
      <w:bookmarkEnd w:id="936"/>
      <w:r>
        <w:rPr>
          <w:rFonts w:ascii="Times New Roman" w:hAnsi="Times New Roman"/>
          <w:b w:val="false"/>
          <w:i w:val="false"/>
          <w:caps w:val="false"/>
          <w:smallCaps w:val="false"/>
          <w:sz w:val="22"/>
        </w:rPr>
        <w:t>14.2.4.comply with Applicable Law.</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If a Party deems it reasonably necessary to disclose Confidential Information belonging to the other Party pursuant to this Section 14.2, the Disclosing Party will to the extent possible give reasonable advance written notice of such disclosure to the other Party and take reasonable measures to ensure confidential treatment of such information.</w:t>
      </w:r>
    </w:p>
    <w:p>
      <w:pPr>
        <w:pStyle w:val="TextBody"/>
        <w:spacing w:before="0" w:after="240"/>
        <w:ind w:left="1260" w:right="0" w:hanging="0"/>
        <w:jc w:val="both"/>
        <w:rPr>
          <w:rFonts w:ascii="Times New Roman" w:hAnsi="Times New Roman"/>
          <w:b w:val="false"/>
          <w:i w:val="false"/>
          <w:caps w:val="false"/>
          <w:smallCaps w:val="false"/>
          <w:sz w:val="22"/>
        </w:rPr>
      </w:pPr>
      <w:bookmarkStart w:id="937" w:name="_Toc412296805"/>
      <w:bookmarkStart w:id="938" w:name="_Toc263802978"/>
      <w:bookmarkStart w:id="939" w:name="_Toc263802722"/>
      <w:bookmarkStart w:id="940" w:name="_Ref263794589"/>
      <w:bookmarkStart w:id="941" w:name="_Ref263784993"/>
      <w:bookmarkStart w:id="942" w:name="_Toc244589934"/>
      <w:bookmarkStart w:id="943" w:name="_Toc138487505"/>
      <w:bookmarkStart w:id="944" w:name="_Toc138487312"/>
      <w:bookmarkStart w:id="945" w:name="_Toc137310688"/>
      <w:bookmarkStart w:id="946" w:name="_Toc135754022"/>
      <w:bookmarkStart w:id="947" w:name="_Toc135582418"/>
      <w:bookmarkStart w:id="948" w:name="_Toc135582123"/>
      <w:bookmarkStart w:id="949" w:name="_Toc135580653"/>
      <w:bookmarkStart w:id="950" w:name="_Toc115199760"/>
      <w:bookmarkStart w:id="951" w:name="_Toc115199331"/>
      <w:bookmarkStart w:id="952" w:name="_Toc115166707"/>
      <w:bookmarkStart w:id="953" w:name="_Toc115152302"/>
      <w:bookmarkStart w:id="954" w:name="_Toc115151578"/>
      <w:bookmarkStart w:id="955" w:name="_Toc115145349"/>
      <w:bookmarkStart w:id="956" w:name="_Toc115119047"/>
      <w:bookmarkStart w:id="957" w:name="_Toc115080867"/>
      <w:bookmarkStart w:id="958" w:name="_Toc115080613"/>
      <w:bookmarkStart w:id="959" w:name="_Ref416787143"/>
      <w:bookmarkStart w:id="960" w:name="_Ref421741078"/>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 w:hAnsi="Times New Roman"/>
          <w:b w:val="false"/>
          <w:i w:val="false"/>
          <w:caps w:val="false"/>
          <w:smallCaps w:val="false"/>
          <w:sz w:val="22"/>
        </w:rPr>
        <w:t>14.3.</w:t>
      </w:r>
      <w:r>
        <w:rPr>
          <w:rFonts w:ascii="Times New Roman" w:hAnsi="Times New Roman"/>
          <w:b w:val="false"/>
          <w:i w:val="false"/>
          <w:caps w:val="false"/>
          <w:smallCaps w:val="false"/>
          <w:sz w:val="22"/>
          <w:u w:val="single"/>
        </w:rPr>
        <w:t>SEC Filings and Other Disclosures</w:t>
      </w:r>
      <w:r>
        <w:rPr>
          <w:rFonts w:ascii="Times New Roman" w:hAnsi="Times New Roman"/>
          <w:b w:val="false"/>
          <w:i w:val="false"/>
          <w:caps w:val="false"/>
          <w:smallCaps w:val="false"/>
          <w:sz w:val="22"/>
        </w:rPr>
        <w:t xml:space="preserve">.  Either Party may disclose the terms of this Agreement as permitted by Section 14.2 or (a) to the extent required to comply with Applicable Law, including the rules and regulations promulgated by the United States Securities and Exchange Commission or any equivalent governmental agency in any country in the Territory; provided that [***] and (b) to its advisors (including financial advisors, attorneys and accountants), Third Parties conducting due diligence or similar investigations, including </w:t>
      </w:r>
      <w:r>
        <w:rPr>
          <w:rFonts w:ascii="Times New Roman" w:hAnsi="Times New Roman"/>
          <w:b w:val="false"/>
          <w:i/>
          <w:caps w:val="false"/>
          <w:smallCaps w:val="false"/>
          <w:sz w:val="22"/>
        </w:rPr>
        <w:t xml:space="preserve">bona fide </w:t>
      </w:r>
      <w:r>
        <w:rPr>
          <w:rFonts w:ascii="Times New Roman" w:hAnsi="Times New Roman"/>
          <w:b w:val="false"/>
          <w:i w:val="false"/>
          <w:caps w:val="false"/>
          <w:smallCaps w:val="false"/>
          <w:sz w:val="22"/>
        </w:rPr>
        <w:t>actual or potential acquisition or collaboration partners, financing sources or investors and underwriters, on a need to know basis; provided that such disclosure is covered by terms of confidentiality similar to those set forth herein (which may include professional ethical obligations).</w:t>
      </w:r>
    </w:p>
    <w:p>
      <w:pPr>
        <w:pStyle w:val="TextBody"/>
        <w:spacing w:before="0" w:after="240"/>
        <w:ind w:left="1260" w:right="0" w:hanging="0"/>
        <w:jc w:val="both"/>
        <w:rPr>
          <w:rFonts w:ascii="Times New Roman" w:hAnsi="Times New Roman"/>
          <w:b w:val="false"/>
          <w:i w:val="false"/>
          <w:caps w:val="false"/>
          <w:smallCaps w:val="false"/>
          <w:sz w:val="22"/>
        </w:rPr>
      </w:pPr>
      <w:bookmarkStart w:id="961" w:name="_Ref413447554"/>
      <w:bookmarkStart w:id="962" w:name="_Toc412296807"/>
      <w:bookmarkStart w:id="963" w:name="_Toc263802980"/>
      <w:bookmarkStart w:id="964" w:name="_Toc263802724"/>
      <w:bookmarkStart w:id="965" w:name="_Toc244589935"/>
      <w:bookmarkStart w:id="966" w:name="_Toc138487506"/>
      <w:bookmarkStart w:id="967" w:name="_Toc138487313"/>
      <w:bookmarkStart w:id="968" w:name="_Toc137310689"/>
      <w:bookmarkStart w:id="969" w:name="_Toc135754023"/>
      <w:bookmarkStart w:id="970" w:name="_Toc135582419"/>
      <w:bookmarkStart w:id="971" w:name="_Toc135582124"/>
      <w:bookmarkStart w:id="972" w:name="_Toc135580654"/>
      <w:bookmarkStart w:id="973" w:name="_Toc115199761"/>
      <w:bookmarkStart w:id="974" w:name="_Toc115199332"/>
      <w:bookmarkStart w:id="975" w:name="_Toc115166708"/>
      <w:bookmarkStart w:id="976" w:name="_Toc115152303"/>
      <w:bookmarkStart w:id="977" w:name="_Toc115151579"/>
      <w:bookmarkStart w:id="978" w:name="_Toc115145350"/>
      <w:bookmarkStart w:id="979" w:name="_Toc115119048"/>
      <w:bookmarkStart w:id="980" w:name="_Toc115080868"/>
      <w:bookmarkStart w:id="981" w:name="_Toc115080614"/>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r>
        <w:rPr>
          <w:rFonts w:ascii="Times New Roman" w:hAnsi="Times New Roman"/>
          <w:b w:val="false"/>
          <w:i w:val="false"/>
          <w:caps w:val="false"/>
          <w:smallCaps w:val="false"/>
          <w:sz w:val="22"/>
        </w:rPr>
        <w:t>14.4.</w:t>
      </w:r>
      <w:r>
        <w:rPr>
          <w:rFonts w:ascii="Times New Roman" w:hAnsi="Times New Roman"/>
          <w:b w:val="false"/>
          <w:i w:val="false"/>
          <w:caps w:val="false"/>
          <w:smallCaps w:val="false"/>
          <w:sz w:val="22"/>
          <w:u w:val="single"/>
        </w:rPr>
        <w:t>Public Announcements; Publications</w:t>
      </w:r>
      <w:r>
        <w:rPr>
          <w:rFonts w:ascii="Times New Roman" w:hAnsi="Times New Roman"/>
          <w:b w:val="false"/>
          <w:i w:val="false"/>
          <w:caps w:val="false"/>
          <w:smallCaps w:val="false"/>
          <w:sz w:val="22"/>
        </w:rPr>
        <w:t>.</w:t>
      </w:r>
    </w:p>
    <w:p>
      <w:pPr>
        <w:pStyle w:val="TextBody"/>
        <w:spacing w:before="0" w:after="240"/>
        <w:ind w:left="720" w:right="0" w:hanging="0"/>
        <w:jc w:val="both"/>
        <w:rPr>
          <w:rFonts w:ascii="Times New Roman" w:hAnsi="Times New Roman"/>
          <w:b w:val="false"/>
          <w:i w:val="false"/>
          <w:caps w:val="false"/>
          <w:smallCaps w:val="false"/>
          <w:sz w:val="22"/>
        </w:rPr>
      </w:pPr>
      <w:bookmarkStart w:id="982" w:name="_AEIOULastRenderedPageBreakAEIOU44"/>
      <w:bookmarkStart w:id="983" w:name="_Ref_docxtools_525"/>
      <w:bookmarkStart w:id="984" w:name="_Toc263802726"/>
      <w:bookmarkStart w:id="985" w:name="_Ref263801694"/>
      <w:bookmarkStart w:id="986" w:name="_Toc138487508"/>
      <w:bookmarkStart w:id="987" w:name="_Toc138487315"/>
      <w:bookmarkStart w:id="988" w:name="_Ref135585397"/>
      <w:bookmarkEnd w:id="982"/>
      <w:bookmarkEnd w:id="983"/>
      <w:bookmarkEnd w:id="984"/>
      <w:bookmarkEnd w:id="985"/>
      <w:bookmarkEnd w:id="986"/>
      <w:bookmarkEnd w:id="987"/>
      <w:bookmarkEnd w:id="988"/>
      <w:r>
        <w:rPr>
          <w:rFonts w:ascii="Times New Roman" w:hAnsi="Times New Roman"/>
          <w:b w:val="false"/>
          <w:i w:val="false"/>
          <w:caps w:val="false"/>
          <w:smallCaps w:val="false"/>
          <w:sz w:val="22"/>
        </w:rPr>
        <w:t>14.4.1.</w:t>
      </w:r>
      <w:r>
        <w:rPr>
          <w:rFonts w:ascii="Times New Roman" w:hAnsi="Times New Roman"/>
          <w:b w:val="false"/>
          <w:i w:val="false"/>
          <w:caps w:val="false"/>
          <w:smallCaps w:val="false"/>
          <w:sz w:val="22"/>
          <w:u w:val="single"/>
        </w:rPr>
        <w:t>Commercial Announcements</w:t>
      </w:r>
      <w:r>
        <w:rPr>
          <w:rFonts w:ascii="Times New Roman" w:hAnsi="Times New Roman"/>
          <w:b w:val="false"/>
          <w:i w:val="false"/>
          <w:caps w:val="false"/>
          <w:smallCaps w:val="false"/>
          <w:sz w:val="22"/>
        </w:rPr>
        <w:t xml:space="preserve">.  The Parties will jointly issue a press release, in the form attached hereto as </w:t>
      </w:r>
      <w:r>
        <w:rPr>
          <w:rFonts w:ascii="Times New Roman" w:hAnsi="Times New Roman"/>
          <w:b w:val="false"/>
          <w:i w:val="false"/>
          <w:caps w:val="false"/>
          <w:smallCaps w:val="false"/>
          <w:sz w:val="22"/>
          <w:u w:val="single"/>
        </w:rPr>
        <w:t>Exhibit D</w:t>
      </w:r>
      <w:r>
        <w:rPr>
          <w:rFonts w:ascii="Times New Roman" w:hAnsi="Times New Roman"/>
          <w:b w:val="false"/>
          <w:i w:val="false"/>
          <w:caps w:val="false"/>
          <w:smallCaps w:val="false"/>
          <w:sz w:val="22"/>
        </w:rPr>
        <w:t xml:space="preserve">, regarding the signing of this Agreement on a date to be determined by the Parties promptly following the Effective Date.  Except as set forth in the preceding sentence and as may be expressly permitted under Section 14.3 or Section 14.4.2, or as required to comply with Applicable Law (including the rules and regulations promulgated by the United States Securities and Exchange Commission or any equivalent governmental agency in any country in the Territory), neither Party will make any public announcement or press release, or post social media content, regarding this Agreement without giving prior written notice to the other Party; provided that if any such public announcement or press release, or social media post contains any data or status updates regarding the Research Program, the prior written approval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44</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of the other Party will be required. If a Party desires to make any such public announcement, press release or posting of social media content relating to this Agreement, then such Party shall: [***].  For the avoidance of doubt, the contents of any announcement, press release or posting of social media content that have been published or presented once pursuant to this Section 14.4.1 may be subsequently published or presented without the need for further notice to the other Party.</w:t>
      </w:r>
    </w:p>
    <w:p>
      <w:pPr>
        <w:pStyle w:val="TextBody"/>
        <w:spacing w:before="0" w:after="240"/>
        <w:ind w:left="720" w:right="0" w:hanging="0"/>
        <w:jc w:val="both"/>
        <w:rPr>
          <w:rFonts w:ascii="Times New Roman" w:hAnsi="Times New Roman"/>
          <w:b w:val="false"/>
          <w:i w:val="false"/>
          <w:caps w:val="false"/>
          <w:smallCaps w:val="false"/>
          <w:sz w:val="22"/>
        </w:rPr>
      </w:pPr>
      <w:bookmarkStart w:id="989" w:name="_Ref_docxtools_526"/>
      <w:bookmarkStart w:id="990" w:name="_Ref66196684"/>
      <w:bookmarkStart w:id="991" w:name="_Toc263802727"/>
      <w:bookmarkStart w:id="992" w:name="_Ref263791624"/>
      <w:bookmarkStart w:id="993" w:name="_Toc138487509"/>
      <w:bookmarkStart w:id="994" w:name="_Toc138487316"/>
      <w:bookmarkStart w:id="995" w:name="_Ref135585312"/>
      <w:bookmarkStart w:id="996" w:name="_Ref62589740"/>
      <w:bookmarkEnd w:id="989"/>
      <w:bookmarkEnd w:id="990"/>
      <w:bookmarkEnd w:id="991"/>
      <w:bookmarkEnd w:id="992"/>
      <w:bookmarkEnd w:id="993"/>
      <w:bookmarkEnd w:id="994"/>
      <w:bookmarkEnd w:id="995"/>
      <w:bookmarkEnd w:id="996"/>
      <w:r>
        <w:rPr>
          <w:rFonts w:ascii="Times New Roman" w:hAnsi="Times New Roman"/>
          <w:b w:val="false"/>
          <w:i w:val="false"/>
          <w:caps w:val="false"/>
          <w:smallCaps w:val="false"/>
          <w:sz w:val="22"/>
        </w:rPr>
        <w:t>14.4.2.</w:t>
      </w:r>
      <w:r>
        <w:rPr>
          <w:rFonts w:ascii="Times New Roman" w:hAnsi="Times New Roman"/>
          <w:b w:val="false"/>
          <w:i w:val="false"/>
          <w:caps w:val="false"/>
          <w:smallCaps w:val="false"/>
          <w:sz w:val="22"/>
          <w:u w:val="single"/>
        </w:rPr>
        <w:t>Non-Commercial Publications</w:t>
      </w:r>
      <w:r>
        <w:rPr>
          <w:rFonts w:ascii="Times New Roman" w:hAnsi="Times New Roman"/>
          <w:b w:val="false"/>
          <w:i w:val="false"/>
          <w:caps w:val="false"/>
          <w:smallCaps w:val="false"/>
          <w:sz w:val="22"/>
        </w:rPr>
        <w:t>.  During the Term, each Party will submit to the other Party (the “</w:t>
      </w:r>
      <w:r>
        <w:rPr>
          <w:rFonts w:ascii="Times New Roman" w:hAnsi="Times New Roman"/>
          <w:b/>
          <w:i w:val="false"/>
          <w:caps w:val="false"/>
          <w:smallCaps w:val="false"/>
          <w:sz w:val="22"/>
        </w:rPr>
        <w:t>Non-Disclosing Party</w:t>
      </w:r>
      <w:r>
        <w:rPr>
          <w:rFonts w:ascii="Times New Roman" w:hAnsi="Times New Roman"/>
          <w:b w:val="false"/>
          <w:i w:val="false"/>
          <w:caps w:val="false"/>
          <w:smallCaps w:val="false"/>
          <w:sz w:val="22"/>
        </w:rPr>
        <w:t>”) for review and approval any proposed academic, scientific and medical publication or public presentation related to any Collaboration Product or any Research Activities for any Collaboration Product.  In each such instance, such review and approval will be conducted for the purposes of preserving the value of the CRISPR Technology and the Nkarta Technology, the rights granted to the Parties hereunder and determining whether any portion of the proposed publication or presentation containing the Non-Disclosing Party’s Confidential Information should be modified or deleted.  Written copies of such proposed publication or presentation required to be submitted hereunder will be submitted to the Non-Disclosing Party no later than [***] Business Days before submission for publication or presentation ([***] Business Days in advance in the case of an abstract).  The Non-Disclosing Party will provide its comments with respect to such publications and presentations within [***] Business Days of its receipt of such written copy (or [***] Business Days in the case of an abstract).  The review period may be extended for an additional [***] days if the Non-Disclosing Party reasonably requests such extension including for the preparation and filing of patent applications.  Notwithstanding anything to the contrary, the Non-Disclosing Party may require that the other Party redact the Non-Disclosing Party’s Confidential Information from any such proposed publication or presentation.  CRISPR and Nkarta will each comply with standard academic practice regarding authorship of scientific publications and recognition of contribution of other Party in any publication.  For the avoidance of doubt, the contents of all publications or public presentation that have been approved once pursuant to this Section 14.4.2 may be subsequently published or presented without the need for further review and approval.</w:t>
      </w:r>
    </w:p>
    <w:p>
      <w:pPr>
        <w:pStyle w:val="TextBody"/>
        <w:spacing w:before="0" w:after="240"/>
        <w:jc w:val="center"/>
        <w:rPr>
          <w:rFonts w:ascii="Times New Roman" w:hAnsi="Times New Roman"/>
          <w:b/>
          <w:i w:val="false"/>
          <w:caps w:val="false"/>
          <w:smallCaps w:val="false"/>
          <w:sz w:val="22"/>
        </w:rPr>
      </w:pPr>
      <w:bookmarkStart w:id="997" w:name="_Ref_docxtools_5271"/>
      <w:bookmarkStart w:id="998" w:name="_Ref5158738741"/>
      <w:bookmarkEnd w:id="997"/>
      <w:bookmarkEnd w:id="998"/>
      <w:r>
        <w:rPr>
          <w:rFonts w:ascii="Times New Roman" w:hAnsi="Times New Roman"/>
          <w:b/>
          <w:i w:val="false"/>
          <w:caps w:val="false"/>
          <w:smallCaps w:val="false"/>
          <w:sz w:val="22"/>
        </w:rPr>
        <w:t>Article 15.</w:t>
        <w:br/>
      </w:r>
      <w:bookmarkStart w:id="999" w:name="_Ref_docxtools_527"/>
      <w:bookmarkStart w:id="1000" w:name="_Ref515873874"/>
      <w:bookmarkEnd w:id="999"/>
      <w:bookmarkEnd w:id="1000"/>
      <w:r>
        <w:rPr>
          <w:rFonts w:ascii="Times New Roman" w:hAnsi="Times New Roman"/>
          <w:b/>
          <w:i w:val="false"/>
          <w:caps w:val="false"/>
          <w:smallCaps w:val="false"/>
          <w:sz w:val="22"/>
        </w:rPr>
        <w:t>DISPUTE RESOLUTION</w:t>
      </w:r>
    </w:p>
    <w:p>
      <w:pPr>
        <w:pStyle w:val="TextBody"/>
        <w:spacing w:before="0" w:after="240"/>
        <w:ind w:left="1260" w:right="0" w:hanging="0"/>
        <w:jc w:val="both"/>
        <w:rPr>
          <w:rFonts w:ascii="Times New Roman" w:hAnsi="Times New Roman"/>
          <w:b w:val="false"/>
          <w:i w:val="false"/>
          <w:caps w:val="false"/>
          <w:smallCaps w:val="false"/>
          <w:sz w:val="22"/>
        </w:rPr>
      </w:pPr>
      <w:bookmarkStart w:id="1001" w:name="_Ref_docxtools_528"/>
      <w:bookmarkStart w:id="1002" w:name="_Ref515875116"/>
      <w:bookmarkEnd w:id="1001"/>
      <w:bookmarkEnd w:id="1002"/>
      <w:r>
        <w:rPr>
          <w:rFonts w:ascii="Times New Roman" w:hAnsi="Times New Roman"/>
          <w:b w:val="false"/>
          <w:i w:val="false"/>
          <w:caps w:val="false"/>
          <w:smallCaps w:val="false"/>
          <w:sz w:val="22"/>
        </w:rPr>
        <w:t>15.1.</w:t>
      </w:r>
      <w:r>
        <w:rPr>
          <w:rFonts w:ascii="Times New Roman" w:hAnsi="Times New Roman"/>
          <w:b w:val="false"/>
          <w:i w:val="false"/>
          <w:caps w:val="false"/>
          <w:smallCaps w:val="false"/>
          <w:sz w:val="22"/>
          <w:u w:val="single"/>
        </w:rPr>
        <w:t>Disputes; Executive Officers</w:t>
      </w:r>
      <w:r>
        <w:rPr>
          <w:rFonts w:ascii="Times New Roman" w:hAnsi="Times New Roman"/>
          <w:b w:val="false"/>
          <w:i w:val="false"/>
          <w:caps w:val="false"/>
          <w:smallCaps w:val="false"/>
          <w:sz w:val="22"/>
        </w:rPr>
        <w:t>.  It is the objective of the Parties to establish procedures to facilitate the resolution of disputes arising under this Agreement in an expedient manner by mutual cooperation and without resort to litigation.  In the event of any dispute, controversy, claim or difference which may arise between the Parties out of or in relation to or in connection with this Agreement, excluding any dispute arising out of the JSC, but including any alleged failure to perform, or breach, of this Agreement, or any issue relating to the interpretation or application of this Agreement (“</w:t>
      </w:r>
      <w:r>
        <w:rPr>
          <w:rFonts w:ascii="Times New Roman" w:hAnsi="Times New Roman"/>
          <w:b/>
          <w:i w:val="false"/>
          <w:caps w:val="false"/>
          <w:smallCaps w:val="false"/>
          <w:sz w:val="22"/>
        </w:rPr>
        <w:t>Dispute</w:t>
      </w:r>
      <w:r>
        <w:rPr>
          <w:rFonts w:ascii="Times New Roman" w:hAnsi="Times New Roman"/>
          <w:b w:val="false"/>
          <w:i w:val="false"/>
          <w:caps w:val="false"/>
          <w:smallCaps w:val="false"/>
          <w:sz w:val="22"/>
        </w:rPr>
        <w:t>”), then upon the request of either Party by written notice, the Parties agree to meet and discuss in good faith a possible resolution thereof, which good faith efforts shall include at least one in-person meeting between the Executive Officers of each Party.  If the Dispute is not resolved within [***] days following the written request for discussions, either Party may then invoke the provisions of Section 15.2 or Section 15.7, as appropriate.</w:t>
      </w:r>
    </w:p>
    <w:p>
      <w:pPr>
        <w:pStyle w:val="TextBody"/>
        <w:spacing w:before="0" w:after="240"/>
        <w:ind w:left="1260" w:right="0" w:hanging="0"/>
        <w:jc w:val="both"/>
        <w:rPr>
          <w:rFonts w:ascii="Times New Roman" w:hAnsi="Times New Roman"/>
          <w:b w:val="false"/>
          <w:i w:val="false"/>
          <w:caps w:val="false"/>
          <w:smallCaps w:val="false"/>
          <w:sz w:val="22"/>
        </w:rPr>
      </w:pPr>
      <w:bookmarkStart w:id="1003" w:name="_Ref515880353"/>
      <w:bookmarkStart w:id="1004" w:name="_Ref515874254"/>
      <w:bookmarkStart w:id="1005" w:name="_Ref517425248"/>
      <w:bookmarkEnd w:id="1003"/>
      <w:bookmarkEnd w:id="1004"/>
      <w:bookmarkEnd w:id="1005"/>
      <w:r>
        <w:rPr>
          <w:rFonts w:ascii="Times New Roman" w:hAnsi="Times New Roman"/>
          <w:b w:val="false"/>
          <w:i w:val="false"/>
          <w:caps w:val="false"/>
          <w:smallCaps w:val="false"/>
          <w:sz w:val="22"/>
        </w:rPr>
        <w:t>15.2.</w:t>
      </w:r>
      <w:r>
        <w:rPr>
          <w:rFonts w:ascii="Times New Roman" w:hAnsi="Times New Roman"/>
          <w:b w:val="false"/>
          <w:i w:val="false"/>
          <w:caps w:val="false"/>
          <w:smallCaps w:val="false"/>
          <w:sz w:val="22"/>
          <w:u w:val="single"/>
        </w:rPr>
        <w:t>Arbitration</w:t>
      </w:r>
      <w:r>
        <w:rPr>
          <w:rFonts w:ascii="Times New Roman" w:hAnsi="Times New Roman"/>
          <w:b w:val="false"/>
          <w:i w:val="false"/>
          <w:caps w:val="false"/>
          <w:smallCaps w:val="false"/>
          <w:sz w:val="22"/>
        </w:rPr>
        <w:t>.  Any Dispute that is not resolved pursuant to Section 15.1, except for a Dispute described in Section 15.7, shall be settled by binding arbitration as follows.  Either Party, following the end of the [***] day period referenced in Section 15.1, may refer such issue to arbitration by submitting a written notice of such request to the other Party.</w:t>
      </w:r>
    </w:p>
    <w:p>
      <w:pPr>
        <w:pStyle w:val="TextBody"/>
        <w:spacing w:before="0" w:after="240"/>
        <w:ind w:left="720" w:right="0" w:hanging="0"/>
        <w:jc w:val="both"/>
        <w:rPr>
          <w:rFonts w:ascii="Times New Roman" w:hAnsi="Times New Roman"/>
          <w:b w:val="false"/>
          <w:i w:val="false"/>
          <w:caps w:val="false"/>
          <w:smallCaps w:val="false"/>
          <w:sz w:val="22"/>
        </w:rPr>
      </w:pPr>
      <w:bookmarkStart w:id="1006" w:name="El24n1O"/>
      <w:bookmarkStart w:id="1007" w:name="El23n1O"/>
      <w:bookmarkStart w:id="1008" w:name="El2im1O"/>
      <w:bookmarkStart w:id="1009" w:name="_AEIOULastRenderedPageBreakAEIOU45"/>
      <w:bookmarkStart w:id="1010" w:name="_Ref517426362"/>
      <w:bookmarkEnd w:id="1006"/>
      <w:bookmarkEnd w:id="1007"/>
      <w:bookmarkEnd w:id="1008"/>
      <w:bookmarkEnd w:id="1009"/>
      <w:bookmarkEnd w:id="1010"/>
      <w:r>
        <w:rPr>
          <w:rFonts w:ascii="Times New Roman" w:hAnsi="Times New Roman"/>
          <w:b w:val="false"/>
          <w:i w:val="false"/>
          <w:caps w:val="false"/>
          <w:smallCaps w:val="false"/>
          <w:sz w:val="22"/>
        </w:rPr>
        <w:t>15.2.1.</w:t>
      </w:r>
      <w:r>
        <w:rPr>
          <w:rFonts w:ascii="Times New Roman" w:hAnsi="Times New Roman"/>
          <w:b w:val="false"/>
          <w:i w:val="false"/>
          <w:caps w:val="false"/>
          <w:smallCaps w:val="false"/>
          <w:sz w:val="22"/>
          <w:u w:val="single"/>
        </w:rPr>
        <w:t>Selection of Expert and Submission of Positions</w:t>
      </w:r>
      <w:r>
        <w:rPr>
          <w:rFonts w:ascii="Times New Roman" w:hAnsi="Times New Roman"/>
          <w:b w:val="false"/>
          <w:i w:val="false"/>
          <w:caps w:val="false"/>
          <w:smallCaps w:val="false"/>
          <w:sz w:val="22"/>
        </w:rPr>
        <w:t xml:space="preserve">.  Promptly following receipt of such notice, the Parties will select and agree upon a mutually acceptable independent Third Party arbitrator who is (a) neutral, disinterested and impartial, and (b) has experience in the pharmaceutical and biotechnology industries and, if applicable, scientific expertise appropriate for understanding and resolving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45</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such Dispute (the “</w:t>
      </w:r>
      <w:r>
        <w:rPr>
          <w:rFonts w:ascii="Times New Roman" w:hAnsi="Times New Roman"/>
          <w:b/>
          <w:i w:val="false"/>
          <w:caps w:val="false"/>
          <w:smallCaps w:val="false"/>
          <w:sz w:val="22"/>
        </w:rPr>
        <w:t>Expert</w:t>
      </w:r>
      <w:r>
        <w:rPr>
          <w:rFonts w:ascii="Times New Roman" w:hAnsi="Times New Roman"/>
          <w:b w:val="false"/>
          <w:i w:val="false"/>
          <w:caps w:val="false"/>
          <w:smallCaps w:val="false"/>
          <w:sz w:val="22"/>
        </w:rPr>
        <w:t>”).  If the Parties are unable to mutually agree upon an Expert within [***] days</w:t>
      </w:r>
      <w:bookmarkStart w:id="1011" w:name="El2im1O1"/>
      <w:bookmarkEnd w:id="1011"/>
      <w:r>
        <w:rPr>
          <w:rFonts w:ascii="Times New Roman" w:hAnsi="Times New Roman"/>
          <w:b w:val="false"/>
          <w:i w:val="false"/>
          <w:caps w:val="false"/>
          <w:smallCaps w:val="false"/>
          <w:sz w:val="22"/>
        </w:rPr>
        <w:t xml:space="preserve"> following the delivery of the request for arbitration (or such longer period as agreed by the Parties), one individual who would qualify as an Expert</w:t>
      </w:r>
      <w:bookmarkStart w:id="1012" w:name="El23n1O1"/>
      <w:bookmarkEnd w:id="1012"/>
      <w:r>
        <w:rPr>
          <w:rFonts w:ascii="Times New Roman" w:hAnsi="Times New Roman"/>
          <w:b w:val="false"/>
          <w:i w:val="false"/>
          <w:caps w:val="false"/>
          <w:smallCaps w:val="false"/>
          <w:sz w:val="22"/>
        </w:rPr>
        <w:t xml:space="preserve"> selected by Nkarta and one individual who would qualify as an Expert selected by CRISPR shall together </w:t>
      </w:r>
      <w:bookmarkStart w:id="1013" w:name="El24n1O1"/>
      <w:bookmarkEnd w:id="1013"/>
      <w:r>
        <w:rPr>
          <w:rFonts w:ascii="Times New Roman" w:hAnsi="Times New Roman"/>
          <w:b w:val="false"/>
          <w:i w:val="false"/>
          <w:caps w:val="false"/>
          <w:smallCaps w:val="false"/>
          <w:sz w:val="22"/>
        </w:rPr>
        <w:t>select one individual who would qualify as an Expert, who shall be appointed as the Expert for purposes of such Dispute.  Once the Expert has been selected, each Party will within [***] days following selection of the Expert provide the Expert and the other Party with a written report setting forth its position with respect to the substance of the dispute and may submit a revised or updated report and position to the Expert within [***] days of receiving the other Party’s report.  If so requested by the Expert, each Party will make oral submissions to the Expert based on such Party’s written report, and each Party will have the right to be present during any such oral submissions.</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15.2.2.</w:t>
      </w:r>
      <w:r>
        <w:rPr>
          <w:rFonts w:ascii="Times New Roman" w:hAnsi="Times New Roman"/>
          <w:b w:val="false"/>
          <w:i w:val="false"/>
          <w:caps w:val="false"/>
          <w:smallCaps w:val="false"/>
          <w:sz w:val="22"/>
          <w:u w:val="single"/>
        </w:rPr>
        <w:t>Rules for Proceedings</w:t>
      </w:r>
      <w:r>
        <w:rPr>
          <w:rFonts w:ascii="Times New Roman" w:hAnsi="Times New Roman"/>
          <w:b w:val="false"/>
          <w:i w:val="false"/>
          <w:caps w:val="false"/>
          <w:smallCaps w:val="false"/>
          <w:sz w:val="22"/>
        </w:rPr>
        <w:t>.  The proceedings will be conducted as a binding arbitration in accordance with AAA procedures, as modified by this Section 15.2 (including that [***]).  The Expert may retain a Third Party expert to assist the Expert in analyzing the Dispute, and the expenses of any such expert will be shared by the Parties as costs of the arbitration as provided in Section 15.2.4.  All proceedings and communications shall be in English.  Either Party may apply to the Expert for interim injunctive relief.  The Parties shall have the right to be represented by counsel.</w:t>
      </w:r>
    </w:p>
    <w:p>
      <w:pPr>
        <w:pStyle w:val="TextBody"/>
        <w:spacing w:before="0" w:after="240"/>
        <w:ind w:left="720" w:right="0" w:hanging="0"/>
        <w:jc w:val="both"/>
        <w:rPr>
          <w:rFonts w:ascii="Times New Roman" w:hAnsi="Times New Roman"/>
          <w:b w:val="false"/>
          <w:i w:val="false"/>
          <w:caps w:val="false"/>
          <w:smallCaps w:val="false"/>
          <w:sz w:val="22"/>
        </w:rPr>
      </w:pPr>
      <w:bookmarkStart w:id="1014" w:name="_Ref517426593"/>
      <w:bookmarkEnd w:id="1014"/>
      <w:r>
        <w:rPr>
          <w:rFonts w:ascii="Times New Roman" w:hAnsi="Times New Roman"/>
          <w:b w:val="false"/>
          <w:i w:val="false"/>
          <w:caps w:val="false"/>
          <w:smallCaps w:val="false"/>
          <w:sz w:val="22"/>
        </w:rPr>
        <w:t>15.2.3.</w:t>
      </w:r>
      <w:r>
        <w:rPr>
          <w:rFonts w:ascii="Times New Roman" w:hAnsi="Times New Roman"/>
          <w:b w:val="false"/>
          <w:i w:val="false"/>
          <w:caps w:val="false"/>
          <w:smallCaps w:val="false"/>
          <w:sz w:val="22"/>
          <w:u w:val="single"/>
        </w:rPr>
        <w:t>Determination by the Expert</w:t>
      </w:r>
      <w:r>
        <w:rPr>
          <w:rFonts w:ascii="Times New Roman" w:hAnsi="Times New Roman"/>
          <w:b w:val="false"/>
          <w:i w:val="false"/>
          <w:caps w:val="false"/>
          <w:smallCaps w:val="false"/>
          <w:sz w:val="22"/>
        </w:rPr>
        <w:t>.  The Expert will render his or her final decision, including any award, if applicable, with respect to the Dispute.  In the case of: (a) any Dispute arising out of the JSC inability to reach agreement on (i) [***] (x) the Parties will each submit a [***]; (y) the Expert will [***]; and (z) the Parties shall promptly [***].  The decision of the Expert will be the sole, exclusive and binding remedy between the Parties regarding the Dispute submitted to such Expert, and shall be governed by the terms and conditions hereof, including the limitation on damages set forth in Section 12.5.  The Parties agree that such a judgment or award may be enforced in any court of competent jurisdiction.  The statute of limitations of the State of New York applicable to the commencement of a lawsuit shall apply to the commencement of arbitration under this Section 15.2.</w:t>
      </w:r>
    </w:p>
    <w:p>
      <w:pPr>
        <w:pStyle w:val="TextBody"/>
        <w:spacing w:before="0" w:after="240"/>
        <w:ind w:left="720" w:right="0" w:hanging="0"/>
        <w:jc w:val="both"/>
        <w:rPr>
          <w:rFonts w:ascii="Times New Roman" w:hAnsi="Times New Roman"/>
          <w:b w:val="false"/>
          <w:i w:val="false"/>
          <w:caps w:val="false"/>
          <w:smallCaps w:val="false"/>
          <w:sz w:val="22"/>
        </w:rPr>
      </w:pPr>
      <w:bookmarkStart w:id="1015" w:name="_Ref517427432"/>
      <w:bookmarkEnd w:id="1015"/>
      <w:r>
        <w:rPr>
          <w:rFonts w:ascii="Times New Roman" w:hAnsi="Times New Roman"/>
          <w:b w:val="false"/>
          <w:i w:val="false"/>
          <w:caps w:val="false"/>
          <w:smallCaps w:val="false"/>
          <w:sz w:val="22"/>
        </w:rPr>
        <w:t>15.2.4.</w:t>
      </w:r>
      <w:r>
        <w:rPr>
          <w:rFonts w:ascii="Times New Roman" w:hAnsi="Times New Roman"/>
          <w:b w:val="false"/>
          <w:i w:val="false"/>
          <w:caps w:val="false"/>
          <w:smallCaps w:val="false"/>
          <w:sz w:val="22"/>
          <w:u w:val="single"/>
        </w:rPr>
        <w:t>Location; Costs</w:t>
      </w:r>
      <w:r>
        <w:rPr>
          <w:rFonts w:ascii="Times New Roman" w:hAnsi="Times New Roman"/>
          <w:b w:val="false"/>
          <w:i w:val="false"/>
          <w:caps w:val="false"/>
          <w:smallCaps w:val="false"/>
          <w:sz w:val="22"/>
        </w:rPr>
        <w:t>.  Unless otherwise mutually agreed upon by the Parties, the arbitration will be conducted, and the seat of the arbitration will be, in Chicago, Illinois.  The Parties agree that [***].</w:t>
      </w:r>
    </w:p>
    <w:p>
      <w:pPr>
        <w:pStyle w:val="TextBody"/>
        <w:spacing w:before="0" w:after="240"/>
        <w:ind w:left="72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15.2.5.</w:t>
      </w:r>
      <w:r>
        <w:rPr>
          <w:rFonts w:ascii="Times New Roman" w:hAnsi="Times New Roman"/>
          <w:b w:val="false"/>
          <w:i w:val="false"/>
          <w:caps w:val="false"/>
          <w:smallCaps w:val="false"/>
          <w:sz w:val="22"/>
          <w:u w:val="single"/>
        </w:rPr>
        <w:t>Timetable for Completion</w:t>
      </w:r>
      <w:r>
        <w:rPr>
          <w:rFonts w:ascii="Times New Roman" w:hAnsi="Times New Roman"/>
          <w:b w:val="false"/>
          <w:i w:val="false"/>
          <w:caps w:val="false"/>
          <w:smallCaps w:val="false"/>
          <w:sz w:val="22"/>
        </w:rPr>
        <w:t>.  The Parties will use, and will direct the Expert to use, commercially reasonable efforts to resolve a dispute within [***] days after the selection of the Expert or, if resolution within [***] days is not reasonably achievable, as determined by the Expert, then as soon thereafter as is reasonably practicable.</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15.3.</w:t>
      </w:r>
      <w:r>
        <w:rPr>
          <w:rFonts w:ascii="Times New Roman" w:hAnsi="Times New Roman"/>
          <w:b w:val="false"/>
          <w:i w:val="false"/>
          <w:caps w:val="false"/>
          <w:smallCaps w:val="false"/>
          <w:sz w:val="22"/>
          <w:u w:val="single"/>
        </w:rPr>
        <w:t>Award</w:t>
      </w:r>
      <w:r>
        <w:rPr>
          <w:rFonts w:ascii="Times New Roman" w:hAnsi="Times New Roman"/>
          <w:b w:val="false"/>
          <w:i w:val="false"/>
          <w:caps w:val="false"/>
          <w:smallCaps w:val="false"/>
          <w:sz w:val="22"/>
        </w:rPr>
        <w:t>.  Any award to be paid by one Party to the other Party as determined by the Expert as set forth above under Section 15.2 shall be promptly paid in U.S. Dollars free of any tax, deduction or offset; and any costs, fees or taxes incident to enforcing the award shall, to the maximum extent permitted by law, be charged against the Party resisting enforcement.</w:t>
      </w:r>
    </w:p>
    <w:p>
      <w:pPr>
        <w:pStyle w:val="TextBody"/>
        <w:spacing w:before="0" w:after="240"/>
        <w:ind w:left="1260" w:right="0" w:hanging="0"/>
        <w:jc w:val="both"/>
        <w:rPr>
          <w:rFonts w:ascii="Times New Roman" w:hAnsi="Times New Roman"/>
          <w:b w:val="false"/>
          <w:i w:val="false"/>
          <w:caps w:val="false"/>
          <w:smallCaps w:val="false"/>
          <w:sz w:val="22"/>
        </w:rPr>
      </w:pPr>
      <w:bookmarkStart w:id="1016" w:name="_Ref515875204"/>
      <w:bookmarkEnd w:id="1016"/>
      <w:r>
        <w:rPr>
          <w:rFonts w:ascii="Times New Roman" w:hAnsi="Times New Roman"/>
          <w:b w:val="false"/>
          <w:i w:val="false"/>
          <w:caps w:val="false"/>
          <w:smallCaps w:val="false"/>
          <w:sz w:val="22"/>
        </w:rPr>
        <w:t>15.4.</w:t>
      </w:r>
      <w:r>
        <w:rPr>
          <w:rFonts w:ascii="Times New Roman" w:hAnsi="Times New Roman"/>
          <w:b w:val="false"/>
          <w:i w:val="false"/>
          <w:caps w:val="false"/>
          <w:smallCaps w:val="false"/>
          <w:sz w:val="22"/>
          <w:u w:val="single"/>
        </w:rPr>
        <w:t>Governing Law</w:t>
      </w:r>
      <w:r>
        <w:rPr>
          <w:rFonts w:ascii="Times New Roman" w:hAnsi="Times New Roman"/>
          <w:b w:val="false"/>
          <w:i w:val="false"/>
          <w:caps w:val="false"/>
          <w:smallCaps w:val="false"/>
          <w:sz w:val="22"/>
        </w:rPr>
        <w:t>.  This Agreement, and all claims arising under or in connection therewith, will be governed by and interpreted in accordance with the substantive laws of the State of New York, without regard to conflict of law principles thereof.</w:t>
      </w:r>
    </w:p>
    <w:p>
      <w:pPr>
        <w:pStyle w:val="TextBody"/>
        <w:spacing w:before="0" w:after="240"/>
        <w:ind w:left="1260" w:right="0" w:hanging="0"/>
        <w:jc w:val="both"/>
        <w:rPr>
          <w:rFonts w:ascii="Times New Roman" w:hAnsi="Times New Roman"/>
          <w:b w:val="false"/>
          <w:i w:val="false"/>
          <w:caps w:val="false"/>
          <w:smallCaps w:val="false"/>
          <w:sz w:val="22"/>
        </w:rPr>
      </w:pPr>
      <w:bookmarkStart w:id="1017" w:name="_AEIOULastRenderedPageBreakAEIOU46"/>
      <w:bookmarkStart w:id="1018" w:name="_Ref515880272"/>
      <w:bookmarkEnd w:id="1017"/>
      <w:bookmarkEnd w:id="1018"/>
      <w:r>
        <w:rPr>
          <w:rFonts w:ascii="Times New Roman" w:hAnsi="Times New Roman"/>
          <w:b w:val="false"/>
          <w:i w:val="false"/>
          <w:caps w:val="false"/>
          <w:smallCaps w:val="false"/>
          <w:sz w:val="22"/>
        </w:rPr>
        <w:t>15.5.</w:t>
      </w:r>
      <w:r>
        <w:rPr>
          <w:rFonts w:ascii="Times New Roman" w:hAnsi="Times New Roman"/>
          <w:b w:val="false"/>
          <w:i w:val="false"/>
          <w:caps w:val="false"/>
          <w:smallCaps w:val="false"/>
          <w:sz w:val="22"/>
          <w:u w:val="single"/>
        </w:rPr>
        <w:t>Injunctive Relief</w:t>
      </w:r>
      <w:r>
        <w:rPr>
          <w:rFonts w:ascii="Times New Roman" w:hAnsi="Times New Roman"/>
          <w:b w:val="false"/>
          <w:i w:val="false"/>
          <w:caps w:val="false"/>
          <w:smallCaps w:val="false"/>
          <w:sz w:val="22"/>
        </w:rPr>
        <w:t xml:space="preserve">.  Nothing in this Article 15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For the avoidance of doubt, nothing in this Section 15.5 shall otherwise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46</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limit a Breaching Party’s opportunity to cure a material breach as permitted in accordance with Section 13.2.1.</w:t>
      </w:r>
    </w:p>
    <w:p>
      <w:pPr>
        <w:pStyle w:val="TextBody"/>
        <w:spacing w:before="0" w:after="240"/>
        <w:ind w:left="126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15.6.</w:t>
      </w:r>
      <w:r>
        <w:rPr>
          <w:rFonts w:ascii="Times New Roman" w:hAnsi="Times New Roman"/>
          <w:b w:val="false"/>
          <w:i w:val="false"/>
          <w:caps w:val="false"/>
          <w:smallCaps w:val="false"/>
          <w:sz w:val="22"/>
          <w:u w:val="single"/>
        </w:rPr>
        <w:t>Confidentiality</w:t>
      </w:r>
      <w:r>
        <w:rPr>
          <w:rFonts w:ascii="Times New Roman" w:hAnsi="Times New Roman"/>
          <w:b w:val="false"/>
          <w:i w:val="false"/>
          <w:caps w:val="false"/>
          <w:smallCaps w:val="false"/>
          <w:sz w:val="22"/>
        </w:rPr>
        <w:t>.  The arbitration proceeding shall be confidential and the Expert shall issue appropriate protective orders to safeguard each Party’s Confidential Information.  Except as required by Applicable Law, no Party shall make (or instruct the Expert to make) any public announcement with respect to the proceedings or decision of the Expert without prior written consent of the other Party.  The existence of any Dispute submitted to arbitration, and the award, shall be kept in confidence by the Parties and the Expert, except as required in connection with the enforcement of such award or as otherwise required by Applicable Law.</w:t>
      </w:r>
    </w:p>
    <w:p>
      <w:pPr>
        <w:pStyle w:val="TextBody"/>
        <w:spacing w:before="0" w:after="240"/>
        <w:ind w:left="1260" w:right="0" w:hanging="0"/>
        <w:jc w:val="both"/>
        <w:rPr>
          <w:rFonts w:ascii="Times New Roman" w:hAnsi="Times New Roman"/>
          <w:b w:val="false"/>
          <w:i w:val="false"/>
          <w:caps w:val="false"/>
          <w:smallCaps w:val="false"/>
          <w:sz w:val="22"/>
        </w:rPr>
      </w:pPr>
      <w:bookmarkStart w:id="1019" w:name="_Ref515874279"/>
      <w:bookmarkEnd w:id="1019"/>
      <w:r>
        <w:rPr>
          <w:rFonts w:ascii="Times New Roman" w:hAnsi="Times New Roman"/>
          <w:b w:val="false"/>
          <w:i w:val="false"/>
          <w:caps w:val="false"/>
          <w:smallCaps w:val="false"/>
          <w:sz w:val="22"/>
        </w:rPr>
        <w:t>15.7.</w:t>
      </w:r>
      <w:r>
        <w:rPr>
          <w:rFonts w:ascii="Times New Roman" w:hAnsi="Times New Roman"/>
          <w:b w:val="false"/>
          <w:i w:val="false"/>
          <w:caps w:val="false"/>
          <w:smallCaps w:val="false"/>
          <w:sz w:val="22"/>
          <w:u w:val="single"/>
        </w:rPr>
        <w:t>Patent and Trademark Dispute</w:t>
      </w:r>
      <w:r>
        <w:rPr>
          <w:rFonts w:ascii="Times New Roman" w:hAnsi="Times New Roman"/>
          <w:b w:val="false"/>
          <w:i w:val="false"/>
          <w:caps w:val="false"/>
          <w:smallCaps w:val="false"/>
          <w:sz w:val="22"/>
        </w:rPr>
        <w:t>.  Notwithstanding Section 15.2, any Dispute relating to the scope, validity, enforceability or infringement of any CRISPR Patents, Nkarta Patents or trademarks claiming or Covering the manufacture, use, importation, offer for sale or sale of Collaboration Products or Nkarta Products shall be submitted to a court of competent jurisdiction in the country in which such patent or trademark rights were granted or arose.</w:t>
      </w:r>
    </w:p>
    <w:p>
      <w:pPr>
        <w:pStyle w:val="TextBody"/>
        <w:spacing w:before="0" w:after="240"/>
        <w:jc w:val="center"/>
        <w:rPr>
          <w:rFonts w:ascii="Times New Roman" w:hAnsi="Times New Roman"/>
          <w:b/>
          <w:i w:val="false"/>
          <w:caps w:val="false"/>
          <w:smallCaps w:val="false"/>
          <w:sz w:val="22"/>
        </w:rPr>
      </w:pPr>
      <w:bookmarkStart w:id="1020" w:name="_Ref4235398351"/>
      <w:bookmarkEnd w:id="1020"/>
      <w:r>
        <w:rPr>
          <w:rFonts w:ascii="Times New Roman" w:hAnsi="Times New Roman"/>
          <w:b/>
          <w:i w:val="false"/>
          <w:caps w:val="false"/>
          <w:smallCaps w:val="false"/>
          <w:sz w:val="22"/>
        </w:rPr>
        <w:t>Article 16.</w:t>
        <w:br/>
      </w:r>
      <w:bookmarkStart w:id="1021" w:name="_Ref423539835"/>
      <w:bookmarkEnd w:id="1021"/>
      <w:r>
        <w:rPr>
          <w:rFonts w:ascii="Times New Roman" w:hAnsi="Times New Roman"/>
          <w:b/>
          <w:i w:val="false"/>
          <w:caps w:val="false"/>
          <w:smallCaps w:val="false"/>
          <w:sz w:val="22"/>
        </w:rPr>
        <w:t>MISCELLANEOUS</w:t>
      </w:r>
    </w:p>
    <w:p>
      <w:pPr>
        <w:pStyle w:val="TextBody"/>
        <w:spacing w:before="0" w:after="240"/>
        <w:ind w:left="1260" w:right="0" w:hanging="0"/>
        <w:jc w:val="both"/>
        <w:rPr>
          <w:rFonts w:ascii="Times New Roman" w:hAnsi="Times New Roman"/>
          <w:b w:val="false"/>
          <w:i w:val="false"/>
          <w:caps w:val="false"/>
          <w:smallCaps w:val="false"/>
          <w:sz w:val="22"/>
        </w:rPr>
      </w:pPr>
      <w:bookmarkStart w:id="1022" w:name="_Toc263803003"/>
      <w:bookmarkStart w:id="1023" w:name="_Toc263802790"/>
      <w:bookmarkStart w:id="1024" w:name="_Ref263795273"/>
      <w:bookmarkStart w:id="1025" w:name="_Toc244589958"/>
      <w:bookmarkStart w:id="1026" w:name="_Toc138487534"/>
      <w:bookmarkStart w:id="1027" w:name="_Toc138487341"/>
      <w:bookmarkStart w:id="1028" w:name="_Toc137310711"/>
      <w:bookmarkStart w:id="1029" w:name="_Toc135754052"/>
      <w:bookmarkStart w:id="1030" w:name="_Ref135585807"/>
      <w:bookmarkStart w:id="1031" w:name="_Toc135582448"/>
      <w:bookmarkStart w:id="1032" w:name="_Toc135582153"/>
      <w:bookmarkStart w:id="1033" w:name="_Toc135580683"/>
      <w:bookmarkStart w:id="1034" w:name="_Toc115199784"/>
      <w:bookmarkStart w:id="1035" w:name="_Toc115199355"/>
      <w:bookmarkStart w:id="1036" w:name="_Toc115166733"/>
      <w:bookmarkStart w:id="1037" w:name="_Toc115152328"/>
      <w:bookmarkStart w:id="1038" w:name="_Toc115151604"/>
      <w:bookmarkStart w:id="1039" w:name="_Toc115145375"/>
      <w:bookmarkStart w:id="1040" w:name="_Toc115119073"/>
      <w:bookmarkStart w:id="1041" w:name="_Toc115080893"/>
      <w:bookmarkStart w:id="1042" w:name="_Toc115080639"/>
      <w:bookmarkStart w:id="1043" w:name="_Toc412296830"/>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Pr>
          <w:rFonts w:ascii="Times New Roman" w:hAnsi="Times New Roman"/>
          <w:b w:val="false"/>
          <w:i w:val="false"/>
          <w:caps w:val="false"/>
          <w:smallCaps w:val="false"/>
          <w:sz w:val="22"/>
        </w:rPr>
        <w:t>16.1.</w:t>
      </w:r>
      <w:r>
        <w:rPr>
          <w:rFonts w:ascii="Times New Roman" w:hAnsi="Times New Roman"/>
          <w:b w:val="false"/>
          <w:i w:val="false"/>
          <w:caps w:val="false"/>
          <w:smallCaps w:val="false"/>
          <w:sz w:val="22"/>
          <w:u w:val="single"/>
        </w:rPr>
        <w:t>Assignment</w:t>
      </w:r>
      <w:r>
        <w:rPr>
          <w:rFonts w:ascii="Times New Roman" w:hAnsi="Times New Roman"/>
          <w:b w:val="false"/>
          <w:i w:val="false"/>
          <w:caps w:val="false"/>
          <w:smallCaps w:val="false"/>
          <w:sz w:val="22"/>
        </w:rPr>
        <w:t>.  Neither this Agreement nor any interest hereunder will be assignable by either Party without the prior written consent of the other Party, except as follows: (a) either Party may, subject to the terms of this Agreement, assign its rights and obligations under this Agreement by way of sale of itself or the sale of the portion of such Party’s business to which this Agreement or the Research Program relates, through merger, sale of assets or sale of stock or ownership interest; provided that such sale is not primarily for the benefit of its creditors; and (b) either Party may assign its rights and obligations under this Agreement to any of its Affiliates; provided that such Party will remain liable for all of its rights and obligations under this Agreement.  An assigning Party will promptly notify the other Party of any assignment or transfer under the provisions of this Section 16.1.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16.1 will be void.</w:t>
      </w:r>
    </w:p>
    <w:p>
      <w:pPr>
        <w:pStyle w:val="TextBody"/>
        <w:spacing w:before="0" w:after="240"/>
        <w:ind w:left="1260" w:right="0" w:hanging="0"/>
        <w:jc w:val="both"/>
        <w:rPr>
          <w:rFonts w:ascii="Times New Roman" w:hAnsi="Times New Roman"/>
          <w:b w:val="false"/>
          <w:i w:val="false"/>
          <w:caps w:val="false"/>
          <w:smallCaps w:val="false"/>
          <w:sz w:val="22"/>
        </w:rPr>
      </w:pPr>
      <w:bookmarkStart w:id="1044" w:name="_Toc412296833"/>
      <w:bookmarkStart w:id="1045" w:name="_Toc263803005"/>
      <w:bookmarkStart w:id="1046" w:name="_Toc263802792"/>
      <w:bookmarkStart w:id="1047" w:name="_Toc244589960"/>
      <w:bookmarkStart w:id="1048" w:name="_Toc138487536"/>
      <w:bookmarkStart w:id="1049" w:name="_Toc138487343"/>
      <w:bookmarkStart w:id="1050" w:name="_Toc137310713"/>
      <w:bookmarkStart w:id="1051" w:name="_Toc135754054"/>
      <w:bookmarkStart w:id="1052" w:name="_Toc135582450"/>
      <w:bookmarkStart w:id="1053" w:name="_Toc135582155"/>
      <w:bookmarkStart w:id="1054" w:name="_Toc135580685"/>
      <w:bookmarkStart w:id="1055" w:name="_Toc115199786"/>
      <w:bookmarkStart w:id="1056" w:name="_Toc115199357"/>
      <w:bookmarkStart w:id="1057" w:name="_Toc115166735"/>
      <w:bookmarkStart w:id="1058" w:name="_Toc115152330"/>
      <w:bookmarkStart w:id="1059" w:name="_Toc115151606"/>
      <w:bookmarkStart w:id="1060" w:name="_Toc115145377"/>
      <w:bookmarkStart w:id="1061" w:name="_Toc115119075"/>
      <w:bookmarkStart w:id="1062" w:name="_Toc115080895"/>
      <w:bookmarkStart w:id="1063" w:name="_Toc115080641"/>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r>
        <w:rPr>
          <w:rFonts w:ascii="Times New Roman" w:hAnsi="Times New Roman"/>
          <w:b w:val="false"/>
          <w:i w:val="false"/>
          <w:caps w:val="false"/>
          <w:smallCaps w:val="false"/>
          <w:sz w:val="22"/>
        </w:rPr>
        <w:t>16.2.</w:t>
      </w:r>
      <w:r>
        <w:rPr>
          <w:rFonts w:ascii="Times New Roman" w:hAnsi="Times New Roman"/>
          <w:b w:val="false"/>
          <w:i w:val="false"/>
          <w:caps w:val="false"/>
          <w:smallCaps w:val="false"/>
          <w:sz w:val="22"/>
          <w:u w:val="single"/>
        </w:rPr>
        <w:t>Force Majeure</w:t>
      </w:r>
      <w:r>
        <w:rPr>
          <w:rFonts w:ascii="Times New Roman" w:hAnsi="Times New Roman"/>
          <w:b w:val="false"/>
          <w:i w:val="false"/>
          <w:caps w:val="false"/>
          <w:smallCaps w:val="false"/>
          <w:sz w:val="22"/>
        </w:rPr>
        <w:t>.  Each Party will be excused from the performance of its obligations under this Agreement to the extent that such performance is prevented by Force Majeure and the nonperforming Party promptly provides notice of the prevention to the other Party.  Such excuse will be continued so long as the condition constituting force majeure continues and the nonperforming Party uses Commercially Reasonable Efforts to remove the condition.</w:t>
      </w:r>
    </w:p>
    <w:p>
      <w:pPr>
        <w:pStyle w:val="TextBody"/>
        <w:spacing w:before="0" w:after="240"/>
        <w:ind w:left="1260" w:right="0" w:hanging="0"/>
        <w:jc w:val="both"/>
        <w:rPr>
          <w:rFonts w:ascii="Times New Roman" w:hAnsi="Times New Roman"/>
          <w:b w:val="false"/>
          <w:i w:val="false"/>
          <w:caps w:val="false"/>
          <w:smallCaps w:val="false"/>
          <w:sz w:val="22"/>
        </w:rPr>
      </w:pPr>
      <w:bookmarkStart w:id="1064" w:name="_Toc412296834"/>
      <w:bookmarkStart w:id="1065" w:name="_Toc263803006"/>
      <w:bookmarkStart w:id="1066" w:name="_Toc263802793"/>
      <w:bookmarkStart w:id="1067" w:name="_Toc244589961"/>
      <w:bookmarkStart w:id="1068" w:name="_Toc138487537"/>
      <w:bookmarkStart w:id="1069" w:name="_Toc138487344"/>
      <w:bookmarkStart w:id="1070" w:name="_Toc137310714"/>
      <w:bookmarkStart w:id="1071" w:name="_Toc135754055"/>
      <w:bookmarkStart w:id="1072" w:name="_Toc135582451"/>
      <w:bookmarkStart w:id="1073" w:name="_Toc135582156"/>
      <w:bookmarkStart w:id="1074" w:name="_Toc135580686"/>
      <w:bookmarkStart w:id="1075" w:name="_Toc115199787"/>
      <w:bookmarkStart w:id="1076" w:name="_Toc115199358"/>
      <w:bookmarkStart w:id="1077" w:name="_Toc115166736"/>
      <w:bookmarkStart w:id="1078" w:name="_Toc115152331"/>
      <w:bookmarkStart w:id="1079" w:name="_Toc115151607"/>
      <w:bookmarkStart w:id="1080" w:name="_Toc115145378"/>
      <w:bookmarkStart w:id="1081" w:name="_Toc115119076"/>
      <w:bookmarkStart w:id="1082" w:name="_Toc115080896"/>
      <w:bookmarkStart w:id="1083" w:name="_Toc115080642"/>
      <w:bookmarkStart w:id="1084" w:name="_Toc412296811"/>
      <w:bookmarkStart w:id="1085" w:name="_Toc263802984"/>
      <w:bookmarkStart w:id="1086" w:name="_Toc263802758"/>
      <w:bookmarkStart w:id="1087" w:name="_Toc244589939"/>
      <w:bookmarkStart w:id="1088" w:name="_Toc138487513"/>
      <w:bookmarkStart w:id="1089" w:name="_Toc138487320"/>
      <w:bookmarkStart w:id="1090" w:name="_Toc137310693"/>
      <w:bookmarkStart w:id="1091" w:name="_Toc135754027"/>
      <w:bookmarkStart w:id="1092" w:name="_Toc135582423"/>
      <w:bookmarkStart w:id="1093" w:name="_Toc135582128"/>
      <w:bookmarkStart w:id="1094" w:name="_Toc135580658"/>
      <w:bookmarkStart w:id="1095" w:name="_Toc115199765"/>
      <w:bookmarkStart w:id="1096" w:name="_Toc115199336"/>
      <w:bookmarkStart w:id="1097" w:name="_Toc115166713"/>
      <w:bookmarkStart w:id="1098" w:name="_Toc115152308"/>
      <w:bookmarkStart w:id="1099" w:name="_Toc115151584"/>
      <w:bookmarkStart w:id="1100" w:name="_Toc115145355"/>
      <w:bookmarkStart w:id="1101" w:name="_Toc115119053"/>
      <w:bookmarkStart w:id="1102" w:name="_Toc115080873"/>
      <w:bookmarkStart w:id="1103" w:name="_Toc115080619"/>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r>
        <w:rPr>
          <w:rFonts w:ascii="Times New Roman" w:hAnsi="Times New Roman"/>
          <w:b w:val="false"/>
          <w:i w:val="false"/>
          <w:caps w:val="false"/>
          <w:smallCaps w:val="false"/>
          <w:sz w:val="22"/>
        </w:rPr>
        <w:t>16.3.</w:t>
      </w:r>
      <w:r>
        <w:rPr>
          <w:rFonts w:ascii="Times New Roman" w:hAnsi="Times New Roman"/>
          <w:b w:val="false"/>
          <w:i w:val="false"/>
          <w:caps w:val="false"/>
          <w:smallCaps w:val="false"/>
          <w:sz w:val="22"/>
          <w:u w:val="single"/>
        </w:rPr>
        <w:t>Representation by Legal Counsel</w:t>
      </w:r>
      <w:r>
        <w:rPr>
          <w:rFonts w:ascii="Times New Roman" w:hAnsi="Times New Roman"/>
          <w:b w:val="false"/>
          <w:i w:val="false"/>
          <w:caps w:val="false"/>
          <w:smallCaps w:val="false"/>
          <w:sz w:val="22"/>
        </w:rPr>
        <w:t>.  Each Party hereto represents that it has been represented by legal counsel in connection with this Agreement and acknowledges that it has participated in the drafting hereof.  In interpreting and applying the terms and provisions of this Agreement, the Parties agree that no presumption will exist or be implied against the Party that drafted such terms and provisions.</w:t>
      </w:r>
    </w:p>
    <w:p>
      <w:pPr>
        <w:pStyle w:val="TextBody"/>
        <w:spacing w:before="0" w:after="240"/>
        <w:ind w:left="1260" w:right="0" w:hanging="0"/>
        <w:jc w:val="both"/>
        <w:rPr>
          <w:rFonts w:ascii="Times New Roman" w:hAnsi="Times New Roman"/>
          <w:b w:val="false"/>
          <w:i w:val="false"/>
          <w:caps w:val="false"/>
          <w:smallCaps w:val="false"/>
          <w:sz w:val="22"/>
        </w:rPr>
      </w:pPr>
      <w:bookmarkStart w:id="1104" w:name="_Ref433099070"/>
      <w:bookmarkEnd w:id="1104"/>
      <w:r>
        <w:rPr>
          <w:rFonts w:ascii="Times New Roman" w:hAnsi="Times New Roman"/>
          <w:b w:val="false"/>
          <w:i w:val="false"/>
          <w:caps w:val="false"/>
          <w:smallCaps w:val="false"/>
          <w:sz w:val="22"/>
        </w:rPr>
        <w:t>16.4.</w:t>
      </w:r>
      <w:r>
        <w:rPr>
          <w:rFonts w:ascii="Times New Roman" w:hAnsi="Times New Roman"/>
          <w:b w:val="false"/>
          <w:i w:val="false"/>
          <w:caps w:val="false"/>
          <w:smallCaps w:val="false"/>
          <w:sz w:val="22"/>
          <w:u w:val="single"/>
        </w:rPr>
        <w:t>Notices</w:t>
      </w:r>
      <w:r>
        <w:rPr>
          <w:rFonts w:ascii="Times New Roman" w:hAnsi="Times New Roman"/>
          <w:b w:val="false"/>
          <w:i w:val="false"/>
          <w:caps w:val="false"/>
          <w:smallCaps w:val="false"/>
          <w:sz w:val="22"/>
        </w:rPr>
        <w:t>.  All notices which are required or permitted pursuant to this Agreement shall be in writing in the English language and will be sufficient and deemed to have been duly given the earlier of when received by the addressee or five (5) Business Days after it was sent, if delivered personally, sent by internationally-recognized overnight courier or sent by registered or certified mail, postage prepaid, return receipt requested, addressed as follows:</w:t>
      </w:r>
    </w:p>
    <w:p>
      <w:pPr>
        <w:pStyle w:val="TextBody"/>
        <w:spacing w:before="0" w:after="240"/>
        <w:jc w:val="both"/>
        <w:rPr/>
      </w:pPr>
      <w:r>
        <w:rPr/>
        <w: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47</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4"/>
        </w:rPr>
      </w:pPr>
      <w:bookmarkStart w:id="1105" w:name="_AEIOULastRenderedPageBreakAEIOU47"/>
      <w:bookmarkEnd w:id="1105"/>
      <w:r>
        <w:rPr>
          <w:rFonts w:ascii="Times New Roman" w:hAnsi="Times New Roman"/>
          <w:b w:val="false"/>
          <w:i w:val="false"/>
          <w:caps w:val="false"/>
          <w:smallCaps w:val="false"/>
          <w:sz w:val="24"/>
        </w:rPr>
        <w:t>If to Nkarta:</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Nkarta, Inc.</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6000 Shoreline Ct, Suite 102</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South San Francisco, CA 94080</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Attn: [***]</w:t>
      </w:r>
    </w:p>
    <w:p>
      <w:pPr>
        <w:pStyle w:val="TextBody"/>
        <w:spacing w:before="0" w:after="0"/>
        <w:jc w:val="both"/>
        <w:rPr/>
      </w:pPr>
      <w:r>
        <w:rPr/>
        <w:t>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with a copy to:</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Nkarta, Inc.</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6000 Shoreline Ct, Suite 102</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South San Francisco, CA 94080</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Attn: Chief Legal Officer</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Email: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Cc: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and:</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If to CRISPR:</w:t>
      </w:r>
    </w:p>
    <w:p>
      <w:pPr>
        <w:pStyle w:val="TextBody"/>
        <w:spacing w:before="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CRISPR Therapeutics AG</w:t>
        <w:br/>
        <w:t>Baarerstrasse 14</w:t>
      </w:r>
    </w:p>
    <w:p>
      <w:pPr>
        <w:pStyle w:val="TextBody"/>
        <w:spacing w:before="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6300 Zug</w:t>
      </w:r>
    </w:p>
    <w:p>
      <w:pPr>
        <w:pStyle w:val="TextBody"/>
        <w:spacing w:before="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Switzerland</w:t>
      </w:r>
    </w:p>
    <w:p>
      <w:pPr>
        <w:pStyle w:val="TextBody"/>
        <w:spacing w:before="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Attn: [***]</w:t>
      </w:r>
    </w:p>
    <w:p>
      <w:pPr>
        <w:pStyle w:val="TextBody"/>
        <w:spacing w:before="0" w:after="0"/>
        <w:rPr/>
      </w:pPr>
      <w:r>
        <w:rPr/>
        <w:t> </w:t>
      </w:r>
    </w:p>
    <w:p>
      <w:pPr>
        <w:pStyle w:val="TextBody"/>
        <w:spacing w:before="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with copies to:</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CRISPR Therapeutics, Inc.</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610 Main Street</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Cambridge, MA 02139</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Attn: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email to [***]</w:t>
      </w:r>
    </w:p>
    <w:p>
      <w:pPr>
        <w:pStyle w:val="TextBody"/>
        <w:spacing w:before="0" w:after="0"/>
        <w:jc w:val="both"/>
        <w:rPr/>
      </w:pPr>
      <w:r>
        <w:rPr/>
        <w:t>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or to such other address as the Party to whom notice is to be given may have furnished to the other Party in writing in accordance herewith.</w:t>
      </w:r>
    </w:p>
    <w:p>
      <w:pPr>
        <w:pStyle w:val="TextBody"/>
        <w:spacing w:before="0" w:after="240"/>
        <w:ind w:left="1260" w:right="0" w:hanging="0"/>
        <w:jc w:val="both"/>
        <w:rPr>
          <w:rFonts w:ascii="Times New Roman" w:hAnsi="Times New Roman"/>
          <w:b w:val="false"/>
          <w:i w:val="false"/>
          <w:caps w:val="false"/>
          <w:smallCaps w:val="false"/>
          <w:sz w:val="22"/>
        </w:rPr>
      </w:pPr>
      <w:bookmarkStart w:id="1106" w:name="_Toc412296835"/>
      <w:bookmarkStart w:id="1107" w:name="_Toc263803007"/>
      <w:bookmarkStart w:id="1108" w:name="_Toc263802796"/>
      <w:bookmarkStart w:id="1109" w:name="_Toc244589962"/>
      <w:bookmarkStart w:id="1110" w:name="_Toc138487541"/>
      <w:bookmarkStart w:id="1111" w:name="_Toc138487348"/>
      <w:bookmarkStart w:id="1112" w:name="_Toc137310716"/>
      <w:bookmarkStart w:id="1113" w:name="_Toc135754057"/>
      <w:bookmarkStart w:id="1114" w:name="_Toc135582453"/>
      <w:bookmarkStart w:id="1115" w:name="_Toc135582158"/>
      <w:bookmarkStart w:id="1116" w:name="_Toc135580688"/>
      <w:bookmarkStart w:id="1117" w:name="_Toc115199788"/>
      <w:bookmarkStart w:id="1118" w:name="_Toc115199359"/>
      <w:bookmarkStart w:id="1119" w:name="_Toc115166737"/>
      <w:bookmarkStart w:id="1120" w:name="_Toc115152332"/>
      <w:bookmarkStart w:id="1121" w:name="_Toc115151608"/>
      <w:bookmarkStart w:id="1122" w:name="_Toc115145379"/>
      <w:bookmarkStart w:id="1123" w:name="_Toc115119077"/>
      <w:bookmarkStart w:id="1124" w:name="_Toc115080897"/>
      <w:bookmarkStart w:id="1125" w:name="_Toc115080643"/>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Pr>
          <w:rFonts w:ascii="Times New Roman" w:hAnsi="Times New Roman"/>
          <w:b w:val="false"/>
          <w:i w:val="false"/>
          <w:caps w:val="false"/>
          <w:smallCaps w:val="false"/>
          <w:sz w:val="22"/>
        </w:rPr>
        <w:t>16.5.</w:t>
      </w:r>
      <w:r>
        <w:rPr>
          <w:rFonts w:ascii="Times New Roman" w:hAnsi="Times New Roman"/>
          <w:b w:val="false"/>
          <w:i w:val="false"/>
          <w:caps w:val="false"/>
          <w:smallCaps w:val="false"/>
          <w:sz w:val="22"/>
          <w:u w:val="single"/>
        </w:rPr>
        <w:t>Amendment</w:t>
      </w:r>
      <w:r>
        <w:rPr>
          <w:rFonts w:ascii="Times New Roman" w:hAnsi="Times New Roman"/>
          <w:b w:val="false"/>
          <w:i w:val="false"/>
          <w:caps w:val="false"/>
          <w:smallCaps w:val="false"/>
          <w:sz w:val="22"/>
        </w:rPr>
        <w:t>.  No amendment, modification or supplement of any provision of this Agreement will be valid or effective unless made in writing and signed by a duly authorized officer of each of Party.</w:t>
      </w:r>
    </w:p>
    <w:p>
      <w:pPr>
        <w:pStyle w:val="TextBody"/>
        <w:spacing w:before="0" w:after="240"/>
        <w:ind w:left="1260" w:right="0" w:hanging="0"/>
        <w:jc w:val="both"/>
        <w:rPr>
          <w:rFonts w:ascii="Times New Roman" w:hAnsi="Times New Roman"/>
          <w:b w:val="false"/>
          <w:i w:val="false"/>
          <w:caps w:val="false"/>
          <w:smallCaps w:val="false"/>
          <w:sz w:val="22"/>
        </w:rPr>
      </w:pPr>
      <w:bookmarkStart w:id="1126" w:name="_Ref433031457"/>
      <w:bookmarkStart w:id="1127" w:name="_Toc412296836"/>
      <w:bookmarkStart w:id="1128" w:name="_Toc263803008"/>
      <w:bookmarkStart w:id="1129" w:name="_Toc263802797"/>
      <w:bookmarkStart w:id="1130" w:name="_Toc244589963"/>
      <w:bookmarkStart w:id="1131" w:name="_Toc138487542"/>
      <w:bookmarkStart w:id="1132" w:name="_Toc138487349"/>
      <w:bookmarkStart w:id="1133" w:name="_Toc137310717"/>
      <w:bookmarkStart w:id="1134" w:name="_Toc135754058"/>
      <w:bookmarkStart w:id="1135" w:name="_Toc135582454"/>
      <w:bookmarkStart w:id="1136" w:name="_Toc135582159"/>
      <w:bookmarkStart w:id="1137" w:name="_Toc135580689"/>
      <w:bookmarkStart w:id="1138" w:name="_Toc115199789"/>
      <w:bookmarkStart w:id="1139" w:name="_Toc115199360"/>
      <w:bookmarkStart w:id="1140" w:name="_Toc115166738"/>
      <w:bookmarkStart w:id="1141" w:name="_Toc115152333"/>
      <w:bookmarkStart w:id="1142" w:name="_Toc115151609"/>
      <w:bookmarkStart w:id="1143" w:name="_Toc115145380"/>
      <w:bookmarkStart w:id="1144" w:name="_Toc115119078"/>
      <w:bookmarkStart w:id="1145" w:name="_Toc115080898"/>
      <w:bookmarkStart w:id="1146" w:name="_Toc115080644"/>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ascii="Times New Roman" w:hAnsi="Times New Roman"/>
          <w:b w:val="false"/>
          <w:i w:val="false"/>
          <w:caps w:val="false"/>
          <w:smallCaps w:val="false"/>
          <w:sz w:val="22"/>
        </w:rPr>
        <w:t>16.6.</w:t>
      </w:r>
      <w:r>
        <w:rPr>
          <w:rFonts w:ascii="Times New Roman" w:hAnsi="Times New Roman"/>
          <w:b w:val="false"/>
          <w:i w:val="false"/>
          <w:caps w:val="false"/>
          <w:smallCaps w:val="false"/>
          <w:sz w:val="22"/>
          <w:u w:val="single"/>
        </w:rPr>
        <w:t>Waiver</w:t>
      </w:r>
      <w:r>
        <w:rPr>
          <w:rFonts w:ascii="Times New Roman" w:hAnsi="Times New Roman"/>
          <w:b w:val="false"/>
          <w:i w:val="false"/>
          <w:caps w:val="false"/>
          <w:smallCaps w:val="false"/>
          <w:sz w:val="22"/>
        </w:rPr>
        <w:t>.  No provision of this Agreement will be waived by any act, omission or knowledge of a Party or its agents or employees except by an instrument in writing expressly waiving such provision and signed by a duly authorized officer of the waiving Party.  The waiver by either of Nkarta or CRISPR of any breach of any provision hereof by the other Party will not be construed to be a waiver of any succeeding breach of such provision or a waiver of the provision itself.</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48</w:t>
      </w:r>
    </w:p>
    <w:p>
      <w:pPr>
        <w:pStyle w:val="HorizontalLine"/>
        <w:rPr/>
      </w:pPr>
      <w:r>
        <w:rPr/>
      </w:r>
    </w:p>
    <w:p>
      <w:pPr>
        <w:pStyle w:val="TextBody"/>
        <w:spacing w:before="0" w:after="0"/>
        <w:rPr/>
      </w:pPr>
      <w:r>
        <w:rPr/>
        <w:t> </w:t>
      </w:r>
    </w:p>
    <w:p>
      <w:pPr>
        <w:pStyle w:val="TextBody"/>
        <w:spacing w:before="0" w:after="240"/>
        <w:ind w:left="1260" w:right="0" w:hanging="0"/>
        <w:jc w:val="both"/>
        <w:rPr>
          <w:rFonts w:ascii="Times New Roman" w:hAnsi="Times New Roman"/>
          <w:b w:val="false"/>
          <w:i w:val="false"/>
          <w:caps w:val="false"/>
          <w:smallCaps w:val="false"/>
          <w:sz w:val="22"/>
        </w:rPr>
      </w:pPr>
      <w:bookmarkStart w:id="1147" w:name="_AEIOULastRenderedPageBreakAEIOU48"/>
      <w:bookmarkStart w:id="1148" w:name="_Toc412296837"/>
      <w:bookmarkStart w:id="1149" w:name="_Toc263803009"/>
      <w:bookmarkStart w:id="1150" w:name="_Toc263802798"/>
      <w:bookmarkStart w:id="1151" w:name="_Toc244589964"/>
      <w:bookmarkStart w:id="1152" w:name="_Toc138487543"/>
      <w:bookmarkStart w:id="1153" w:name="_Toc138487350"/>
      <w:bookmarkStart w:id="1154" w:name="_Toc137310718"/>
      <w:bookmarkStart w:id="1155" w:name="_Toc135754059"/>
      <w:bookmarkStart w:id="1156" w:name="_Toc135582455"/>
      <w:bookmarkStart w:id="1157" w:name="_Toc135582160"/>
      <w:bookmarkStart w:id="1158" w:name="_Toc135580690"/>
      <w:bookmarkStart w:id="1159" w:name="_Toc115199790"/>
      <w:bookmarkStart w:id="1160" w:name="_Toc115199361"/>
      <w:bookmarkStart w:id="1161" w:name="_Toc115166739"/>
      <w:bookmarkStart w:id="1162" w:name="_Toc115152334"/>
      <w:bookmarkStart w:id="1163" w:name="_Toc115151610"/>
      <w:bookmarkStart w:id="1164" w:name="_Toc115145381"/>
      <w:bookmarkStart w:id="1165" w:name="_Toc115119079"/>
      <w:bookmarkStart w:id="1166" w:name="_Toc115080899"/>
      <w:bookmarkStart w:id="1167" w:name="_Toc115080645"/>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r>
        <w:rPr>
          <w:rFonts w:ascii="Times New Roman" w:hAnsi="Times New Roman"/>
          <w:b w:val="false"/>
          <w:i w:val="false"/>
          <w:caps w:val="false"/>
          <w:smallCaps w:val="false"/>
          <w:sz w:val="22"/>
        </w:rPr>
        <w:t>16.7.</w:t>
      </w:r>
      <w:r>
        <w:rPr>
          <w:rFonts w:ascii="Times New Roman" w:hAnsi="Times New Roman"/>
          <w:b w:val="false"/>
          <w:i w:val="false"/>
          <w:caps w:val="false"/>
          <w:smallCaps w:val="false"/>
          <w:sz w:val="22"/>
          <w:u w:val="single"/>
        </w:rPr>
        <w:t>Severability</w:t>
      </w:r>
      <w:r>
        <w:rPr>
          <w:rFonts w:ascii="Times New Roman" w:hAnsi="Times New Roman"/>
          <w:b w:val="false"/>
          <w:i w:val="false"/>
          <w:caps w:val="false"/>
          <w:smallCaps w:val="false"/>
          <w:sz w:val="22"/>
        </w:rPr>
        <w:t>.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or portion thereof had never been contained in this Agreement, and there will be deemed substituted therefor such provision as will most nearly carry out the intent of the Parties as expressed in this Agreement to the fullest extent permitted by Applicable Law.</w:t>
      </w:r>
    </w:p>
    <w:p>
      <w:pPr>
        <w:pStyle w:val="TextBody"/>
        <w:spacing w:before="0" w:after="240"/>
        <w:ind w:left="1260" w:right="0" w:hanging="0"/>
        <w:jc w:val="both"/>
        <w:rPr>
          <w:rFonts w:ascii="Times New Roman" w:hAnsi="Times New Roman"/>
          <w:b w:val="false"/>
          <w:i w:val="false"/>
          <w:caps w:val="false"/>
          <w:smallCaps w:val="false"/>
          <w:sz w:val="22"/>
        </w:rPr>
      </w:pPr>
      <w:bookmarkStart w:id="1168" w:name="_Toc412296838"/>
      <w:bookmarkStart w:id="1169" w:name="_Toc263803010"/>
      <w:bookmarkStart w:id="1170" w:name="_Toc263802799"/>
      <w:bookmarkStart w:id="1171" w:name="_Toc244589965"/>
      <w:bookmarkStart w:id="1172" w:name="_Toc138487544"/>
      <w:bookmarkStart w:id="1173" w:name="_Toc138487351"/>
      <w:bookmarkStart w:id="1174" w:name="_Toc137310719"/>
      <w:bookmarkStart w:id="1175" w:name="_Toc135754060"/>
      <w:bookmarkStart w:id="1176" w:name="_Toc135582456"/>
      <w:bookmarkStart w:id="1177" w:name="_Toc135582161"/>
      <w:bookmarkStart w:id="1178" w:name="_Toc135580691"/>
      <w:bookmarkStart w:id="1179" w:name="_Toc115199791"/>
      <w:bookmarkStart w:id="1180" w:name="_Toc115199362"/>
      <w:bookmarkStart w:id="1181" w:name="_Toc115166740"/>
      <w:bookmarkStart w:id="1182" w:name="_Toc115152335"/>
      <w:bookmarkStart w:id="1183" w:name="_Toc115151611"/>
      <w:bookmarkStart w:id="1184" w:name="_Toc115145382"/>
      <w:bookmarkStart w:id="1185" w:name="_Toc115119080"/>
      <w:bookmarkStart w:id="1186" w:name="_Toc115080900"/>
      <w:bookmarkStart w:id="1187" w:name="_Toc115080646"/>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rFonts w:ascii="Times New Roman" w:hAnsi="Times New Roman"/>
          <w:b w:val="false"/>
          <w:i w:val="false"/>
          <w:caps w:val="false"/>
          <w:smallCaps w:val="false"/>
          <w:sz w:val="22"/>
        </w:rPr>
        <w:t>16.8.</w:t>
      </w:r>
      <w:r>
        <w:rPr>
          <w:rFonts w:ascii="Times New Roman" w:hAnsi="Times New Roman"/>
          <w:b w:val="false"/>
          <w:i w:val="false"/>
          <w:caps w:val="false"/>
          <w:smallCaps w:val="false"/>
          <w:sz w:val="22"/>
          <w:u w:val="single"/>
        </w:rPr>
        <w:t>Descriptive Headings</w:t>
      </w:r>
      <w:r>
        <w:rPr>
          <w:rFonts w:ascii="Times New Roman" w:hAnsi="Times New Roman"/>
          <w:b w:val="false"/>
          <w:i w:val="false"/>
          <w:caps w:val="false"/>
          <w:smallCaps w:val="false"/>
          <w:sz w:val="22"/>
        </w:rPr>
        <w:t>.  The descriptive headings of this Agreement are for convenience only and will be of no force or effect in construing or interpreting any of the provisions of this Agreement.</w:t>
      </w:r>
    </w:p>
    <w:p>
      <w:pPr>
        <w:pStyle w:val="TextBody"/>
        <w:spacing w:before="0" w:after="240"/>
        <w:ind w:left="1260" w:right="0" w:hanging="0"/>
        <w:jc w:val="both"/>
        <w:rPr>
          <w:rFonts w:ascii="Times New Roman" w:hAnsi="Times New Roman"/>
          <w:b w:val="false"/>
          <w:i w:val="false"/>
          <w:caps w:val="false"/>
          <w:smallCaps w:val="false"/>
          <w:sz w:val="22"/>
        </w:rPr>
      </w:pPr>
      <w:bookmarkStart w:id="1188" w:name="_Toc115199792"/>
      <w:bookmarkStart w:id="1189" w:name="_Toc115199363"/>
      <w:bookmarkStart w:id="1190" w:name="_Toc115166741"/>
      <w:bookmarkStart w:id="1191" w:name="_Toc115152336"/>
      <w:bookmarkStart w:id="1192" w:name="_Toc115151612"/>
      <w:bookmarkStart w:id="1193" w:name="_Toc115145383"/>
      <w:bookmarkStart w:id="1194" w:name="_Toc115119081"/>
      <w:bookmarkStart w:id="1195" w:name="_Toc115080901"/>
      <w:bookmarkStart w:id="1196" w:name="_Toc115080647"/>
      <w:bookmarkStart w:id="1197" w:name="_Toc412296839"/>
      <w:bookmarkStart w:id="1198" w:name="_Toc263803011"/>
      <w:bookmarkStart w:id="1199" w:name="_Toc263802800"/>
      <w:bookmarkStart w:id="1200" w:name="_Ref263795959"/>
      <w:bookmarkStart w:id="1201" w:name="_Toc244589966"/>
      <w:bookmarkStart w:id="1202" w:name="_Toc138487545"/>
      <w:bookmarkStart w:id="1203" w:name="_Toc138487352"/>
      <w:bookmarkStart w:id="1204" w:name="_Toc137310720"/>
      <w:bookmarkStart w:id="1205" w:name="_Toc135754061"/>
      <w:bookmarkStart w:id="1206" w:name="_Toc135582457"/>
      <w:bookmarkStart w:id="1207" w:name="_Toc135582162"/>
      <w:bookmarkStart w:id="1208" w:name="_Toc135580692"/>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r>
        <w:rPr>
          <w:rFonts w:ascii="Times New Roman" w:hAnsi="Times New Roman"/>
          <w:b w:val="false"/>
          <w:i w:val="false"/>
          <w:caps w:val="false"/>
          <w:smallCaps w:val="false"/>
          <w:sz w:val="22"/>
        </w:rPr>
        <w:t>16.9.</w:t>
      </w:r>
      <w:r>
        <w:rPr>
          <w:rFonts w:ascii="Times New Roman" w:hAnsi="Times New Roman"/>
          <w:b w:val="false"/>
          <w:i w:val="false"/>
          <w:caps w:val="false"/>
          <w:smallCaps w:val="false"/>
          <w:sz w:val="22"/>
          <w:u w:val="single"/>
        </w:rPr>
        <w:t>Export Control</w:t>
      </w:r>
      <w:r>
        <w:rPr>
          <w:rFonts w:ascii="Times New Roman" w:hAnsi="Times New Roman"/>
          <w:b w:val="false"/>
          <w:i w:val="false"/>
          <w:caps w:val="false"/>
          <w:smallCaps w:val="false"/>
          <w:sz w:val="22"/>
        </w:rPr>
        <w:t>.  This Agreement is made subject to any restrictions concerning the export of products or technical information from the United States of America or other countries that may be imposed upon or related to CRISPR or Nkarta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Governmental Authority.</w:t>
      </w:r>
    </w:p>
    <w:p>
      <w:pPr>
        <w:pStyle w:val="TextBody"/>
        <w:spacing w:before="0" w:after="240"/>
        <w:ind w:left="1260" w:right="0" w:hanging="0"/>
        <w:jc w:val="both"/>
        <w:rPr>
          <w:rFonts w:ascii="Times New Roman" w:hAnsi="Times New Roman"/>
          <w:b w:val="false"/>
          <w:i w:val="false"/>
          <w:caps w:val="false"/>
          <w:smallCaps w:val="false"/>
          <w:sz w:val="22"/>
        </w:rPr>
      </w:pPr>
      <w:bookmarkStart w:id="1209" w:name="_Toc412296842"/>
      <w:bookmarkStart w:id="1210" w:name="_Toc263803015"/>
      <w:bookmarkStart w:id="1211" w:name="_Toc263802809"/>
      <w:bookmarkStart w:id="1212" w:name="_Toc244589970"/>
      <w:bookmarkStart w:id="1213" w:name="_Toc138487549"/>
      <w:bookmarkStart w:id="1214" w:name="_Toc138487356"/>
      <w:bookmarkStart w:id="1215" w:name="_Toc137310724"/>
      <w:bookmarkStart w:id="1216" w:name="_Toc135754065"/>
      <w:bookmarkStart w:id="1217" w:name="_Toc135582461"/>
      <w:bookmarkStart w:id="1218" w:name="_Toc135582166"/>
      <w:bookmarkStart w:id="1219" w:name="_Toc135580696"/>
      <w:bookmarkStart w:id="1220" w:name="_Toc115199793"/>
      <w:bookmarkStart w:id="1221" w:name="_Toc115199364"/>
      <w:bookmarkStart w:id="1222" w:name="_Toc115166742"/>
      <w:bookmarkStart w:id="1223" w:name="_Toc115152337"/>
      <w:bookmarkStart w:id="1224" w:name="_Toc115151613"/>
      <w:bookmarkStart w:id="1225" w:name="_Toc115145384"/>
      <w:bookmarkStart w:id="1226" w:name="_Toc115119082"/>
      <w:bookmarkStart w:id="1227" w:name="_Toc115080902"/>
      <w:bookmarkStart w:id="1228" w:name="_Toc11508064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r>
        <w:rPr>
          <w:rFonts w:ascii="Times New Roman" w:hAnsi="Times New Roman"/>
          <w:b w:val="false"/>
          <w:i w:val="false"/>
          <w:caps w:val="false"/>
          <w:smallCaps w:val="false"/>
          <w:sz w:val="22"/>
        </w:rPr>
        <w:t>16.10.</w:t>
      </w:r>
      <w:r>
        <w:rPr>
          <w:rFonts w:ascii="Times New Roman" w:hAnsi="Times New Roman"/>
          <w:b w:val="false"/>
          <w:i w:val="false"/>
          <w:caps w:val="false"/>
          <w:smallCaps w:val="false"/>
          <w:sz w:val="22"/>
          <w:u w:val="single"/>
        </w:rPr>
        <w:t>Entire Agreement</w:t>
      </w:r>
      <w:r>
        <w:rPr>
          <w:rFonts w:ascii="Times New Roman" w:hAnsi="Times New Roman"/>
          <w:b w:val="false"/>
          <w:i w:val="false"/>
          <w:caps w:val="false"/>
          <w:smallCaps w:val="false"/>
          <w:sz w:val="22"/>
        </w:rPr>
        <w:t>.  This Agreement constitutes and contains the complete, final and exclusive understanding and agreement of the Parties and cancels and supersedes any and all prior negotiations, correspondence, understandings and agreements, whether oral or written, between the Parties respecting the subject matter hereof and thereof, including that certain Mutual Confidentiality Agreement between Nkarta and CRISPR Therapeutics, Inc. dated March 28, 2019, which is hereby superseded and replaced in its entirety as of the Effective Date, and any Confidential Information disclosed by the Parties (or their Affiliates) under such agreement will be treated in accordance with the provisions of Article 14.</w:t>
      </w:r>
    </w:p>
    <w:p>
      <w:pPr>
        <w:pStyle w:val="TextBody"/>
        <w:spacing w:before="0" w:after="240"/>
        <w:ind w:left="1260" w:right="0" w:hanging="0"/>
        <w:jc w:val="both"/>
        <w:rPr>
          <w:rFonts w:ascii="Times New Roman" w:hAnsi="Times New Roman"/>
          <w:b w:val="false"/>
          <w:i w:val="false"/>
          <w:caps w:val="false"/>
          <w:smallCaps w:val="false"/>
          <w:sz w:val="22"/>
        </w:rPr>
      </w:pPr>
      <w:bookmarkStart w:id="1229" w:name="_Toc412296843"/>
      <w:bookmarkStart w:id="1230" w:name="_Toc263803016"/>
      <w:bookmarkStart w:id="1231" w:name="_Toc263802810"/>
      <w:bookmarkStart w:id="1232" w:name="_Toc244589971"/>
      <w:bookmarkStart w:id="1233" w:name="_Toc138487550"/>
      <w:bookmarkStart w:id="1234" w:name="_Toc138487357"/>
      <w:bookmarkStart w:id="1235" w:name="_Toc137310725"/>
      <w:bookmarkStart w:id="1236" w:name="_Toc135754066"/>
      <w:bookmarkStart w:id="1237" w:name="_Toc135582462"/>
      <w:bookmarkStart w:id="1238" w:name="_Toc135582167"/>
      <w:bookmarkStart w:id="1239" w:name="_Toc135580697"/>
      <w:bookmarkStart w:id="1240" w:name="_Toc115199794"/>
      <w:bookmarkStart w:id="1241" w:name="_Toc115199365"/>
      <w:bookmarkStart w:id="1242" w:name="_Toc115166743"/>
      <w:bookmarkStart w:id="1243" w:name="_Toc115152338"/>
      <w:bookmarkStart w:id="1244" w:name="_Toc115151614"/>
      <w:bookmarkStart w:id="1245" w:name="_Toc115145385"/>
      <w:bookmarkStart w:id="1246" w:name="_Toc115119083"/>
      <w:bookmarkStart w:id="1247" w:name="_Toc115080903"/>
      <w:bookmarkStart w:id="1248" w:name="_Toc115080649"/>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r>
        <w:rPr>
          <w:rFonts w:ascii="Times New Roman" w:hAnsi="Times New Roman"/>
          <w:b w:val="false"/>
          <w:i w:val="false"/>
          <w:caps w:val="false"/>
          <w:smallCaps w:val="false"/>
          <w:sz w:val="22"/>
        </w:rPr>
        <w:t>16.11.</w:t>
      </w:r>
      <w:r>
        <w:rPr>
          <w:rFonts w:ascii="Times New Roman" w:hAnsi="Times New Roman"/>
          <w:b w:val="false"/>
          <w:i w:val="false"/>
          <w:caps w:val="false"/>
          <w:smallCaps w:val="false"/>
          <w:sz w:val="22"/>
          <w:u w:val="single"/>
        </w:rPr>
        <w:t>Independent Contractors</w:t>
      </w:r>
      <w:r>
        <w:rPr>
          <w:rFonts w:ascii="Times New Roman" w:hAnsi="Times New Roman"/>
          <w:b w:val="false"/>
          <w:i w:val="false"/>
          <w:caps w:val="false"/>
          <w:smallCaps w:val="false"/>
          <w:sz w:val="22"/>
        </w:rPr>
        <w:t>.  Both Parties are independent contractors under this Agreement.  Nothing herein contained will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pStyle w:val="TextBody"/>
        <w:spacing w:before="0" w:after="240"/>
        <w:ind w:left="1260" w:right="0" w:hanging="0"/>
        <w:jc w:val="both"/>
        <w:rPr>
          <w:rFonts w:ascii="Times New Roman" w:hAnsi="Times New Roman"/>
          <w:b w:val="false"/>
          <w:i w:val="false"/>
          <w:caps w:val="false"/>
          <w:smallCaps w:val="false"/>
          <w:sz w:val="22"/>
        </w:rPr>
      </w:pPr>
      <w:bookmarkStart w:id="1249" w:name="_AEIOULastRenderedPageBreakAEIOU49"/>
      <w:bookmarkStart w:id="1250" w:name="_Toc412296845"/>
      <w:bookmarkStart w:id="1251" w:name="_Toc263803018"/>
      <w:bookmarkStart w:id="1252" w:name="_Toc263802812"/>
      <w:bookmarkStart w:id="1253" w:name="_Toc244589973"/>
      <w:bookmarkStart w:id="1254" w:name="_Toc138487552"/>
      <w:bookmarkStart w:id="1255" w:name="_Toc138487359"/>
      <w:bookmarkStart w:id="1256" w:name="_Toc137310727"/>
      <w:bookmarkStart w:id="1257" w:name="_Toc135754068"/>
      <w:bookmarkStart w:id="1258" w:name="_Toc135582464"/>
      <w:bookmarkStart w:id="1259" w:name="_Toc135582169"/>
      <w:bookmarkStart w:id="1260" w:name="_Toc135580699"/>
      <w:bookmarkStart w:id="1261" w:name="_Toc115199797"/>
      <w:bookmarkStart w:id="1262" w:name="_Toc115199368"/>
      <w:bookmarkStart w:id="1263" w:name="_Toc115166746"/>
      <w:bookmarkStart w:id="1264" w:name="_Toc115152341"/>
      <w:bookmarkStart w:id="1265" w:name="_Toc115151617"/>
      <w:bookmarkStart w:id="1266" w:name="_Toc115145388"/>
      <w:bookmarkStart w:id="1267" w:name="_Toc115119086"/>
      <w:bookmarkStart w:id="1268" w:name="_Toc115080906"/>
      <w:bookmarkStart w:id="1269" w:name="_Toc115080652"/>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r>
        <w:rPr>
          <w:rFonts w:ascii="Times New Roman" w:hAnsi="Times New Roman"/>
          <w:b w:val="false"/>
          <w:i w:val="false"/>
          <w:caps w:val="false"/>
          <w:smallCaps w:val="false"/>
          <w:sz w:val="22"/>
        </w:rPr>
        <w:t>16.12.</w:t>
      </w:r>
      <w:r>
        <w:rPr>
          <w:rFonts w:ascii="Times New Roman" w:hAnsi="Times New Roman"/>
          <w:b w:val="false"/>
          <w:i w:val="false"/>
          <w:caps w:val="false"/>
          <w:smallCaps w:val="false"/>
          <w:sz w:val="22"/>
          <w:u w:val="single"/>
        </w:rPr>
        <w:t>Interpretation</w:t>
      </w:r>
      <w:r>
        <w:rPr>
          <w:rFonts w:ascii="Times New Roman" w:hAnsi="Times New Roman"/>
          <w:b w:val="false"/>
          <w:i w:val="false"/>
          <w:caps w:val="false"/>
          <w:smallCaps w:val="false"/>
          <w:sz w:val="22"/>
        </w:rPr>
        <w:t xml:space="preserve">.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 Sections, Schedules or Exhibits will be construed to refer to Sections, Schedules or Exhibits of this Agreement, and references to this Agreement include all Schedules and Exhibits hereto, (h) the word “notice” will mean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49</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excluding e-mail and instant messaging), (j) references to any specific law, rule or regulation, or article, section or other division thereof, will be deemed to include the then-current amendments thereto or any replacement or successor law, rule or regulation thereof, (k)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and (l) the term “or” will be interpreted in the inclusive sense commonly associated with the term “and/or.”</w:t>
      </w:r>
    </w:p>
    <w:p>
      <w:pPr>
        <w:pStyle w:val="TextBody"/>
        <w:spacing w:before="0" w:after="240"/>
        <w:ind w:left="1260" w:right="0" w:hanging="0"/>
        <w:jc w:val="both"/>
        <w:rPr>
          <w:rFonts w:ascii="Times New Roman" w:hAnsi="Times New Roman"/>
          <w:b w:val="false"/>
          <w:i w:val="false"/>
          <w:caps w:val="false"/>
          <w:smallCaps w:val="false"/>
          <w:sz w:val="22"/>
        </w:rPr>
      </w:pPr>
      <w:bookmarkStart w:id="1270" w:name="_Toc412296846"/>
      <w:bookmarkStart w:id="1271" w:name="_Toc263803019"/>
      <w:bookmarkStart w:id="1272" w:name="_Toc263802813"/>
      <w:bookmarkStart w:id="1273" w:name="_Toc244589974"/>
      <w:bookmarkStart w:id="1274" w:name="_Toc138487553"/>
      <w:bookmarkStart w:id="1275" w:name="_Toc138487360"/>
      <w:bookmarkStart w:id="1276" w:name="_Toc137310728"/>
      <w:bookmarkStart w:id="1277" w:name="_Toc135754069"/>
      <w:bookmarkStart w:id="1278" w:name="_Toc135582465"/>
      <w:bookmarkStart w:id="1279" w:name="_Toc135582170"/>
      <w:bookmarkStart w:id="1280" w:name="_Toc135580700"/>
      <w:bookmarkStart w:id="1281" w:name="_Toc115199798"/>
      <w:bookmarkStart w:id="1282" w:name="_Toc115199369"/>
      <w:bookmarkStart w:id="1283" w:name="_Toc115166747"/>
      <w:bookmarkStart w:id="1284" w:name="_Toc115152342"/>
      <w:bookmarkStart w:id="1285" w:name="_Toc115151618"/>
      <w:bookmarkStart w:id="1286" w:name="_Toc115145389"/>
      <w:bookmarkStart w:id="1287" w:name="_Toc115119087"/>
      <w:bookmarkStart w:id="1288" w:name="_Toc115080907"/>
      <w:bookmarkStart w:id="1289" w:name="_Toc115080653"/>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r>
        <w:rPr>
          <w:rFonts w:ascii="Times New Roman" w:hAnsi="Times New Roman"/>
          <w:b w:val="false"/>
          <w:i w:val="false"/>
          <w:caps w:val="false"/>
          <w:smallCaps w:val="false"/>
          <w:sz w:val="22"/>
        </w:rPr>
        <w:t>16.13.</w:t>
      </w:r>
      <w:r>
        <w:rPr>
          <w:rFonts w:ascii="Times New Roman" w:hAnsi="Times New Roman"/>
          <w:b w:val="false"/>
          <w:i w:val="false"/>
          <w:caps w:val="false"/>
          <w:smallCaps w:val="false"/>
          <w:sz w:val="22"/>
          <w:u w:val="single"/>
        </w:rPr>
        <w:t>No Third Party Rights or Obligations</w:t>
      </w:r>
      <w:r>
        <w:rPr>
          <w:rFonts w:ascii="Times New Roman" w:hAnsi="Times New Roman"/>
          <w:b w:val="false"/>
          <w:i w:val="false"/>
          <w:caps w:val="false"/>
          <w:smallCaps w:val="false"/>
          <w:sz w:val="22"/>
        </w:rPr>
        <w:t>.  No provision of this Agreement will be deemed or construed in any way to result in the creation of any rights or obligations in any Person not a Party to this Agreement.</w:t>
      </w:r>
    </w:p>
    <w:p>
      <w:pPr>
        <w:pStyle w:val="TextBody"/>
        <w:spacing w:before="0" w:after="240"/>
        <w:ind w:left="1260" w:right="0" w:hanging="0"/>
        <w:jc w:val="both"/>
        <w:rPr>
          <w:rFonts w:ascii="Times New Roman" w:hAnsi="Times New Roman"/>
          <w:b w:val="false"/>
          <w:i w:val="false"/>
          <w:caps w:val="false"/>
          <w:smallCaps w:val="false"/>
          <w:sz w:val="22"/>
        </w:rPr>
      </w:pPr>
      <w:bookmarkStart w:id="1290" w:name="_Toc412296847"/>
      <w:bookmarkStart w:id="1291" w:name="_Toc263803020"/>
      <w:bookmarkStart w:id="1292" w:name="_Toc263802814"/>
      <w:bookmarkStart w:id="1293" w:name="_Toc244589975"/>
      <w:bookmarkStart w:id="1294" w:name="_Toc138487554"/>
      <w:bookmarkStart w:id="1295" w:name="_Toc138487361"/>
      <w:bookmarkStart w:id="1296" w:name="_Toc137310729"/>
      <w:bookmarkStart w:id="1297" w:name="_Toc135754070"/>
      <w:bookmarkStart w:id="1298" w:name="_Toc135582466"/>
      <w:bookmarkStart w:id="1299" w:name="_Toc135582171"/>
      <w:bookmarkStart w:id="1300" w:name="_Toc135580701"/>
      <w:bookmarkEnd w:id="1290"/>
      <w:bookmarkEnd w:id="1291"/>
      <w:bookmarkEnd w:id="1292"/>
      <w:bookmarkEnd w:id="1293"/>
      <w:bookmarkEnd w:id="1294"/>
      <w:bookmarkEnd w:id="1295"/>
      <w:bookmarkEnd w:id="1296"/>
      <w:bookmarkEnd w:id="1297"/>
      <w:bookmarkEnd w:id="1298"/>
      <w:bookmarkEnd w:id="1299"/>
      <w:bookmarkEnd w:id="1300"/>
      <w:r>
        <w:rPr>
          <w:rFonts w:ascii="Times New Roman" w:hAnsi="Times New Roman"/>
          <w:b w:val="false"/>
          <w:i w:val="false"/>
          <w:caps w:val="false"/>
          <w:smallCaps w:val="false"/>
          <w:sz w:val="22"/>
        </w:rPr>
        <w:t>16.14.</w:t>
      </w:r>
      <w:r>
        <w:rPr>
          <w:rFonts w:ascii="Times New Roman" w:hAnsi="Times New Roman"/>
          <w:b w:val="false"/>
          <w:i w:val="false"/>
          <w:caps w:val="false"/>
          <w:smallCaps w:val="false"/>
          <w:sz w:val="22"/>
          <w:u w:val="single"/>
        </w:rPr>
        <w:t>Further Actions</w:t>
      </w:r>
      <w:r>
        <w:rPr>
          <w:rFonts w:ascii="Times New Roman" w:hAnsi="Times New Roman"/>
          <w:b w:val="false"/>
          <w:i w:val="false"/>
          <w:caps w:val="false"/>
          <w:smallCaps w:val="false"/>
          <w:sz w:val="22"/>
        </w:rPr>
        <w:t>.  Each Party agrees to execute, acknowledge and deliver such further instruments, and to do all such other acts, as may be necessary or appropriate in order to carry out the purposes and intent of this Agreement.</w:t>
      </w:r>
    </w:p>
    <w:p>
      <w:pPr>
        <w:pStyle w:val="TextBody"/>
        <w:spacing w:before="0" w:after="240"/>
        <w:ind w:left="1260" w:right="0" w:hanging="0"/>
        <w:jc w:val="both"/>
        <w:rPr>
          <w:rFonts w:ascii="Times New Roman" w:hAnsi="Times New Roman"/>
          <w:b w:val="false"/>
          <w:i w:val="false"/>
          <w:caps w:val="false"/>
          <w:smallCaps w:val="false"/>
          <w:sz w:val="22"/>
        </w:rPr>
      </w:pPr>
      <w:bookmarkStart w:id="1301" w:name="_Toc412296844"/>
      <w:bookmarkStart w:id="1302" w:name="_Toc263803017"/>
      <w:bookmarkStart w:id="1303" w:name="_Toc263802811"/>
      <w:bookmarkStart w:id="1304" w:name="_Toc244589972"/>
      <w:bookmarkStart w:id="1305" w:name="_Toc138487551"/>
      <w:bookmarkStart w:id="1306" w:name="_Toc138487358"/>
      <w:bookmarkStart w:id="1307" w:name="_Toc137310726"/>
      <w:bookmarkStart w:id="1308" w:name="_Toc135754067"/>
      <w:bookmarkStart w:id="1309" w:name="_Toc135582463"/>
      <w:bookmarkStart w:id="1310" w:name="_Toc135582168"/>
      <w:bookmarkStart w:id="1311" w:name="_Toc135580698"/>
      <w:bookmarkStart w:id="1312" w:name="_Toc115199795"/>
      <w:bookmarkStart w:id="1313" w:name="_Toc115199366"/>
      <w:bookmarkStart w:id="1314" w:name="_Toc115166744"/>
      <w:bookmarkStart w:id="1315" w:name="_Toc115152339"/>
      <w:bookmarkStart w:id="1316" w:name="_Toc115151615"/>
      <w:bookmarkStart w:id="1317" w:name="_Toc115145386"/>
      <w:bookmarkStart w:id="1318" w:name="_Toc115119084"/>
      <w:bookmarkStart w:id="1319" w:name="_Toc115080904"/>
      <w:bookmarkStart w:id="1320" w:name="_Toc11508065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r>
        <w:rPr>
          <w:rFonts w:ascii="Times New Roman" w:hAnsi="Times New Roman"/>
          <w:b w:val="false"/>
          <w:i w:val="false"/>
          <w:caps w:val="false"/>
          <w:smallCaps w:val="false"/>
          <w:sz w:val="22"/>
        </w:rPr>
        <w:t>16.15.</w:t>
      </w:r>
      <w:r>
        <w:rPr>
          <w:rFonts w:ascii="Times New Roman" w:hAnsi="Times New Roman"/>
          <w:b w:val="false"/>
          <w:i w:val="false"/>
          <w:caps w:val="false"/>
          <w:smallCaps w:val="false"/>
          <w:sz w:val="22"/>
          <w:u w:val="single"/>
        </w:rPr>
        <w:t>Counterparts</w:t>
      </w:r>
      <w:r>
        <w:rPr>
          <w:rFonts w:ascii="Times New Roman" w:hAnsi="Times New Roman"/>
          <w:b w:val="false"/>
          <w:i w:val="false"/>
          <w:caps w:val="false"/>
          <w:smallCaps w:val="false"/>
          <w:sz w:val="22"/>
        </w:rPr>
        <w:t>.  This Agreement may be executed in two (2) counterparts, each of which will be an original and both of which will constitute together the same document.  Counterparts may be signed and delivered by facsimile or digital transmission (.pdf), each of which will be binding when received by the applicable Party.</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t>
      </w:r>
      <w:r>
        <w:rPr>
          <w:rFonts w:ascii="Times New Roman" w:hAnsi="Times New Roman"/>
          <w:b w:val="false"/>
          <w:i/>
          <w:caps w:val="false"/>
          <w:smallCaps w:val="false"/>
          <w:sz w:val="22"/>
        </w:rPr>
        <w:t>Signature Page Follows</w:t>
      </w:r>
      <w:r>
        <w:rPr>
          <w:rFonts w:ascii="Times New Roman" w:hAnsi="Times New Roman"/>
          <w:b w:val="false"/>
          <w:i w:val="false"/>
          <w:caps w:val="false"/>
          <w:smallCaps w:val="false"/>
          <w:sz w:val="22"/>
        </w:rPr>
        <w:t>]</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r>
        <w:rPr>
          <w:rFonts w:ascii="Calibri" w:hAnsi="Calibri"/>
          <w:b w:val="false"/>
          <w:i w:val="false"/>
          <w:caps w:val="false"/>
          <w:smallCaps w:val="false"/>
          <w:sz w:val="24"/>
        </w:rPr>
        <w:t>50</w:t>
      </w:r>
    </w:p>
    <w:p>
      <w:pPr>
        <w:pStyle w:val="HorizontalLine"/>
        <w:rPr/>
      </w:pPr>
      <w:r>
        <w:rPr/>
      </w:r>
    </w:p>
    <w:p>
      <w:pPr>
        <w:pStyle w:val="TextBody"/>
        <w:spacing w:before="0" w:after="0"/>
        <w:rPr/>
      </w:pPr>
      <w:r>
        <w:rPr/>
        <w:t> </w:t>
      </w:r>
    </w:p>
    <w:p>
      <w:pPr>
        <w:pStyle w:val="TextBody"/>
        <w:spacing w:before="0" w:after="240"/>
        <w:jc w:val="both"/>
        <w:rPr>
          <w:rFonts w:ascii="Times New Roman" w:hAnsi="Times New Roman"/>
          <w:b/>
          <w:i w:val="false"/>
          <w:caps w:val="false"/>
          <w:smallCaps w:val="false"/>
          <w:sz w:val="22"/>
        </w:rPr>
      </w:pPr>
      <w:bookmarkStart w:id="1321" w:name="_AEIOULastRenderedPageBreakAEIOU50"/>
      <w:bookmarkEnd w:id="1321"/>
      <w:r>
        <w:rPr>
          <w:rFonts w:ascii="Times New Roman" w:hAnsi="Times New Roman"/>
          <w:b/>
          <w:i w:val="false"/>
          <w:caps w:val="false"/>
          <w:smallCaps w:val="false"/>
          <w:sz w:val="22"/>
        </w:rPr>
        <w:t>IN WITNESS WHEREOF</w:t>
      </w:r>
      <w:r>
        <w:rPr>
          <w:rFonts w:ascii="Times New Roman" w:hAnsi="Times New Roman"/>
          <w:b w:val="false"/>
          <w:i w:val="false"/>
          <w:caps w:val="false"/>
          <w:smallCaps w:val="false"/>
          <w:sz w:val="22"/>
        </w:rPr>
        <w:t>, the Parties have caused this Agreement to be executed by their representatives thereunto duly authorized as of the Effective Date.</w:t>
      </w:r>
    </w:p>
    <w:tbl>
      <w:tblPr>
        <w:tblW w:w="5980" w:type="dxa"/>
        <w:jc w:val="left"/>
        <w:tblInd w:w="0" w:type="dxa"/>
        <w:tblCellMar>
          <w:top w:w="0" w:type="dxa"/>
          <w:left w:w="0" w:type="dxa"/>
          <w:bottom w:w="0" w:type="dxa"/>
          <w:right w:w="0" w:type="dxa"/>
        </w:tblCellMar>
      </w:tblPr>
      <w:tblGrid>
        <w:gridCol w:w="2630"/>
        <w:gridCol w:w="3350"/>
      </w:tblGrid>
      <w:tr>
        <w:trPr/>
        <w:tc>
          <w:tcPr>
            <w:tcW w:w="2630" w:type="dxa"/>
            <w:tcBorders/>
            <w:shd w:fill="auto" w:val="clear"/>
            <w:vAlign w:val="center"/>
          </w:tcPr>
          <w:p>
            <w:pPr>
              <w:pStyle w:val="TableContents"/>
              <w:spacing w:before="0" w:after="283"/>
              <w:rPr>
                <w:sz w:val="4"/>
                <w:szCs w:val="4"/>
              </w:rPr>
            </w:pPr>
            <w:r>
              <w:rPr>
                <w:sz w:val="4"/>
                <w:szCs w:val="4"/>
              </w:rPr>
            </w:r>
          </w:p>
        </w:tc>
        <w:tc>
          <w:tcPr>
            <w:tcW w:w="3350" w:type="dxa"/>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tcPr>
          <w:p>
            <w:pPr>
              <w:pStyle w:val="TableContents"/>
              <w:spacing w:before="0" w:after="0"/>
              <w:ind w:left="0" w:right="0" w:hanging="0"/>
              <w:jc w:val="both"/>
              <w:rPr>
                <w:rFonts w:ascii="Times New Roman" w:hAnsi="Times New Roman"/>
                <w:b/>
                <w:i w:val="false"/>
                <w:caps w:val="false"/>
                <w:smallCaps w:val="false"/>
                <w:sz w:val="24"/>
              </w:rPr>
            </w:pPr>
            <w:r>
              <w:rPr>
                <w:rFonts w:ascii="Times New Roman" w:hAnsi="Times New Roman"/>
                <w:b/>
                <w:i w:val="false"/>
                <w:caps w:val="false"/>
                <w:smallCaps w:val="false"/>
                <w:sz w:val="24"/>
              </w:rPr>
              <w:t>NKARTA, INC.</w:t>
            </w:r>
          </w:p>
          <w:p>
            <w:pPr>
              <w:pStyle w:val="TableContents"/>
              <w:spacing w:before="0" w:after="240"/>
              <w:ind w:left="0" w:right="0" w:hanging="0"/>
              <w:jc w:val="both"/>
              <w:rPr/>
            </w:pPr>
            <w:r>
              <w:rPr/>
              <w:t> </w:t>
            </w:r>
          </w:p>
        </w:tc>
        <w:tc>
          <w:tcPr>
            <w:tcW w:w="3350" w:type="dxa"/>
            <w:tcBorders/>
            <w:shd w:fill="auto" w:val="clear"/>
          </w:tcPr>
          <w:p>
            <w:pPr>
              <w:pStyle w:val="TableContents"/>
              <w:spacing w:before="0" w:after="240"/>
              <w:ind w:left="0" w:right="0" w:hanging="0"/>
              <w:jc w:val="both"/>
              <w:rPr>
                <w:rFonts w:ascii="Times New Roman" w:hAnsi="Times New Roman"/>
                <w:b/>
                <w:i w:val="false"/>
                <w:caps w:val="false"/>
                <w:smallCaps w:val="false"/>
                <w:sz w:val="24"/>
              </w:rPr>
            </w:pPr>
            <w:r>
              <w:rPr>
                <w:rFonts w:ascii="Times New Roman" w:hAnsi="Times New Roman"/>
                <w:b/>
                <w:i w:val="false"/>
                <w:caps w:val="false"/>
                <w:smallCaps w:val="false"/>
                <w:sz w:val="24"/>
              </w:rPr>
              <w:t>CRISPR THERAPEUTICS AG</w:t>
            </w:r>
          </w:p>
        </w:tc>
      </w:tr>
      <w:tr>
        <w:trPr/>
        <w:tc>
          <w:tcPr>
            <w:tcW w:w="2630" w:type="dxa"/>
            <w:tcBorders/>
            <w:shd w:fill="auto" w:val="clear"/>
          </w:tcPr>
          <w:p>
            <w:pPr>
              <w:pStyle w:val="TableContents"/>
              <w:spacing w:before="0" w:after="240"/>
              <w:ind w:left="0" w:right="0" w:hanging="0"/>
              <w:jc w:val="both"/>
              <w:rPr/>
            </w:pPr>
            <w:r>
              <w:rPr/>
              <w:t> </w:t>
            </w:r>
          </w:p>
          <w:p>
            <w:pPr>
              <w:pStyle w:val="TableContents"/>
              <w:spacing w:before="0" w:after="24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w:t>
            </w:r>
            <w:r>
              <w:rPr>
                <w:rFonts w:ascii="Times New Roman" w:hAnsi="Times New Roman"/>
                <w:b w:val="false"/>
                <w:i w:val="false"/>
                <w:caps w:val="false"/>
                <w:smallCaps w:val="false"/>
                <w:sz w:val="24"/>
                <w:u w:val="single"/>
              </w:rPr>
              <w:t>:__/s/ Paul Hastings</w:t>
            </w:r>
            <w:r>
              <w:rPr>
                <w:rFonts w:ascii="Times New Roman" w:hAnsi="Times New Roman"/>
                <w:b w:val="false"/>
                <w:i w:val="false"/>
                <w:caps w:val="false"/>
                <w:smallCaps w:val="false"/>
                <w:sz w:val="24"/>
              </w:rPr>
              <w:t>___</w:t>
            </w:r>
          </w:p>
        </w:tc>
        <w:tc>
          <w:tcPr>
            <w:tcW w:w="3350" w:type="dxa"/>
            <w:tcBorders/>
            <w:shd w:fill="auto" w:val="clear"/>
          </w:tcPr>
          <w:p>
            <w:pPr>
              <w:pStyle w:val="TableContents"/>
              <w:spacing w:before="0" w:after="240"/>
              <w:ind w:left="0" w:right="0" w:hanging="0"/>
              <w:jc w:val="both"/>
              <w:rPr/>
            </w:pPr>
            <w:r>
              <w:rPr/>
              <w:t> </w:t>
            </w:r>
          </w:p>
          <w:p>
            <w:pPr>
              <w:pStyle w:val="TableContents"/>
              <w:spacing w:before="0" w:after="24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w:t>
            </w:r>
            <w:r>
              <w:rPr>
                <w:rFonts w:ascii="Times New Roman" w:hAnsi="Times New Roman"/>
                <w:b w:val="false"/>
                <w:i w:val="false"/>
                <w:caps w:val="false"/>
                <w:smallCaps w:val="false"/>
                <w:sz w:val="24"/>
                <w:u w:val="single"/>
              </w:rPr>
              <w:t>:____/s/ Roger Novak__</w:t>
            </w:r>
          </w:p>
        </w:tc>
      </w:tr>
      <w:tr>
        <w:trPr/>
        <w:tc>
          <w:tcPr>
            <w:tcW w:w="2630" w:type="dxa"/>
            <w:tcBorders/>
            <w:shd w:fill="auto" w:val="clear"/>
          </w:tcPr>
          <w:p>
            <w:pPr>
              <w:pStyle w:val="TableContents"/>
              <w:spacing w:before="0" w:after="24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 __</w:t>
            </w:r>
            <w:r>
              <w:rPr>
                <w:rFonts w:ascii="Times New Roman" w:hAnsi="Times New Roman"/>
                <w:b w:val="false"/>
                <w:i w:val="false"/>
                <w:caps w:val="false"/>
                <w:smallCaps w:val="false"/>
                <w:sz w:val="24"/>
                <w:u w:val="single"/>
              </w:rPr>
              <w:t>Paul Hastings</w:t>
            </w:r>
            <w:r>
              <w:rPr>
                <w:rFonts w:ascii="Times New Roman" w:hAnsi="Times New Roman"/>
                <w:b w:val="false"/>
                <w:i w:val="false"/>
                <w:caps w:val="false"/>
                <w:smallCaps w:val="false"/>
                <w:sz w:val="24"/>
              </w:rPr>
              <w:t>__</w:t>
            </w:r>
          </w:p>
          <w:p>
            <w:pPr>
              <w:pStyle w:val="TableContents"/>
              <w:spacing w:before="0" w:after="24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Title: _____</w:t>
            </w:r>
            <w:r>
              <w:rPr>
                <w:rFonts w:ascii="Times New Roman" w:hAnsi="Times New Roman"/>
                <w:b w:val="false"/>
                <w:i w:val="false"/>
                <w:caps w:val="false"/>
                <w:smallCaps w:val="false"/>
                <w:sz w:val="24"/>
                <w:u w:val="single"/>
              </w:rPr>
              <w:t>CEO_</w:t>
            </w:r>
            <w:r>
              <w:rPr>
                <w:rFonts w:ascii="Times New Roman" w:hAnsi="Times New Roman"/>
                <w:b w:val="false"/>
                <w:i w:val="false"/>
                <w:caps w:val="false"/>
                <w:smallCaps w:val="false"/>
                <w:sz w:val="24"/>
              </w:rPr>
              <w:t>_______</w:t>
            </w:r>
          </w:p>
        </w:tc>
        <w:tc>
          <w:tcPr>
            <w:tcW w:w="3350" w:type="dxa"/>
            <w:tcBorders/>
            <w:shd w:fill="auto" w:val="clear"/>
          </w:tcPr>
          <w:p>
            <w:pPr>
              <w:pStyle w:val="TableContents"/>
              <w:spacing w:before="0" w:after="24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 _</w:t>
            </w:r>
            <w:r>
              <w:rPr>
                <w:rFonts w:ascii="Times New Roman" w:hAnsi="Times New Roman"/>
                <w:b w:val="false"/>
                <w:i w:val="false"/>
                <w:caps w:val="false"/>
                <w:smallCaps w:val="false"/>
                <w:sz w:val="24"/>
                <w:u w:val="single"/>
              </w:rPr>
              <w:t>Roger Novak</w:t>
            </w:r>
            <w:r>
              <w:rPr>
                <w:rFonts w:ascii="Times New Roman" w:hAnsi="Times New Roman"/>
                <w:b w:val="false"/>
                <w:i w:val="false"/>
                <w:caps w:val="false"/>
                <w:smallCaps w:val="false"/>
                <w:sz w:val="24"/>
              </w:rPr>
              <w:t>____</w:t>
            </w:r>
          </w:p>
          <w:p>
            <w:pPr>
              <w:pStyle w:val="TableContents"/>
              <w:spacing w:before="0" w:after="24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Title: __</w:t>
            </w:r>
            <w:r>
              <w:rPr>
                <w:rFonts w:ascii="Times New Roman" w:hAnsi="Times New Roman"/>
                <w:b w:val="false"/>
                <w:i w:val="false"/>
                <w:caps w:val="false"/>
                <w:smallCaps w:val="false"/>
                <w:sz w:val="24"/>
                <w:u w:val="single"/>
              </w:rPr>
              <w:t>President_</w:t>
            </w:r>
            <w:r>
              <w:rPr>
                <w:rFonts w:ascii="Times New Roman" w:hAnsi="Times New Roman"/>
                <w:b w:val="false"/>
                <w:i w:val="false"/>
                <w:caps w:val="false"/>
                <w:smallCaps w:val="false"/>
                <w:sz w:val="24"/>
              </w:rPr>
              <w:t>_______</w:t>
            </w:r>
          </w:p>
        </w:tc>
      </w:tr>
      <w:tr>
        <w:trPr/>
        <w:tc>
          <w:tcPr>
            <w:tcW w:w="2630" w:type="dxa"/>
            <w:tcBorders/>
            <w:shd w:fill="auto" w:val="clear"/>
          </w:tcPr>
          <w:p>
            <w:pPr>
              <w:pStyle w:val="TableContents"/>
              <w:spacing w:before="0" w:after="240"/>
              <w:ind w:left="0" w:right="0" w:hanging="0"/>
              <w:jc w:val="both"/>
              <w:rPr/>
            </w:pPr>
            <w:r>
              <w:rPr/>
              <w:t> </w:t>
            </w:r>
          </w:p>
        </w:tc>
        <w:tc>
          <w:tcPr>
            <w:tcW w:w="3350" w:type="dxa"/>
            <w:tcBorders/>
            <w:shd w:fill="auto" w:val="clear"/>
          </w:tcPr>
          <w:p>
            <w:pPr>
              <w:pStyle w:val="TableContents"/>
              <w:spacing w:before="0" w:after="240"/>
              <w:ind w:left="0" w:right="0" w:hanging="0"/>
              <w:jc w:val="both"/>
              <w:rPr/>
            </w:pPr>
            <w:r>
              <w:rPr/>
              <w:t> </w:t>
            </w:r>
          </w:p>
        </w:tc>
      </w:tr>
    </w:tbl>
    <w:p>
      <w:pPr>
        <w:pStyle w:val="TextBody"/>
        <w:spacing w:before="0" w:after="240"/>
        <w:jc w:val="center"/>
        <w:rPr/>
      </w:pPr>
      <w:r>
        <w:rPr/>
        <w:t> </w:t>
      </w:r>
    </w:p>
    <w:p>
      <w:pPr>
        <w:pStyle w:val="TextBody"/>
        <w:spacing w:before="0" w:after="240"/>
        <w:rPr/>
      </w:pPr>
      <w:r>
        <w:rPr/>
        <w:t> </w:t>
      </w:r>
    </w:p>
    <w:p>
      <w:pPr>
        <w:pStyle w:val="TextBody"/>
        <w:spacing w:lineRule="atLeast" w:line="200"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t>
      </w:r>
      <w:r>
        <w:rPr>
          <w:rFonts w:ascii="Times New Roman" w:hAnsi="Times New Roman"/>
          <w:b w:val="false"/>
          <w:i/>
          <w:caps w:val="false"/>
          <w:smallCaps w:val="false"/>
          <w:sz w:val="22"/>
        </w:rPr>
        <w:t>SIGNATURE PAGE TO RESEARCH COLLABORATION AGREEMENT</w:t>
      </w:r>
      <w:r>
        <w:rPr>
          <w:rFonts w:ascii="Times New Roman" w:hAnsi="Times New Roman"/>
          <w:b w:val="false"/>
          <w:i w:val="false"/>
          <w:caps w:val="false"/>
          <w:smallCaps w:val="false"/>
          <w:sz w:val="22"/>
        </w:rPr>
        <w:t>]</w:t>
      </w:r>
    </w:p>
    <w:p>
      <w:pPr>
        <w:pStyle w:val="TextBody"/>
        <w:spacing w:lineRule="atLeast" w:line="200" w:before="0" w:after="0"/>
        <w:jc w:val="center"/>
        <w:rPr/>
      </w:pPr>
      <w:r>
        <w:rPr/>
        <w:t> </w:t>
      </w:r>
    </w:p>
    <w:p>
      <w:pPr>
        <w:pStyle w:val="TextBody"/>
        <w:spacing w:lineRule="atLeast" w:line="200" w:before="0" w:after="0"/>
        <w:ind w:left="72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color w:val="000000"/>
          <w:sz w:val="24"/>
        </w:rPr>
      </w:pPr>
      <w:bookmarkStart w:id="1322" w:name="_AEIOULastRenderedPageBreakAEIOU51"/>
      <w:bookmarkEnd w:id="1322"/>
      <w:r>
        <w:rPr>
          <w:rFonts w:ascii="Times New Roman" w:hAnsi="Times New Roman"/>
          <w:b/>
          <w:i w:val="false"/>
          <w:caps w:val="false"/>
          <w:smallCaps w:val="false"/>
          <w:color w:val="000000"/>
          <w:sz w:val="24"/>
        </w:rPr>
        <w:t>EXHIBIT A</w:t>
      </w:r>
    </w:p>
    <w:p>
      <w:pPr>
        <w:pStyle w:val="TextBody"/>
        <w:spacing w:before="0" w:after="24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Target Pool – [***]</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240"/>
        <w:jc w:val="center"/>
        <w:rPr/>
      </w:pPr>
      <w:r>
        <w:rPr/>
        <w:t> </w:t>
      </w:r>
    </w:p>
    <w:p>
      <w:pPr>
        <w:pStyle w:val="TextBody"/>
        <w:spacing w:before="0" w:after="240"/>
        <w:jc w:val="both"/>
        <w:rPr/>
      </w:pPr>
      <w:r>
        <w:rPr/>
        <w:t> </w:t>
      </w:r>
    </w:p>
    <w:p>
      <w:pPr>
        <w:pStyle w:val="TextBody"/>
        <w:spacing w:before="0" w:after="240"/>
        <w:jc w:val="both"/>
        <w:rPr/>
      </w:pPr>
      <w:r>
        <w:rPr/>
        <w:t> </w:t>
      </w:r>
    </w:p>
    <w:p>
      <w:pPr>
        <w:pStyle w:val="TextBody"/>
        <w:spacing w:lineRule="atLeast" w:line="200" w:before="240" w:after="0"/>
        <w:ind w:left="72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color w:val="000000"/>
          <w:sz w:val="24"/>
        </w:rPr>
      </w:pPr>
      <w:bookmarkStart w:id="1323" w:name="_AEIOULastRenderedPageBreakAEIOU52"/>
      <w:bookmarkEnd w:id="1323"/>
      <w:r>
        <w:rPr>
          <w:rFonts w:ascii="Times New Roman" w:hAnsi="Times New Roman"/>
          <w:b/>
          <w:i w:val="false"/>
          <w:caps w:val="false"/>
          <w:smallCaps w:val="false"/>
          <w:color w:val="000000"/>
          <w:sz w:val="24"/>
        </w:rPr>
        <w:t>EXHIBIT B-1</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Activities, and associated costs, to be performed by CRISPR for Nkarta Products</w:t>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240"/>
        <w:jc w:val="center"/>
        <w:rPr/>
      </w:pPr>
      <w:r>
        <w:rPr/>
        <w:t> </w:t>
      </w:r>
    </w:p>
    <w:p>
      <w:pPr>
        <w:pStyle w:val="TextBody"/>
        <w:spacing w:before="0" w:after="240"/>
        <w:jc w:val="center"/>
        <w:rPr/>
      </w:pPr>
      <w:r>
        <w:rPr/>
        <w:t> </w:t>
      </w:r>
    </w:p>
    <w:p>
      <w:pPr>
        <w:pStyle w:val="TextBody"/>
        <w:spacing w:before="0" w:after="240"/>
        <w:jc w:val="center"/>
        <w:rPr/>
      </w:pPr>
      <w:r>
        <w:rPr/>
        <w:t> </w:t>
      </w:r>
    </w:p>
    <w:p>
      <w:pPr>
        <w:pStyle w:val="TextBody"/>
        <w:spacing w:lineRule="atLeast" w:line="200" w:before="240" w:after="0"/>
        <w:ind w:left="72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color w:val="000000"/>
          <w:sz w:val="24"/>
        </w:rPr>
      </w:pPr>
      <w:bookmarkStart w:id="1324" w:name="_AEIOULastRenderedPageBreakAEIOU53"/>
      <w:bookmarkEnd w:id="1324"/>
      <w:r>
        <w:rPr>
          <w:rFonts w:ascii="Times New Roman" w:hAnsi="Times New Roman"/>
          <w:b/>
          <w:i w:val="false"/>
          <w:caps w:val="false"/>
          <w:smallCaps w:val="false"/>
          <w:color w:val="000000"/>
          <w:sz w:val="24"/>
        </w:rPr>
        <w:t>Exhibit C</w:t>
      </w:r>
    </w:p>
    <w:p>
      <w:pPr>
        <w:pStyle w:val="TextBody"/>
        <w:spacing w:before="0" w:after="24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Terms of Joint Development and Commercialization Agreement</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240"/>
        <w:jc w:val="center"/>
        <w:rPr/>
      </w:pPr>
      <w:r>
        <w:rPr/>
        <w:t> </w:t>
      </w:r>
    </w:p>
    <w:p>
      <w:pPr>
        <w:pStyle w:val="TextBody"/>
        <w:spacing w:before="0" w:after="160"/>
        <w:rPr/>
      </w:pPr>
      <w:r>
        <w:rPr/>
        <w:t> </w:t>
      </w:r>
    </w:p>
    <w:p>
      <w:pPr>
        <w:pStyle w:val="TextBody"/>
        <w:spacing w:before="0" w:after="240"/>
        <w:jc w:val="center"/>
        <w:rPr/>
      </w:pPr>
      <w:r>
        <w:rPr/>
        <w:t> </w:t>
      </w:r>
    </w:p>
    <w:p>
      <w:pPr>
        <w:pStyle w:val="TextBody"/>
        <w:spacing w:before="0" w:after="240"/>
        <w:jc w:val="center"/>
        <w:rPr/>
      </w:pPr>
      <w:r>
        <w:rPr/>
        <w:t> </w:t>
      </w:r>
    </w:p>
    <w:p>
      <w:pPr>
        <w:pStyle w:val="TextBody"/>
        <w:spacing w:lineRule="atLeast" w:line="200" w:before="240" w:after="0"/>
        <w:ind w:left="72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p>
    <w:p>
      <w:pPr>
        <w:pStyle w:val="TextBody"/>
        <w:spacing w:lineRule="atLeast" w:line="200"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Exhibit C-1</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color w:val="000000"/>
          <w:sz w:val="24"/>
        </w:rPr>
      </w:pPr>
      <w:bookmarkStart w:id="1325" w:name="_AEIOULastRenderedPageBreakAEIOU54"/>
      <w:bookmarkEnd w:id="1325"/>
      <w:r>
        <w:rPr>
          <w:rFonts w:ascii="Times New Roman" w:hAnsi="Times New Roman"/>
          <w:b/>
          <w:i w:val="false"/>
          <w:caps w:val="false"/>
          <w:smallCaps w:val="false"/>
          <w:color w:val="000000"/>
          <w:sz w:val="24"/>
        </w:rPr>
        <w:t>Exhibit D</w:t>
      </w:r>
    </w:p>
    <w:p>
      <w:pPr>
        <w:pStyle w:val="TextBody"/>
        <w:spacing w:before="0" w:after="24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Form of Joint Press Release</w:t>
      </w:r>
    </w:p>
    <w:p>
      <w:pPr>
        <w:pStyle w:val="TextBody"/>
        <w:spacing w:before="0" w:after="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CRISPR Therapeutics and Nkarta Announce Global Collaboration to Develop Gene-Edited Cell Therapies for Cancer</w:t>
      </w:r>
    </w:p>
    <w:p>
      <w:pPr>
        <w:pStyle w:val="TextBody"/>
        <w:spacing w:before="0" w:after="0"/>
        <w:rPr/>
      </w:pPr>
      <w:r>
        <w:rPr/>
        <w:t> </w:t>
      </w:r>
    </w:p>
    <w:p>
      <w:pPr>
        <w:pStyle w:val="TextBody"/>
        <w:spacing w:before="0" w:after="0"/>
        <w:jc w:val="center"/>
        <w:rPr>
          <w:rFonts w:ascii="Times New Roman" w:hAnsi="Times New Roman"/>
          <w:b w:val="false"/>
          <w:i/>
          <w:caps w:val="false"/>
          <w:smallCaps w:val="false"/>
          <w:color w:val="000000"/>
          <w:sz w:val="24"/>
        </w:rPr>
      </w:pPr>
      <w:r>
        <w:rPr>
          <w:rFonts w:ascii="Times New Roman" w:hAnsi="Times New Roman"/>
          <w:b w:val="false"/>
          <w:i/>
          <w:caps w:val="false"/>
          <w:smallCaps w:val="false"/>
          <w:color w:val="000000"/>
          <w:sz w:val="24"/>
        </w:rPr>
        <w:t>-Collaboration brings together breakthrough gene editing technology and leading natural killer (NK) cell and T cell discovery, development, and manufacturing capabilities-</w:t>
      </w:r>
    </w:p>
    <w:p>
      <w:pPr>
        <w:pStyle w:val="TextBody"/>
        <w:spacing w:before="0" w:after="0"/>
        <w:jc w:val="center"/>
        <w:rPr/>
      </w:pPr>
      <w:r>
        <w:rPr/>
        <w:t> </w:t>
      </w:r>
    </w:p>
    <w:p>
      <w:pPr>
        <w:pStyle w:val="TextBody"/>
        <w:spacing w:before="0" w:after="0"/>
        <w:jc w:val="center"/>
        <w:rPr>
          <w:rFonts w:ascii="Times New Roman" w:hAnsi="Times New Roman"/>
          <w:b w:val="false"/>
          <w:i/>
          <w:caps w:val="false"/>
          <w:smallCaps w:val="false"/>
          <w:color w:val="000000"/>
          <w:sz w:val="22"/>
        </w:rPr>
      </w:pPr>
      <w:r>
        <w:rPr>
          <w:rFonts w:ascii="Times New Roman" w:hAnsi="Times New Roman"/>
          <w:b w:val="false"/>
          <w:i/>
          <w:caps w:val="false"/>
          <w:smallCaps w:val="false"/>
          <w:color w:val="000000"/>
          <w:sz w:val="22"/>
        </w:rPr>
        <w:t>-Companies to co-develop and co-commercialize two chimeric antigen receptor (CAR) NK cell product candidates, one targeting CD70, and a product candidate combining NK and T cells (NK+T)-</w:t>
      </w:r>
    </w:p>
    <w:p>
      <w:pPr>
        <w:pStyle w:val="TextBody"/>
        <w:spacing w:before="0" w:after="0"/>
        <w:jc w:val="center"/>
        <w:rPr/>
      </w:pPr>
      <w:r>
        <w:rPr/>
        <w:t> </w:t>
      </w:r>
    </w:p>
    <w:p>
      <w:pPr>
        <w:pStyle w:val="TextBody"/>
        <w:spacing w:before="0" w:after="0"/>
        <w:jc w:val="center"/>
        <w:rPr>
          <w:rFonts w:ascii="Times New Roman" w:hAnsi="Times New Roman"/>
          <w:b w:val="false"/>
          <w:i/>
          <w:caps w:val="false"/>
          <w:smallCaps w:val="false"/>
          <w:color w:val="000000"/>
          <w:sz w:val="24"/>
        </w:rPr>
      </w:pPr>
      <w:r>
        <w:rPr>
          <w:rFonts w:ascii="Times New Roman" w:hAnsi="Times New Roman"/>
          <w:b w:val="false"/>
          <w:i/>
          <w:caps w:val="false"/>
          <w:smallCaps w:val="false"/>
          <w:color w:val="000000"/>
          <w:sz w:val="24"/>
        </w:rPr>
        <w:t>-Nkarta obtains a license to CRISPR gene editing technology for use in its own engineered NK cell therapy products-</w:t>
      </w:r>
    </w:p>
    <w:p>
      <w:pPr>
        <w:pStyle w:val="TextBody"/>
        <w:spacing w:before="0" w:after="0"/>
        <w:jc w:val="center"/>
        <w:rPr/>
      </w:pPr>
      <w:r>
        <w:rPr/>
        <w:t> </w:t>
      </w:r>
    </w:p>
    <w:p>
      <w:pPr>
        <w:pStyle w:val="TextBody"/>
        <w:spacing w:before="0" w:after="0"/>
        <w:jc w:val="center"/>
        <w:rPr>
          <w:rFonts w:ascii="Times New Roman" w:hAnsi="Times New Roman"/>
          <w:b w:val="false"/>
          <w:i/>
          <w:caps w:val="false"/>
          <w:smallCaps w:val="false"/>
          <w:color w:val="000000"/>
          <w:sz w:val="24"/>
        </w:rPr>
      </w:pPr>
      <w:r>
        <w:rPr>
          <w:rFonts w:ascii="Times New Roman" w:hAnsi="Times New Roman"/>
          <w:b w:val="false"/>
          <w:i/>
          <w:caps w:val="false"/>
          <w:smallCaps w:val="false"/>
          <w:color w:val="000000"/>
          <w:sz w:val="24"/>
        </w:rPr>
        <w:t>-Nkarta to host conference call today at 4:30 p.m. ET-</w:t>
      </w:r>
    </w:p>
    <w:p>
      <w:pPr>
        <w:pStyle w:val="TextBody"/>
        <w:spacing w:before="0" w:after="0"/>
        <w:rPr/>
      </w:pPr>
      <w:r>
        <w:rPr/>
        <w:t> </w:t>
      </w:r>
    </w:p>
    <w:p>
      <w:pPr>
        <w:pStyle w:val="TextBody"/>
        <w:spacing w:before="0" w:after="0"/>
        <w:jc w:val="both"/>
        <w:rPr>
          <w:rFonts w:ascii="Times New Roman" w:hAnsi="Times New Roman"/>
          <w:b/>
          <w:i w:val="false"/>
          <w:caps w:val="false"/>
          <w:smallCaps w:val="false"/>
          <w:color w:val="000000"/>
          <w:sz w:val="24"/>
        </w:rPr>
      </w:pPr>
      <w:bookmarkStart w:id="1326" w:name="_Hlk759609111"/>
      <w:bookmarkEnd w:id="1326"/>
      <w:r>
        <w:rPr>
          <w:rFonts w:ascii="Times New Roman" w:hAnsi="Times New Roman"/>
          <w:b/>
          <w:i w:val="false"/>
          <w:caps w:val="false"/>
          <w:smallCaps w:val="false"/>
          <w:color w:val="000000"/>
          <w:sz w:val="24"/>
        </w:rPr>
        <w:t xml:space="preserve">ZUG, Switzerland, CAMBRIDGE, Mass., and SOUTH SAN FRANCISCO, Calif. </w:t>
      </w:r>
      <w:bookmarkStart w:id="1327" w:name="_Hlk75960911"/>
      <w:bookmarkEnd w:id="1327"/>
      <w:r>
        <w:rPr>
          <w:rFonts w:ascii="Times New Roman" w:hAnsi="Times New Roman"/>
          <w:b/>
          <w:i w:val="false"/>
          <w:caps w:val="false"/>
          <w:smallCaps w:val="false"/>
          <w:color w:val="000000"/>
          <w:sz w:val="24"/>
        </w:rPr>
        <w:t xml:space="preserve">– </w:t>
      </w:r>
      <w:r>
        <w:rPr>
          <w:rFonts w:ascii="Times New Roman" w:hAnsi="Times New Roman"/>
          <w:b w:val="false"/>
          <w:i w:val="false"/>
          <w:caps w:val="false"/>
          <w:smallCaps w:val="false"/>
          <w:color w:val="000000"/>
          <w:sz w:val="24"/>
        </w:rPr>
        <w:t xml:space="preserve">May 6, 2021 -- CRISPR Therapeutics (NASDAQ: CRSP), a biopharmaceutical company focused on developing transformative gene-based medicines for serious diseases, and Nkarta, Inc. (NASDAQ: NKTX), a biopharmaceutical company developing engineered NK cell therapies to treat cancer, today announced a strategic partnership to research, develop, and commercialize CRISPR/Cas9 gene-edited cell therapies for cancer.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Under the agreement, the companies will co-develop and co-commercialize two CAR NK cell product candidates, one targeting the CD70 tumor antigen and the other target to be determined. In addition, the companies will bring together their complementary cell therapy engineering and manufacturing capabilities to advance the development of a novel NK+T product candidate harnessing the synergies of the adaptive and innate immune systems. Finally, Nkarta obtains a license to CRISPR gene editing technology to edit five gene targets in an unlimited number of its own NK cell therapy products.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CRISPR Therapeutics and Nkarta will equally share all research and development costs and profits worldwide related to the collaboration products. For each non-collaboration product candidate incorporating a gene editing target licensed from CRISPR Therapeutics, Nkarta will retain worldwide rights and pay CRISPR Therapeutics milestones and royalties on net sales. The agreement includes a three-year exclusivity period between CRISPR Therapeutics and Nkarta covering the research, development, and commercialization of allogeneic, gene-edited, donor-derived NK cells and NK+T cells.</w:t>
      </w:r>
    </w:p>
    <w:p>
      <w:pPr>
        <w:pStyle w:val="TextBody"/>
        <w:spacing w:before="0" w:after="0"/>
        <w:jc w:val="both"/>
        <w:rPr/>
      </w:pPr>
      <w:r>
        <w:rPr/>
        <w:t> </w:t>
      </w:r>
    </w:p>
    <w:p>
      <w:pPr>
        <w:pStyle w:val="TextBody"/>
        <w:spacing w:before="0" w:after="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4"/>
        </w:rPr>
        <w:t>By bringing together CRISPR Therapeutics’ and Nkarta’s highly complementary expertise and proprietary platforms we plan to accelerate the development of potentially groundbreaking genome engineered NK cell therapies,” said Samarth Kulkarni, Ph.D., Chief Executive Officer at CRISPR Therapeutics. “This collaboration broadens the scope of our efforts in oncology cell therapy, and expands our efforts to discover and develop novel cancer therapies for patients.”</w:t>
      </w:r>
    </w:p>
    <w:p>
      <w:pPr>
        <w:pStyle w:val="TextBody"/>
        <w:spacing w:lineRule="atLeast" w:line="200" w:before="240" w:after="0"/>
        <w:ind w:left="72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0"/>
        <w:jc w:val="both"/>
        <w:rPr/>
      </w:pPr>
      <w:r>
        <w:rPr/>
        <w:t> </w:t>
      </w:r>
    </w:p>
    <w:p>
      <w:pPr>
        <w:pStyle w:val="TextBody"/>
        <w:spacing w:before="0" w:after="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4"/>
        </w:rPr>
        <w:t>Uniting the best-in-class gene editing solution and allogeneic T cell therapy expertise of CRISPR with Nkarta’s best-in-class CAR NK cell therapy platform will be a major advantage to advancing the next wave of transformative cancer cell therapies,” said Paul J. Hastings, President and Chief Executive Officer of Nkarta. “With this partnership, Nkarta can systematically apply world-class gene editing across our entire pre-clinical pipeline going forward. CRISPR’s deep understanding of CD70 biology and experience in allogeneic T cell clinical development can accelerate the development of early-stage Nkarta programs, to deliver innovative treatments to patients that much faster.”</w:t>
      </w:r>
    </w:p>
    <w:p>
      <w:pPr>
        <w:pStyle w:val="TextBody"/>
        <w:spacing w:before="0" w:after="0"/>
        <w:rPr/>
      </w:pPr>
      <w:r>
        <w:rPr/>
        <w:t> </w:t>
      </w:r>
    </w:p>
    <w:p>
      <w:pPr>
        <w:pStyle w:val="TextBody"/>
        <w:spacing w:before="0" w:after="0"/>
        <w:jc w:val="both"/>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Nkarta Conference Call Details</w:t>
      </w:r>
    </w:p>
    <w:p>
      <w:pPr>
        <w:pStyle w:val="TextBody"/>
        <w:spacing w:before="0" w:after="0"/>
        <w:jc w:val="both"/>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 xml:space="preserve">Nkarta management will host a conference call to discuss the collaboration today at 4:30 p.m. Eastern Time (ET). The event will be simultaneously webcast and available for replay from the Nkarta website at </w:t>
      </w:r>
      <w:r>
        <w:rPr>
          <w:rFonts w:ascii="Times New Roman" w:hAnsi="Times New Roman"/>
          <w:b w:val="false"/>
          <w:i w:val="false"/>
          <w:caps w:val="false"/>
          <w:smallCaps w:val="false"/>
          <w:color w:val="000000"/>
          <w:sz w:val="24"/>
          <w:u w:val="single"/>
        </w:rPr>
        <w:t>www.nkartatx.com</w:t>
      </w:r>
      <w:r>
        <w:rPr>
          <w:rFonts w:ascii="Times New Roman" w:hAnsi="Times New Roman"/>
          <w:b w:val="false"/>
          <w:i w:val="false"/>
          <w:caps w:val="false"/>
          <w:smallCaps w:val="false"/>
          <w:color w:val="000000"/>
          <w:sz w:val="24"/>
        </w:rPr>
        <w:t>, under the Investors section. Investors may also participate in the conference call by calling 877-876-9174 (domestic) or +1-785-424-1669 (international). The conference ID is NKARTA.</w:t>
      </w:r>
    </w:p>
    <w:p>
      <w:pPr>
        <w:pStyle w:val="TextBody"/>
        <w:spacing w:before="0" w:after="0"/>
        <w:rPr/>
      </w:pPr>
      <w:r>
        <w:rPr/>
        <w:t> </w:t>
      </w:r>
    </w:p>
    <w:p>
      <w:pPr>
        <w:pStyle w:val="TextBody"/>
        <w:spacing w:before="0" w:after="0"/>
        <w:rPr>
          <w:rFonts w:ascii="Times New Roman" w:hAnsi="Times New Roman"/>
          <w:b/>
          <w:i w:val="false"/>
          <w:caps w:val="false"/>
          <w:smallCaps w:val="false"/>
          <w:sz w:val="24"/>
        </w:rPr>
      </w:pPr>
      <w:r>
        <w:rPr>
          <w:rFonts w:ascii="Times New Roman" w:hAnsi="Times New Roman"/>
          <w:b/>
          <w:i w:val="false"/>
          <w:caps w:val="false"/>
          <w:smallCaps w:val="false"/>
          <w:sz w:val="24"/>
        </w:rPr>
        <w:t>About CRISPR Therapeutics</w:t>
      </w:r>
    </w:p>
    <w:p>
      <w:pPr>
        <w:pStyle w:val="TextBody"/>
        <w:spacing w:before="0" w:after="0"/>
        <w:jc w:val="both"/>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CRISPR Therapeutics is a leading gene editing company focused on developing transformative gene-based medicines for serious diseases using its proprietary CRISPR/Cas9 platform. CRISPR/Cas9 is a revolutionary gene editing technology that allows for precise, directed changes to genomic DNA. CRISPR Therapeutics has established a portfolio of therapeutic programs across a broad range of disease areas including hemoglobinopathies, oncology, regenerative medicine and rare diseases. To accelerate and expand its efforts, CRISPR Therapeutics has established strategic collaborations with leading companies including Bayer, Vertex Pharmaceuticals and ViaCyte, Inc. CRISPR Therapeutics AG is headquartered in Zug, Switzerland, with its wholly-owned U.S. subsidiary, CRISPR Therapeutics, Inc., and R&amp;D operations based in Cambridge, Massachusetts, and business offices in San Francisco, California and London, United Kingdom. For more information, please visit </w:t>
      </w:r>
      <w:r>
        <w:rPr>
          <w:rFonts w:ascii="Times New Roman" w:hAnsi="Times New Roman"/>
          <w:b w:val="false"/>
          <w:i w:val="false"/>
          <w:caps w:val="false"/>
          <w:smallCaps w:val="false"/>
          <w:color w:val="000000"/>
          <w:sz w:val="24"/>
          <w:u w:val="single"/>
        </w:rPr>
        <w:t>www.crisprtx.com</w:t>
      </w:r>
      <w:r>
        <w:rPr>
          <w:rFonts w:ascii="Times New Roman" w:hAnsi="Times New Roman"/>
          <w:b w:val="false"/>
          <w:i w:val="false"/>
          <w:caps w:val="false"/>
          <w:smallCaps w:val="false"/>
          <w:color w:val="000000"/>
          <w:sz w:val="24"/>
        </w:rPr>
        <w:t>.</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CRISPR THERAPEUTICS® word mark and design logo are registered trademarks of CRISPR Therapeutics AG. All other trademarks and registered trademarks are the property of their respective owners.</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24"/>
        </w:rPr>
      </w:pPr>
      <w:r>
        <w:rPr>
          <w:rFonts w:ascii="Times New Roman" w:hAnsi="Times New Roman"/>
          <w:b/>
          <w:i w:val="false"/>
          <w:caps w:val="false"/>
          <w:smallCaps w:val="false"/>
          <w:sz w:val="24"/>
        </w:rPr>
        <w:t>CRISPR Therapeutics Forward-Looking Statement</w:t>
      </w:r>
    </w:p>
    <w:p>
      <w:pPr>
        <w:pStyle w:val="TextBody"/>
        <w:spacing w:before="0" w:after="0"/>
        <w:jc w:val="both"/>
        <w:rPr>
          <w:rFonts w:ascii="Times New Roman" w:hAnsi="Times New Roman"/>
          <w:b w:val="false"/>
          <w:i/>
          <w:caps w:val="false"/>
          <w:smallCaps w:val="false"/>
          <w:color w:val="000000"/>
          <w:sz w:val="24"/>
        </w:rPr>
      </w:pPr>
      <w:bookmarkStart w:id="1328" w:name="_AEIOULastRenderedPageBreakAEIOU55"/>
      <w:bookmarkEnd w:id="1328"/>
      <w:r>
        <w:rPr>
          <w:rFonts w:ascii="Times New Roman" w:hAnsi="Times New Roman"/>
          <w:b w:val="false"/>
          <w:i/>
          <w:caps w:val="false"/>
          <w:smallCaps w:val="false"/>
          <w:color w:val="000000"/>
          <w:sz w:val="24"/>
        </w:rPr>
        <w:t xml:space="preserve">This press release may contain a number of “forward-looking statements” within the meaning of the Private Securities Litigation Reform Act of 1995, as amended, including statements made by Dr. Kulkarni and Mr. Hastings in this press release, as well as statements regarding CRISPR Therapeutics’ expectations about any or all of the following: (i) the future activities of the parties pursuant to the collaboration and the expected benefits of CRISPR Therapeutics’ collaboration with Nkarta; and (ii) the therapeutic value, development, and commercial potential of CRISPR/Cas9 gene editing technologies and therapies. Without limiting the foregoing, the words “believes,” “anticipates,” “plans,” “expects” and similar expressions are intended to identify forward-looking statements. You are cautioned that forward-looking statements are inherently uncertain. Although CRISPR Therapeutics believes that such statements are based on reasonable assumptions within the bounds of its knowledge of its business and operations, forward-looking </w:t>
      </w:r>
    </w:p>
    <w:p>
      <w:pPr>
        <w:pStyle w:val="TextBody"/>
        <w:spacing w:lineRule="atLeast" w:line="200" w:before="240" w:after="0"/>
        <w:ind w:left="72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val="false"/>
          <w:i/>
          <w:caps w:val="false"/>
          <w:smallCaps w:val="false"/>
          <w:color w:val="000000"/>
          <w:sz w:val="24"/>
        </w:rPr>
      </w:pPr>
      <w:r>
        <w:rPr>
          <w:rFonts w:ascii="Times New Roman" w:hAnsi="Times New Roman"/>
          <w:b w:val="false"/>
          <w:i/>
          <w:caps w:val="false"/>
          <w:smallCaps w:val="false"/>
          <w:color w:val="000000"/>
          <w:sz w:val="24"/>
        </w:rPr>
        <w:t>statements are neither promises nor guarantees and they are necessarily subject to a high degree of uncertainty and risk. Actual performance and results may differ materially from those projected or suggested in the forward-looking statements due to various risks and uncertainties. These risks and uncertainties include, among others: CRISPR Therapeutics may not realize the potential benefits of the collaboration, uncertainties inherent in the initiation and completion of preclinical studies; availability and timing of results from preclinical studies; whether results from a preclinical study will be favorable and predictive of future results of future studies or clinical trials; uncertainties about regulatory approvals and that future competitive or other market factors may adversely affect the commercial potential for product candidates; potential impacts due to the coronavirus pandemic, such as the timing and progress of preclinical studies; uncertainties regarding the intellectual property protection for CRISPR Therapeutics’ technology and intellectual property belonging to third parties, and the outcome of proceedings (such as an interference, an opposition or a similar proceeding) involving all or any portion of such intellectual property; and those risks and uncertainties described under the heading "Risk Factors" in CRISPR Therapeutics’ most recent annual report on Form 10-K, quarterly report on Form 10-Q, and in any other subsequent filings made by CRISPR Therapeutics with the U.S. Securities and Exchange Commission, which are available on the SEC's website at www.sec.gov. Existing and prospective investors are cautioned not to place undue reliance on these forward-looking statements, which speak only as of the date they are made. CRISPR Therapeutics disclaims any obligation or undertaking to update or revise any forward-looking statements contained in this press release, other than to the extent required by law.</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About Nkarta’s NK Cell Technologies</w:t>
      </w:r>
    </w:p>
    <w:p>
      <w:pPr>
        <w:pStyle w:val="TextBody"/>
        <w:spacing w:before="0" w:after="0"/>
        <w:jc w:val="both"/>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Nkarta has pioneered a novel discovery and development platform for the engineering and efficient production of allogeneic, off-the-shelf natural killer (NK) cell therapy candidates. The approach harnesses the innate ability of NK cells to recognize and kill tumor cells. To enhance the inherent biological activity of NK cells, Nkarta genetically engineers the cells with a targeting receptor designed to recognize and bind to specific proteins on the surface of cancerous cells. This receptor is fused to co-stimulatory and signaling domains to amplify cell signaling and NK cell cytotoxicity. Upon binding the target, NK cells become activated and release cytokines that enhance the immune response and cytotoxic granules that lead to killing of the target cell. All of Nkarta’s NK current cell therapy candidates are also engineered with a membrane-bound IL15, a proprietary version of a cytokine known for activating NK cell growth, to enhance the persistence and activity of the NK cells.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Nkarta’s manufacturing process generates an abundant supply of NK cells that, at commercial scale, is expected to be significantly lower in cost than other current allogeneic and autologous cell therapies. Key to this efficiency is the rapid expansion of donor-derived NK cells using a proprietary NKSTIM cell line, leading to the production of hundreds of individual doses from a single manufacturing run. The platform also features the ability to freeze and store CAR NK cells for an extended period of time and is designed to enable immediate, off-the-shelf administration to patients at the point of care.</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About Nkarta</w:t>
      </w:r>
    </w:p>
    <w:p>
      <w:pPr>
        <w:pStyle w:val="TextBody"/>
        <w:spacing w:before="0" w:after="0"/>
        <w:jc w:val="both"/>
        <w:rPr>
          <w:rFonts w:ascii="Times New Roman" w:hAnsi="Times New Roman"/>
          <w:b w:val="false"/>
          <w:i w:val="false"/>
          <w:caps w:val="false"/>
          <w:smallCaps w:val="false"/>
          <w:color w:val="000000"/>
          <w:sz w:val="24"/>
        </w:rPr>
      </w:pPr>
      <w:bookmarkStart w:id="1329" w:name="_AEIOULastRenderedPageBreakAEIOU56"/>
      <w:bookmarkEnd w:id="1329"/>
      <w:r>
        <w:rPr>
          <w:rFonts w:ascii="Times New Roman" w:hAnsi="Times New Roman"/>
          <w:b w:val="false"/>
          <w:i w:val="false"/>
          <w:caps w:val="false"/>
          <w:smallCaps w:val="false"/>
          <w:color w:val="000000"/>
          <w:sz w:val="24"/>
        </w:rPr>
        <w:t xml:space="preserve">Nkarta is a clinical-stage biotechnology company advancing the development of allogeneic, off the shelf natural killer (NK) cell therapies for cancer. By combining its cell expansion and </w:t>
      </w:r>
    </w:p>
    <w:p>
      <w:pPr>
        <w:pStyle w:val="TextBody"/>
        <w:spacing w:lineRule="atLeast" w:line="200" w:before="240" w:after="0"/>
        <w:ind w:left="72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cryopreservation platform with proprietary cell engineering technologies, Nkarta is building a pipeline of cell therapy candidates generated by efficient manufacturing processes, which are engineered to enhance tumor targeting and improve persistence for sustained activity in the body. For more information, please visit www.nkartatx.com.</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 xml:space="preserve">Nkarta, Inc. Cautionary Note on Forward-Looking Statements </w:t>
      </w:r>
    </w:p>
    <w:p>
      <w:pPr>
        <w:pStyle w:val="TextBody"/>
        <w:spacing w:before="0" w:after="0"/>
        <w:jc w:val="both"/>
        <w:rPr>
          <w:rFonts w:ascii="Times New Roman" w:hAnsi="Times New Roman"/>
          <w:b w:val="false"/>
          <w:i/>
          <w:caps w:val="false"/>
          <w:smallCaps w:val="false"/>
          <w:color w:val="000000"/>
          <w:sz w:val="24"/>
        </w:rPr>
      </w:pPr>
      <w:r>
        <w:rPr>
          <w:rFonts w:ascii="Times New Roman" w:hAnsi="Times New Roman"/>
          <w:b w:val="false"/>
          <w:i/>
          <w:caps w:val="false"/>
          <w:smallCaps w:val="false"/>
          <w:color w:val="000000"/>
          <w:sz w:val="24"/>
        </w:rPr>
        <w:t>Statements contained in this press release regarding matters that are not historical facts are “forward-looking statements” within the meaning of the Private Securities Litigation Reform Act of 1995, as amended. Words such as "anticipates," "believes," "expects," "intends," “plans,” “potential,” "projects,” “would” and "future" or similar expressions are intended to identify forward-looking statements. Examples of these forward-looking statements include statements concerning: Nkarta’s expectations regarding its ability to advance the development and commercialization of two gene-edited CAR-NK cell therapies and an NK+T cell therapy under the collaboration with CRISPR Therapeutics, and the ability of Nkarta and CRISPR Therapeutics to leverage the combination of their respective expertise and platforms to accelerate that development; Nkarta’s application of gene-editing across its preclinical pipeline; the ability of Nkarta’s technology to enhance the persistence and anti-tumor activity of NK cells and enable off-the-shelf, point-of-care administration; the efficiency and cost of Nkarta’s manufacturing processes; the number of doses generated from a manufacturing run; and the proprietary nature of Nkarta’s technology. Because such statements are subject to risks and uncertainties, actual results may differ materially from those expressed or implied by such forward-looking statements. These risks and uncertainties include, among others: Nkarta’s limited operating history and historical losses; Nkarta’s ability to raise additional funding to complete the development and any commercialization of its product candidates; Nkarta’s dependence on the success of its co-lead product candidates, NKX101 and NKX019; that Nkarta may be delayed in initiating, enrolling or completing any clinical trials; competition from third parties that are developing products for similar uses; Nkarta’s ability to obtain, maintain and protect its intellectual property; Nkarta’s dependence on third parties in connection with manufacturing, clinical trials and pre-clinical studies; the complexity of the manufacturing process for CAR NK cell therapies; and risks relating to the impact on Nkarta’s business of the COVID-19 pandemic or similar public health crises.</w:t>
      </w:r>
    </w:p>
    <w:p>
      <w:pPr>
        <w:pStyle w:val="TextBody"/>
        <w:spacing w:before="0" w:after="0"/>
        <w:jc w:val="both"/>
        <w:rPr/>
      </w:pPr>
      <w:r>
        <w:rPr/>
        <w:t> </w:t>
      </w:r>
    </w:p>
    <w:p>
      <w:pPr>
        <w:pStyle w:val="TextBody"/>
        <w:spacing w:before="0" w:after="0"/>
        <w:jc w:val="both"/>
        <w:rPr>
          <w:rFonts w:ascii="Times New Roman" w:hAnsi="Times New Roman"/>
          <w:b w:val="false"/>
          <w:i/>
          <w:caps w:val="false"/>
          <w:smallCaps w:val="false"/>
          <w:color w:val="000000"/>
          <w:sz w:val="24"/>
        </w:rPr>
      </w:pPr>
      <w:r>
        <w:rPr>
          <w:rFonts w:ascii="Times New Roman" w:hAnsi="Times New Roman"/>
          <w:b w:val="false"/>
          <w:i/>
          <w:caps w:val="false"/>
          <w:smallCaps w:val="false"/>
          <w:color w:val="000000"/>
          <w:sz w:val="24"/>
        </w:rPr>
        <w:t>These and other risks are described more fully in Nkarta’s filings with the Securities and Exchange Commission (“SEC”), including the “Risk Factors” section of Nkarta’s Annual Report on Form 10-K for the year ended December 31, 2020, filed with the SEC on March 25, 20201, and our other documents subsequently filed with or furnished to the SEC. All forward-looking statements contained in this press release speak only as of the date on which they were made. Except to the extent required by law, Nkarta undertakes no obligation to update such statements to reflect events that occur or circumstances that exist after the date on which they were made.</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lineRule="atLeast" w:line="200" w:before="240" w:after="0"/>
        <w:ind w:left="72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4"/>
        </w:rPr>
      </w:pPr>
      <w:bookmarkStart w:id="1330" w:name="_AEIOULastRenderedPageBreakAEIOU57"/>
      <w:bookmarkEnd w:id="1330"/>
      <w:r>
        <w:rPr>
          <w:rFonts w:ascii="Times New Roman" w:hAnsi="Times New Roman"/>
          <w:b/>
          <w:i w:val="false"/>
          <w:caps w:val="false"/>
          <w:smallCaps w:val="false"/>
          <w:color w:val="000000"/>
          <w:sz w:val="24"/>
        </w:rPr>
        <w:t>CRISPR Therapeutics Investor Contact:</w:t>
      </w:r>
    </w:p>
    <w:p>
      <w:pPr>
        <w:pStyle w:val="TextBody"/>
        <w:spacing w:before="0" w:after="0"/>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Susan Kim</w:t>
      </w:r>
    </w:p>
    <w:p>
      <w:pPr>
        <w:pStyle w:val="TextBody"/>
        <w:spacing w:before="0" w:after="0"/>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+1-617-307-7503</w:t>
      </w:r>
    </w:p>
    <w:p>
      <w:pPr>
        <w:pStyle w:val="TextBody"/>
        <w:spacing w:before="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u w:val="single"/>
        </w:rPr>
        <w:t>susan.kim@crisprtx.com</w:t>
      </w:r>
      <w:r>
        <w:rPr>
          <w:rFonts w:ascii="Times New Roman" w:hAnsi="Times New Roman"/>
          <w:b w:val="false"/>
          <w:i w:val="false"/>
          <w:caps w:val="false"/>
          <w:smallCaps w:val="false"/>
          <w:color w:val="000000"/>
          <w:sz w:val="24"/>
        </w:rPr>
        <w:t xml:space="preserve">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CRISPR Therapeutics Media Contact:</w:t>
      </w:r>
    </w:p>
    <w:p>
      <w:pPr>
        <w:pStyle w:val="TextBody"/>
        <w:spacing w:before="0" w:after="0"/>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Jennifer Paganelli</w:t>
      </w:r>
    </w:p>
    <w:p>
      <w:pPr>
        <w:pStyle w:val="TextBody"/>
        <w:spacing w:before="0" w:after="0"/>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Real Chemistry on behalf of CRISPR</w:t>
      </w:r>
    </w:p>
    <w:p>
      <w:pPr>
        <w:pStyle w:val="TextBody"/>
        <w:spacing w:before="0" w:after="0"/>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+1-347-658-8290</w:t>
      </w:r>
    </w:p>
    <w:p>
      <w:pPr>
        <w:pStyle w:val="TextBody"/>
        <w:spacing w:before="0" w:after="0"/>
        <w:rPr>
          <w:rFonts w:ascii="Times New Roman" w:hAnsi="Times New Roman"/>
          <w:b w:val="false"/>
          <w:i w:val="false"/>
          <w:caps w:val="false"/>
          <w:smallCaps w:val="false"/>
          <w:sz w:val="24"/>
        </w:rPr>
      </w:pPr>
      <w:r>
        <w:rPr>
          <w:rFonts w:ascii="Times New Roman" w:hAnsi="Times New Roman"/>
          <w:b w:val="false"/>
          <w:i w:val="false"/>
          <w:caps w:val="false"/>
          <w:smallCaps w:val="false"/>
          <w:sz w:val="24"/>
          <w:u w:val="single"/>
        </w:rPr>
        <w:t>jpaganelli@realchemistry.com</w:t>
      </w:r>
      <w:r>
        <w:rPr>
          <w:rFonts w:ascii="Times New Roman" w:hAnsi="Times New Roman"/>
          <w:b w:val="false"/>
          <w:i w:val="false"/>
          <w:caps w:val="false"/>
          <w:smallCaps w:val="false"/>
          <w:color w:val="000000"/>
          <w:sz w:val="24"/>
        </w:rPr>
        <w:t xml:space="preserve">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Nkarta Media/Investor Contact:</w:t>
      </w:r>
    </w:p>
    <w:p>
      <w:pPr>
        <w:pStyle w:val="TextBody"/>
        <w:spacing w:before="0" w:after="0"/>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Greg Mann</w:t>
      </w:r>
    </w:p>
    <w:p>
      <w:pPr>
        <w:pStyle w:val="TextBody"/>
        <w:spacing w:before="0" w:after="0"/>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Nkarta, Inc.</w:t>
      </w:r>
    </w:p>
    <w:p>
      <w:pPr>
        <w:pStyle w:val="TextBody"/>
        <w:spacing w:before="0" w:after="0"/>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+1-415-317-3675</w:t>
      </w:r>
    </w:p>
    <w:p>
      <w:pPr>
        <w:pStyle w:val="TextBody"/>
        <w:spacing w:before="0" w:after="0"/>
        <w:rPr>
          <w:rFonts w:ascii="Times New Roman" w:hAnsi="Times New Roman"/>
          <w:b w:val="false"/>
          <w:i w:val="false"/>
          <w:caps w:val="false"/>
          <w:smallCaps w:val="false"/>
          <w:sz w:val="24"/>
          <w:u w:val="single"/>
        </w:rPr>
      </w:pPr>
      <w:r>
        <w:rPr>
          <w:rFonts w:ascii="Times New Roman" w:hAnsi="Times New Roman"/>
          <w:b w:val="false"/>
          <w:i w:val="false"/>
          <w:caps w:val="false"/>
          <w:smallCaps w:val="false"/>
          <w:sz w:val="24"/>
          <w:u w:val="single"/>
        </w:rPr>
        <w:t>gmann@nkartatx.com</w:t>
      </w:r>
    </w:p>
    <w:p>
      <w:pPr>
        <w:pStyle w:val="TextBody"/>
        <w:spacing w:before="0" w:after="0"/>
        <w:rPr/>
      </w:pPr>
      <w:r>
        <w:rPr/>
        <w:t> </w:t>
      </w:r>
    </w:p>
    <w:p>
      <w:pPr>
        <w:pStyle w:val="TextBody"/>
        <w:spacing w:before="0" w:after="160"/>
        <w:rPr/>
      </w:pPr>
      <w:r>
        <w:rPr/>
        <w:t> </w:t>
      </w:r>
    </w:p>
    <w:p>
      <w:pPr>
        <w:pStyle w:val="TextBody"/>
        <w:spacing w:lineRule="atLeast" w:line="200" w:before="240" w:after="0"/>
        <w:ind w:left="72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bookmarkStart w:id="1331" w:name="_AEIOULastRenderedPageBreakAEIOU58"/>
      <w:bookmarkEnd w:id="1331"/>
      <w:r>
        <w:rPr>
          <w:rFonts w:ascii="Times New Roman" w:hAnsi="Times New Roman"/>
          <w:b/>
          <w:i w:val="false"/>
          <w:caps w:val="false"/>
          <w:smallCaps w:val="false"/>
          <w:sz w:val="22"/>
        </w:rPr>
        <w:t>Schedule 1.41</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CRISPR In-License Agreements</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240"/>
        <w:jc w:val="center"/>
        <w:rPr/>
      </w:pPr>
      <w:r>
        <w:rPr/>
        <w: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bookmarkStart w:id="1332" w:name="_AEIOULastRenderedPageBreakAEIOU59"/>
      <w:bookmarkEnd w:id="1332"/>
      <w:r>
        <w:rPr>
          <w:rFonts w:ascii="Times New Roman" w:hAnsi="Times New Roman"/>
          <w:b/>
          <w:i w:val="false"/>
          <w:caps w:val="false"/>
          <w:smallCaps w:val="false"/>
          <w:sz w:val="22"/>
        </w:rPr>
        <w:t>Schedule 1.110</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Nkarta In-License Agreements</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240"/>
        <w:jc w:val="center"/>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240"/>
        <w:jc w:val="both"/>
        <w:rPr/>
      </w:pPr>
      <w:r>
        <w:rPr/>
        <w:t> </w:t>
      </w:r>
    </w:p>
    <w:p>
      <w:pPr>
        <w:pStyle w:val="TextBody"/>
        <w:spacing w:before="0" w:after="240"/>
        <w:jc w:val="center"/>
        <w:rPr/>
      </w:pPr>
      <w:r>
        <w:rPr/>
        <w: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bookmarkStart w:id="1333" w:name="_AEIOULastRenderedPageBreakAEIOU60"/>
      <w:bookmarkEnd w:id="1333"/>
      <w:r>
        <w:rPr>
          <w:rFonts w:ascii="Times New Roman" w:hAnsi="Times New Roman"/>
          <w:b/>
          <w:i w:val="false"/>
          <w:caps w:val="false"/>
          <w:smallCaps w:val="false"/>
          <w:sz w:val="22"/>
        </w:rPr>
        <w:t>Schedule 11.1</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Nkarta Schedule of Exceptions</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240"/>
        <w:jc w:val="center"/>
        <w:rPr/>
      </w:pPr>
      <w:r>
        <w:rPr/>
        <w:t> </w:t>
      </w:r>
    </w:p>
    <w:p>
      <w:pPr>
        <w:pStyle w:val="TextBody"/>
        <w:spacing w:before="0" w:after="240"/>
        <w:rPr/>
      </w:pPr>
      <w:r>
        <w:rPr/>
        <w:t> </w:t>
      </w:r>
    </w:p>
    <w:p>
      <w:pPr>
        <w:pStyle w:val="TextBody"/>
        <w:spacing w:before="0" w:after="240"/>
        <w:jc w:val="both"/>
        <w:rPr/>
      </w:pPr>
      <w:r>
        <w:rPr/>
        <w: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bookmarkStart w:id="1334" w:name="_AEIOULastRenderedPageBreakAEIOU61"/>
      <w:bookmarkEnd w:id="1334"/>
      <w:r>
        <w:rPr>
          <w:rFonts w:ascii="Times New Roman" w:hAnsi="Times New Roman"/>
          <w:b/>
          <w:i w:val="false"/>
          <w:caps w:val="false"/>
          <w:smallCaps w:val="false"/>
          <w:sz w:val="22"/>
        </w:rPr>
        <w:t>Schedule 11.1.9</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Nkarta Background Patents</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240"/>
        <w:jc w:val="center"/>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240"/>
        <w:jc w:val="center"/>
        <w:rPr/>
      </w:pPr>
      <w:r>
        <w:rPr/>
        <w: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bookmarkStart w:id="1335" w:name="_AEIOULastRenderedPageBreakAEIOU62"/>
      <w:bookmarkEnd w:id="1335"/>
      <w:r>
        <w:rPr>
          <w:rFonts w:ascii="Times New Roman" w:hAnsi="Times New Roman"/>
          <w:b/>
          <w:i w:val="false"/>
          <w:caps w:val="false"/>
          <w:smallCaps w:val="false"/>
          <w:sz w:val="22"/>
        </w:rPr>
        <w:t>Schedule 11.2</w:t>
      </w:r>
    </w:p>
    <w:p>
      <w:pPr>
        <w:pStyle w:val="TextBody"/>
        <w:spacing w:before="0" w:after="240"/>
        <w:jc w:val="center"/>
        <w:rPr>
          <w:rFonts w:ascii="Times New Roman" w:hAnsi="Times New Roman"/>
          <w:b/>
          <w:i w:val="false"/>
          <w:caps w:val="false"/>
          <w:smallCaps w:val="false"/>
          <w:sz w:val="22"/>
        </w:rPr>
      </w:pPr>
      <w:r>
        <w:rPr>
          <w:rFonts w:ascii="Times New Roman" w:hAnsi="Times New Roman"/>
          <w:b/>
          <w:i w:val="false"/>
          <w:caps w:val="false"/>
          <w:smallCaps w:val="false"/>
          <w:sz w:val="22"/>
        </w:rPr>
        <w:t>CRISPR Schedule of Exceptions</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240"/>
        <w:rPr/>
      </w:pPr>
      <w:r>
        <w:rPr/>
        <w: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2"/>
        </w:rPr>
      </w:pPr>
      <w:bookmarkStart w:id="1336" w:name="_AEIOULastRenderedPageBreakAEIOU63"/>
      <w:bookmarkEnd w:id="1336"/>
      <w:r>
        <w:rPr>
          <w:rFonts w:ascii="Times New Roman" w:hAnsi="Times New Roman"/>
          <w:b/>
          <w:i w:val="false"/>
          <w:caps w:val="false"/>
          <w:smallCaps w:val="false"/>
          <w:sz w:val="22"/>
        </w:rPr>
        <w:t>Schedule 11.2.9</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CRISPR Background Patents</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240"/>
        <w:jc w:val="center"/>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240" w:after="0"/>
        <w:ind w:left="720" w:right="0" w:hanging="0"/>
        <w:rPr>
          <w:rFonts w:ascii="Calibri" w:hAnsi="Calibri"/>
          <w:b w:val="false"/>
          <w:i w:val="false"/>
          <w:caps w:val="false"/>
          <w:smallCaps w:val="false"/>
          <w:sz w:val="16"/>
        </w:rPr>
      </w:pPr>
      <w:r>
        <w:rPr>
          <w:rFonts w:ascii="Calibri" w:hAnsi="Calibri"/>
          <w:b w:val="false"/>
          <w:i w:val="false"/>
          <w:caps w:val="false"/>
          <w:smallCaps w:val="false"/>
          <w:sz w:val="16"/>
        </w:rPr>
        <w:t>{00010634 - 3}</w:t>
      </w:r>
    </w:p>
    <w:p>
      <w:pPr>
        <w:pStyle w:val="HorizontalLine"/>
        <w:rPr/>
      </w:pPr>
      <w:r>
        <w:rPr/>
      </w:r>
    </w:p>
    <w:p>
      <w:pPr>
        <w:pStyle w:val="TextBody"/>
        <w:spacing w:before="0" w:after="0"/>
        <w:rPr/>
      </w:pPr>
      <w:r>
        <w:rPr/>
        <w:t> </w:t>
      </w:r>
    </w:p>
    <w:p>
      <w:pPr>
        <w:pStyle w:val="TextBody"/>
        <w:spacing w:before="0" w:after="0"/>
        <w:jc w:val="both"/>
        <w:rPr/>
      </w:pPr>
      <w:r>
        <w:rPr/>
        <w:t> </w:t>
      </w:r>
    </w:p>
    <w:p>
      <w:pPr>
        <w:pStyle w:val="TextBody"/>
        <w:spacing w:before="0" w:after="24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Schedule 11.3.2</w:t>
      </w:r>
    </w:p>
    <w:p>
      <w:pPr>
        <w:pStyle w:val="TextBody"/>
        <w:spacing w:before="0" w:after="0"/>
        <w:jc w:val="center"/>
        <w:rPr>
          <w:rFonts w:ascii="Times New Roman" w:hAnsi="Times New Roman"/>
          <w:b/>
          <w:i w:val="false"/>
          <w:caps w:val="false"/>
          <w:smallCaps w:val="false"/>
          <w:color w:val="000000"/>
          <w:sz w:val="24"/>
        </w:rPr>
      </w:pPr>
      <w:r>
        <w:rPr>
          <w:rFonts w:ascii="Times New Roman" w:hAnsi="Times New Roman"/>
          <w:b/>
          <w:i w:val="false"/>
          <w:caps w:val="false"/>
          <w:smallCaps w:val="false"/>
          <w:color w:val="000000"/>
          <w:sz w:val="24"/>
        </w:rPr>
        <w:t>Opt-Out Product Payments</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w:t>
      </w:r>
    </w:p>
    <w:p>
      <w:pPr>
        <w:pStyle w:val="TextBody"/>
        <w:spacing w:before="0" w:after="0"/>
        <w:jc w:val="center"/>
        <w:rPr/>
      </w:pPr>
      <w:r>
        <w:rPr/>
        <w:t> </w:t>
      </w:r>
    </w:p>
    <w:p>
      <w:pPr>
        <w:pStyle w:val="TextBody"/>
        <w:spacing w:before="0" w:after="0"/>
        <w:jc w:val="both"/>
        <w:rPr/>
      </w:pPr>
      <w:r>
        <w:rPr/>
        <w:t> </w:t>
      </w:r>
    </w:p>
    <w:p>
      <w:pPr>
        <w:pStyle w:val="TextBody"/>
        <w:spacing w:before="0" w:after="240"/>
        <w:jc w:val="both"/>
        <w:rPr/>
      </w:pPr>
      <w:r>
        <w:rPr/>
        <w:t> </w:t>
      </w:r>
    </w:p>
    <w:p>
      <w:pPr>
        <w:pStyle w:val="TextBody"/>
        <w:spacing w:before="0" w:after="240"/>
        <w:jc w:val="both"/>
        <w:rPr/>
      </w:pPr>
      <w:r>
        <w:rPr/>
        <w:t> </w:t>
      </w:r>
    </w:p>
    <w:p>
      <w:pPr>
        <w:pStyle w:val="TextBody"/>
        <w:spacing w:lineRule="atLeast" w:line="200" w:before="24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{00010634 - 3}</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1337" w:name="nktx-ex311_12.htm"/>
      <w:bookmarkStart w:id="1338" w:name="ksnktxex311_12"/>
      <w:bookmarkEnd w:id="1337"/>
      <w:bookmarkEnd w:id="1338"/>
      <w:r>
        <w:rPr>
          <w:rFonts w:ascii="Times New Roman" w:hAnsi="Times New Roman"/>
          <w:b/>
          <w:i w:val="false"/>
          <w:caps w:val="false"/>
          <w:smallCaps w:val="false"/>
          <w:color w:val="000000"/>
          <w:sz w:val="20"/>
        </w:rPr>
        <w:t>Exhibit 31.1</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NKARTA,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CERTIFICATIONS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SECTION 302 OF</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THE SARBANES-OXLEY ACT OF 2002</w:t>
      </w:r>
    </w:p>
    <w:p>
      <w:pPr>
        <w:pStyle w:val="TextBody"/>
        <w:spacing w:before="0" w:after="0"/>
        <w:rPr/>
      </w:pPr>
      <w:r>
        <w:rPr/>
        <w:t> </w:t>
      </w:r>
    </w:p>
    <w:p>
      <w:pPr>
        <w:pStyle w:val="TextBody"/>
        <w:pBdr/>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CERTIFICATION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Paul J. Hastings, certify that:</w:t>
      </w:r>
    </w:p>
    <w:tbl>
      <w:tblPr>
        <w:tblW w:w="5530" w:type="dxa"/>
        <w:jc w:val="left"/>
        <w:tblInd w:w="0" w:type="dxa"/>
        <w:tblCellMar>
          <w:top w:w="0" w:type="dxa"/>
          <w:left w:w="0" w:type="dxa"/>
          <w:bottom w:w="0" w:type="dxa"/>
          <w:right w:w="0" w:type="dxa"/>
        </w:tblCellMar>
      </w:tblPr>
      <w:tblGrid>
        <w:gridCol w:w="170"/>
        <w:gridCol w:w="5360"/>
      </w:tblGrid>
      <w:tr>
        <w:trPr/>
        <w:tc>
          <w:tcPr>
            <w:tcW w:w="17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536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quarterly report on Form 10-Q of Nkarta, Inc.;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8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3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94"/>
        <w:gridCol w:w="995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6"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4230" w:type="dxa"/>
        <w:jc w:val="center"/>
        <w:tblInd w:w="0" w:type="dxa"/>
        <w:tblCellMar>
          <w:top w:w="0" w:type="dxa"/>
          <w:left w:w="0" w:type="dxa"/>
          <w:bottom w:w="28" w:type="dxa"/>
          <w:right w:w="0" w:type="dxa"/>
        </w:tblCellMar>
      </w:tblPr>
      <w:tblGrid>
        <w:gridCol w:w="1850"/>
        <w:gridCol w:w="60"/>
        <w:gridCol w:w="320"/>
        <w:gridCol w:w="2000"/>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0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Paul J. Hastings</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Paul J. Hastings</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tc>
      </w:tr>
    </w:tbl>
    <w:p>
      <w:pPr>
        <w:pStyle w:val="TextBody"/>
        <w:spacing w:before="0" w:after="0"/>
        <w:rPr/>
      </w:pPr>
      <w:r>
        <w:rPr/>
        <w:t> </w:t>
      </w:r>
    </w:p>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1339" w:name="nktx-ex312_11.htm"/>
      <w:bookmarkStart w:id="1340" w:name="ksnktxex312_11"/>
      <w:bookmarkEnd w:id="1339"/>
      <w:bookmarkEnd w:id="1340"/>
      <w:r>
        <w:rPr>
          <w:rFonts w:ascii="Times New Roman" w:hAnsi="Times New Roman"/>
          <w:b/>
          <w:i w:val="false"/>
          <w:caps w:val="false"/>
          <w:smallCaps w:val="false"/>
          <w:color w:val="000000"/>
          <w:sz w:val="20"/>
        </w:rPr>
        <w:t>Exhibit 31.2</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NKARTA,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CERTIFICATIONS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SECTION 302 OF</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THE SARBANES-OXLEY ACT OF 2002</w:t>
      </w:r>
    </w:p>
    <w:p>
      <w:pPr>
        <w:pStyle w:val="TextBody"/>
        <w:spacing w:before="0" w:after="0"/>
        <w:rPr/>
      </w:pPr>
      <w:r>
        <w:rPr/>
        <w:t> </w:t>
      </w:r>
    </w:p>
    <w:p>
      <w:pPr>
        <w:pStyle w:val="TextBody"/>
        <w:pBdr/>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CERTIFICATION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Nadir Mahmood, certify that:</w:t>
      </w:r>
    </w:p>
    <w:tbl>
      <w:tblPr>
        <w:tblW w:w="5530" w:type="dxa"/>
        <w:jc w:val="left"/>
        <w:tblInd w:w="0" w:type="dxa"/>
        <w:tblCellMar>
          <w:top w:w="0" w:type="dxa"/>
          <w:left w:w="0" w:type="dxa"/>
          <w:bottom w:w="0" w:type="dxa"/>
          <w:right w:w="0" w:type="dxa"/>
        </w:tblCellMar>
      </w:tblPr>
      <w:tblGrid>
        <w:gridCol w:w="170"/>
        <w:gridCol w:w="5360"/>
      </w:tblGrid>
      <w:tr>
        <w:trPr/>
        <w:tc>
          <w:tcPr>
            <w:tcW w:w="17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536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quarterly report on Form 10-Q of Nkarta, Inc.;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8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3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94"/>
        <w:gridCol w:w="995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6"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5325" w:type="dxa"/>
        <w:jc w:val="center"/>
        <w:tblInd w:w="0" w:type="dxa"/>
        <w:tblCellMar>
          <w:top w:w="0" w:type="dxa"/>
          <w:left w:w="0" w:type="dxa"/>
          <w:bottom w:w="28" w:type="dxa"/>
          <w:right w:w="0" w:type="dxa"/>
        </w:tblCellMar>
      </w:tblPr>
      <w:tblGrid>
        <w:gridCol w:w="1850"/>
        <w:gridCol w:w="60"/>
        <w:gridCol w:w="320"/>
        <w:gridCol w:w="3095"/>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09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Nadir Mahmood</w:t>
            </w:r>
          </w:p>
        </w:tc>
      </w:tr>
      <w:tr>
        <w:trPr/>
        <w:tc>
          <w:tcPr>
            <w:tcW w:w="185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Nadir Mahmood</w:t>
            </w:r>
          </w:p>
        </w:tc>
      </w:tr>
      <w:tr>
        <w:trPr/>
        <w:tc>
          <w:tcPr>
            <w:tcW w:w="185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9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and Business Officer</w:t>
            </w:r>
          </w:p>
        </w:tc>
      </w:tr>
    </w:tbl>
    <w:p>
      <w:pPr>
        <w:pStyle w:val="TextBody"/>
        <w:spacing w:before="0" w:after="0"/>
        <w:rPr/>
      </w:pPr>
      <w:r>
        <w:rPr/>
        <w:t> </w:t>
      </w:r>
      <w:r>
        <w:br w:type="page"/>
      </w:r>
    </w:p>
    <w:p>
      <w:pPr>
        <w:pStyle w:val="TextBody"/>
        <w:spacing w:before="0" w:after="0"/>
        <w:rPr/>
      </w:pPr>
      <w:bookmarkStart w:id="1341" w:name="nktx-ex321_7.htm"/>
      <w:bookmarkStart w:id="1342" w:name="ksnktxex321_7"/>
      <w:bookmarkEnd w:id="1341"/>
      <w:bookmarkEnd w:id="1342"/>
      <w:r>
        <w:rPr/>
        <w:t> </w:t>
      </w:r>
    </w:p>
    <w:p>
      <w:pPr>
        <w:pStyle w:val="TextBody"/>
        <w:shd w:fill="FFFFFF" w:val="clear"/>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NKARTA,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18 U.S.C. SECTION 1350,</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 ADOPTED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Quarterly Report of Nkarta, Inc. (the "Company") on Form 10-Q for the period ended June 30, 2021 as filed with the Securities and Exchange Commission on the date hereof (the "Report"), we, Paul J. Hastings, Chief Executive Officer of the Company, and Nadir Mahmood, Chief Financial and Business Officer, certify, pursuant to 18 U.S.C. 1350, as adopted pursuant to Section 906 of the Sarbanes-Oxley Act of 2002, that:</w:t>
      </w:r>
    </w:p>
    <w:tbl>
      <w:tblPr>
        <w:tblW w:w="9175" w:type="dxa"/>
        <w:jc w:val="left"/>
        <w:tblInd w:w="0" w:type="dxa"/>
        <w:tblCellMar>
          <w:top w:w="0" w:type="dxa"/>
          <w:left w:w="0" w:type="dxa"/>
          <w:bottom w:w="0" w:type="dxa"/>
          <w:right w:w="0" w:type="dxa"/>
        </w:tblCellMar>
      </w:tblPr>
      <w:tblGrid>
        <w:gridCol w:w="60"/>
        <w:gridCol w:w="245"/>
        <w:gridCol w:w="887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887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of the Securities Exchange Act of 1934; and</w:t>
            </w:r>
          </w:p>
        </w:tc>
      </w:tr>
    </w:tbl>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rPr/>
      </w:pPr>
      <w:r>
        <w:rPr/>
        <w:t> </w:t>
      </w:r>
    </w:p>
    <w:p>
      <w:pPr>
        <w:pStyle w:val="TextBody"/>
        <w:spacing w:before="0" w:after="0"/>
        <w:rPr/>
      </w:pPr>
      <w:r>
        <w:rPr/>
        <w:t> </w:t>
      </w:r>
    </w:p>
    <w:tbl>
      <w:tblPr>
        <w:tblW w:w="4230" w:type="dxa"/>
        <w:jc w:val="center"/>
        <w:tblInd w:w="0" w:type="dxa"/>
        <w:tblCellMar>
          <w:top w:w="0" w:type="dxa"/>
          <w:left w:w="0" w:type="dxa"/>
          <w:bottom w:w="28" w:type="dxa"/>
          <w:right w:w="0" w:type="dxa"/>
        </w:tblCellMar>
      </w:tblPr>
      <w:tblGrid>
        <w:gridCol w:w="1850"/>
        <w:gridCol w:w="60"/>
        <w:gridCol w:w="320"/>
        <w:gridCol w:w="2000"/>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0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Paul J. Hastings</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Paul J. Hastings</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tc>
      </w:tr>
    </w:tbl>
    <w:p>
      <w:pPr>
        <w:pStyle w:val="TextBody"/>
        <w:spacing w:before="0" w:after="0"/>
        <w:rPr/>
      </w:pPr>
      <w:r>
        <w:rPr/>
        <w:t> </w:t>
      </w:r>
    </w:p>
    <w:p>
      <w:pPr>
        <w:pStyle w:val="TextBody"/>
        <w:spacing w:before="0" w:after="0"/>
        <w:rPr/>
      </w:pPr>
      <w:r>
        <w:rPr/>
        <w:t> </w:t>
      </w:r>
    </w:p>
    <w:tbl>
      <w:tblPr>
        <w:tblW w:w="5325" w:type="dxa"/>
        <w:jc w:val="center"/>
        <w:tblInd w:w="0" w:type="dxa"/>
        <w:tblCellMar>
          <w:top w:w="0" w:type="dxa"/>
          <w:left w:w="0" w:type="dxa"/>
          <w:bottom w:w="28" w:type="dxa"/>
          <w:right w:w="0" w:type="dxa"/>
        </w:tblCellMar>
      </w:tblPr>
      <w:tblGrid>
        <w:gridCol w:w="1850"/>
        <w:gridCol w:w="60"/>
        <w:gridCol w:w="320"/>
        <w:gridCol w:w="3095"/>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09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Nadir Mahmood</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Nadir Mahmood</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9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and Business Officer</w:t>
            </w:r>
          </w:p>
        </w:tc>
      </w:tr>
    </w:tbl>
    <w:p>
      <w:pPr>
        <w:pStyle w:val="TextBody"/>
        <w:spacing w:before="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87400/000119312520192614/d62111dex31.htm" TargetMode="External"/><Relationship Id="rId3" Type="http://schemas.openxmlformats.org/officeDocument/2006/relationships/hyperlink" Target="http://www.sec.gov/Archives/edgar/data/1787400/000119312520192614/d62111dex32.htm" TargetMode="External"/><Relationship Id="rId4" Type="http://schemas.openxmlformats.org/officeDocument/2006/relationships/hyperlink" Target="http://www.sec.gov/Archives/edgar/data/1787400/000156459021036496/nktx-ex101_6.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78530</Words>
  <CharactersWithSpaces>516529</CharactersWithSpaces>
  <Paragraphs>6408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