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Nkarta,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6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8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06/10/2026</w:t>
            </w: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6" w:lineRule="exact"/>
        <w:rPr>
          <w:sz w:val="20"/>
          <w:szCs w:val="20"/>
          <w:color w:val="auto"/>
        </w:rPr>
      </w:pPr>
    </w:p>
    <w:p>
      <w:pPr>
        <w:sectPr>
          <w:pgSz w:w="11900" w:h="16838" w:orient="portrait"/>
          <w:cols w:equalWidth="0" w:num="2">
            <w:col w:w="7680" w:space="55"/>
            <w:col w:w="3345"/>
          </w:cols>
          <w:pgMar w:left="460" w:top="216" w:right="359" w:bottom="0" w:gutter="0" w:footer="0" w:header="0"/>
          <w:type w:val="continuous"/>
        </w:sectPr>
      </w:pP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0"/>
          <w:szCs w:val="20"/>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2.46</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06/10/2026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37,000</w:t>
            </w:r>
          </w:p>
        </w:tc>
        <w:tc>
          <w:tcPr>
            <w:tcW w:w="30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37,000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37,000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tcPr>
          <w:p>
            <w:pPr>
              <w:ind w:left="60"/>
              <w:spacing w:after="0" w:line="114"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tcPr>
          <w:p>
            <w:pPr>
              <w:ind w:left="80"/>
              <w:spacing w:after="0" w:line="114" w:lineRule="exact"/>
              <w:rPr>
                <w:sz w:val="20"/>
                <w:szCs w:val="20"/>
                <w:color w:val="auto"/>
              </w:rPr>
            </w:pPr>
            <w:r>
              <w:rPr>
                <w:rFonts w:ascii="Times New Roman" w:cs="Times New Roman" w:eastAsia="Times New Roman" w:hAnsi="Times New Roman"/>
                <w:sz w:val="9"/>
                <w:szCs w:val="9"/>
                <w:color w:val="0000FF"/>
              </w:rPr>
              <w:t>Footnotes</w:t>
            </w:r>
            <w:r>
              <w:rPr>
                <w:rFonts w:ascii="Times New Roman" w:cs="Times New Roman" w:eastAsia="Times New Roman" w:hAnsi="Times New Roman"/>
                <w:sz w:val="13"/>
                <w:szCs w:val="13"/>
                <w:color w:val="008000"/>
                <w:vertAlign w:val="superscript"/>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02116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RA Capital Healthcare Fund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02116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RA Capital Nexus Fund, L.P.</w:t>
              </w:r>
            </w:hyperlink>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080"/>
          </w:cols>
          <w:pgMar w:left="460" w:top="216"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2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Kolchinsky Peter</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3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-1203960</wp:posOffset>
            </wp:positionV>
            <wp:extent cx="2811780" cy="4018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1780" cy="4018915"/>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2"/>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360" w:type="dxa"/>
            <w:vAlign w:val="bottom"/>
            <w:gridSpan w:val="3"/>
          </w:tcPr>
          <w:p>
            <w:pPr>
              <w:ind w:left="20"/>
              <w:spacing w:after="0" w:line="216"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Shah Rajeev M.</w:t>
              </w:r>
            </w:hyperlink>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RA CAPITAL MANAGEMENT, L.P.</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428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spacing w:after="0" w:line="267" w:lineRule="auto"/>
        <w:tabs>
          <w:tab w:leader="none" w:pos="1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All shares subject to the option vest 100% on the first to occur of (i) June 10, 2027 or (ii) the day immediately preceding the first annual meeting of the Issuer's stockholders to occur after the date of grant of the award, subject to Dr. Scheiner's continued service through the applicable vesting date. Each grant, to the extent outstanding and otherwise unvested, will become fully vested should a "change in control" of the Issuer occur (as described in the applicable award agreement) or upon the Dr. Scheiner's separation from service with the Issuer due to the his death or "disability" (as described in the applicable award agreement).</w:t>
      </w:r>
    </w:p>
    <w:p>
      <w:pPr>
        <w:spacing w:after="0" w:line="10" w:lineRule="exact"/>
        <w:rPr>
          <w:rFonts w:ascii="Times New Roman" w:cs="Times New Roman" w:eastAsia="Times New Roman" w:hAnsi="Times New Roman"/>
          <w:sz w:val="12"/>
          <w:szCs w:val="12"/>
          <w:color w:val="008000"/>
        </w:rPr>
      </w:pPr>
    </w:p>
    <w:p>
      <w:pPr>
        <w:ind w:left="20" w:right="8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and RA Capital Nexus Fund, L.P. (the "Nexus Fund"). The general partner of the Adviser is RA Capital Management GP, LLC (the "Adviser GP"), of which Dr. Peter Kolchinsky and Mr. Rajeev Shah are the managing members. Each of the Adviser, the Adviser GP, the Fund, the Nexus Fund, Dr. Kolchinsky and Mr. Shah disclaims beneficial ownership of any of the reported securities, except to the extent of its or his respective pecuniary interest therein.</w:t>
      </w:r>
    </w:p>
    <w:p>
      <w:pPr>
        <w:spacing w:after="0" w:line="25" w:lineRule="exact"/>
        <w:rPr>
          <w:rFonts w:ascii="Times New Roman" w:cs="Times New Roman" w:eastAsia="Times New Roman" w:hAnsi="Times New Roman"/>
          <w:sz w:val="13"/>
          <w:szCs w:val="13"/>
          <w:color w:val="008000"/>
        </w:rPr>
      </w:pPr>
    </w:p>
    <w:p>
      <w:pPr>
        <w:ind w:left="20" w:right="32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Dr. Scheiner's arrangement with the Adviser, Dr. Scheiner holds the option for the benefit of the Fund and the Nexus Fund. Dr. Scheiner is obligated to turn over to the Adviser any net cash or stock received upon exercise of the option, which will offset advisory fees owed by the Fund and the Nexus Fund to the Adviser. The Reporting Persons therefore disclaim beneficial ownership of the option and underlying common stock.</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Dr. Zachary Scheiner, a Principal of the Adviser, serves on the Issuer's board of directors.</w:t>
      </w:r>
    </w:p>
    <w:p>
      <w:pPr>
        <w:sectPr>
          <w:pgSz w:w="11900" w:h="16838" w:orient="portrait"/>
          <w:cols w:equalWidth="0" w:num="1">
            <w:col w:w="10840"/>
          </w:cols>
          <w:pgMar w:left="480" w:top="128" w:right="579" w:bottom="1440" w:gutter="0" w:footer="0" w:header="0"/>
        </w:sectPr>
      </w:pPr>
    </w:p>
    <w:p>
      <w:pPr>
        <w:spacing w:after="0" w:line="6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189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63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of 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11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2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24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63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of RA Capital Nexus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00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26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Nexus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056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8705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705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507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12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660" w:space="120"/>
            <w:col w:w="2060"/>
          </w:cols>
          <w:pgMar w:left="480" w:top="128" w:right="5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480"/>
        <w:spacing w:after="0" w:line="331"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8"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9"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787400" TargetMode="External"/><Relationship Id="rId16"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780117" TargetMode="External"/><Relationship Id="rId18" Type="http://schemas.openxmlformats.org/officeDocument/2006/relationships/hyperlink" Target="http://www.sec.gov/cgi-bin/browse-edgar?action=getcompany&amp;CIK=0001384859" TargetMode="External"/><Relationship Id="rId20"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2026-06-11T15:35:51Z</dcterms:created>
  <dcterms:modified xsi:type="dcterms:W3CDTF">2026-06-11T15:35:51Z</dcterms:modified>
</cp:coreProperties>
</file>