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nktx-20230331.htm"/>
      <w:bookmarkStart w:id="1" w:name="ksnktx20230331"/>
      <w:bookmarkEnd w:id="0"/>
      <w:bookmarkEnd w:id="1"/>
      <w:r>
        <w:rPr/>
        <w:t> </w:t>
      </w:r>
    </w:p>
    <w:p>
      <w:pPr>
        <w:pStyle w:val="TextBody"/>
        <w:pBdr>
          <w:bottom w:val="double" w:sz="6" w:space="1" w:color="000000"/>
        </w:pBdr>
        <w:bidi w:val="0"/>
        <w:spacing w:before="0" w:after="0"/>
        <w:jc w:val="center"/>
        <w:rPr/>
      </w:pPr>
      <w:r>
        <w:rPr/>
        <w:t> </w:t>
      </w:r>
    </w:p>
    <w:p>
      <w:pPr>
        <w:pStyle w:val="TextBody"/>
        <w:bidi w:val="0"/>
        <w:spacing w:before="8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left"/>
        <w:rPr>
          <w:rFonts w:ascii="Times New Roman;serif" w:hAnsi="Times New Roman;serif"/>
          <w:b/>
          <w:sz w:val="16"/>
        </w:rPr>
      </w:pPr>
      <w:r>
        <w:rPr>
          <w:rFonts w:ascii="Times New Roman;serif" w:hAnsi="Times New Roman;serif"/>
          <w:b/>
          <w:sz w:val="16"/>
        </w:rPr>
        <w:t>(Mark One)</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4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bidi w:val="0"/>
        <w:spacing w:before="120" w:after="0"/>
        <w:jc w:val="center"/>
        <w:rPr>
          <w:rFonts w:ascii="Times New Roman;serif" w:hAnsi="Times New Roman;serif"/>
          <w:b/>
          <w:sz w:val="20"/>
        </w:rPr>
      </w:pPr>
      <w:r>
        <w:rPr>
          <w:rFonts w:ascii="Times New Roman;serif" w:hAnsi="Times New Roman;serif"/>
          <w:b/>
          <w:sz w:val="20"/>
        </w:rPr>
        <w:t>OR</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4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Commission File Number: 001-39370</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48"/>
        </w:rPr>
      </w:pPr>
      <w:r>
        <w:rPr>
          <w:rFonts w:ascii="Times New Roman;serif" w:hAnsi="Times New Roman;serif"/>
          <w:b/>
          <w:sz w:val="48"/>
        </w:rPr>
        <w:t>Nkarta, Inc.</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tbl>
      <w:tblPr>
        <w:tblW w:w="4052" w:type="dxa"/>
        <w:jc w:val="left"/>
        <w:tblInd w:w="0" w:type="dxa"/>
        <w:tblLayout w:type="fixed"/>
        <w:tblCellMar>
          <w:top w:w="28" w:type="dxa"/>
          <w:left w:w="28" w:type="dxa"/>
          <w:bottom w:w="28" w:type="dxa"/>
          <w:right w:w="28" w:type="dxa"/>
        </w:tblCellMar>
      </w:tblPr>
      <w:tblGrid>
        <w:gridCol w:w="2806"/>
        <w:gridCol w:w="1246"/>
      </w:tblGrid>
      <w:tr>
        <w:trPr/>
        <w:tc>
          <w:tcPr>
            <w:tcW w:w="280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8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47-4515206</w:t>
            </w:r>
          </w:p>
        </w:tc>
      </w:tr>
      <w:tr>
        <w:trPr/>
        <w:tc>
          <w:tcPr>
            <w:tcW w:w="28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bidi w:val="0"/>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(I.R.S. Employer</w:t>
            </w:r>
          </w:p>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Identification No.)</w:t>
            </w:r>
          </w:p>
        </w:tc>
      </w:tr>
      <w:tr>
        <w:trPr/>
        <w:tc>
          <w:tcPr>
            <w:tcW w:w="28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6000 Shoreline Court, Suite 102</w:t>
            </w:r>
          </w:p>
          <w:p>
            <w:pPr>
              <w:pStyle w:val="TableContents"/>
              <w:bidi w:val="0"/>
              <w:spacing w:before="0" w:after="15"/>
              <w:ind w:left="0" w:right="0" w:hanging="0"/>
              <w:jc w:val="center"/>
              <w:rPr>
                <w:rFonts w:ascii="Times New Roman;serif" w:hAnsi="Times New Roman;serif"/>
                <w:b/>
                <w:sz w:val="20"/>
              </w:rPr>
            </w:pPr>
            <w:r>
              <w:rPr>
                <w:rFonts w:ascii="Times New Roman;serif" w:hAnsi="Times New Roman;serif"/>
                <w:b/>
                <w:sz w:val="20"/>
              </w:rPr>
              <w:t>South San Francisco, CA</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94080</w:t>
            </w:r>
          </w:p>
        </w:tc>
      </w:tr>
      <w:tr>
        <w:trPr/>
        <w:tc>
          <w:tcPr>
            <w:tcW w:w="28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(925) 407-1049</w:t>
      </w:r>
    </w:p>
    <w:p>
      <w:pPr>
        <w:pStyle w:val="TextBody"/>
        <w:bidi w:val="0"/>
        <w:spacing w:before="0" w:after="0"/>
        <w:jc w:val="center"/>
        <w:rPr>
          <w:rFonts w:ascii="Times New Roman;serif" w:hAnsi="Times New Roman;serif"/>
          <w:b/>
          <w:sz w:val="14"/>
        </w:rPr>
      </w:pPr>
      <w:r>
        <w:rPr>
          <w:rFonts w:ascii="Times New Roman;serif" w:hAnsi="Times New Roman;serif"/>
          <w:b/>
          <w:sz w:val="14"/>
        </w:rPr>
        <w:t>(Registrant’s telephone number, including area code)</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 applicable</w:t>
      </w:r>
    </w:p>
    <w:p>
      <w:pPr>
        <w:pStyle w:val="TextBody"/>
        <w:bidi w:val="0"/>
        <w:spacing w:before="0" w:after="0"/>
        <w:jc w:val="center"/>
        <w:rPr>
          <w:rFonts w:ascii="Times New Roman;serif" w:hAnsi="Times New Roman;serif"/>
          <w:b/>
          <w:sz w:val="14"/>
        </w:rPr>
      </w:pPr>
      <w:r>
        <w:rPr>
          <w:rFonts w:ascii="Times New Roman;serif" w:hAnsi="Times New Roman;serif"/>
          <w:b/>
          <w:sz w:val="14"/>
        </w:rPr>
        <w:t>(Former name, former address and former fiscal year, if changed since last report)</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Common Stock, $0.0001 par value per share</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NKTX</w:t>
            </w:r>
          </w:p>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Stock Market LLC</w:t>
            </w:r>
          </w:p>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(Nasdaq Global Select Market)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8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8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8"/>
        </w:rPr>
        <w:t>As of May 8, 2023, the registrant had 48,934,928</w:t>
      </w:r>
      <w:r>
        <w:rPr>
          <w:rFonts w:ascii="Times New Roman" w:hAnsi="Times New Roman"/>
          <w:sz w:val="20"/>
        </w:rPr>
        <w:t xml:space="preserve"> </w:t>
      </w:r>
      <w:r>
        <w:rPr>
          <w:rFonts w:ascii="Times New Roman;serif" w:hAnsi="Times New Roman;serif"/>
          <w:b w:val="false"/>
          <w:sz w:val="18"/>
        </w:rPr>
        <w:t>shares of common stock, par value $0.0001 per share, outstanding.</w:t>
      </w:r>
    </w:p>
    <w:p>
      <w:pPr>
        <w:pStyle w:val="TextBody"/>
        <w:pBdr>
          <w:bottom w:val="double" w:sz="6" w:space="1" w:color="000000"/>
        </w:pBdr>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41"/>
        <w:gridCol w:w="8852"/>
        <w:gridCol w:w="512"/>
      </w:tblGrid>
      <w:tr>
        <w:trPr/>
        <w:tc>
          <w:tcPr>
            <w:tcW w:w="841" w:type="dxa"/>
            <w:tcBorders/>
            <w:vAlign w:val="center"/>
          </w:tcPr>
          <w:p>
            <w:pPr>
              <w:pStyle w:val="TableContents"/>
              <w:bidi w:val="0"/>
              <w:spacing w:before="0" w:after="283"/>
              <w:jc w:val="left"/>
              <w:rPr>
                <w:sz w:val="4"/>
                <w:szCs w:val="4"/>
              </w:rPr>
            </w:pPr>
            <w:r>
              <w:rPr>
                <w:sz w:val="4"/>
                <w:szCs w:val="4"/>
              </w:rPr>
            </w:r>
          </w:p>
        </w:tc>
        <w:tc>
          <w:tcPr>
            <w:tcW w:w="885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2"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512" w:type="dxa"/>
            <w:tcBorders>
              <w:bottom w:val="single" w:sz="2" w:space="0" w:color="000000"/>
            </w:tcBorders>
            <w:tcMar>
              <w:top w:w="0" w:type="dxa"/>
              <w:left w:w="0" w:type="dxa"/>
              <w:right w:w="0" w:type="dxa"/>
            </w:tcMar>
            <w:vAlign w:val="center"/>
          </w:tcPr>
          <w:p>
            <w:pPr>
              <w:pStyle w:val="TableContents"/>
              <w:bidi w:val="0"/>
              <w:spacing w:before="0" w:after="0"/>
              <w:ind w:left="137" w:right="0" w:hanging="0"/>
              <w:jc w:val="left"/>
              <w:rPr>
                <w:rFonts w:ascii="Times New Roman;serif" w:hAnsi="Times New Roman;serif"/>
                <w:b/>
                <w:sz w:val="16"/>
              </w:rPr>
            </w:pPr>
            <w:r>
              <w:rPr>
                <w:rFonts w:ascii="Times New Roman;serif" w:hAnsi="Times New Roman;serif"/>
                <w:b/>
                <w:sz w:val="16"/>
              </w:rPr>
              <w:t>Page</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885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financial_information">
              <w:r>
                <w:rPr>
                  <w:rStyle w:val="InternetLink"/>
                  <w:rFonts w:ascii="Times New Roman;serif" w:hAnsi="Times New Roman;serif"/>
                  <w:b w:val="false"/>
                  <w:sz w:val="20"/>
                  <w:u w:val="single"/>
                </w:rPr>
                <w:t>FINANCIAL INFORMATION</w:t>
              </w:r>
            </w:hyperlink>
          </w:p>
        </w:tc>
        <w:tc>
          <w:tcPr>
            <w:tcW w:w="51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85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w:t>
              </w:r>
            </w:hyperlink>
            <w:r>
              <w:rPr>
                <w:rFonts w:ascii="Times New Roman;serif" w:hAnsi="Times New Roman;serif"/>
                <w:b w:val="false"/>
                <w:sz w:val="20"/>
                <w:u w:val="single"/>
              </w:rPr>
              <w:t>:</w:t>
            </w:r>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balance_sheets">
              <w:r>
                <w:rPr>
                  <w:rStyle w:val="InternetLink"/>
                  <w:rFonts w:ascii="Times New Roman;serif" w:hAnsi="Times New Roman;serif"/>
                  <w:b w:val="false"/>
                  <w:sz w:val="20"/>
                  <w:u w:val="single"/>
                </w:rPr>
                <w:t>Condensed Balance Sheets as of March 31, 2023 and December 31, 2022 (unaudited)</w:t>
              </w:r>
            </w:hyperlink>
            <w:r>
              <w:rPr>
                <w:rFonts w:ascii="Times New Roman" w:hAnsi="Times New Roman"/>
                <w:sz w:val="20"/>
              </w:rPr>
              <w:t xml:space="preserve"> </w:t>
            </w:r>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statements_operations_comprehe">
              <w:r>
                <w:rPr>
                  <w:rStyle w:val="InternetLink"/>
                  <w:rFonts w:ascii="Times New Roman;serif" w:hAnsi="Times New Roman;serif"/>
                  <w:b w:val="false"/>
                  <w:sz w:val="20"/>
                  <w:u w:val="single"/>
                </w:rPr>
                <w:t>Condensed Statements of Operations and Comprehensive Loss for the three months ended March 31, 2023 and 2022 (unaudited)</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statements_convertible_preferr">
              <w:r>
                <w:rPr>
                  <w:rStyle w:val="InternetLink"/>
                  <w:rFonts w:ascii="Times New Roman;serif" w:hAnsi="Times New Roman;serif"/>
                  <w:b w:val="false"/>
                  <w:sz w:val="20"/>
                  <w:u w:val="single"/>
                </w:rPr>
                <w:t>Condensed Statements of Stockholders’ Equity for the three months ended March 31, 2023 and 2022 (unaudited)</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statement_cash_flows">
              <w:r>
                <w:rPr>
                  <w:rStyle w:val="InternetLink"/>
                  <w:rFonts w:ascii="Times New Roman;serif" w:hAnsi="Times New Roman;serif"/>
                  <w:b w:val="false"/>
                  <w:sz w:val="20"/>
                  <w:u w:val="single"/>
                </w:rPr>
                <w:t>Condensed Statements of Cash Flows for the three months ended March 31, 2023 and 2022 (unaudited)</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5</w:t>
            </w:r>
          </w:p>
        </w:tc>
      </w:tr>
      <w:tr>
        <w:trPr/>
        <w:tc>
          <w:tcPr>
            <w:tcW w:w="841"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5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to_financial_statements">
              <w:r>
                <w:rPr>
                  <w:rStyle w:val="InternetLink"/>
                  <w:rFonts w:ascii="Times New Roman;serif" w:hAnsi="Times New Roman;serif"/>
                  <w:b w:val="false"/>
                  <w:sz w:val="20"/>
                  <w:u w:val="single"/>
                </w:rPr>
                <w:t>Notes to Unaudited Condensed Financial Statements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85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85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85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885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ior_information">
              <w:r>
                <w:rPr>
                  <w:rStyle w:val="InternetLink"/>
                  <w:rFonts w:ascii="Times New Roman;serif" w:hAnsi="Times New Roman;serif"/>
                  <w:b w:val="false"/>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85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885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85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85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85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885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r>
      <w:tr>
        <w:trPr/>
        <w:tc>
          <w:tcPr>
            <w:tcW w:w="8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885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r>
      <w:tr>
        <w:trPr/>
        <w:tc>
          <w:tcPr>
            <w:tcW w:w="9693"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CAUTIONARY NOTE REGARDING FORWARD-LOOKING STATEMENTS</w:t>
      </w:r>
    </w:p>
    <w:p>
      <w:pPr>
        <w:pStyle w:val="TextBody"/>
        <w:bidi w:val="0"/>
        <w:spacing w:before="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Quarterly Report on Form 10-Q, and the information incorporated herein by reference, particularly in the sections captioned “Risk Factors” under Part II, Item 1A, and “Management’s Discussion and Analysis of Financial Condition and Results of Operations” under Part I, Item 2, contains forward-looking statements within the meaning of Section 27A of the Securities Act of 1933, as amended,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Quarterly Report on Form 10-Q.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You should read the sections titled “Risk Factor Summary” below and “Risk Factors” set forth in Part II, Item 1A of this Quarterly Report on Form 10-Q for a discussion of important factors that may cause our actual results to differ materially from those expressed or implied by our forward-looking statements, which such factors may be updated or supplemented from time to time by subsequent reports we file with the Securities and Exchange Commission.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You should read this Quarterly Report on Form 10-Q, completely and with the understanding that our actual future results may be materially different from what we expect. We qualify all of our forward-looking statements by these cautionary statements.</w:t>
      </w:r>
    </w:p>
    <w:p>
      <w:pPr>
        <w:pStyle w:val="TextBody"/>
        <w:bidi w:val="0"/>
        <w:spacing w:before="0" w:after="0"/>
        <w:jc w:val="center"/>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ii</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RISK FACTOR SUMMARY</w:t>
      </w:r>
    </w:p>
    <w:p>
      <w:pPr>
        <w:pStyle w:val="TextBody"/>
        <w:bidi w:val="0"/>
        <w:spacing w:before="0" w:after="0"/>
        <w:jc w:val="center"/>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Part II, Item 1A, “Risk Factors” in this Quarterly Report on Form 10-Q. The below summary is qualified in its entirety by the more complete discussion of such risks and uncertainties. You should consider carefully the risks and uncertainties described under Part II, Item 1A, “Risk Factors” in this Quarterly Report on Form 10-Q as part of your evaluation of an investment in our common stock.</w:t>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i/>
          <w:sz w:val="20"/>
        </w:rPr>
        <w:t>We have a limited operating history and do not have any products approved for sale</w:t>
      </w:r>
      <w:r>
        <w:rPr>
          <w:rFonts w:ascii="Times New Roman;serif" w:hAnsi="Times New Roman;serif"/>
          <w:b w:val="false"/>
          <w:sz w:val="20"/>
        </w:rPr>
        <w: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We have incurred significant losses since our inception and we expect to continue to incur significant losses for the foreseeable future.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We have never generated revenue from product sales and may never achieve or maintain profitability.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We will require additional capital, which, if available, may cause dilution to our stockholders, restrict our operations or require us to relinquish rights to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Our business depends upon the success of our CAR NK cell technology platform.</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Utilizing CAR NK cells represents a novel approach to the treatment of cancer, and we must overcome significant challenges in order to develop, commercialize and manufacture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Clinical development involves a lengthy and expensive process with an uncertain outcome, and we may encounter substantial delays due to a variety of reasons outside our control.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 xml:space="preserve">Our business is highly dependent on the clinical success of our product candidates, and on the clinical success of NKX101 and NKX019 in particular, and we may fail to develop NKX101, NKX019 and/or our other product candidates successfully or be unable to obtain regulatory approval for them.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Enrollment and retention of patients in clinical trials is an expensive and time-consuming process and could be delayed, made more difficult or rendered impossible by multiple factors outside our control.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Our preclinical pipeline programs may experience delays or may never advance to clinical trials, which would adversely affect our ability to obtain regulatory approvals or commercialize these programs on a timely basis or at all.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If any of our product candidates, or any competing product candidates, demonstrate relevant, serious adverse events, we may be required to halt or delay further clinical development.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Our business and the business or operations of our research partners and other third parties with whom we conduct business have been and could continue to be adversely affected by the effects of health epidemics, including the COVID-19 pandemic, in regions where we or third parties on which we rely have business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We have entered into a research collaboration with CRISPR Therapeutics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If we fail to compete effectively with academic institutions and other biopharmaceutical companies that develop similar or alternatives to cellular immunotherapy product candidates, our business will be materially adversely affected.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We rely on third parties to manufacture certain of our product candidates, or certain materials for use in the production of our product candidates, which increases the risk that we will not have sufficient quantities of such product candidates or materials, or such quantities at an acceptable cost, which could delay, prevent or impair our development or commercialization efforts.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i/>
          <w:sz w:val="20"/>
        </w:rPr>
      </w:pPr>
      <w:r>
        <w:rPr>
          <w:rFonts w:ascii="Times New Roman;serif" w:hAnsi="Times New Roman;serif"/>
          <w:b w:val="false"/>
          <w:i/>
          <w:sz w:val="20"/>
        </w:rPr>
        <w:t>We are reliant on a sole supplier for certain steps of our manufacturing process.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iii</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Delays in commissioning and receiving regulatory approvals for our manufacturing facilities could delay our development plans and thereby limit our ability to develop our product candidates and generate revenues.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If our license agreement with National University of Singapore and St. Jude Children’s Research Hospital, Inc. is terminated, we could lose our rights to key components enabling our NK cell engineering platform.</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 xml:space="preserve">If any patent protection we obtain is not sufficiently robust, our competitors could develop and commercialize products and technology similar or identical to ours.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 xml:space="preserve">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Our product candidates, including NKX101 and NKX019, could be subject to regulatory limitations following approval, if and when such approval is granted.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The market price for our common stock may be volatile, which could contribute to the loss of all or part of your investment.</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i/>
          <w:sz w:val="20"/>
        </w:rPr>
      </w:pPr>
      <w:r>
        <w:rPr>
          <w:rFonts w:ascii="Times New Roman;serif" w:hAnsi="Times New Roman;serif"/>
          <w:b w:val="false"/>
          <w:i/>
          <w:sz w:val="20"/>
        </w:rPr>
        <w:t>Concentration of ownership of our shares of common stock among our existing executive officers, directors and principal stockholders may prevent new investors from influencing significant corporate decisions.</w:t>
      </w:r>
    </w:p>
    <w:p>
      <w:pPr>
        <w:pStyle w:val="TextBody"/>
        <w:bidi w:val="0"/>
        <w:spacing w:before="12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iv</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bookmarkStart w:id="2" w:name="part_ifinancial_information"/>
      <w:bookmarkEnd w:id="2"/>
      <w:r>
        <w:rPr>
          <w:rFonts w:ascii="Times New Roman;serif" w:hAnsi="Times New Roman;serif"/>
          <w:b/>
          <w:sz w:val="20"/>
        </w:rPr>
        <w:t>PART I—FINANCIAL INFORMATION</w:t>
      </w:r>
    </w:p>
    <w:p>
      <w:pPr>
        <w:pStyle w:val="TextBody"/>
        <w:bidi w:val="0"/>
        <w:spacing w:before="240" w:after="0"/>
        <w:jc w:val="left"/>
        <w:rPr>
          <w:rFonts w:ascii="Times New Roman;serif" w:hAnsi="Times New Roman;serif"/>
          <w:b/>
          <w:sz w:val="20"/>
        </w:rPr>
      </w:pPr>
      <w:bookmarkStart w:id="3" w:name="item_1_financial_statements"/>
      <w:bookmarkEnd w:id="3"/>
      <w:r>
        <w:rPr>
          <w:rFonts w:ascii="Times New Roman;serif" w:hAnsi="Times New Roman;serif"/>
          <w:b/>
          <w:sz w:val="20"/>
        </w:rPr>
        <w:t>Item 1. Financial Statements.</w:t>
      </w:r>
    </w:p>
    <w:p>
      <w:pPr>
        <w:pStyle w:val="TextBody"/>
        <w:bidi w:val="0"/>
        <w:spacing w:before="360" w:after="0"/>
        <w:jc w:val="center"/>
        <w:rPr>
          <w:rFonts w:ascii="Times New Roman" w:hAnsi="Times New Roman"/>
          <w:sz w:val="20"/>
        </w:rPr>
      </w:pPr>
      <w:r>
        <w:rPr>
          <w:rFonts w:ascii="Times New Roman;serif" w:hAnsi="Times New Roman;serif"/>
          <w:b/>
          <w:sz w:val="20"/>
        </w:rPr>
        <w:t>NKARTA,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4" w:name="condensed_balance_sheets"/>
      <w:bookmarkEnd w:id="4"/>
      <w:r>
        <w:rPr>
          <w:rFonts w:ascii="Times New Roman;serif" w:hAnsi="Times New Roman;serif"/>
          <w:b/>
          <w:sz w:val="20"/>
        </w:rPr>
        <w:t>CONDENSED BALANCE SHEETS</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in thousands)</w:t>
      </w:r>
    </w:p>
    <w:p>
      <w:pPr>
        <w:pStyle w:val="TextBody"/>
        <w:bidi w:val="0"/>
        <w:spacing w:before="0" w:after="0"/>
        <w:jc w:val="left"/>
        <w:rPr/>
      </w:pPr>
      <w:r>
        <w:rPr/>
        <w:t> </w:t>
      </w:r>
    </w:p>
    <w:tbl>
      <w:tblPr>
        <w:tblW w:w="7017" w:type="dxa"/>
        <w:jc w:val="left"/>
        <w:tblInd w:w="0" w:type="dxa"/>
        <w:tblLayout w:type="fixed"/>
        <w:tblCellMar>
          <w:top w:w="28" w:type="dxa"/>
          <w:left w:w="28" w:type="dxa"/>
          <w:bottom w:w="28" w:type="dxa"/>
          <w:right w:w="28" w:type="dxa"/>
        </w:tblCellMar>
      </w:tblPr>
      <w:tblGrid>
        <w:gridCol w:w="4021"/>
        <w:gridCol w:w="146"/>
        <w:gridCol w:w="211"/>
        <w:gridCol w:w="841"/>
        <w:gridCol w:w="166"/>
        <w:gridCol w:w="146"/>
        <w:gridCol w:w="219"/>
        <w:gridCol w:w="876"/>
        <w:gridCol w:w="3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53,666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37,494</w:t>
            </w:r>
          </w:p>
        </w:tc>
        <w:tc>
          <w:tcPr>
            <w:tcW w:w="391" w:type="dxa"/>
            <w:tcBorders/>
            <w:vAlign w:val="center"/>
          </w:tcPr>
          <w:p>
            <w:pPr>
              <w:pStyle w:val="TableContents"/>
              <w:bidi w:val="0"/>
              <w:spacing w:before="0" w:after="0"/>
              <w:ind w:left="0" w:right="0" w:firstLine="200"/>
              <w:jc w:val="left"/>
              <w:rPr/>
            </w:pPr>
            <w:r>
              <w:rPr/>
              <w:t> </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269,675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314,649</w:t>
            </w:r>
          </w:p>
        </w:tc>
        <w:tc>
          <w:tcPr>
            <w:tcW w:w="391" w:type="dxa"/>
            <w:tcBorders/>
            <w:vAlign w:val="center"/>
          </w:tcPr>
          <w:p>
            <w:pPr>
              <w:pStyle w:val="TableContents"/>
              <w:bidi w:val="0"/>
              <w:spacing w:before="0" w:after="0"/>
              <w:ind w:left="0" w:right="0" w:firstLine="200"/>
              <w:jc w:val="left"/>
              <w:rPr/>
            </w:pPr>
            <w:r>
              <w:rPr/>
              <w:t> </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8,545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332,188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360,688</w:t>
            </w:r>
          </w:p>
        </w:tc>
        <w:tc>
          <w:tcPr>
            <w:tcW w:w="3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2,743</w:t>
            </w:r>
          </w:p>
        </w:tc>
        <w:tc>
          <w:tcPr>
            <w:tcW w:w="3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69,777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61,908</w:t>
            </w:r>
          </w:p>
        </w:tc>
        <w:tc>
          <w:tcPr>
            <w:tcW w:w="3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45,749</w:t>
            </w:r>
          </w:p>
        </w:tc>
        <w:tc>
          <w:tcPr>
            <w:tcW w:w="3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458,169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472,938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1,761</w:t>
            </w:r>
          </w:p>
        </w:tc>
        <w:tc>
          <w:tcPr>
            <w:tcW w:w="391" w:type="dxa"/>
            <w:tcBorders/>
            <w:vAlign w:val="center"/>
          </w:tcPr>
          <w:p>
            <w:pPr>
              <w:pStyle w:val="TableContents"/>
              <w:bidi w:val="0"/>
              <w:spacing w:before="0" w:after="0"/>
              <w:ind w:left="0" w:right="0" w:firstLine="200"/>
              <w:jc w:val="left"/>
              <w:rPr/>
            </w:pPr>
            <w:r>
              <w:rPr/>
              <w:t> </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4,249</w:t>
            </w:r>
          </w:p>
        </w:tc>
        <w:tc>
          <w:tcPr>
            <w:tcW w:w="391" w:type="dxa"/>
            <w:tcBorders/>
            <w:vAlign w:val="center"/>
          </w:tcPr>
          <w:p>
            <w:pPr>
              <w:pStyle w:val="TableContents"/>
              <w:bidi w:val="0"/>
              <w:spacing w:before="0" w:after="0"/>
              <w:ind w:left="0" w:right="0" w:firstLine="200"/>
              <w:jc w:val="left"/>
              <w:rPr/>
            </w:pPr>
            <w:r>
              <w:rPr/>
              <w:t> </w:t>
            </w:r>
          </w:p>
        </w:tc>
      </w:tr>
      <w:tr>
        <w:trPr/>
        <w:tc>
          <w:tcPr>
            <w:tcW w:w="40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16,036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22,046</w:t>
            </w:r>
          </w:p>
        </w:tc>
        <w:tc>
          <w:tcPr>
            <w:tcW w:w="3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85,542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78,685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111,523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100,731</w:t>
            </w:r>
          </w:p>
        </w:tc>
        <w:tc>
          <w:tcPr>
            <w:tcW w:w="391" w:type="dxa"/>
            <w:tcBorders/>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7)</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100"/>
              <w:jc w:val="right"/>
              <w:rPr/>
            </w:pPr>
            <w:r>
              <w:rPr/>
              <w:t> </w:t>
            </w:r>
          </w:p>
        </w:tc>
      </w:tr>
      <w:tr>
        <w:trPr/>
        <w:tc>
          <w:tcPr>
            <w:tcW w:w="40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Common stock</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391" w:type="dxa"/>
            <w:tcBorders/>
            <w:vAlign w:val="center"/>
          </w:tcPr>
          <w:p>
            <w:pPr>
              <w:pStyle w:val="TableContents"/>
              <w:bidi w:val="0"/>
              <w:spacing w:before="0" w:after="0"/>
              <w:ind w:left="0" w:right="0" w:firstLine="100"/>
              <w:jc w:val="left"/>
              <w:rPr/>
            </w:pPr>
            <w:r>
              <w:rPr/>
              <w:t> </w:t>
            </w:r>
          </w:p>
        </w:tc>
      </w:tr>
      <w:tr>
        <w:trPr/>
        <w:tc>
          <w:tcPr>
            <w:tcW w:w="40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695,563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690,814</w:t>
            </w:r>
          </w:p>
        </w:tc>
        <w:tc>
          <w:tcPr>
            <w:tcW w:w="391" w:type="dxa"/>
            <w:tcBorders/>
            <w:vAlign w:val="center"/>
          </w:tcPr>
          <w:p>
            <w:pPr>
              <w:pStyle w:val="TableContents"/>
              <w:bidi w:val="0"/>
              <w:spacing w:before="0" w:after="0"/>
              <w:ind w:left="0" w:right="0" w:firstLine="100"/>
              <w:jc w:val="left"/>
              <w:rPr/>
            </w:pPr>
            <w:r>
              <w:rPr/>
              <w:t> </w:t>
            </w:r>
          </w:p>
        </w:tc>
      </w:tr>
      <w:tr>
        <w:trPr/>
        <w:tc>
          <w:tcPr>
            <w:tcW w:w="40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w:t>
            </w:r>
          </w:p>
        </w:tc>
        <w:tc>
          <w:tcPr>
            <w:tcW w:w="39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02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(348,748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(317,933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346,646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372,207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458,169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472,938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NKARTA,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5" w:name="condensed_statements_operations_comprehe"/>
      <w:bookmarkEnd w:id="5"/>
      <w:r>
        <w:rPr>
          <w:rFonts w:ascii="Times New Roman;serif" w:hAnsi="Times New Roman;serif"/>
          <w:b/>
          <w:sz w:val="20"/>
        </w:rPr>
        <w:t>CONDENSED STATEMENTS OF OPERATIONS AND COMPREHENSIVE LOSS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 in thousands, except share and per share data)</w:t>
      </w:r>
      <w:r>
        <w:rPr>
          <w:rFonts w:ascii="Times New Roman" w:hAnsi="Times New Roman"/>
          <w:sz w:val="20"/>
        </w:rPr>
        <w:t xml:space="preserve"> </w:t>
      </w:r>
    </w:p>
    <w:p>
      <w:pPr>
        <w:pStyle w:val="TextBody"/>
        <w:bidi w:val="0"/>
        <w:spacing w:before="0" w:after="0"/>
        <w:jc w:val="left"/>
        <w:rPr/>
      </w:pPr>
      <w:r>
        <w:rPr/>
        <w:t> </w:t>
      </w:r>
    </w:p>
    <w:tbl>
      <w:tblPr>
        <w:tblW w:w="7559" w:type="dxa"/>
        <w:jc w:val="left"/>
        <w:tblInd w:w="0" w:type="dxa"/>
        <w:tblLayout w:type="fixed"/>
        <w:tblCellMar>
          <w:top w:w="28" w:type="dxa"/>
          <w:left w:w="28" w:type="dxa"/>
          <w:bottom w:w="28" w:type="dxa"/>
          <w:right w:w="28" w:type="dxa"/>
        </w:tblCellMar>
      </w:tblPr>
      <w:tblGrid>
        <w:gridCol w:w="4216"/>
        <w:gridCol w:w="146"/>
        <w:gridCol w:w="211"/>
        <w:gridCol w:w="1036"/>
        <w:gridCol w:w="166"/>
        <w:gridCol w:w="146"/>
        <w:gridCol w:w="211"/>
        <w:gridCol w:w="1036"/>
        <w:gridCol w:w="3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2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19,568</w:t>
            </w:r>
          </w:p>
        </w:tc>
        <w:tc>
          <w:tcPr>
            <w:tcW w:w="391" w:type="dxa"/>
            <w:tcBorders/>
            <w:vAlign w:val="center"/>
          </w:tcPr>
          <w:p>
            <w:pPr>
              <w:pStyle w:val="TableContents"/>
              <w:bidi w:val="0"/>
              <w:spacing w:before="0" w:after="0"/>
              <w:ind w:left="0" w:right="0" w:firstLine="200"/>
              <w:jc w:val="left"/>
              <w:rPr/>
            </w:pPr>
            <w:r>
              <w:rPr/>
              <w:t> </w:t>
            </w:r>
          </w:p>
        </w:tc>
      </w:tr>
      <w:tr>
        <w:trPr/>
        <w:tc>
          <w:tcPr>
            <w:tcW w:w="42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26,098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(26,098</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2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391" w:type="dxa"/>
            <w:tcBorders/>
            <w:vAlign w:val="center"/>
          </w:tcPr>
          <w:p>
            <w:pPr>
              <w:pStyle w:val="TableContents"/>
              <w:bidi w:val="0"/>
              <w:spacing w:before="0" w:after="0"/>
              <w:ind w:left="0" w:right="0" w:firstLine="200"/>
              <w:jc w:val="left"/>
              <w:rPr/>
            </w:pPr>
            <w:r>
              <w:rPr/>
              <w:t> </w:t>
            </w:r>
          </w:p>
        </w:tc>
      </w:tr>
      <w:tr>
        <w:trPr/>
        <w:tc>
          <w:tcPr>
            <w:tcW w:w="42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(25,987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2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unrealized gain (loss) on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(30,310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(26,443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Weighted average shares used to compute net loss </w:t>
              <w:br/>
              <w:t>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48,921,326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32,992,582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NKARTA, INC.</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bookmarkStart w:id="6" w:name="condensed_statements_convertible_preferr"/>
      <w:bookmarkEnd w:id="6"/>
      <w:r>
        <w:rPr>
          <w:rFonts w:ascii="Times New Roman;serif" w:hAnsi="Times New Roman;serif"/>
          <w:b/>
          <w:sz w:val="20"/>
        </w:rPr>
        <w:t>CONDENSED STATEMENTS OF STOCKHOLDERS’ EQUITY</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in thousands, except share data)</w:t>
      </w:r>
    </w:p>
    <w:p>
      <w:pPr>
        <w:pStyle w:val="TextBody"/>
        <w:bidi w:val="0"/>
        <w:spacing w:before="0" w:after="0"/>
        <w:jc w:val="left"/>
        <w:rPr/>
      </w:pPr>
      <w:r>
        <w:rPr/>
        <w:t> </w:t>
      </w:r>
    </w:p>
    <w:tbl>
      <w:tblPr>
        <w:tblW w:w="8912" w:type="dxa"/>
        <w:jc w:val="left"/>
        <w:tblInd w:w="0" w:type="dxa"/>
        <w:tblLayout w:type="fixed"/>
        <w:tblCellMar>
          <w:top w:w="28" w:type="dxa"/>
          <w:left w:w="28" w:type="dxa"/>
          <w:bottom w:w="28" w:type="dxa"/>
          <w:right w:w="28" w:type="dxa"/>
        </w:tblCellMar>
      </w:tblPr>
      <w:tblGrid>
        <w:gridCol w:w="2371"/>
        <w:gridCol w:w="146"/>
        <w:gridCol w:w="146"/>
        <w:gridCol w:w="766"/>
        <w:gridCol w:w="146"/>
        <w:gridCol w:w="146"/>
        <w:gridCol w:w="181"/>
        <w:gridCol w:w="346"/>
        <w:gridCol w:w="146"/>
        <w:gridCol w:w="146"/>
        <w:gridCol w:w="181"/>
        <w:gridCol w:w="586"/>
        <w:gridCol w:w="146"/>
        <w:gridCol w:w="146"/>
        <w:gridCol w:w="297"/>
        <w:gridCol w:w="619"/>
        <w:gridCol w:w="151"/>
        <w:gridCol w:w="146"/>
        <w:gridCol w:w="181"/>
        <w:gridCol w:w="631"/>
        <w:gridCol w:w="151"/>
        <w:gridCol w:w="146"/>
        <w:gridCol w:w="187"/>
        <w:gridCol w:w="608"/>
        <w:gridCol w:w="19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Accumulated</w:t>
              <w:br/>
              <w:t>Other</w:t>
              <w:br/>
              <w:t>Comprehensive</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Accumulated</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br/>
              <w:t>Stockholders'</w:t>
            </w:r>
          </w:p>
        </w:tc>
        <w:tc>
          <w:tcPr>
            <w:tcW w:w="196" w:type="dxa"/>
            <w:tcBorders/>
            <w:vAlign w:val="center"/>
          </w:tcPr>
          <w:p>
            <w:pPr>
              <w:pStyle w:val="TableContents"/>
              <w:bidi w:val="0"/>
              <w:spacing w:before="0" w:after="0"/>
              <w:ind w:left="0" w:right="0" w:hanging="0"/>
              <w:jc w:val="center"/>
              <w:rPr/>
            </w:pPr>
            <w:r>
              <w:rPr/>
              <w:t> </w:t>
            </w:r>
          </w:p>
        </w:tc>
      </w:tr>
      <w:tr>
        <w:trPr/>
        <w:tc>
          <w:tcPr>
            <w:tcW w:w="23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Loss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Deficit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Equity</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48,877,806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690,814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1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(679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(317,933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0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372,207</w:t>
            </w:r>
          </w:p>
        </w:tc>
        <w:tc>
          <w:tcPr>
            <w:tcW w:w="196" w:type="dxa"/>
            <w:tcBorders/>
            <w:vAlign w:val="center"/>
          </w:tcPr>
          <w:p>
            <w:pPr>
              <w:pStyle w:val="TableContents"/>
              <w:bidi w:val="0"/>
              <w:spacing w:before="0" w:after="0"/>
              <w:ind w:left="0" w:right="0" w:hanging="0"/>
              <w:jc w:val="left"/>
              <w:rPr/>
            </w:pPr>
            <w:r>
              <w:rPr/>
              <w:t> </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Vesting of shares of common</w:t>
              <w:br/>
              <w:t>   stock subject to repurchase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w:t>
            </w:r>
          </w:p>
        </w:tc>
        <w:tc>
          <w:tcPr>
            <w:tcW w:w="196" w:type="dxa"/>
            <w:tcBorders/>
            <w:vAlign w:val="center"/>
          </w:tcPr>
          <w:p>
            <w:pPr>
              <w:pStyle w:val="TableContents"/>
              <w:bidi w:val="0"/>
              <w:spacing w:before="0" w:after="0"/>
              <w:ind w:left="0" w:right="0" w:hanging="0"/>
              <w:jc w:val="left"/>
              <w:rPr/>
            </w:pPr>
            <w:r>
              <w:rPr/>
              <w:t> </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 xml:space="preserve">Issuance of common stock </w:t>
              <w:br/>
              <w:t xml:space="preserve">   upon exercise of stock </w:t>
              <w:br/>
              <w:t>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96" w:type="dxa"/>
            <w:tcBorders/>
            <w:vAlign w:val="center"/>
          </w:tcPr>
          <w:p>
            <w:pPr>
              <w:pStyle w:val="TableContents"/>
              <w:bidi w:val="0"/>
              <w:spacing w:before="0" w:after="0"/>
              <w:ind w:left="0" w:right="0" w:hanging="0"/>
              <w:jc w:val="left"/>
              <w:rPr/>
            </w:pPr>
            <w:r>
              <w:rPr/>
              <w:t> </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 xml:space="preserve">Issuance of common stock </w:t>
              <w:br/>
              <w:t>   upon 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50,469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 </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Share-based compensation</w:t>
              <w:br/>
              <w:t>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4,746</w:t>
            </w:r>
          </w:p>
        </w:tc>
        <w:tc>
          <w:tcPr>
            <w:tcW w:w="196" w:type="dxa"/>
            <w:tcBorders/>
            <w:vAlign w:val="center"/>
          </w:tcPr>
          <w:p>
            <w:pPr>
              <w:pStyle w:val="TableContents"/>
              <w:bidi w:val="0"/>
              <w:spacing w:before="0" w:after="0"/>
              <w:ind w:left="0" w:right="0" w:hanging="0"/>
              <w:jc w:val="left"/>
              <w:rPr/>
            </w:pPr>
            <w:r>
              <w:rPr/>
              <w:t> </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 xml:space="preserve">Unrealized gain on </w:t>
              <w:br/>
              <w:t>   investments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505</w:t>
            </w:r>
          </w:p>
        </w:tc>
        <w:tc>
          <w:tcPr>
            <w:tcW w:w="196" w:type="dxa"/>
            <w:tcBorders/>
            <w:vAlign w:val="center"/>
          </w:tcPr>
          <w:p>
            <w:pPr>
              <w:pStyle w:val="TableContents"/>
              <w:bidi w:val="0"/>
              <w:spacing w:before="0" w:after="0"/>
              <w:ind w:left="0" w:right="0" w:hanging="0"/>
              <w:jc w:val="left"/>
              <w:rPr/>
            </w:pPr>
            <w:r>
              <w:rPr/>
              <w:t> </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(30,815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(30,815</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37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48,928,923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695,563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(174</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(348,748</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346,646</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NKARTA, INC.</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CONDENSED STATEMENTS OF STOCKHOLDERS’ EQUITY</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in thousands, except share data)</w:t>
      </w:r>
    </w:p>
    <w:p>
      <w:pPr>
        <w:pStyle w:val="TextBody"/>
        <w:bidi w:val="0"/>
        <w:spacing w:before="0" w:after="0"/>
        <w:jc w:val="left"/>
        <w:rPr/>
      </w:pPr>
      <w:r>
        <w:rPr/>
        <w:t> </w:t>
      </w:r>
    </w:p>
    <w:tbl>
      <w:tblPr>
        <w:tblW w:w="8327" w:type="dxa"/>
        <w:jc w:val="left"/>
        <w:tblInd w:w="0" w:type="dxa"/>
        <w:tblLayout w:type="fixed"/>
        <w:tblCellMar>
          <w:top w:w="28" w:type="dxa"/>
          <w:left w:w="28" w:type="dxa"/>
          <w:bottom w:w="28" w:type="dxa"/>
          <w:right w:w="28" w:type="dxa"/>
        </w:tblCellMar>
      </w:tblPr>
      <w:tblGrid>
        <w:gridCol w:w="1786"/>
        <w:gridCol w:w="146"/>
        <w:gridCol w:w="146"/>
        <w:gridCol w:w="766"/>
        <w:gridCol w:w="146"/>
        <w:gridCol w:w="146"/>
        <w:gridCol w:w="181"/>
        <w:gridCol w:w="346"/>
        <w:gridCol w:w="146"/>
        <w:gridCol w:w="146"/>
        <w:gridCol w:w="181"/>
        <w:gridCol w:w="586"/>
        <w:gridCol w:w="146"/>
        <w:gridCol w:w="146"/>
        <w:gridCol w:w="297"/>
        <w:gridCol w:w="619"/>
        <w:gridCol w:w="151"/>
        <w:gridCol w:w="146"/>
        <w:gridCol w:w="181"/>
        <w:gridCol w:w="631"/>
        <w:gridCol w:w="151"/>
        <w:gridCol w:w="146"/>
        <w:gridCol w:w="187"/>
        <w:gridCol w:w="608"/>
        <w:gridCol w:w="19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Accumulated</w:t>
              <w:br/>
              <w:t>Other</w:t>
              <w:br/>
              <w:t>Comprehensive</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Accumulated</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br/>
              <w:t>Stockholders'</w:t>
            </w:r>
          </w:p>
        </w:tc>
        <w:tc>
          <w:tcPr>
            <w:tcW w:w="196" w:type="dxa"/>
            <w:tcBorders/>
            <w:vAlign w:val="center"/>
          </w:tcPr>
          <w:p>
            <w:pPr>
              <w:pStyle w:val="TableContents"/>
              <w:bidi w:val="0"/>
              <w:spacing w:before="0" w:after="0"/>
              <w:ind w:left="0" w:right="0" w:hanging="0"/>
              <w:jc w:val="center"/>
              <w:rPr/>
            </w:pPr>
            <w:r>
              <w:rPr/>
              <w:t> </w:t>
            </w:r>
          </w:p>
        </w:tc>
      </w:tr>
      <w:tr>
        <w:trPr/>
        <w:tc>
          <w:tcPr>
            <w:tcW w:w="17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Loss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Deficit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Equity</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8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32,971,107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455,210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1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(204,096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0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250,967</w:t>
            </w:r>
          </w:p>
        </w:tc>
        <w:tc>
          <w:tcPr>
            <w:tcW w:w="196" w:type="dxa"/>
            <w:tcBorders/>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Vesting of shares of common</w:t>
              <w:br/>
              <w:t>   stock subject to repurchase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10,924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w:t>
            </w:r>
          </w:p>
        </w:tc>
        <w:tc>
          <w:tcPr>
            <w:tcW w:w="196" w:type="dxa"/>
            <w:tcBorders/>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 xml:space="preserve">Issuance of common stock </w:t>
              <w:br/>
              <w:t xml:space="preserve">   upon exercise of stock </w:t>
              <w:br/>
              <w:t>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21,067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79</w:t>
            </w:r>
          </w:p>
        </w:tc>
        <w:tc>
          <w:tcPr>
            <w:tcW w:w="196" w:type="dxa"/>
            <w:tcBorders/>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Share-based compensation</w:t>
              <w:br/>
              <w:t>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4,097</w:t>
            </w:r>
          </w:p>
        </w:tc>
        <w:tc>
          <w:tcPr>
            <w:tcW w:w="196" w:type="dxa"/>
            <w:tcBorders/>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 xml:space="preserve">Unrealized loss on </w:t>
              <w:br/>
              <w:t>   short-term investments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(456</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78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(25,987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(25,987</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78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33,003,098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459,392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(230,083</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228,706</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NKARTA, INC.</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bookmarkStart w:id="7" w:name="condensed_statement_cash_flows"/>
      <w:bookmarkEnd w:id="7"/>
      <w:r>
        <w:rPr>
          <w:rFonts w:ascii="Times New Roman;serif" w:hAnsi="Times New Roman;serif"/>
          <w:b/>
          <w:sz w:val="20"/>
        </w:rPr>
        <w:t>CONDENSED STATEMENT OF CASH FLOWS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 in thousands)</w:t>
      </w:r>
    </w:p>
    <w:p>
      <w:pPr>
        <w:pStyle w:val="TextBody"/>
        <w:bidi w:val="0"/>
        <w:spacing w:before="0" w:after="0"/>
        <w:jc w:val="left"/>
        <w:rPr/>
      </w:pPr>
      <w:r>
        <w:rPr/>
        <w:t> </w:t>
      </w:r>
    </w:p>
    <w:tbl>
      <w:tblPr>
        <w:tblW w:w="9634" w:type="dxa"/>
        <w:jc w:val="left"/>
        <w:tblInd w:w="0" w:type="dxa"/>
        <w:tblLayout w:type="fixed"/>
        <w:tblCellMar>
          <w:top w:w="28" w:type="dxa"/>
          <w:left w:w="28" w:type="dxa"/>
          <w:bottom w:w="28" w:type="dxa"/>
          <w:right w:w="28" w:type="dxa"/>
        </w:tblCellMar>
      </w:tblPr>
      <w:tblGrid>
        <w:gridCol w:w="6646"/>
        <w:gridCol w:w="146"/>
        <w:gridCol w:w="211"/>
        <w:gridCol w:w="781"/>
        <w:gridCol w:w="166"/>
        <w:gridCol w:w="146"/>
        <w:gridCol w:w="211"/>
        <w:gridCol w:w="736"/>
        <w:gridCol w:w="591"/>
      </w:tblGrid>
      <w:tr>
        <w:trPr/>
        <w:tc>
          <w:tcPr>
            <w:tcW w:w="6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6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(25,987</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66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Share-based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4,097</w:t>
            </w:r>
          </w:p>
        </w:tc>
        <w:tc>
          <w:tcPr>
            <w:tcW w:w="591" w:type="dxa"/>
            <w:tcBorders/>
            <w:vAlign w:val="center"/>
          </w:tcPr>
          <w:p>
            <w:pPr>
              <w:pStyle w:val="TableContents"/>
              <w:bidi w:val="0"/>
              <w:spacing w:before="0" w:after="0"/>
              <w:ind w:left="0" w:right="0" w:firstLine="400"/>
              <w:jc w:val="left"/>
              <w:rPr/>
            </w:pPr>
            <w:r>
              <w:rPr/>
              <w:t> </w:t>
            </w:r>
          </w:p>
        </w:tc>
      </w:tr>
      <w:tr>
        <w:trPr/>
        <w:tc>
          <w:tcPr>
            <w:tcW w:w="66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w:t>
            </w:r>
          </w:p>
        </w:tc>
        <w:tc>
          <w:tcPr>
            <w:tcW w:w="591" w:type="dxa"/>
            <w:tcBorders/>
            <w:vAlign w:val="center"/>
          </w:tcPr>
          <w:p>
            <w:pPr>
              <w:pStyle w:val="TableContents"/>
              <w:bidi w:val="0"/>
              <w:spacing w:before="0" w:after="0"/>
              <w:ind w:left="0" w:right="0" w:firstLine="400"/>
              <w:jc w:val="left"/>
              <w:rPr/>
            </w:pPr>
            <w:r>
              <w:rPr/>
              <w:t> </w:t>
            </w:r>
          </w:p>
        </w:tc>
      </w:tr>
      <w:tr>
        <w:trPr/>
        <w:tc>
          <w:tcPr>
            <w:tcW w:w="66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Accretion and amortization of premiums and discounts on investments,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727</w:t>
            </w:r>
          </w:p>
        </w:tc>
        <w:tc>
          <w:tcPr>
            <w:tcW w:w="591" w:type="dxa"/>
            <w:tcBorders/>
            <w:vAlign w:val="center"/>
          </w:tcPr>
          <w:p>
            <w:pPr>
              <w:pStyle w:val="TableContents"/>
              <w:bidi w:val="0"/>
              <w:spacing w:before="0" w:after="0"/>
              <w:ind w:left="0" w:right="0" w:firstLine="400"/>
              <w:jc w:val="left"/>
              <w:rPr/>
            </w:pPr>
            <w:r>
              <w:rPr/>
              <w:t> </w:t>
            </w:r>
          </w:p>
        </w:tc>
      </w:tr>
      <w:tr>
        <w:trPr/>
        <w:tc>
          <w:tcPr>
            <w:tcW w:w="66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Realized gain on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66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Non-cash lease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1,380</w:t>
            </w:r>
          </w:p>
        </w:tc>
        <w:tc>
          <w:tcPr>
            <w:tcW w:w="591" w:type="dxa"/>
            <w:tcBorders/>
            <w:vAlign w:val="center"/>
          </w:tcPr>
          <w:p>
            <w:pPr>
              <w:pStyle w:val="TableContents"/>
              <w:bidi w:val="0"/>
              <w:spacing w:before="0" w:after="0"/>
              <w:ind w:left="0" w:right="0" w:firstLine="200"/>
              <w:jc w:val="left"/>
              <w:rPr/>
            </w:pPr>
            <w:r>
              <w:rPr/>
              <w:t> </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66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1,460</w:t>
            </w:r>
          </w:p>
        </w:tc>
        <w:tc>
          <w:tcPr>
            <w:tcW w:w="591" w:type="dxa"/>
            <w:tcBorders/>
            <w:vAlign w:val="center"/>
          </w:tcPr>
          <w:p>
            <w:pPr>
              <w:pStyle w:val="TableContents"/>
              <w:bidi w:val="0"/>
              <w:spacing w:before="0" w:after="0"/>
              <w:ind w:left="0" w:right="0" w:firstLine="400"/>
              <w:jc w:val="left"/>
              <w:rPr/>
            </w:pPr>
            <w:r>
              <w:rPr/>
              <w:t> </w:t>
            </w:r>
          </w:p>
        </w:tc>
      </w:tr>
      <w:tr>
        <w:trPr/>
        <w:tc>
          <w:tcPr>
            <w:tcW w:w="66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1,614</w:t>
            </w:r>
          </w:p>
        </w:tc>
        <w:tc>
          <w:tcPr>
            <w:tcW w:w="591" w:type="dxa"/>
            <w:tcBorders/>
            <w:vAlign w:val="center"/>
          </w:tcPr>
          <w:p>
            <w:pPr>
              <w:pStyle w:val="TableContents"/>
              <w:bidi w:val="0"/>
              <w:spacing w:before="0" w:after="0"/>
              <w:ind w:left="0" w:right="0" w:firstLine="400"/>
              <w:jc w:val="left"/>
              <w:rPr/>
            </w:pPr>
            <w:r>
              <w:rPr/>
              <w:t> </w:t>
            </w:r>
          </w:p>
        </w:tc>
      </w:tr>
      <w:tr>
        <w:trPr/>
        <w:tc>
          <w:tcPr>
            <w:tcW w:w="66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 and accrued and 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(18,258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(1,770</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(84,288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(28,472</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Maturities of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126,040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29,216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stock option exercises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(19,205</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62,914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56,409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43,709</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Reconciliation of cash, cash equivalents and restricted cash to the balance sheet:</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53,666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41,611</w:t>
            </w:r>
          </w:p>
        </w:tc>
        <w:tc>
          <w:tcPr>
            <w:tcW w:w="591" w:type="dxa"/>
            <w:tcBorders/>
            <w:vAlign w:val="center"/>
          </w:tcPr>
          <w:p>
            <w:pPr>
              <w:pStyle w:val="TableContents"/>
              <w:bidi w:val="0"/>
              <w:spacing w:before="0" w:after="0"/>
              <w:ind w:left="0" w:right="0" w:firstLine="200"/>
              <w:jc w:val="left"/>
              <w:rPr/>
            </w:pPr>
            <w:r>
              <w:rPr/>
              <w:t> </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56,409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43,709</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4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disclosures of non-cash investing activities: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66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Acquisitions of property and equipment in 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5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NKARTA,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8" w:name="notes_to_financial_statements"/>
      <w:bookmarkEnd w:id="8"/>
      <w:r>
        <w:rPr>
          <w:rFonts w:ascii="Times New Roman;serif" w:hAnsi="Times New Roman;serif"/>
          <w:b/>
          <w:sz w:val="20"/>
        </w:rPr>
        <w:t>NOTES TO FINANCIAL STATEMENTS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24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1. Organization and Description of Business</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Description of the Business</w:t>
      </w:r>
    </w:p>
    <w:p>
      <w:pPr>
        <w:pStyle w:val="TextBody"/>
        <w:bidi w:val="0"/>
        <w:spacing w:before="120" w:after="0"/>
        <w:jc w:val="left"/>
        <w:rPr>
          <w:rFonts w:ascii="Times New Roman" w:hAnsi="Times New Roman"/>
          <w:sz w:val="20"/>
        </w:rPr>
      </w:pPr>
      <w:r>
        <w:rPr>
          <w:rFonts w:ascii="Times New Roman;serif" w:hAnsi="Times New Roman;serif"/>
          <w:b w:val="false"/>
          <w:sz w:val="20"/>
        </w:rPr>
        <w:t>Nkarta, Inc. ("Nkarta" or the "Company") was incorporated in the State of Delaware in July 2015. The Company is a biopharmaceutical company developing engineered natural killer ("NK") cells to treat cancer. The Company is focused on leveraging the natural potent power of NK cells to identify and kill abnormal cells and recruit adaptive immune effectors to generate responses that are specific and durable. Nkarta is combining its NK expansion platform technology with proprietary cell engineering technologies to generate an abundant supply of NK cells, engineer enhanced NK cell recognition of tumor targets, and improve persistence for sustained activity in the body for the treatment of cancer. Nkarta’s goal is to develop off-the-shelf NK cell therapy product candidates to improve outcomes for patients. The Company’s operations are based in South San Francisco, California, and it operates in one</w:t>
      </w:r>
      <w:r>
        <w:rPr>
          <w:rFonts w:ascii="Times New Roman" w:hAnsi="Times New Roman"/>
          <w:sz w:val="20"/>
        </w:rPr>
        <w:t xml:space="preserve"> </w:t>
      </w:r>
      <w:r>
        <w:rPr>
          <w:rFonts w:ascii="Times New Roman;serif" w:hAnsi="Times New Roman;serif"/>
          <w:b w:val="false"/>
          <w:sz w:val="20"/>
        </w:rPr>
        <w:t>segment.</w:t>
      </w:r>
    </w:p>
    <w:p>
      <w:pPr>
        <w:pStyle w:val="TextBody"/>
        <w:bidi w:val="0"/>
        <w:spacing w:before="360" w:after="0"/>
        <w:jc w:val="left"/>
        <w:rPr>
          <w:rFonts w:ascii="Times New Roman;serif" w:hAnsi="Times New Roman;serif"/>
          <w:b/>
          <w:i/>
          <w:sz w:val="20"/>
        </w:rPr>
      </w:pPr>
      <w:r>
        <w:rPr>
          <w:rFonts w:ascii="Times New Roman;serif" w:hAnsi="Times New Roman;serif"/>
          <w:b/>
          <w:i/>
          <w:sz w:val="20"/>
        </w:rPr>
        <w:t>Liquidity and Management Plans</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unaudited condensed financial statements have been prepared assuming that the Company will continue as a going concern. However, since inception, the Company has devoted substantially all of its efforts to organizing and staffing, business planning, raising capital, conducting preclinical studies and initiating clinical studies, and has not realized substantial revenues from its planned principal operations. In addition, the Company has a limited operating history, has incurred operating losses since inception and expects that it will continue to incur net losses into the foreseeable future as it continues its research and development activities. As of March 31, 2023, the Company had an accumulated deficit of $348.7</w:t>
      </w:r>
      <w:r>
        <w:rPr>
          <w:rFonts w:ascii="Times New Roman" w:hAnsi="Times New Roman"/>
          <w:sz w:val="20"/>
        </w:rPr>
        <w:t xml:space="preserve"> </w:t>
      </w:r>
      <w:r>
        <w:rPr>
          <w:rFonts w:ascii="Times New Roman;serif" w:hAnsi="Times New Roman;serif"/>
          <w:b w:val="false"/>
          <w:sz w:val="20"/>
        </w:rPr>
        <w:t>million and cash, cash equivalents, restricted cash and investments of $332.1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Management plans to continue to incur substantial costs in order to conduct research and development activities and additional capital will be needed to undertake these activities. The Company intends to raise such capital through debt or equity financings or other arrangements to fund operations. Management believes that the Company’s current cash, cash equivalents, restricted cash and investments will provide sufficient funds to enable the Company to meet its obligations for at least twelve months from the filing date of this report.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March 17, 2023, the Company filed a Registration Statement on Form S-3, as amended by the Form S-3/A filed on April 24, 2023 (the "Shelf Registration Statement"), covering the offer and sale from time to time, pursuant to Rule 415 of the Securities Act of 1933, as amended (the "Securities Act"), of up to $350.0</w:t>
      </w:r>
      <w:r>
        <w:rPr>
          <w:rFonts w:ascii="Times New Roman" w:hAnsi="Times New Roman"/>
          <w:sz w:val="20"/>
        </w:rPr>
        <w:t xml:space="preserve"> </w:t>
      </w:r>
      <w:r>
        <w:rPr>
          <w:rFonts w:ascii="Times New Roman;serif" w:hAnsi="Times New Roman;serif"/>
          <w:b w:val="false"/>
          <w:sz w:val="20"/>
        </w:rPr>
        <w:t>million in aggregate offering price of shares of the Company’s common stock, shares of the Company’s preferred stock, debt securities, warrants, rights and/or units, including up to $120.0</w:t>
      </w:r>
      <w:r>
        <w:rPr>
          <w:rFonts w:ascii="Times New Roman" w:hAnsi="Times New Roman"/>
          <w:sz w:val="20"/>
        </w:rPr>
        <w:t xml:space="preserve"> </w:t>
      </w:r>
      <w:r>
        <w:rPr>
          <w:rFonts w:ascii="Times New Roman;serif" w:hAnsi="Times New Roman;serif"/>
          <w:b w:val="false"/>
          <w:sz w:val="20"/>
        </w:rPr>
        <w:t>million in aggregate offering price of shares of the Company’s common stock, shares of the Company’s preferred stock, debt securities, warrants, rights and/or units registered on the Company’s Registration Statement on Form S-3 declared effective by the Securities and Exchange Commission (the "SEC") on September 2, 2021 (the "Prior Registration Statement") that have not yet been sold. The Shelf Registration Statement was declared effective by the SEC on May 5, 2023.</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12, 2021, the Company entered into a sales agreement with Cowen and Company, LLC, a sales agent, to provide for the offering, issuance and sale of up to an aggregate of $150.0</w:t>
      </w:r>
      <w:r>
        <w:rPr>
          <w:rFonts w:ascii="Times New Roman" w:hAnsi="Times New Roman"/>
          <w:sz w:val="20"/>
        </w:rPr>
        <w:t xml:space="preserve"> </w:t>
      </w:r>
      <w:r>
        <w:rPr>
          <w:rFonts w:ascii="Times New Roman;serif" w:hAnsi="Times New Roman;serif"/>
          <w:b w:val="false"/>
          <w:sz w:val="20"/>
        </w:rPr>
        <w:t>million of the Company’s common stock through an “at-the-market” equity offering program (the "ATM Offering Program") pursuant to the Prior Registration Statement and subject to the limitations thereof. For the three months ended March 31, 2023, no</w:t>
      </w:r>
      <w:r>
        <w:rPr>
          <w:rFonts w:ascii="Times New Roman" w:hAnsi="Times New Roman"/>
          <w:sz w:val="20"/>
        </w:rPr>
        <w:t xml:space="preserve"> </w:t>
      </w:r>
      <w:r>
        <w:rPr>
          <w:rFonts w:ascii="Times New Roman;serif" w:hAnsi="Times New Roman;serif"/>
          <w:b w:val="false"/>
          <w:sz w:val="20"/>
        </w:rPr>
        <w:t>sales of the Company’s common stock were made pursuant to the ATM Offering Program.</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2. Basis of Presentation and Significant Accounting Policies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Basis of Presentation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accompanying unaudited condensed financial statements as of March 31, 2023 and for the three-months ended March 31, 2023 and 2022 have been prepared in accordance with U.S. generally accepted accounting principle ("U.S. GAAP") for interim financial information and pursuant to Article 10 of Regulation S-X of the Securities Act, as amended.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 for the periods presented.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240" w:after="0"/>
        <w:jc w:val="both"/>
        <w:rPr>
          <w:rFonts w:ascii="Times New Roman" w:hAnsi="Times New Roman"/>
          <w:sz w:val="20"/>
        </w:rPr>
      </w:pPr>
      <w:r>
        <w:rPr>
          <w:rFonts w:ascii="Times New Roman;serif" w:hAnsi="Times New Roman;serif"/>
          <w:b w:val="false"/>
          <w:sz w:val="20"/>
        </w:rPr>
        <w:t>The results for the three months ended March 31, 2023 are not necessarily indicative of the results expected for the full year or any subsequent interim period. The condensed balance sheet at December 31, 2022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2022, contained in the Company’s Annual Report on Form 10-K for the year ended December 31, 2022 filed by the Company with the SEC on March 16, 2023.</w:t>
      </w:r>
      <w:r>
        <w:rPr>
          <w:rFonts w:ascii="Times New Roman" w:hAnsi="Times New Roman"/>
          <w:sz w:val="20"/>
        </w:rPr>
        <w:t xml:space="preserve"> </w:t>
      </w:r>
    </w:p>
    <w:p>
      <w:pPr>
        <w:pStyle w:val="TextBody"/>
        <w:bidi w:val="0"/>
        <w:spacing w:before="240" w:after="0"/>
        <w:jc w:val="both"/>
        <w:rPr>
          <w:rFonts w:ascii="Times New Roman;serif" w:hAnsi="Times New Roman;serif"/>
          <w:b/>
          <w:i/>
          <w:sz w:val="20"/>
        </w:rPr>
      </w:pPr>
      <w:r>
        <w:rPr>
          <w:rFonts w:ascii="Times New Roman;serif" w:hAnsi="Times New Roman;serif"/>
          <w:b/>
          <w:i/>
          <w:sz w:val="20"/>
        </w:rPr>
        <w:t>COVID-19 Pandemic</w:t>
      </w:r>
    </w:p>
    <w:p>
      <w:pPr>
        <w:pStyle w:val="TextBody"/>
        <w:bidi w:val="0"/>
        <w:spacing w:before="120" w:after="0"/>
        <w:jc w:val="left"/>
        <w:rPr>
          <w:rFonts w:ascii="Times New Roman" w:hAnsi="Times New Roman"/>
          <w:sz w:val="20"/>
        </w:rPr>
      </w:pPr>
      <w:r>
        <w:rPr>
          <w:rFonts w:ascii="Times New Roman;serif" w:hAnsi="Times New Roman;serif"/>
          <w:b w:val="false"/>
          <w:sz w:val="20"/>
        </w:rPr>
        <w:t>The COVID-19 pandemic has caused disruptions in the global economy and has affected and may affect the Company’s business and operations in the future. In response to the pandemic, the Coronavirus Aid, Relief and Economic Security Act (the "CARES Act") was signed into law on March 27, 2020. The CARES Act, among other things, includes tax provisions relating to refundable payroll tax credits, deferment of employer’s social security payments, net operating loss utilization and carryback periods, modifications to the net interest deduction limitations and technical corrections to tax depreciation methods for qualified improvement property. The CARES Act had no impact on the Company’s income tax provision for the year ended December 31, 2022 or the three months ended March 31, 2023. The Company continues to evaluate the impact of the CARES Act on its financial position, results of operations and cash flows.</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Use of Estimates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preparation of financial statements in conformity with U.S. GAAP requires management to make estimates and assumptions that affect the amounts reported in the Company’s financial statements and accompanying notes. On an ongoing basis, management evaluates its estimates, including those related to preclinical studies, fair value of assets and liabilities, leases,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pStyle w:val="TextBody"/>
        <w:bidi w:val="0"/>
        <w:spacing w:before="360" w:after="0"/>
        <w:jc w:val="left"/>
        <w:rPr>
          <w:rFonts w:ascii="Times New Roman" w:hAnsi="Times New Roman"/>
          <w:sz w:val="20"/>
        </w:rPr>
      </w:pPr>
      <w:r>
        <w:rPr>
          <w:rFonts w:ascii="Times New Roman;serif" w:hAnsi="Times New Roman;serif"/>
          <w:b/>
          <w:i/>
          <w:sz w:val="20"/>
        </w:rPr>
        <w:t>Net Loss Per Share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Basic net loss per share is calculated by dividing the net loss by the weighted-average number of common shares outstanding for the period, without consideration of potential dilutive securities. Diluted net loss per share is computed by dividing the net loss by the sum of the weighted average number of common shares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convertible preferred stock prior to the conversion of such shares to common stock, unvested common stock, and outstanding stock options under the Company’s equity incentive plans,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serif" w:hAnsi="Times New Roman;serif"/>
          <w:b/>
          <w:sz w:val="20"/>
        </w:rPr>
      </w:pPr>
      <w:r>
        <w:rPr>
          <w:rFonts w:ascii="Times New Roman;serif" w:hAnsi="Times New Roman;serif"/>
          <w:b/>
          <w:sz w:val="20"/>
        </w:rPr>
        <w:t>3. Net Loss Per Share</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tables summarize the computation of the basic and diluted net loss per share (in thousands except share and per share data):</w:t>
      </w:r>
      <w:r>
        <w:rPr>
          <w:rFonts w:ascii="Times New Roman" w:hAnsi="Times New Roman"/>
          <w:sz w:val="20"/>
        </w:rPr>
        <w:t xml:space="preserve"> </w:t>
      </w:r>
    </w:p>
    <w:p>
      <w:pPr>
        <w:pStyle w:val="TextBody"/>
        <w:bidi w:val="0"/>
        <w:spacing w:before="0" w:after="0"/>
        <w:jc w:val="left"/>
        <w:rPr/>
      </w:pPr>
      <w:r>
        <w:rPr/>
        <w:t> </w:t>
      </w:r>
    </w:p>
    <w:tbl>
      <w:tblPr>
        <w:tblW w:w="7514" w:type="dxa"/>
        <w:jc w:val="left"/>
        <w:tblInd w:w="0" w:type="dxa"/>
        <w:tblLayout w:type="fixed"/>
        <w:tblCellMar>
          <w:top w:w="28" w:type="dxa"/>
          <w:left w:w="28" w:type="dxa"/>
          <w:bottom w:w="28" w:type="dxa"/>
          <w:right w:w="28" w:type="dxa"/>
        </w:tblCellMar>
      </w:tblPr>
      <w:tblGrid>
        <w:gridCol w:w="4171"/>
        <w:gridCol w:w="146"/>
        <w:gridCol w:w="211"/>
        <w:gridCol w:w="1036"/>
        <w:gridCol w:w="166"/>
        <w:gridCol w:w="146"/>
        <w:gridCol w:w="211"/>
        <w:gridCol w:w="1036"/>
        <w:gridCol w:w="39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Numerator:</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1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(25,987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Denominator:</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1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common shares outstanding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48,921,535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33,000,238</w:t>
            </w:r>
          </w:p>
        </w:tc>
        <w:tc>
          <w:tcPr>
            <w:tcW w:w="391" w:type="dxa"/>
            <w:tcBorders/>
            <w:vAlign w:val="center"/>
          </w:tcPr>
          <w:p>
            <w:pPr>
              <w:pStyle w:val="TableContents"/>
              <w:bidi w:val="0"/>
              <w:spacing w:before="0" w:after="0"/>
              <w:ind w:left="0" w:right="0" w:firstLine="200"/>
              <w:jc w:val="left"/>
              <w:rPr/>
            </w:pPr>
            <w:r>
              <w:rPr/>
              <w:t> </w:t>
            </w:r>
          </w:p>
        </w:tc>
      </w:tr>
      <w:tr>
        <w:trPr/>
        <w:tc>
          <w:tcPr>
            <w:tcW w:w="41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weighted average unvested common stock</w:t>
              <w:br/>
              <w:t>   issued upon early exercise of common stock</w:t>
              <w:br/>
              <w:t>   options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(7,656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shares used to compute net loss</w:t>
              <w:br/>
              <w:t>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48,921,326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32,992,582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The following table summarizes the outstanding potentially dilutive securities that have been excluded in the calculation of diluted net loss per share because their inclusion would be anti-dilutive:</w:t>
      </w:r>
      <w:r>
        <w:rPr>
          <w:rFonts w:ascii="Times New Roman" w:hAnsi="Times New Roman"/>
          <w:sz w:val="20"/>
        </w:rPr>
        <w:t xml:space="preserve"> </w:t>
      </w:r>
    </w:p>
    <w:p>
      <w:pPr>
        <w:pStyle w:val="TextBody"/>
        <w:bidi w:val="0"/>
        <w:spacing w:before="0" w:after="0"/>
        <w:jc w:val="left"/>
        <w:rPr/>
      </w:pPr>
      <w:r>
        <w:rPr/>
        <w:t> </w:t>
      </w:r>
    </w:p>
    <w:tbl>
      <w:tblPr>
        <w:tblW w:w="7959" w:type="dxa"/>
        <w:jc w:val="left"/>
        <w:tblInd w:w="0" w:type="dxa"/>
        <w:tblLayout w:type="fixed"/>
        <w:tblCellMar>
          <w:top w:w="28" w:type="dxa"/>
          <w:left w:w="28" w:type="dxa"/>
          <w:bottom w:w="28" w:type="dxa"/>
          <w:right w:w="28" w:type="dxa"/>
        </w:tblCellMar>
      </w:tblPr>
      <w:tblGrid>
        <w:gridCol w:w="5176"/>
        <w:gridCol w:w="146"/>
        <w:gridCol w:w="146"/>
        <w:gridCol w:w="931"/>
        <w:gridCol w:w="146"/>
        <w:gridCol w:w="146"/>
        <w:gridCol w:w="146"/>
        <w:gridCol w:w="931"/>
        <w:gridCol w:w="191"/>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March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6,820,096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5,070,367</w:t>
            </w:r>
          </w:p>
        </w:tc>
        <w:tc>
          <w:tcPr>
            <w:tcW w:w="191" w:type="dxa"/>
            <w:tcBorders/>
            <w:vAlign w:val="center"/>
          </w:tcPr>
          <w:p>
            <w:pPr>
              <w:pStyle w:val="TableContents"/>
              <w:bidi w:val="0"/>
              <w:spacing w:before="0" w:after="0"/>
              <w:ind w:left="0" w:right="0" w:hanging="0"/>
              <w:jc w:val="left"/>
              <w:rPr/>
            </w:pPr>
            <w:r>
              <w:rPr/>
              <w:t> </w:t>
            </w:r>
          </w:p>
        </w:tc>
      </w:tr>
      <w:tr>
        <w:trPr/>
        <w:tc>
          <w:tcPr>
            <w:tcW w:w="51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799,930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229,418</w:t>
            </w:r>
          </w:p>
        </w:tc>
        <w:tc>
          <w:tcPr>
            <w:tcW w:w="191" w:type="dxa"/>
            <w:tcBorders/>
            <w:vAlign w:val="center"/>
          </w:tcPr>
          <w:p>
            <w:pPr>
              <w:pStyle w:val="TableContents"/>
              <w:bidi w:val="0"/>
              <w:spacing w:before="0" w:after="0"/>
              <w:ind w:left="0" w:right="0" w:hanging="0"/>
              <w:jc w:val="left"/>
              <w:rPr/>
            </w:pPr>
            <w:r>
              <w:rPr/>
              <w:t> </w:t>
            </w:r>
          </w:p>
        </w:tc>
      </w:tr>
      <w:tr>
        <w:trPr/>
        <w:tc>
          <w:tcPr>
            <w:tcW w:w="51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common stock upon early exercise of common stock</w:t>
              <w:br/>
              <w:t>   options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1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7,620,139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5,305,042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sz w:val="20"/>
        </w:rPr>
        <w:t>4. Fair Value of Financial Instruments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tables summarize the fair value of the Company’s financial instruments (in thousands):</w:t>
      </w:r>
      <w:r>
        <w:rPr>
          <w:rFonts w:ascii="Times New Roman" w:hAnsi="Times New Roman"/>
          <w:sz w:val="20"/>
        </w:rPr>
        <w:t xml:space="preserve"> </w:t>
      </w:r>
    </w:p>
    <w:p>
      <w:pPr>
        <w:pStyle w:val="TextBody"/>
        <w:bidi w:val="0"/>
        <w:spacing w:before="0" w:after="0"/>
        <w:jc w:val="left"/>
        <w:rPr/>
      </w:pPr>
      <w:r>
        <w:rPr/>
        <w:t> </w:t>
      </w:r>
    </w:p>
    <w:tbl>
      <w:tblPr>
        <w:tblW w:w="8554" w:type="dxa"/>
        <w:jc w:val="left"/>
        <w:tblInd w:w="0" w:type="dxa"/>
        <w:tblLayout w:type="fixed"/>
        <w:tblCellMar>
          <w:top w:w="28" w:type="dxa"/>
          <w:left w:w="28" w:type="dxa"/>
          <w:bottom w:w="28" w:type="dxa"/>
          <w:right w:w="28" w:type="dxa"/>
        </w:tblCellMar>
      </w:tblPr>
      <w:tblGrid>
        <w:gridCol w:w="2446"/>
        <w:gridCol w:w="146"/>
        <w:gridCol w:w="211"/>
        <w:gridCol w:w="781"/>
        <w:gridCol w:w="146"/>
        <w:gridCol w:w="146"/>
        <w:gridCol w:w="289"/>
        <w:gridCol w:w="926"/>
        <w:gridCol w:w="146"/>
        <w:gridCol w:w="146"/>
        <w:gridCol w:w="211"/>
        <w:gridCol w:w="781"/>
        <w:gridCol w:w="146"/>
        <w:gridCol w:w="146"/>
        <w:gridCol w:w="415"/>
        <w:gridCol w:w="681"/>
        <w:gridCol w:w="7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887"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 Using</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Quoted Prices</w:t>
              <w:br/>
              <w:t>in Active</w:t>
              <w:br/>
              <w:t>Markets for</w:t>
              <w:br/>
              <w:t>Identical Assets</w:t>
              <w:b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Significant</w:t>
              <w:br/>
              <w:t>Other</w:t>
              <w:br/>
              <w:t>Observable</w:t>
              <w:br/>
              <w:t>Inputs</w:t>
              <w:b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Significant</w:t>
              <w:br/>
              <w:t>Unobservable</w:t>
              <w:br/>
              <w:t>Inputs</w:t>
              <w:br/>
              <w:t>(Level 3)</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24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400"/>
              <w:jc w:val="right"/>
              <w:rPr/>
            </w:pPr>
            <w:r>
              <w:rPr/>
              <w:t> </w:t>
            </w:r>
          </w:p>
        </w:tc>
      </w:tr>
      <w:tr>
        <w:trPr/>
        <w:tc>
          <w:tcPr>
            <w:tcW w:w="24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4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400"/>
              <w:jc w:val="right"/>
              <w:rPr/>
            </w:pPr>
            <w:r>
              <w:rPr/>
              <w:t> </w:t>
            </w:r>
          </w:p>
        </w:tc>
      </w:tr>
      <w:tr>
        <w:trPr/>
        <w:tc>
          <w:tcPr>
            <w:tcW w:w="24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400"/>
              <w:jc w:val="left"/>
              <w:rPr/>
            </w:pPr>
            <w:r>
              <w:rPr/>
              <w:t> </w:t>
            </w:r>
          </w:p>
        </w:tc>
      </w:tr>
      <w:tr>
        <w:trPr/>
        <w:tc>
          <w:tcPr>
            <w:tcW w:w="24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400"/>
              <w:jc w:val="left"/>
              <w:rPr/>
            </w:pPr>
            <w:r>
              <w:rPr/>
              <w:t> </w:t>
            </w:r>
          </w:p>
        </w:tc>
      </w:tr>
      <w:tr>
        <w:trPr/>
        <w:tc>
          <w:tcPr>
            <w:tcW w:w="24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U.S. Government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199,026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199,026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244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short-term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269,675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269,675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4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investments: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400"/>
              <w:jc w:val="right"/>
              <w:rPr/>
            </w:pPr>
            <w:r>
              <w:rPr/>
              <w:t> </w:t>
            </w:r>
          </w:p>
        </w:tc>
      </w:tr>
      <w:tr>
        <w:trPr/>
        <w:tc>
          <w:tcPr>
            <w:tcW w:w="24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U.S. Government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4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328,357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52,666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275,691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tbl>
      <w:tblPr>
        <w:tblW w:w="8657" w:type="dxa"/>
        <w:jc w:val="left"/>
        <w:tblInd w:w="0" w:type="dxa"/>
        <w:tblLayout w:type="fixed"/>
        <w:tblCellMar>
          <w:top w:w="28" w:type="dxa"/>
          <w:left w:w="28" w:type="dxa"/>
          <w:bottom w:w="28" w:type="dxa"/>
          <w:right w:w="28" w:type="dxa"/>
        </w:tblCellMar>
      </w:tblPr>
      <w:tblGrid>
        <w:gridCol w:w="2446"/>
        <w:gridCol w:w="146"/>
        <w:gridCol w:w="233"/>
        <w:gridCol w:w="862"/>
        <w:gridCol w:w="146"/>
        <w:gridCol w:w="146"/>
        <w:gridCol w:w="289"/>
        <w:gridCol w:w="926"/>
        <w:gridCol w:w="146"/>
        <w:gridCol w:w="146"/>
        <w:gridCol w:w="211"/>
        <w:gridCol w:w="781"/>
        <w:gridCol w:w="146"/>
        <w:gridCol w:w="146"/>
        <w:gridCol w:w="415"/>
        <w:gridCol w:w="681"/>
        <w:gridCol w:w="7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887"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 Using</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Quoted Prices</w:t>
              <w:br/>
              <w:t>in Active</w:t>
              <w:br/>
              <w:t>Markets for</w:t>
              <w:br/>
              <w:t>Identical Assets</w:t>
              <w:b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Significant</w:t>
              <w:br/>
              <w:t>Other</w:t>
              <w:br/>
              <w:t>Observable</w:t>
              <w:br/>
              <w:t>Inputs</w:t>
              <w:b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Significant</w:t>
              <w:br/>
              <w:t>Unobservable</w:t>
              <w:br/>
              <w:t>Inputs</w:t>
              <w:br/>
              <w:t>(Level 3)</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24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400"/>
              <w:jc w:val="right"/>
              <w:rPr/>
            </w:pPr>
            <w:r>
              <w:rPr/>
              <w:t> </w:t>
            </w:r>
          </w:p>
        </w:tc>
      </w:tr>
      <w:tr>
        <w:trPr/>
        <w:tc>
          <w:tcPr>
            <w:tcW w:w="24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36,494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36,494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4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400"/>
              <w:jc w:val="right"/>
              <w:rPr/>
            </w:pPr>
            <w:r>
              <w:rPr/>
              <w:t> </w:t>
            </w:r>
          </w:p>
        </w:tc>
      </w:tr>
      <w:tr>
        <w:trPr/>
        <w:tc>
          <w:tcPr>
            <w:tcW w:w="24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88,681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88,681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400"/>
              <w:jc w:val="left"/>
              <w:rPr/>
            </w:pPr>
            <w:r>
              <w:rPr/>
              <w:t> </w:t>
            </w:r>
          </w:p>
        </w:tc>
      </w:tr>
      <w:tr>
        <w:trPr/>
        <w:tc>
          <w:tcPr>
            <w:tcW w:w="24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400"/>
              <w:jc w:val="left"/>
              <w:rPr/>
            </w:pPr>
            <w:r>
              <w:rPr/>
              <w:t> </w:t>
            </w:r>
          </w:p>
        </w:tc>
      </w:tr>
      <w:tr>
        <w:trPr/>
        <w:tc>
          <w:tcPr>
            <w:tcW w:w="24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Government securities</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160,559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160,559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2446"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short-term investments</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314,649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314,649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4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351,143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314,649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 w:hAnsi="Times New Roman"/>
          <w:sz w:val="20"/>
        </w:rPr>
      </w:pPr>
      <w:r>
        <w:rPr>
          <w:rFonts w:ascii="Times New Roman;serif" w:hAnsi="Times New Roman;serif"/>
          <w:b/>
          <w:i/>
          <w:sz w:val="20"/>
        </w:rPr>
        <w:t>Cash Equivalents and Investments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Financial assets measured at fair value on a recurring basis consist of the Company’s cash equivalents and short-term and long-term investments. Cash equivalents consisted of money market funds and short-term and long-term investments consisted of commercial paper, government securities and corporate bonds. The Company obtains pricing information from its investment manager and generally determines the fair value of investment securities using standard observable inputs, including reported trades, broker/dealer quotes, and bids and/or offers.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Investments are classified as Level 1 within the fair value hierarchy if their quoted prices are available in active markets for identical securities. Investments in money market funds of $52.7</w:t>
      </w:r>
      <w:r>
        <w:rPr>
          <w:rFonts w:ascii="Times New Roman" w:hAnsi="Times New Roman"/>
          <w:sz w:val="20"/>
        </w:rPr>
        <w:t xml:space="preserve"> </w:t>
      </w:r>
      <w:r>
        <w:rPr>
          <w:rFonts w:ascii="Times New Roman;serif" w:hAnsi="Times New Roman;serif"/>
          <w:b w:val="false"/>
          <w:sz w:val="20"/>
        </w:rPr>
        <w:t>million and $36.5</w:t>
      </w:r>
      <w:r>
        <w:rPr>
          <w:rFonts w:ascii="Times New Roman" w:hAnsi="Times New Roman"/>
          <w:sz w:val="20"/>
        </w:rPr>
        <w:t xml:space="preserve"> </w:t>
      </w:r>
      <w:r>
        <w:rPr>
          <w:rFonts w:ascii="Times New Roman;serif" w:hAnsi="Times New Roman;serif"/>
          <w:b w:val="false"/>
          <w:sz w:val="20"/>
        </w:rPr>
        <w:t>million as of March 31, 2023 and December 31, 2022, respectively, were classified as Level 1 instruments and were included in cash and cash equivalents.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Investments in marketable securities are valued using Level 2 inputs. Level 2 securities are initially valued at the transaction price and subsequently valued and reported upon utilizing inputs other than quoted prices that are observable either directly or indirectly, such as quotes from third-party pricing vendors. Fair values determined by Level 2 inputs, which utilize data points that are observable such as quoted prices, interest rates and yield curves, require the exercise of judgment and use of estimates, that if changed, could significantly affect the Company’s financial position and results of operations. The marketable securities of $275.7</w:t>
      </w:r>
      <w:r>
        <w:rPr>
          <w:rFonts w:ascii="Times New Roman" w:hAnsi="Times New Roman"/>
          <w:sz w:val="20"/>
        </w:rPr>
        <w:t xml:space="preserve"> </w:t>
      </w:r>
      <w:r>
        <w:rPr>
          <w:rFonts w:ascii="Times New Roman;serif" w:hAnsi="Times New Roman;serif"/>
          <w:b w:val="false"/>
          <w:sz w:val="20"/>
        </w:rPr>
        <w:t>million and $314.6</w:t>
      </w:r>
      <w:r>
        <w:rPr>
          <w:rFonts w:ascii="Times New Roman" w:hAnsi="Times New Roman"/>
          <w:sz w:val="20"/>
        </w:rPr>
        <w:t xml:space="preserve"> </w:t>
      </w:r>
      <w:r>
        <w:rPr>
          <w:rFonts w:ascii="Times New Roman;serif" w:hAnsi="Times New Roman;serif"/>
          <w:b w:val="false"/>
          <w:sz w:val="20"/>
        </w:rPr>
        <w:t>million as of March 31, 2023 and December 31, 2022, respectively, were classified as Level 2 instruments. As of March 31, 2023, marketable securities of $269.7</w:t>
      </w:r>
      <w:r>
        <w:rPr>
          <w:rFonts w:ascii="Times New Roman" w:hAnsi="Times New Roman"/>
          <w:sz w:val="20"/>
        </w:rPr>
        <w:t xml:space="preserve"> </w:t>
      </w:r>
      <w:r>
        <w:rPr>
          <w:rFonts w:ascii="Times New Roman;serif" w:hAnsi="Times New Roman;serif"/>
          <w:b w:val="false"/>
          <w:sz w:val="20"/>
        </w:rPr>
        <w:t>million were included in short-term investments and marketable securities of $6.0</w:t>
      </w:r>
      <w:r>
        <w:rPr>
          <w:rFonts w:ascii="Times New Roman" w:hAnsi="Times New Roman"/>
          <w:sz w:val="20"/>
        </w:rPr>
        <w:t xml:space="preserve"> </w:t>
      </w:r>
      <w:r>
        <w:rPr>
          <w:rFonts w:ascii="Times New Roman;serif" w:hAnsi="Times New Roman;serif"/>
          <w:b w:val="false"/>
          <w:sz w:val="20"/>
        </w:rPr>
        <w:t>million were included in long-term investments. As of December 31, 2022, marketable securities of $314.6</w:t>
      </w:r>
      <w:r>
        <w:rPr>
          <w:rFonts w:ascii="Times New Roman" w:hAnsi="Times New Roman"/>
          <w:sz w:val="20"/>
        </w:rPr>
        <w:t xml:space="preserve"> </w:t>
      </w:r>
      <w:r>
        <w:rPr>
          <w:rFonts w:ascii="Times New Roman;serif" w:hAnsi="Times New Roman;serif"/>
          <w:b w:val="false"/>
          <w:sz w:val="20"/>
        </w:rPr>
        <w:t>million were included in short-term investments. Accrued interest receivable related to investments was $0.6</w:t>
      </w:r>
      <w:r>
        <w:rPr>
          <w:rFonts w:ascii="Times New Roman" w:hAnsi="Times New Roman"/>
          <w:sz w:val="20"/>
        </w:rPr>
        <w:t xml:space="preserve"> </w:t>
      </w:r>
      <w:r>
        <w:rPr>
          <w:rFonts w:ascii="Times New Roman;serif" w:hAnsi="Times New Roman;serif"/>
          <w:b w:val="false"/>
          <w:sz w:val="20"/>
        </w:rPr>
        <w:t>million and $0.8</w:t>
      </w:r>
      <w:r>
        <w:rPr>
          <w:rFonts w:ascii="Times New Roman" w:hAnsi="Times New Roman"/>
          <w:sz w:val="20"/>
        </w:rPr>
        <w:t xml:space="preserve"> </w:t>
      </w:r>
      <w:r>
        <w:rPr>
          <w:rFonts w:ascii="Times New Roman;serif" w:hAnsi="Times New Roman;serif"/>
          <w:b w:val="false"/>
          <w:sz w:val="20"/>
        </w:rPr>
        <w:t>million as of March 31, 2023 and December 31, 2022, respectively, and included as part of prepaid expenses and other current assets in the condensed balance sheets.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tables summarize the Company’s investments accounted for as available-for-sale securities as of March 31, 2023 and December 31, 2022 (in thousands):</w:t>
      </w:r>
    </w:p>
    <w:p>
      <w:pPr>
        <w:pStyle w:val="TextBody"/>
        <w:bidi w:val="0"/>
        <w:spacing w:before="0" w:after="0"/>
        <w:jc w:val="left"/>
        <w:rPr/>
      </w:pPr>
      <w:r>
        <w:rPr/>
        <w:t> </w:t>
      </w:r>
    </w:p>
    <w:tbl>
      <w:tblPr>
        <w:tblW w:w="9282" w:type="dxa"/>
        <w:jc w:val="left"/>
        <w:tblInd w:w="0" w:type="dxa"/>
        <w:tblLayout w:type="fixed"/>
        <w:tblCellMar>
          <w:top w:w="28" w:type="dxa"/>
          <w:left w:w="28" w:type="dxa"/>
          <w:bottom w:w="28" w:type="dxa"/>
          <w:right w:w="28" w:type="dxa"/>
        </w:tblCellMar>
      </w:tblPr>
      <w:tblGrid>
        <w:gridCol w:w="2311"/>
        <w:gridCol w:w="146"/>
        <w:gridCol w:w="1636"/>
        <w:gridCol w:w="146"/>
        <w:gridCol w:w="211"/>
        <w:gridCol w:w="781"/>
        <w:gridCol w:w="146"/>
        <w:gridCol w:w="146"/>
        <w:gridCol w:w="270"/>
        <w:gridCol w:w="616"/>
        <w:gridCol w:w="166"/>
        <w:gridCol w:w="146"/>
        <w:gridCol w:w="295"/>
        <w:gridCol w:w="591"/>
        <w:gridCol w:w="146"/>
        <w:gridCol w:w="146"/>
        <w:gridCol w:w="211"/>
        <w:gridCol w:w="78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5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Maturity</w:t>
              <w:br/>
              <w:t>(in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w:t>
              <w:b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1 year</w:t>
            </w:r>
            <w:r>
              <w:rPr>
                <w:rFonts w:ascii="Times New Roman" w:hAnsi="Times New Roman"/>
                <w:sz w:val="20"/>
              </w:rPr>
              <w:t> </w:t>
            </w:r>
            <w:r>
              <w:rPr>
                <w:rFonts w:ascii="Times New Roman;serif" w:hAnsi="Times New Roman;serif"/>
                <w:b w:val="false"/>
                <w:sz w:val="20"/>
              </w:rPr>
              <w:t>or less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50,351</w:t>
            </w:r>
          </w:p>
        </w:tc>
        <w:tc>
          <w:tcPr>
            <w:tcW w:w="3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1 year</w:t>
            </w:r>
            <w:r>
              <w:rPr>
                <w:rFonts w:ascii="Times New Roman" w:hAnsi="Times New Roman"/>
                <w:sz w:val="20"/>
              </w:rPr>
              <w:t> </w:t>
            </w:r>
            <w:r>
              <w:rPr>
                <w:rFonts w:ascii="Times New Roman;serif" w:hAnsi="Times New Roman;serif"/>
                <w:b w:val="false"/>
                <w:sz w:val="20"/>
              </w:rPr>
              <w:t>or less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20,298</w:t>
            </w:r>
          </w:p>
        </w:tc>
        <w:tc>
          <w:tcPr>
            <w:tcW w:w="3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securities</w:t>
            </w:r>
          </w:p>
        </w:tc>
        <w:tc>
          <w:tcPr>
            <w:tcW w:w="146"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1 year</w:t>
            </w:r>
            <w:r>
              <w:rPr>
                <w:rFonts w:ascii="Times New Roman" w:hAnsi="Times New Roman"/>
                <w:sz w:val="20"/>
              </w:rPr>
              <w:t> </w:t>
            </w:r>
            <w:r>
              <w:rPr>
                <w:rFonts w:ascii="Times New Roman;serif" w:hAnsi="Times New Roman;serif"/>
                <w:b w:val="false"/>
                <w:sz w:val="20"/>
              </w:rPr>
              <w:t>or less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199,057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199,026</w:t>
            </w:r>
          </w:p>
        </w:tc>
        <w:tc>
          <w:tcPr>
            <w:tcW w:w="3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securities</w:t>
            </w:r>
          </w:p>
        </w:tc>
        <w:tc>
          <w:tcPr>
            <w:tcW w:w="146"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Greater than 1 year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3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63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275,865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275,691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8637" w:type="dxa"/>
        <w:jc w:val="left"/>
        <w:tblInd w:w="0" w:type="dxa"/>
        <w:tblLayout w:type="fixed"/>
        <w:tblCellMar>
          <w:top w:w="28" w:type="dxa"/>
          <w:left w:w="28" w:type="dxa"/>
          <w:bottom w:w="28" w:type="dxa"/>
          <w:right w:w="28" w:type="dxa"/>
        </w:tblCellMar>
      </w:tblPr>
      <w:tblGrid>
        <w:gridCol w:w="2146"/>
        <w:gridCol w:w="146"/>
        <w:gridCol w:w="1156"/>
        <w:gridCol w:w="146"/>
        <w:gridCol w:w="211"/>
        <w:gridCol w:w="781"/>
        <w:gridCol w:w="146"/>
        <w:gridCol w:w="146"/>
        <w:gridCol w:w="270"/>
        <w:gridCol w:w="616"/>
        <w:gridCol w:w="166"/>
        <w:gridCol w:w="146"/>
        <w:gridCol w:w="335"/>
        <w:gridCol w:w="551"/>
        <w:gridCol w:w="146"/>
        <w:gridCol w:w="146"/>
        <w:gridCol w:w="211"/>
        <w:gridCol w:w="781"/>
        <w:gridCol w:w="3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5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Maturity</w:t>
              <w:br/>
              <w:t>(in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w:t>
              <w:b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1 year</w:t>
            </w:r>
            <w:r>
              <w:rPr>
                <w:rFonts w:ascii="Times New Roman" w:hAnsi="Times New Roman"/>
                <w:sz w:val="20"/>
              </w:rPr>
              <w:t> </w:t>
            </w:r>
            <w:r>
              <w:rPr>
                <w:rFonts w:ascii="Times New Roman;serif" w:hAnsi="Times New Roman;serif"/>
                <w:b w:val="false"/>
                <w:sz w:val="20"/>
              </w:rPr>
              <w:t>or less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88,995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center"/>
              <w:rPr/>
            </w:pPr>
            <w:r>
              <w:rPr/>
              <w:t> </w:t>
            </w:r>
          </w:p>
        </w:tc>
        <w:tc>
          <w:tcPr>
            <w:tcW w:w="3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88,681</w:t>
            </w:r>
          </w:p>
        </w:tc>
        <w:tc>
          <w:tcPr>
            <w:tcW w:w="391" w:type="dxa"/>
            <w:tcBorders/>
            <w:vAlign w:val="center"/>
          </w:tcPr>
          <w:p>
            <w:pPr>
              <w:pStyle w:val="TableContents"/>
              <w:bidi w:val="0"/>
              <w:spacing w:before="0" w:after="0"/>
              <w:ind w:left="0" w:right="0" w:hanging="0"/>
              <w:jc w:val="left"/>
              <w:rPr/>
            </w:pPr>
            <w:r>
              <w:rPr/>
              <w:t> </w:t>
            </w:r>
          </w:p>
        </w:tc>
      </w:tr>
      <w:tr>
        <w:trPr/>
        <w:tc>
          <w:tcPr>
            <w:tcW w:w="21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1 year</w:t>
            </w:r>
            <w:r>
              <w:rPr>
                <w:rFonts w:ascii="Times New Roman" w:hAnsi="Times New Roman"/>
                <w:sz w:val="20"/>
              </w:rPr>
              <w:t> </w:t>
            </w:r>
            <w:r>
              <w:rPr>
                <w:rFonts w:ascii="Times New Roman;serif" w:hAnsi="Times New Roman;serif"/>
                <w:b w:val="false"/>
                <w:sz w:val="20"/>
              </w:rPr>
              <w:t>or less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65,532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0"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65,409</w:t>
            </w:r>
          </w:p>
        </w:tc>
        <w:tc>
          <w:tcPr>
            <w:tcW w:w="391" w:type="dxa"/>
            <w:tcBorders/>
            <w:vAlign w:val="center"/>
          </w:tcPr>
          <w:p>
            <w:pPr>
              <w:pStyle w:val="TableContents"/>
              <w:bidi w:val="0"/>
              <w:spacing w:before="0" w:after="0"/>
              <w:ind w:left="0" w:right="0" w:hanging="0"/>
              <w:jc w:val="left"/>
              <w:rPr/>
            </w:pPr>
            <w:r>
              <w:rPr/>
              <w:t> </w:t>
            </w:r>
          </w:p>
        </w:tc>
      </w:tr>
      <w:tr>
        <w:trPr/>
        <w:tc>
          <w:tcPr>
            <w:tcW w:w="21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Government securities</w:t>
            </w:r>
          </w:p>
        </w:tc>
        <w:tc>
          <w:tcPr>
            <w:tcW w:w="1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1 year</w:t>
            </w:r>
            <w:r>
              <w:rPr>
                <w:rFonts w:ascii="Times New Roman" w:hAnsi="Times New Roman"/>
                <w:sz w:val="20"/>
              </w:rPr>
              <w:t> </w:t>
            </w:r>
            <w:r>
              <w:rPr>
                <w:rFonts w:ascii="Times New Roman;serif" w:hAnsi="Times New Roman;serif"/>
                <w:b w:val="false"/>
                <w:sz w:val="20"/>
              </w:rPr>
              <w:t>or less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160,801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160,559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1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315,328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314,649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40" w:after="0"/>
        <w:jc w:val="left"/>
        <w:rPr>
          <w:rFonts w:ascii="Times New Roman" w:hAnsi="Times New Roman"/>
          <w:sz w:val="20"/>
        </w:rPr>
      </w:pPr>
      <w:r>
        <w:rPr>
          <w:rFonts w:ascii="Times New Roman;serif" w:hAnsi="Times New Roman;serif"/>
          <w:b w:val="false"/>
          <w:sz w:val="20"/>
        </w:rPr>
        <w:t>The Company has classified its investment securities as current and non-current assets on the condensed balance sheets based on each security's contractual maturity date, and all investment securities are accounted for as available-for-sale because these investment securities are considered available for use in current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considers whether unrealized losses have resulted from a credit loss or other factors. The unrealized losses on the Company’s available-for-sale securities as of March 31, 2023 and December 31, 2022 were caused by fluctuations in market value and interest rates as a result of the economic environment and not credit risk. The Company concluded that an allowance for credit losses was unnecessary as of March 31, 2023 and December 31, 2022. It is neither management’s intention to sell nor is it more likely than not that the Company will be required to sell these investments prior to recovery of their cost basis or recovery of fair value. Unrealized gains and losses are included in accumulated other comprehensive loss.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During the three months ended March 31, 2023, there were immaterial realized gains recognized on available-for-sale securities sold in the period. There was no</w:t>
      </w:r>
      <w:r>
        <w:rPr>
          <w:rFonts w:ascii="Times New Roman" w:hAnsi="Times New Roman"/>
          <w:sz w:val="20"/>
        </w:rPr>
        <w:t xml:space="preserve"> </w:t>
      </w:r>
      <w:r>
        <w:rPr>
          <w:rFonts w:ascii="Times New Roman;serif" w:hAnsi="Times New Roman;serif"/>
          <w:b w:val="false"/>
          <w:sz w:val="20"/>
        </w:rPr>
        <w:t>realized gain or loss on available-for-sale securities for the three months ended March 31, 2022. The Company uses the specific identification method to determine the cost basis of investments sold.</w:t>
      </w:r>
    </w:p>
    <w:p>
      <w:pPr>
        <w:pStyle w:val="TextBody"/>
        <w:bidi w:val="0"/>
        <w:spacing w:before="160" w:after="0"/>
        <w:jc w:val="left"/>
        <w:rPr>
          <w:rFonts w:ascii="Times New Roman" w:hAnsi="Times New Roman"/>
          <w:sz w:val="20"/>
        </w:rPr>
      </w:pPr>
      <w:r>
        <w:rPr>
          <w:rFonts w:ascii="Times New Roman;serif" w:hAnsi="Times New Roman;serif"/>
          <w:b/>
          <w:sz w:val="20"/>
        </w:rPr>
        <w:t>5. Balance Sheet Components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Prepaid Expenses and Other Current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Prepaid expenses and other current assets are comprised of the following (in thousands):</w:t>
      </w:r>
      <w:r>
        <w:rPr>
          <w:rFonts w:ascii="Times New Roman" w:hAnsi="Times New Roman"/>
          <w:sz w:val="20"/>
        </w:rPr>
        <w:t xml:space="preserve"> </w:t>
      </w:r>
    </w:p>
    <w:p>
      <w:pPr>
        <w:pStyle w:val="TextBody"/>
        <w:bidi w:val="0"/>
        <w:spacing w:before="0" w:after="0"/>
        <w:jc w:val="left"/>
        <w:rPr/>
      </w:pPr>
      <w:r>
        <w:rPr/>
        <w:t> </w:t>
      </w:r>
    </w:p>
    <w:tbl>
      <w:tblPr>
        <w:tblW w:w="6710" w:type="dxa"/>
        <w:jc w:val="left"/>
        <w:tblInd w:w="0" w:type="dxa"/>
        <w:tblLayout w:type="fixed"/>
        <w:tblCellMar>
          <w:top w:w="28" w:type="dxa"/>
          <w:left w:w="28" w:type="dxa"/>
          <w:bottom w:w="28" w:type="dxa"/>
          <w:right w:w="28" w:type="dxa"/>
        </w:tblCellMar>
      </w:tblPr>
      <w:tblGrid>
        <w:gridCol w:w="3931"/>
        <w:gridCol w:w="146"/>
        <w:gridCol w:w="230"/>
        <w:gridCol w:w="625"/>
        <w:gridCol w:w="146"/>
        <w:gridCol w:w="146"/>
        <w:gridCol w:w="294"/>
        <w:gridCol w:w="801"/>
        <w:gridCol w:w="3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5,616</w:t>
            </w:r>
          </w:p>
        </w:tc>
        <w:tc>
          <w:tcPr>
            <w:tcW w:w="391" w:type="dxa"/>
            <w:tcBorders/>
            <w:vAlign w:val="center"/>
          </w:tcPr>
          <w:p>
            <w:pPr>
              <w:pStyle w:val="TableContents"/>
              <w:bidi w:val="0"/>
              <w:spacing w:before="0" w:after="0"/>
              <w:ind w:left="0" w:right="0" w:hanging="0"/>
              <w:jc w:val="left"/>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9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8,545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i/>
          <w:sz w:val="20"/>
        </w:rPr>
        <w:t>Property and Equipment,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Property and equipment, net is comprised of the following (in thousands):</w:t>
      </w:r>
      <w:r>
        <w:rPr>
          <w:rFonts w:ascii="Times New Roman" w:hAnsi="Times New Roman"/>
          <w:sz w:val="20"/>
        </w:rPr>
        <w:t xml:space="preserve"> </w:t>
      </w:r>
    </w:p>
    <w:p>
      <w:pPr>
        <w:pStyle w:val="TextBody"/>
        <w:bidi w:val="0"/>
        <w:spacing w:before="0" w:after="0"/>
        <w:jc w:val="left"/>
        <w:rPr/>
      </w:pPr>
      <w:r>
        <w:rPr/>
        <w:t> </w:t>
      </w:r>
    </w:p>
    <w:tbl>
      <w:tblPr>
        <w:tblW w:w="6902" w:type="dxa"/>
        <w:jc w:val="left"/>
        <w:tblInd w:w="0" w:type="dxa"/>
        <w:tblLayout w:type="fixed"/>
        <w:tblCellMar>
          <w:top w:w="28" w:type="dxa"/>
          <w:left w:w="28" w:type="dxa"/>
          <w:bottom w:w="28" w:type="dxa"/>
          <w:right w:w="28" w:type="dxa"/>
        </w:tblCellMar>
      </w:tblPr>
      <w:tblGrid>
        <w:gridCol w:w="4051"/>
        <w:gridCol w:w="146"/>
        <w:gridCol w:w="211"/>
        <w:gridCol w:w="676"/>
        <w:gridCol w:w="166"/>
        <w:gridCol w:w="146"/>
        <w:gridCol w:w="260"/>
        <w:gridCol w:w="835"/>
        <w:gridCol w:w="4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4,402</w:t>
            </w:r>
          </w:p>
        </w:tc>
        <w:tc>
          <w:tcPr>
            <w:tcW w:w="41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w:t>
            </w:r>
          </w:p>
        </w:tc>
        <w:tc>
          <w:tcPr>
            <w:tcW w:w="41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12,900</w:t>
            </w:r>
          </w:p>
        </w:tc>
        <w:tc>
          <w:tcPr>
            <w:tcW w:w="41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Computers and software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41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49,655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0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property and equipment, gross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76,398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67,732</w:t>
            </w:r>
          </w:p>
        </w:tc>
        <w:tc>
          <w:tcPr>
            <w:tcW w:w="41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69,777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61,908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Depreciation and amortization expense was $0.8</w:t>
      </w:r>
      <w:r>
        <w:rPr>
          <w:rFonts w:ascii="Times New Roman" w:hAnsi="Times New Roman"/>
          <w:sz w:val="20"/>
        </w:rPr>
        <w:t xml:space="preserve"> </w:t>
      </w:r>
      <w:r>
        <w:rPr>
          <w:rFonts w:ascii="Times New Roman;serif" w:hAnsi="Times New Roman;serif"/>
          <w:b w:val="false"/>
          <w:sz w:val="20"/>
        </w:rPr>
        <w:t>million and $0.6</w:t>
      </w:r>
      <w:r>
        <w:rPr>
          <w:rFonts w:ascii="Times New Roman" w:hAnsi="Times New Roman"/>
          <w:sz w:val="20"/>
        </w:rPr>
        <w:t xml:space="preserve"> </w:t>
      </w:r>
      <w:r>
        <w:rPr>
          <w:rFonts w:ascii="Times New Roman;serif" w:hAnsi="Times New Roman;serif"/>
          <w:b w:val="false"/>
          <w:sz w:val="20"/>
        </w:rPr>
        <w:t>million for the three months ended March 31, 2023 and 2022, respectively.</w:t>
      </w:r>
    </w:p>
    <w:p>
      <w:pPr>
        <w:pStyle w:val="TextBody"/>
        <w:bidi w:val="0"/>
        <w:spacing w:before="160" w:after="0"/>
        <w:jc w:val="left"/>
        <w:rPr>
          <w:rFonts w:ascii="Times New Roman;serif" w:hAnsi="Times New Roman;serif"/>
          <w:b/>
          <w:i/>
          <w:sz w:val="20"/>
        </w:rPr>
      </w:pPr>
      <w:r>
        <w:rPr>
          <w:rFonts w:ascii="Times New Roman;serif" w:hAnsi="Times New Roman;serif"/>
          <w:b/>
          <w:i/>
          <w:sz w:val="20"/>
        </w:rPr>
        <w:t>Accrued and Other Current Liabilities</w:t>
      </w:r>
    </w:p>
    <w:p>
      <w:pPr>
        <w:pStyle w:val="TextBody"/>
        <w:bidi w:val="0"/>
        <w:spacing w:before="120" w:after="0"/>
        <w:jc w:val="left"/>
        <w:rPr>
          <w:rFonts w:ascii="Times New Roman" w:hAnsi="Times New Roman"/>
          <w:sz w:val="20"/>
        </w:rPr>
      </w:pPr>
      <w:r>
        <w:rPr>
          <w:rFonts w:ascii="Times New Roman;serif" w:hAnsi="Times New Roman;serif"/>
          <w:b w:val="false"/>
          <w:sz w:val="20"/>
        </w:rPr>
        <w:t>Accrued other current liabilities are comprised of the following (in thousands):</w:t>
      </w:r>
      <w:r>
        <w:rPr>
          <w:rFonts w:ascii="Times New Roman" w:hAnsi="Times New Roman"/>
          <w:sz w:val="20"/>
        </w:rPr>
        <w:t xml:space="preserve"> </w:t>
      </w:r>
    </w:p>
    <w:p>
      <w:pPr>
        <w:pStyle w:val="TextBody"/>
        <w:bidi w:val="0"/>
        <w:spacing w:before="0" w:after="0"/>
        <w:jc w:val="left"/>
        <w:rPr/>
      </w:pPr>
      <w:r>
        <w:rPr/>
        <w:t> </w:t>
      </w:r>
    </w:p>
    <w:tbl>
      <w:tblPr>
        <w:tblW w:w="6217" w:type="dxa"/>
        <w:jc w:val="left"/>
        <w:tblInd w:w="0" w:type="dxa"/>
        <w:tblLayout w:type="fixed"/>
        <w:tblCellMar>
          <w:top w:w="28" w:type="dxa"/>
          <w:left w:w="28" w:type="dxa"/>
          <w:bottom w:w="28" w:type="dxa"/>
          <w:right w:w="28" w:type="dxa"/>
        </w:tblCellMar>
      </w:tblPr>
      <w:tblGrid>
        <w:gridCol w:w="3406"/>
        <w:gridCol w:w="146"/>
        <w:gridCol w:w="211"/>
        <w:gridCol w:w="676"/>
        <w:gridCol w:w="146"/>
        <w:gridCol w:w="146"/>
        <w:gridCol w:w="260"/>
        <w:gridCol w:w="835"/>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6,691</w:t>
            </w:r>
          </w:p>
        </w:tc>
        <w:tc>
          <w:tcPr>
            <w:tcW w:w="3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research and development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3,486</w:t>
            </w:r>
          </w:p>
        </w:tc>
        <w:tc>
          <w:tcPr>
            <w:tcW w:w="3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5,001</w:t>
            </w:r>
          </w:p>
        </w:tc>
        <w:tc>
          <w:tcPr>
            <w:tcW w:w="391"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accrued and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4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accrued and 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16,036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160" w:after="0"/>
        <w:jc w:val="left"/>
        <w:rPr>
          <w:rFonts w:ascii="Times New Roman" w:hAnsi="Times New Roman"/>
          <w:sz w:val="20"/>
        </w:rPr>
      </w:pPr>
      <w:r>
        <w:rPr>
          <w:rFonts w:ascii="Times New Roman;serif" w:hAnsi="Times New Roman;serif"/>
          <w:b/>
          <w:sz w:val="20"/>
        </w:rPr>
        <w:t>6. Leases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operating leases for its current corporate offices, laboratory space, manufacturing facility, and dedicated space in a vivarium in South San Francisco, California, as well as for an additional facility in South San Francisco that the Company plans to use for corporate offices, laboratories and manufacturing. Rent expense, which is recognized on a straight-line basis over the term of each lease, was $2.7</w:t>
      </w:r>
      <w:r>
        <w:rPr>
          <w:rFonts w:ascii="Times New Roman" w:hAnsi="Times New Roman"/>
          <w:sz w:val="20"/>
        </w:rPr>
        <w:t xml:space="preserve"> </w:t>
      </w:r>
      <w:r>
        <w:rPr>
          <w:rFonts w:ascii="Times New Roman;serif" w:hAnsi="Times New Roman;serif"/>
          <w:b w:val="false"/>
          <w:sz w:val="20"/>
        </w:rPr>
        <w:t>million and $2.6</w:t>
      </w:r>
      <w:r>
        <w:rPr>
          <w:rFonts w:ascii="Times New Roman" w:hAnsi="Times New Roman"/>
          <w:sz w:val="20"/>
        </w:rPr>
        <w:t xml:space="preserve"> </w:t>
      </w:r>
      <w:r>
        <w:rPr>
          <w:rFonts w:ascii="Times New Roman;serif" w:hAnsi="Times New Roman;serif"/>
          <w:b w:val="false"/>
          <w:sz w:val="20"/>
        </w:rPr>
        <w:t>million for the three months ended March 31, 2023 and 2022, respectively. The total cash received for operating leases included in the operating cash flows was $5.8</w:t>
      </w:r>
      <w:r>
        <w:rPr>
          <w:rFonts w:ascii="Times New Roman" w:hAnsi="Times New Roman"/>
          <w:sz w:val="20"/>
        </w:rPr>
        <w:t xml:space="preserve"> </w:t>
      </w:r>
      <w:r>
        <w:rPr>
          <w:rFonts w:ascii="Times New Roman;serif" w:hAnsi="Times New Roman;serif"/>
          <w:b w:val="false"/>
          <w:sz w:val="20"/>
        </w:rPr>
        <w:t>million and $0.3</w:t>
      </w:r>
      <w:r>
        <w:rPr>
          <w:rFonts w:ascii="Times New Roman" w:hAnsi="Times New Roman"/>
          <w:sz w:val="20"/>
        </w:rPr>
        <w:t xml:space="preserve"> </w:t>
      </w:r>
      <w:r>
        <w:rPr>
          <w:rFonts w:ascii="Times New Roman;serif" w:hAnsi="Times New Roman;serif"/>
          <w:b w:val="false"/>
          <w:sz w:val="20"/>
        </w:rPr>
        <w:t>million, inclusive of $7.8</w:t>
      </w:r>
      <w:r>
        <w:rPr>
          <w:rFonts w:ascii="Times New Roman" w:hAnsi="Times New Roman"/>
          <w:sz w:val="20"/>
        </w:rPr>
        <w:t xml:space="preserve"> </w:t>
      </w:r>
      <w:r>
        <w:rPr>
          <w:rFonts w:ascii="Times New Roman;serif" w:hAnsi="Times New Roman;serif"/>
          <w:b w:val="false"/>
          <w:sz w:val="20"/>
        </w:rPr>
        <w:t>million and $0.9</w:t>
      </w:r>
      <w:r>
        <w:rPr>
          <w:rFonts w:ascii="Times New Roman" w:hAnsi="Times New Roman"/>
          <w:sz w:val="20"/>
        </w:rPr>
        <w:t xml:space="preserve"> </w:t>
      </w:r>
      <w:r>
        <w:rPr>
          <w:rFonts w:ascii="Times New Roman;serif" w:hAnsi="Times New Roman;serif"/>
          <w:b w:val="false"/>
          <w:sz w:val="20"/>
        </w:rPr>
        <w:t>million of cash received related to tenant improvement allowance reimbursement less $2.0</w:t>
      </w:r>
      <w:r>
        <w:rPr>
          <w:rFonts w:ascii="Times New Roman" w:hAnsi="Times New Roman"/>
          <w:sz w:val="20"/>
        </w:rPr>
        <w:t xml:space="preserve"> </w:t>
      </w:r>
      <w:r>
        <w:rPr>
          <w:rFonts w:ascii="Times New Roman;serif" w:hAnsi="Times New Roman;serif"/>
          <w:b w:val="false"/>
          <w:sz w:val="20"/>
        </w:rPr>
        <w:t>million and $0.6</w:t>
      </w:r>
      <w:r>
        <w:rPr>
          <w:rFonts w:ascii="Times New Roman" w:hAnsi="Times New Roman"/>
          <w:sz w:val="20"/>
        </w:rPr>
        <w:t xml:space="preserve"> </w:t>
      </w:r>
      <w:r>
        <w:rPr>
          <w:rFonts w:ascii="Times New Roman;serif" w:hAnsi="Times New Roman;serif"/>
          <w:b w:val="false"/>
          <w:sz w:val="20"/>
        </w:rPr>
        <w:t>million of rent payments, for the three months ended March 31, 2023 and 2022, respectively. The weighted-average remaining lease term was 10.5</w:t>
      </w:r>
      <w:r>
        <w:rPr>
          <w:rFonts w:ascii="Times New Roman" w:hAnsi="Times New Roman"/>
          <w:sz w:val="20"/>
        </w:rPr>
        <w:t xml:space="preserve"> </w:t>
      </w:r>
      <w:r>
        <w:rPr>
          <w:rFonts w:ascii="Times New Roman;serif" w:hAnsi="Times New Roman;serif"/>
          <w:b w:val="false"/>
          <w:sz w:val="20"/>
        </w:rPr>
        <w:t>years for the corporate office, laboratory space leases, and additional facility as of March 31, 2023. The weighted-average discount rate was 9.7% as of March 31, 2023.</w:t>
      </w:r>
    </w:p>
    <w:p>
      <w:pPr>
        <w:pStyle w:val="TextBody"/>
        <w:bidi w:val="0"/>
        <w:spacing w:before="120" w:after="0"/>
        <w:jc w:val="left"/>
        <w:rPr>
          <w:rFonts w:ascii="Times New Roman" w:hAnsi="Times New Roman"/>
          <w:sz w:val="20"/>
        </w:rPr>
      </w:pPr>
      <w:r>
        <w:rPr>
          <w:rFonts w:ascii="Times New Roman;serif" w:hAnsi="Times New Roman;serif"/>
          <w:b w:val="false"/>
          <w:sz w:val="20"/>
        </w:rPr>
        <w:t>In May 2018, the Company entered into a lease agreement for its corporate office and laboratory space located in South San Francisco, California with an expiration date in May 2025</w:t>
      </w:r>
      <w:r>
        <w:rPr>
          <w:rFonts w:ascii="Times New Roman;serif" w:hAnsi="Times New Roman;serif"/>
          <w:sz w:val="20"/>
        </w:rPr>
        <w:t xml:space="preserve"> </w:t>
      </w:r>
      <w:r>
        <w:rPr>
          <w:rFonts w:ascii="Times New Roman;serif" w:hAnsi="Times New Roman;serif"/>
          <w:b w:val="false"/>
          <w:sz w:val="20"/>
        </w:rPr>
        <w:t>(the "Initial Lease Agreement").</w:t>
      </w:r>
      <w:r>
        <w:rPr>
          <w:rFonts w:ascii="Times New Roman" w:hAnsi="Times New Roman"/>
          <w:sz w:val="20"/>
        </w:rPr>
        <w:t xml:space="preserve"> </w:t>
      </w:r>
      <w:r>
        <w:rPr>
          <w:rFonts w:ascii="Times New Roman;serif" w:hAnsi="Times New Roman;serif"/>
          <w:b w:val="false"/>
          <w:sz w:val="20"/>
        </w:rPr>
        <w:t>In April 2019, the Company executed the first amendment to the Initial Lease Agreement for additional corporate space, laboratory space and manufacturing capabilities and an extension to the lease term through April 2026.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May 2020, the Company signed a second amendment to the Initial Lease Agreement. The amended lease provides for an eight-year</w:t>
      </w:r>
      <w:r>
        <w:rPr>
          <w:rFonts w:ascii="Times New Roman" w:hAnsi="Times New Roman"/>
          <w:sz w:val="20"/>
        </w:rPr>
        <w:t xml:space="preserve"> </w:t>
      </w:r>
      <w:r>
        <w:rPr>
          <w:rFonts w:ascii="Times New Roman;serif" w:hAnsi="Times New Roman;serif"/>
          <w:b w:val="false"/>
          <w:sz w:val="20"/>
        </w:rPr>
        <w:t>non-cancelable lease of additional office and laboratory space in the same building. The lease amendment for additional office and laboratory space contains rent escalations during the term of the lease. The lease for this additional space commenced in January 2021 and expires in January 2029. The lease amendment also includes an extension of the lease term for the existing office and laboratory space beginning on May 1, 2020 and expiring in January 2029. The amendment to the Initial Lease Agreement also includes an option to extend</w:t>
      </w:r>
      <w:r>
        <w:rPr>
          <w:rFonts w:ascii="Times New Roman;serif" w:hAnsi="Times New Roman;serif"/>
          <w:sz w:val="20"/>
        </w:rPr>
        <w:t xml:space="preserve"> </w:t>
      </w:r>
      <w:r>
        <w:rPr>
          <w:rFonts w:ascii="Times New Roman;serif" w:hAnsi="Times New Roman;serif"/>
          <w:b w:val="false"/>
          <w:sz w:val="20"/>
        </w:rPr>
        <w:t>the lease for an additional seven-year</w:t>
      </w:r>
      <w:r>
        <w:rPr>
          <w:rFonts w:ascii="Times New Roman;serif" w:hAnsi="Times New Roman;serif"/>
          <w:sz w:val="20"/>
        </w:rPr>
        <w:t xml:space="preserve"> </w:t>
      </w:r>
      <w:r>
        <w:rPr>
          <w:rFonts w:ascii="Times New Roman;serif" w:hAnsi="Times New Roman;serif"/>
          <w:b w:val="false"/>
          <w:sz w:val="20"/>
        </w:rPr>
        <w:t>term.</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January 2021, the Company signed a third amendment to the Initial Lease Agreement which provides for lease of additional space in the same building. The lease amendment for this additional space commenced in April 2021 and expires in March 2024.</w:t>
      </w:r>
    </w:p>
    <w:p>
      <w:pPr>
        <w:pStyle w:val="TextBody"/>
        <w:bidi w:val="0"/>
        <w:spacing w:before="120" w:after="0"/>
        <w:jc w:val="left"/>
        <w:rPr>
          <w:rFonts w:ascii="Times New Roman" w:hAnsi="Times New Roman"/>
          <w:sz w:val="20"/>
        </w:rPr>
      </w:pPr>
      <w:r>
        <w:rPr>
          <w:rFonts w:ascii="Times New Roman;serif" w:hAnsi="Times New Roman;serif"/>
          <w:b w:val="false"/>
          <w:sz w:val="20"/>
        </w:rPr>
        <w:t>In October 2021, the Company signed a fourth amendment to the Initial Lease Agreement which provides for lease of additional space in the same building. The lease for additional office and laboratory space contains rent escalations during the term of the lease. The lease amendment of this additional space commenced in April 2022 and expires in January 2029. The lease amendment also includes this additional space in the Company’s option to extend</w:t>
      </w:r>
      <w:r>
        <w:rPr>
          <w:rFonts w:ascii="Times New Roman;serif" w:hAnsi="Times New Roman;serif"/>
          <w:sz w:val="20"/>
        </w:rPr>
        <w:t xml:space="preserve"> </w:t>
      </w:r>
      <w:r>
        <w:rPr>
          <w:rFonts w:ascii="Times New Roman;serif" w:hAnsi="Times New Roman;serif"/>
          <w:b w:val="false"/>
          <w:sz w:val="20"/>
        </w:rPr>
        <w:t>the amended Initial Lease Agreement for an additional seven-year term.</w:t>
      </w:r>
      <w:r>
        <w:rPr>
          <w:rFonts w:ascii="Times New Roman" w:hAnsi="Times New Roman"/>
          <w:sz w:val="20"/>
        </w:rPr>
        <w:t xml:space="preserve"> </w:t>
      </w:r>
      <w:r>
        <w:rPr>
          <w:rFonts w:ascii="Times New Roman;serif" w:hAnsi="Times New Roman;serif"/>
          <w:b w:val="false"/>
          <w:sz w:val="20"/>
        </w:rPr>
        <w:t>The other terms of the Initial Lease Agreement, as amended, remain unchanged.</w:t>
      </w:r>
    </w:p>
    <w:p>
      <w:pPr>
        <w:pStyle w:val="TextBody"/>
        <w:bidi w:val="0"/>
        <w:spacing w:before="120" w:after="0"/>
        <w:jc w:val="left"/>
        <w:rPr>
          <w:rFonts w:ascii="Times New Roman" w:hAnsi="Times New Roman"/>
          <w:sz w:val="20"/>
        </w:rPr>
      </w:pPr>
      <w:r>
        <w:rPr>
          <w:rFonts w:ascii="Times New Roman;serif" w:hAnsi="Times New Roman;serif"/>
          <w:b w:val="false"/>
          <w:sz w:val="20"/>
        </w:rPr>
        <w:t>In July 2021, the Company entered into a lease agreement for corporate office, manufacturing and laboratory space located in South San Francisco, California with an expiration date approximately twelve years</w:t>
      </w:r>
      <w:r>
        <w:rPr>
          <w:rFonts w:ascii="Times New Roman" w:hAnsi="Times New Roman"/>
          <w:sz w:val="20"/>
        </w:rPr>
        <w:t xml:space="preserve"> </w:t>
      </w:r>
      <w:r>
        <w:rPr>
          <w:rFonts w:ascii="Times New Roman;serif" w:hAnsi="Times New Roman;serif"/>
          <w:b w:val="false"/>
          <w:sz w:val="20"/>
        </w:rPr>
        <w:t>after the lease commencement date (the "Additional Lease Agreement"). The lease for this additional space and the Company's obligation to pay rent commenced in January 2022. In addition to base rent, the Company is responsible for payment of direct expenses, which include operating, insurance and tax expenses. The lease also provides for certain tenant improvement allowances of up to approximately $25.2</w:t>
      </w:r>
      <w:r>
        <w:rPr>
          <w:rFonts w:ascii="Times New Roman" w:hAnsi="Times New Roman"/>
          <w:sz w:val="20"/>
        </w:rPr>
        <w:t xml:space="preserve"> </w:t>
      </w:r>
      <w:r>
        <w:rPr>
          <w:rFonts w:ascii="Times New Roman;serif" w:hAnsi="Times New Roman;serif"/>
          <w:b w:val="false"/>
          <w:sz w:val="20"/>
        </w:rPr>
        <w:t>million for tenant improvements and certain infrastructure upgrades in connection with the initial buildout of the premises, approximately $4.4</w:t>
      </w:r>
      <w:r>
        <w:rPr>
          <w:rFonts w:ascii="Times New Roman" w:hAnsi="Times New Roman"/>
          <w:sz w:val="20"/>
        </w:rPr>
        <w:t xml:space="preserve"> </w:t>
      </w:r>
      <w:r>
        <w:rPr>
          <w:rFonts w:ascii="Times New Roman;serif" w:hAnsi="Times New Roman;serif"/>
          <w:b w:val="false"/>
          <w:sz w:val="20"/>
        </w:rPr>
        <w:t>million of which, if utilized, would need to be repaid by the Company over the lease term. In 2021, the Company delivered a security deposit in the form of a letter of credit of $1.6</w:t>
      </w:r>
      <w:r>
        <w:rPr>
          <w:rFonts w:ascii="Times New Roman" w:hAnsi="Times New Roman"/>
          <w:sz w:val="20"/>
        </w:rPr>
        <w:t xml:space="preserve"> </w:t>
      </w:r>
      <w:r>
        <w:rPr>
          <w:rFonts w:ascii="Times New Roman;serif" w:hAnsi="Times New Roman;serif"/>
          <w:b w:val="false"/>
          <w:sz w:val="20"/>
        </w:rPr>
        <w:t>million to the landlord in connection with the Additional Lease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November 2021, the Company entered into an amendment to the Additional Lease Agreement. The lease amendment expressly includes manufacturing as a permitted use at the facility, clarifies that Silicon Valley Bank ("SVB") is an acceptable bank for purposes of issuing a letter of credit under the lease, revises the letter of credit transferability terms and replaces the form of letter of credit attached to the lease.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August 2022, the Company entered into fifth amendment to the Initial Lease Agreement and a second amendment to the Additional Lease Agreement for its existing facilities in South San Francisco, California. The fifth amendment to the Initial Lease Agreement includes an extension of the lease term for certain of the Company's existing facilities through July 31, 2030. The second amendment to the Additional Lease Agreement provides for approximately $15.0</w:t>
      </w:r>
      <w:r>
        <w:rPr>
          <w:rFonts w:ascii="Times New Roman" w:hAnsi="Times New Roman"/>
          <w:sz w:val="20"/>
        </w:rPr>
        <w:t xml:space="preserve"> </w:t>
      </w:r>
      <w:r>
        <w:rPr>
          <w:rFonts w:ascii="Times New Roman;serif" w:hAnsi="Times New Roman;serif"/>
          <w:b w:val="false"/>
          <w:sz w:val="20"/>
        </w:rPr>
        <w:t>million of additional tenant improvement allowances, in addition to the tenant improvement allowances of $25.2</w:t>
      </w:r>
      <w:r>
        <w:rPr>
          <w:rFonts w:ascii="Times New Roman" w:hAnsi="Times New Roman"/>
          <w:sz w:val="20"/>
        </w:rPr>
        <w:t xml:space="preserve"> </w:t>
      </w:r>
      <w:r>
        <w:rPr>
          <w:rFonts w:ascii="Times New Roman;serif" w:hAnsi="Times New Roman;serif"/>
          <w:b w:val="false"/>
          <w:sz w:val="20"/>
        </w:rPr>
        <w:t>million included in the original Additional Lease Agreement, and increases the base rent payments over the existing term of the lease.</w:t>
      </w:r>
    </w:p>
    <w:p>
      <w:pPr>
        <w:pStyle w:val="TextBody"/>
        <w:bidi w:val="0"/>
        <w:spacing w:before="120" w:after="0"/>
        <w:jc w:val="left"/>
        <w:rPr>
          <w:rFonts w:ascii="Times New Roman" w:hAnsi="Times New Roman"/>
          <w:sz w:val="20"/>
        </w:rPr>
      </w:pPr>
      <w:r>
        <w:rPr>
          <w:rFonts w:ascii="Times New Roman;serif" w:hAnsi="Times New Roman;serif"/>
          <w:b w:val="false"/>
          <w:sz w:val="20"/>
        </w:rPr>
        <w:t>In March 2023, the Company held $2.7</w:t>
      </w:r>
      <w:r>
        <w:rPr>
          <w:rFonts w:ascii="Times New Roman" w:hAnsi="Times New Roman"/>
          <w:sz w:val="20"/>
        </w:rPr>
        <w:t xml:space="preserve"> </w:t>
      </w:r>
      <w:r>
        <w:rPr>
          <w:rFonts w:ascii="Times New Roman;serif" w:hAnsi="Times New Roman;serif"/>
          <w:b w:val="false"/>
          <w:sz w:val="20"/>
        </w:rPr>
        <w:t>million in collateral money market accounts supporting letters of credit issued by SVB to the landlord in connection with the Initial Lease Agreement and Additional Lease Agreement. In April 2023, the Company replaced the $2.7</w:t>
      </w:r>
      <w:r>
        <w:rPr>
          <w:rFonts w:ascii="Times New Roman" w:hAnsi="Times New Roman"/>
          <w:sz w:val="20"/>
        </w:rPr>
        <w:t xml:space="preserve"> </w:t>
      </w:r>
      <w:r>
        <w:rPr>
          <w:rFonts w:ascii="Times New Roman;serif" w:hAnsi="Times New Roman;serif"/>
          <w:b w:val="false"/>
          <w:sz w:val="20"/>
        </w:rPr>
        <w:t>million in letters of credit issued by SVB with letters of credit in the same amount from a different financial institution, and the Company entered into a third amendment to the Additional Lease Agreement. The lease amendment clarifies the form of letter of credit. The other terms of the Additional Lease Agreement, as amended, remain unchanged.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120" w:after="0"/>
        <w:jc w:val="left"/>
        <w:rPr>
          <w:rFonts w:ascii="Times New Roman" w:hAnsi="Times New Roman"/>
          <w:sz w:val="20"/>
        </w:rPr>
      </w:pPr>
      <w:r>
        <w:rPr>
          <w:rFonts w:ascii="Times New Roman;serif" w:hAnsi="Times New Roman;serif"/>
          <w:b w:val="false"/>
          <w:sz w:val="20"/>
        </w:rPr>
        <w:t>Maturities of operating lease liabilities under existing operating leases as of March 31, 2023 were as follows (in thousands):</w:t>
      </w:r>
      <w:r>
        <w:rPr>
          <w:rFonts w:ascii="Times New Roman" w:hAnsi="Times New Roman"/>
          <w:sz w:val="20"/>
        </w:rPr>
        <w:t xml:space="preserve"> </w:t>
      </w:r>
    </w:p>
    <w:p>
      <w:pPr>
        <w:pStyle w:val="TextBody"/>
        <w:bidi w:val="0"/>
        <w:spacing w:before="0" w:after="0"/>
        <w:jc w:val="left"/>
        <w:rPr/>
      </w:pPr>
      <w:r>
        <w:rPr/>
        <w:t> </w:t>
      </w:r>
    </w:p>
    <w:tbl>
      <w:tblPr>
        <w:tblW w:w="5885" w:type="dxa"/>
        <w:jc w:val="left"/>
        <w:tblInd w:w="0" w:type="dxa"/>
        <w:tblLayout w:type="fixed"/>
        <w:tblCellMar>
          <w:top w:w="28" w:type="dxa"/>
          <w:left w:w="28" w:type="dxa"/>
          <w:bottom w:w="28" w:type="dxa"/>
          <w:right w:w="28" w:type="dxa"/>
        </w:tblCellMar>
      </w:tblPr>
      <w:tblGrid>
        <w:gridCol w:w="4336"/>
        <w:gridCol w:w="146"/>
        <w:gridCol w:w="211"/>
        <w:gridCol w:w="781"/>
        <w:gridCol w:w="41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Year ending December 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(remaining nine months)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9,404</w:t>
            </w:r>
          </w:p>
        </w:tc>
        <w:tc>
          <w:tcPr>
            <w:tcW w:w="411" w:type="dxa"/>
            <w:tcBorders/>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12,823</w:t>
            </w:r>
          </w:p>
        </w:tc>
        <w:tc>
          <w:tcPr>
            <w:tcW w:w="411" w:type="dxa"/>
            <w:tcBorders/>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13,033</w:t>
            </w:r>
          </w:p>
        </w:tc>
        <w:tc>
          <w:tcPr>
            <w:tcW w:w="411" w:type="dxa"/>
            <w:tcBorders/>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13,467</w:t>
            </w:r>
          </w:p>
        </w:tc>
        <w:tc>
          <w:tcPr>
            <w:tcW w:w="411" w:type="dxa"/>
            <w:tcBorders/>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13,917</w:t>
            </w:r>
          </w:p>
        </w:tc>
        <w:tc>
          <w:tcPr>
            <w:tcW w:w="411" w:type="dxa"/>
            <w:tcBorders/>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2028 and thereafter</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87,290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3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undiscounted future minimum lease payments</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149,934</w:t>
            </w:r>
          </w:p>
        </w:tc>
        <w:tc>
          <w:tcPr>
            <w:tcW w:w="411" w:type="dxa"/>
            <w:tcBorders/>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(58,640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lease liabilities</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91,294</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5,752</w:t>
            </w:r>
          </w:p>
        </w:tc>
        <w:tc>
          <w:tcPr>
            <w:tcW w:w="411" w:type="dxa"/>
            <w:tcBorders/>
            <w:vAlign w:val="center"/>
          </w:tcPr>
          <w:p>
            <w:pPr>
              <w:pStyle w:val="TableContents"/>
              <w:bidi w:val="0"/>
              <w:spacing w:before="0" w:after="0"/>
              <w:ind w:left="0" w:right="0" w:hanging="0"/>
              <w:jc w:val="left"/>
              <w:rPr/>
            </w:pPr>
            <w:r>
              <w:rPr/>
              <w:t> </w:t>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85,542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3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lease liability</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91,294</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 w:hAnsi="Times New Roman"/>
          <w:sz w:val="20"/>
        </w:rPr>
      </w:pPr>
      <w:r>
        <w:rPr>
          <w:rFonts w:ascii="Times New Roman;serif" w:hAnsi="Times New Roman;serif"/>
          <w:b/>
          <w:sz w:val="20"/>
        </w:rPr>
        <w:t>7. Commitments &amp; Contingencies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Guarantee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The Company had no</w:t>
      </w:r>
      <w:r>
        <w:rPr>
          <w:rFonts w:ascii="Times New Roman" w:hAnsi="Times New Roman"/>
          <w:sz w:val="20"/>
        </w:rPr>
        <w:t xml:space="preserve"> </w:t>
      </w:r>
      <w:r>
        <w:rPr>
          <w:rFonts w:ascii="Times New Roman;serif" w:hAnsi="Times New Roman;serif"/>
          <w:b w:val="false"/>
          <w:sz w:val="20"/>
        </w:rPr>
        <w:t>liabilities recorded for these agreements as of March 31, 2023 and December 31, 2022.</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the Company had $2.7</w:t>
      </w:r>
      <w:r>
        <w:rPr>
          <w:rFonts w:ascii="Times New Roman" w:hAnsi="Times New Roman"/>
          <w:sz w:val="20"/>
        </w:rPr>
        <w:t xml:space="preserve"> </w:t>
      </w:r>
      <w:r>
        <w:rPr>
          <w:rFonts w:ascii="Times New Roman;serif" w:hAnsi="Times New Roman;serif"/>
          <w:b w:val="false"/>
          <w:sz w:val="20"/>
        </w:rPr>
        <w:t>million in letter of credit agreements with a financial institution that are used as collateral for the Company’s corporate headquarters’ operating lease and the additional facility in South San Francisco that the Company plans to use for corporate offices, laboratories and manufacturing. The letters of credit automatically renew annually without amendment unless cancelled by the financial institutions within 30</w:t>
      </w:r>
      <w:r>
        <w:rPr>
          <w:rFonts w:ascii="Times New Roman" w:hAnsi="Times New Roman"/>
          <w:sz w:val="20"/>
        </w:rPr>
        <w:t xml:space="preserve"> </w:t>
      </w:r>
      <w:r>
        <w:rPr>
          <w:rFonts w:ascii="Times New Roman;serif" w:hAnsi="Times New Roman;serif"/>
          <w:b w:val="false"/>
          <w:sz w:val="20"/>
        </w:rPr>
        <w:t>to 60 days</w:t>
      </w:r>
      <w:r>
        <w:rPr>
          <w:rFonts w:ascii="Times New Roman" w:hAnsi="Times New Roman"/>
          <w:sz w:val="20"/>
        </w:rPr>
        <w:t xml:space="preserve"> </w:t>
      </w:r>
      <w:r>
        <w:rPr>
          <w:rFonts w:ascii="Times New Roman;serif" w:hAnsi="Times New Roman;serif"/>
          <w:b w:val="false"/>
          <w:sz w:val="20"/>
        </w:rPr>
        <w:t>of the annual expiration date. The letters of credit are presented as restricted cash in the condensed balance sheet.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Contingencies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from time to time, may be involved in litigation arising in the ordinary course of business. The Company assesses its potential liability in such situations by analyzing potential outcomes, assuming various litigation, regulatory and settlement strategies. If the Company determines a loss is probable and its amount can be reasonably estimated, the Company accrues an amount equal to the estimated loss. No</w:t>
      </w:r>
      <w:r>
        <w:rPr>
          <w:rFonts w:ascii="Times New Roman" w:hAnsi="Times New Roman"/>
          <w:sz w:val="20"/>
        </w:rPr>
        <w:t xml:space="preserve"> </w:t>
      </w:r>
      <w:r>
        <w:rPr>
          <w:rFonts w:ascii="Times New Roman;serif" w:hAnsi="Times New Roman;serif"/>
          <w:b w:val="false"/>
          <w:sz w:val="20"/>
        </w:rPr>
        <w:t>losses and no</w:t>
      </w:r>
      <w:r>
        <w:rPr>
          <w:rFonts w:ascii="Times New Roman" w:hAnsi="Times New Roman"/>
          <w:sz w:val="20"/>
        </w:rPr>
        <w:t xml:space="preserve"> </w:t>
      </w:r>
      <w:r>
        <w:rPr>
          <w:rFonts w:ascii="Times New Roman;serif" w:hAnsi="Times New Roman;serif"/>
          <w:b w:val="false"/>
          <w:sz w:val="20"/>
        </w:rPr>
        <w:t>provision for a loss contingency have been recorded to date.</w:t>
      </w:r>
    </w:p>
    <w:p>
      <w:pPr>
        <w:pStyle w:val="TextBody"/>
        <w:bidi w:val="0"/>
        <w:spacing w:before="360" w:after="0"/>
        <w:jc w:val="left"/>
        <w:rPr>
          <w:rFonts w:ascii="Times New Roman" w:hAnsi="Times New Roman"/>
          <w:sz w:val="20"/>
        </w:rPr>
      </w:pPr>
      <w:r>
        <w:rPr>
          <w:rFonts w:ascii="Times New Roman;serif" w:hAnsi="Times New Roman;serif"/>
          <w:b/>
          <w:i/>
          <w:sz w:val="20"/>
        </w:rPr>
        <w:t>Purchase Commitments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enters into contracts in the normal course of business for clinical trials, preclinical studies, manufacturing and other services and products for operating purposes. These contracts generally provide for termination following a certain period after notice and therefore the Company believes that non-cancelable obligations under these agreements are not material.</w:t>
      </w:r>
    </w:p>
    <w:p>
      <w:pPr>
        <w:pStyle w:val="TextBody"/>
        <w:bidi w:val="0"/>
        <w:spacing w:before="360" w:after="0"/>
        <w:jc w:val="left"/>
        <w:rPr>
          <w:rFonts w:ascii="Times New Roman" w:hAnsi="Times New Roman"/>
          <w:sz w:val="20"/>
        </w:rPr>
      </w:pPr>
      <w:r>
        <w:rPr>
          <w:rFonts w:ascii="Times New Roman;serif" w:hAnsi="Times New Roman;serif"/>
          <w:b/>
          <w:sz w:val="20"/>
        </w:rPr>
        <w:t>8. CRISPR Collaboration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On May 5, 2021, the Company entered into a research collaboration agreement (as amended, the "CRISPR Agreement") with CRISPR Therapeutics AG ("CRISPR") to co-develop and co-commercialize an allogeneic, off-the-shelf chimeric antigen receptor-natural killer ("CAR NK") product candidate targeting the CD70 tumor antigen ("NKX070") and an allogeneic, off-the-shelf product candidate that comprises both engineered NK cells and engineered T cells ("NK+T"). In May 2022, the CRISPR Agreement was amended to revise the transfer of materials and nomination provisions. On March 8, 2023, the CRISPR Agreement was further amended to permit Nkarta's advancement of CRISPR-licensed product candidates targeting a specified tumor antigen (the "Specified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serif" w:hAnsi="Times New Roman;serif"/>
          <w:b w:val="false"/>
          <w:sz w:val="20"/>
        </w:rPr>
        <w:t>TA") and incorporate associated development and regulatory approval milestones and sales based royalties. In addition, the Company has received licenses from CRISPR for four</w:t>
      </w:r>
      <w:r>
        <w:rPr>
          <w:rFonts w:ascii="Times New Roman" w:hAnsi="Times New Roman"/>
          <w:sz w:val="20"/>
        </w:rPr>
        <w:t xml:space="preserve"> </w:t>
      </w:r>
      <w:r>
        <w:rPr>
          <w:rFonts w:ascii="Times New Roman;serif" w:hAnsi="Times New Roman;serif"/>
          <w:b w:val="false"/>
          <w:sz w:val="20"/>
        </w:rPr>
        <w:t>CRISPR-Cas9 gene editing targets and will receive a license from CRISPR for up to one</w:t>
      </w:r>
      <w:r>
        <w:rPr>
          <w:rFonts w:ascii="Times New Roman" w:hAnsi="Times New Roman"/>
          <w:sz w:val="20"/>
        </w:rPr>
        <w:t xml:space="preserve"> </w:t>
      </w:r>
      <w:r>
        <w:rPr>
          <w:rFonts w:ascii="Times New Roman;serif" w:hAnsi="Times New Roman;serif"/>
          <w:b w:val="false"/>
          <w:sz w:val="20"/>
        </w:rPr>
        <w:t>more CRISPR-Cas9 gene editing targets that can be engineered into an unlimited number of its own NK cell products. CRISPR also has an option to co-develop and co-commercialize a future CAR NK program.</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Under the terms of the CRISPR Agreement, the Company and CRISPR share equally in all research and development costs and potential profits worldwide related to the NKX070 product candidate, NK+T product candidate, and the potential future CAR NK program. For the NK+T program, CRISPR is responsible for gene-editing activities and T cell related activities, and Nkarta is responsible for NK cell related activities. The related impact of the cost sharing associated with the research and development activities is included in research and development expense on the condensed statements of operations. Expenses related to services performed by the Company are classified as research and development expense. Payments received from CRISPR for partial reimbursement of expenses are recorded as a reduction of research and development expense. Reduction of research and development expense resulting from partial reimbursement from CRISPR was $0.9</w:t>
      </w:r>
      <w:r>
        <w:rPr>
          <w:rFonts w:ascii="Times New Roman" w:hAnsi="Times New Roman"/>
          <w:sz w:val="20"/>
        </w:rPr>
        <w:t xml:space="preserve"> </w:t>
      </w:r>
      <w:r>
        <w:rPr>
          <w:rFonts w:ascii="Times New Roman;serif" w:hAnsi="Times New Roman;serif"/>
          <w:b w:val="false"/>
          <w:sz w:val="20"/>
        </w:rPr>
        <w:t>million and $1.0</w:t>
      </w:r>
      <w:r>
        <w:rPr>
          <w:rFonts w:ascii="Times New Roman" w:hAnsi="Times New Roman"/>
          <w:sz w:val="20"/>
        </w:rPr>
        <w:t xml:space="preserve"> </w:t>
      </w:r>
      <w:r>
        <w:rPr>
          <w:rFonts w:ascii="Times New Roman;serif" w:hAnsi="Times New Roman;serif"/>
          <w:b w:val="false"/>
          <w:sz w:val="20"/>
        </w:rPr>
        <w:t>million for the three months ended March 31, 2023, respectively. As of March 31, 2023, the Company had a $2.3</w:t>
      </w:r>
      <w:r>
        <w:rPr>
          <w:rFonts w:ascii="Times New Roman" w:hAnsi="Times New Roman"/>
          <w:sz w:val="20"/>
        </w:rPr>
        <w:t xml:space="preserve"> </w:t>
      </w:r>
      <w:r>
        <w:rPr>
          <w:rFonts w:ascii="Times New Roman;serif" w:hAnsi="Times New Roman;serif"/>
          <w:b w:val="false"/>
          <w:sz w:val="20"/>
        </w:rPr>
        <w:t>million receivable under the research cost sharing provision, which is included as part of prepaid expenses and other current assets in the condensed balance sheet.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For each non-collaboration product candidate incorporating a genome editing target licensed from CRISPR (a "CRISPR-Licensed Product Candidate"), other than those targeting the Specified TA, the Company would retain worldwide rights and may be required to make potential future payments based on the achievement of development and regulatory approval milestones totaling less than mid-twenty million dollars, as well as tiered royalties up to the mid-single digits on net product sales of such product candidate. For each CRISPR-Licensed Product Candidate targeting the Specified TA, the Company would retain worldwide rights and may be required to make potential future payments based on the achievement of development and regulatory approval milestones totaling less than high-forty million dollars, as well as tiered royalties up to the mid-single digits on net product sales of such product candidate. As of March 31, 2023, the Company has not paid any amounts nor are any amounts owed by the Company under the CRISPR Agreement, and no milestones have been achieved.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9. Share-Based Compensation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Equity Incentive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2020 Performance Incentive Plan (the "2020 Plan"), which was adopted by the Company’s board of directors in June 2020 and approved by the Company’s stockholders in July 2020, became effective upon the consummation of the Company’s initial public offering in July 2020 ("IPO"). Upon the effectiveness of the 2020 Plan, no further grants may be made under the Company’s 2015 Equity Incentive Plan (the "2015 Plan"). The 2020 Plan allows for the grant of incentive stock options, non-qualified stock options, stock appreciation rights, stock bonuses, restricted stock, stock units and other forms of awards including cash awards to its officers, directors, employees, consultants and advisors.</w:t>
        <w:br/>
      </w:r>
      <w:r>
        <w:rPr>
          <w:rFonts w:ascii="Times New Roman" w:hAnsi="Times New Roman"/>
          <w:sz w:val="20"/>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a total of 8,388,917</w:t>
      </w:r>
      <w:r>
        <w:rPr>
          <w:rFonts w:ascii="Times New Roman" w:hAnsi="Times New Roman"/>
          <w:sz w:val="20"/>
        </w:rPr>
        <w:t xml:space="preserve"> </w:t>
      </w:r>
      <w:r>
        <w:rPr>
          <w:rFonts w:ascii="Times New Roman;serif" w:hAnsi="Times New Roman;serif"/>
          <w:b w:val="false"/>
          <w:sz w:val="20"/>
        </w:rPr>
        <w:t>shares of the Company’s common stock were authorized for issuance with respect to awards granted under the 2020 Plan (this number of shares gives effect to the annual increases in the 2020 Plan share limit, as described in the next sentence, through that date). The share limit will automatically increase on the first trading day in January of each year by an amount equal to the lesser of (1) 5% of the total number of outstanding shares of the Company’s common stock on the last trading day in December in the prior year, or (2) 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 related tax withholding obligations, will become available for new award grants under the 2020 Plan. A total of 2,424,272</w:t>
      </w:r>
      <w:r>
        <w:rPr>
          <w:rFonts w:ascii="Times New Roman" w:hAnsi="Times New Roman"/>
          <w:sz w:val="20"/>
        </w:rPr>
        <w:t xml:space="preserve"> </w:t>
      </w:r>
      <w:r>
        <w:rPr>
          <w:rFonts w:ascii="Times New Roman;serif" w:hAnsi="Times New Roman;serif"/>
          <w:b w:val="false"/>
          <w:sz w:val="20"/>
        </w:rPr>
        <w:t>shares were available for issuance under the 2020 Plan as of March 31, 2023.</w:t>
        <w:br/>
      </w:r>
      <w:r>
        <w:rPr>
          <w:rFonts w:ascii="Times New Roman" w:hAnsi="Times New Roman"/>
          <w:sz w:val="20"/>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option activity under the 2020 Plan and 2015 Plan during the three months ended March 31, 2023:</w:t>
      </w:r>
    </w:p>
    <w:tbl>
      <w:tblPr>
        <w:tblW w:w="8039" w:type="dxa"/>
        <w:jc w:val="left"/>
        <w:tblInd w:w="0" w:type="dxa"/>
        <w:tblLayout w:type="fixed"/>
        <w:tblCellMar>
          <w:top w:w="28" w:type="dxa"/>
          <w:left w:w="28" w:type="dxa"/>
          <w:bottom w:w="28" w:type="dxa"/>
          <w:right w:w="28" w:type="dxa"/>
        </w:tblCellMar>
      </w:tblPr>
      <w:tblGrid>
        <w:gridCol w:w="3916"/>
        <w:gridCol w:w="146"/>
        <w:gridCol w:w="187"/>
        <w:gridCol w:w="1193"/>
        <w:gridCol w:w="166"/>
        <w:gridCol w:w="146"/>
        <w:gridCol w:w="230"/>
        <w:gridCol w:w="626"/>
        <w:gridCol w:w="146"/>
        <w:gridCol w:w="146"/>
        <w:gridCol w:w="272"/>
        <w:gridCol w:w="674"/>
        <w:gridCol w:w="1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w:t>
              <w:br/>
              <w:t>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remaining</w:t>
              <w:br/>
              <w:t>contractual</w:t>
              <w:br/>
              <w:t>term</w:t>
              <w:br/>
              <w:t>(in years)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December 31, 2022</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5,519,275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191"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1,363,428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1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March 31, 2023</w:t>
            </w:r>
          </w:p>
        </w:tc>
        <w:tc>
          <w:tcPr>
            <w:tcW w:w="146" w:type="dxa"/>
            <w:tcBorders/>
            <w:vAlign w:val="center"/>
          </w:tcPr>
          <w:p>
            <w:pPr>
              <w:pStyle w:val="TableContents"/>
              <w:bidi w:val="0"/>
              <w:spacing w:before="0" w:after="0"/>
              <w:ind w:left="0" w:right="0" w:hanging="0"/>
              <w:jc w:val="left"/>
              <w:rPr/>
            </w:pPr>
            <w:r>
              <w:rPr/>
              <w:t> </w:t>
            </w:r>
          </w:p>
        </w:tc>
        <w:tc>
          <w:tcPr>
            <w:tcW w:w="1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6,820,096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at March 31, 2023</w:t>
            </w:r>
          </w:p>
        </w:tc>
        <w:tc>
          <w:tcPr>
            <w:tcW w:w="146" w:type="dxa"/>
            <w:tcBorders/>
            <w:vAlign w:val="center"/>
          </w:tcPr>
          <w:p>
            <w:pPr>
              <w:pStyle w:val="TableContents"/>
              <w:bidi w:val="0"/>
              <w:spacing w:before="0" w:after="0"/>
              <w:ind w:left="0" w:right="0" w:hanging="0"/>
              <w:jc w:val="left"/>
              <w:rPr/>
            </w:pPr>
            <w:r>
              <w:rPr/>
              <w:t> </w:t>
            </w:r>
          </w:p>
        </w:tc>
        <w:tc>
          <w:tcPr>
            <w:tcW w:w="1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2,697,880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 and expected to vest at March 31, 2023</w:t>
            </w:r>
          </w:p>
        </w:tc>
        <w:tc>
          <w:tcPr>
            <w:tcW w:w="146" w:type="dxa"/>
            <w:tcBorders/>
            <w:vAlign w:val="center"/>
          </w:tcPr>
          <w:p>
            <w:pPr>
              <w:pStyle w:val="TableContents"/>
              <w:bidi w:val="0"/>
              <w:spacing w:before="0" w:after="0"/>
              <w:ind w:left="0" w:right="0" w:hanging="0"/>
              <w:jc w:val="left"/>
              <w:rPr/>
            </w:pPr>
            <w:r>
              <w:rPr/>
              <w:t> </w:t>
            </w:r>
          </w:p>
        </w:tc>
        <w:tc>
          <w:tcPr>
            <w:tcW w:w="1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6,820,096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The weighted-average grant date fair value of stock option grants was $4.22</w:t>
      </w:r>
      <w:r>
        <w:rPr>
          <w:rFonts w:ascii="Times New Roman" w:hAnsi="Times New Roman"/>
          <w:sz w:val="20"/>
        </w:rPr>
        <w:t xml:space="preserve"> </w:t>
      </w:r>
      <w:r>
        <w:rPr>
          <w:rFonts w:ascii="Times New Roman;serif" w:hAnsi="Times New Roman;serif"/>
          <w:b w:val="false"/>
          <w:sz w:val="20"/>
        </w:rPr>
        <w:t>per share for the three months ended March 31, 2023.</w:t>
      </w:r>
    </w:p>
    <w:p>
      <w:pPr>
        <w:pStyle w:val="TextBody"/>
        <w:bidi w:val="0"/>
        <w:spacing w:before="4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The following table summarizes the restricted stock unit activity under the 2020 Plan during the three months ended March 31, 2023:</w:t>
      </w:r>
      <w:r>
        <w:rPr>
          <w:rFonts w:ascii="Times New Roman" w:hAnsi="Times New Roman"/>
          <w:sz w:val="20"/>
        </w:rPr>
        <w:t xml:space="preserve"> </w:t>
      </w:r>
    </w:p>
    <w:p>
      <w:pPr>
        <w:pStyle w:val="TextBody"/>
        <w:bidi w:val="0"/>
        <w:spacing w:before="40" w:after="0"/>
        <w:jc w:val="left"/>
        <w:rPr/>
      </w:pPr>
      <w:r>
        <w:rPr/>
        <w:t> </w:t>
      </w:r>
    </w:p>
    <w:tbl>
      <w:tblPr>
        <w:tblW w:w="7310" w:type="dxa"/>
        <w:jc w:val="left"/>
        <w:tblInd w:w="0" w:type="dxa"/>
        <w:tblLayout w:type="fixed"/>
        <w:tblCellMar>
          <w:top w:w="28" w:type="dxa"/>
          <w:left w:w="28" w:type="dxa"/>
          <w:bottom w:w="28" w:type="dxa"/>
          <w:right w:w="28" w:type="dxa"/>
        </w:tblCellMar>
      </w:tblPr>
      <w:tblGrid>
        <w:gridCol w:w="2941"/>
        <w:gridCol w:w="146"/>
        <w:gridCol w:w="217"/>
        <w:gridCol w:w="1163"/>
        <w:gridCol w:w="166"/>
        <w:gridCol w:w="146"/>
        <w:gridCol w:w="630"/>
        <w:gridCol w:w="1710"/>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Weighted-average</w:t>
              <w:br/>
              <w:t>grant date fair value per share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December 31, 2022</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11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356,728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12.66</w:t>
            </w:r>
          </w:p>
        </w:tc>
        <w:tc>
          <w:tcPr>
            <w:tcW w:w="191" w:type="dxa"/>
            <w:tcBorders/>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11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503,639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left"/>
              <w:rPr/>
            </w:pPr>
            <w:r>
              <w:rPr/>
              <w:t> </w:t>
            </w:r>
          </w:p>
        </w:tc>
        <w:tc>
          <w:tcPr>
            <w:tcW w:w="17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w:t>
            </w:r>
          </w:p>
        </w:tc>
        <w:tc>
          <w:tcPr>
            <w:tcW w:w="191" w:type="dxa"/>
            <w:tcBorders/>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11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630" w:type="dxa"/>
            <w:tcBorders/>
            <w:vAlign w:val="center"/>
          </w:tcPr>
          <w:p>
            <w:pPr>
              <w:pStyle w:val="TableContents"/>
              <w:bidi w:val="0"/>
              <w:spacing w:before="0" w:after="0"/>
              <w:ind w:left="0" w:right="0" w:hanging="0"/>
              <w:jc w:val="left"/>
              <w:rPr/>
            </w:pPr>
            <w:r>
              <w:rPr/>
              <w:t> </w:t>
            </w:r>
          </w:p>
        </w:tc>
        <w:tc>
          <w:tcPr>
            <w:tcW w:w="17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12.14</w:t>
            </w:r>
          </w:p>
        </w:tc>
        <w:tc>
          <w:tcPr>
            <w:tcW w:w="191" w:type="dxa"/>
            <w:tcBorders/>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6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March 31, 2023</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799,930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serif" w:hAnsi="Times New Roman;serif"/>
          <w:b/>
          <w:i/>
          <w:sz w:val="20"/>
        </w:rPr>
      </w:pPr>
      <w:r>
        <w:rPr>
          <w:rFonts w:ascii="Times New Roman;serif" w:hAnsi="Times New Roman;serif"/>
          <w:b/>
          <w:i/>
          <w:sz w:val="20"/>
        </w:rPr>
        <w:t>Employee Stock Purchase Plan</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2020 Employee Stock Purchase Plan (the "ESPP"), which was adopted by the Company’s board of directors in June 2020 and approved by the Company’s stockholders in July 2020, became effective upon the consummation of the IPO. A total of 1,441,307</w:t>
      </w:r>
      <w:r>
        <w:rPr>
          <w:rFonts w:ascii="Times New Roman" w:hAnsi="Times New Roman"/>
          <w:sz w:val="20"/>
        </w:rPr>
        <w:t xml:space="preserve"> </w:t>
      </w:r>
      <w:r>
        <w:rPr>
          <w:rFonts w:ascii="Times New Roman;serif" w:hAnsi="Times New Roman;serif"/>
          <w:b w:val="false"/>
          <w:sz w:val="20"/>
        </w:rPr>
        <w:t>shares of the Company’s common stock were authorized for issuance under the ESPP. The ESPP allows eligible employees to purchase shares of the Company’s common stock at a discount through payroll deductions of up to 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The six-month offering periods extend from June to November and December to May. As of March 31, 2023, 61,754</w:t>
      </w:r>
      <w:r>
        <w:rPr>
          <w:rFonts w:ascii="Times New Roman" w:hAnsi="Times New Roman"/>
          <w:sz w:val="20"/>
        </w:rPr>
        <w:t xml:space="preserve"> </w:t>
      </w:r>
      <w:r>
        <w:rPr>
          <w:rFonts w:ascii="Times New Roman;serif" w:hAnsi="Times New Roman;serif"/>
          <w:b w:val="false"/>
          <w:sz w:val="20"/>
        </w:rPr>
        <w:t>shares had been issued under the ESPP, and 1,379,553</w:t>
      </w:r>
      <w:r>
        <w:rPr>
          <w:rFonts w:ascii="Times New Roman" w:hAnsi="Times New Roman"/>
          <w:sz w:val="20"/>
        </w:rPr>
        <w:t xml:space="preserve"> </w:t>
      </w:r>
      <w:r>
        <w:rPr>
          <w:rFonts w:ascii="Times New Roman;serif" w:hAnsi="Times New Roman;serif"/>
          <w:b w:val="false"/>
          <w:sz w:val="20"/>
        </w:rPr>
        <w:t>shares remained available for issuance under the ESPP (after giving effect to share purchases under the ESPP through and including the offering period on November 30, 2022). As of March 31, 2023, employee contributions to the ESPP were $0.5</w:t>
      </w:r>
      <w:r>
        <w:rPr>
          <w:rFonts w:ascii="Times New Roman" w:hAnsi="Times New Roman"/>
          <w:sz w:val="20"/>
        </w:rPr>
        <w:t xml:space="preserve"> </w:t>
      </w:r>
      <w:r>
        <w:rPr>
          <w:rFonts w:ascii="Times New Roman;serif" w:hAnsi="Times New Roman;serif"/>
          <w:b w:val="false"/>
          <w:sz w:val="20"/>
        </w:rPr>
        <w:t>million and included as part of accrued and other current liabilities in the condensed balance sheets.</w:t>
        <w:br/>
      </w:r>
      <w:r>
        <w:rPr>
          <w:rFonts w:ascii="Times New Roman" w:hAnsi="Times New Roman"/>
          <w:sz w:val="20"/>
        </w:rPr>
        <w:t> </w:t>
      </w:r>
    </w:p>
    <w:p>
      <w:pPr>
        <w:pStyle w:val="TextBody"/>
        <w:bidi w:val="0"/>
        <w:spacing w:before="360" w:after="0"/>
        <w:jc w:val="left"/>
        <w:rPr>
          <w:rFonts w:ascii="Times New Roman" w:hAnsi="Times New Roman"/>
          <w:sz w:val="20"/>
        </w:rPr>
      </w:pPr>
      <w:r>
        <w:rPr>
          <w:rFonts w:ascii="Times New Roman;serif" w:hAnsi="Times New Roman;serif"/>
          <w:b/>
          <w:i/>
          <w:sz w:val="20"/>
        </w:rPr>
        <w:t>Share-Based Compensation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Share-based compensation expense for the three ended March 31, 2023 and 2022 was as follows (in thousands):</w:t>
      </w:r>
      <w:r>
        <w:rPr>
          <w:rFonts w:ascii="Times New Roman" w:hAnsi="Times New Roman"/>
          <w:sz w:val="20"/>
        </w:rPr>
        <w:t xml:space="preserve"> </w:t>
      </w:r>
    </w:p>
    <w:p>
      <w:pPr>
        <w:pStyle w:val="TextBody"/>
        <w:bidi w:val="0"/>
        <w:spacing w:before="0" w:after="0"/>
        <w:jc w:val="left"/>
        <w:rPr/>
      </w:pPr>
      <w:r>
        <w:rPr/>
        <w:t> </w:t>
      </w:r>
    </w:p>
    <w:tbl>
      <w:tblPr>
        <w:tblW w:w="5124" w:type="dxa"/>
        <w:jc w:val="left"/>
        <w:tblInd w:w="0" w:type="dxa"/>
        <w:tblLayout w:type="fixed"/>
        <w:tblCellMar>
          <w:top w:w="28" w:type="dxa"/>
          <w:left w:w="28" w:type="dxa"/>
          <w:bottom w:w="28" w:type="dxa"/>
          <w:right w:w="28" w:type="dxa"/>
        </w:tblCellMar>
      </w:tblPr>
      <w:tblGrid>
        <w:gridCol w:w="2731"/>
        <w:gridCol w:w="146"/>
        <w:gridCol w:w="211"/>
        <w:gridCol w:w="571"/>
        <w:gridCol w:w="146"/>
        <w:gridCol w:w="146"/>
        <w:gridCol w:w="211"/>
        <w:gridCol w:w="571"/>
        <w:gridCol w:w="3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1,855</w:t>
            </w:r>
          </w:p>
        </w:tc>
        <w:tc>
          <w:tcPr>
            <w:tcW w:w="391"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7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share-based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The total unrecognized compensation cost related to unvested stock options was $35.2</w:t>
      </w:r>
      <w:r>
        <w:rPr>
          <w:rFonts w:ascii="Times New Roman" w:hAnsi="Times New Roman"/>
          <w:sz w:val="20"/>
        </w:rPr>
        <w:t xml:space="preserve"> </w:t>
      </w:r>
      <w:r>
        <w:rPr>
          <w:rFonts w:ascii="Times New Roman;serif" w:hAnsi="Times New Roman;serif"/>
          <w:b w:val="false"/>
          <w:sz w:val="20"/>
        </w:rPr>
        <w:t>million, which is expected to be recognized over a weighted-average remaining service period of 2.8</w:t>
      </w:r>
      <w:r>
        <w:rPr>
          <w:rFonts w:ascii="Times New Roman" w:hAnsi="Times New Roman"/>
          <w:sz w:val="20"/>
        </w:rPr>
        <w:t xml:space="preserve"> </w:t>
      </w:r>
      <w:r>
        <w:rPr>
          <w:rFonts w:ascii="Times New Roman;serif" w:hAnsi="Times New Roman;serif"/>
          <w:b w:val="false"/>
          <w:sz w:val="20"/>
        </w:rPr>
        <w:t>years as of March 31, 2023. The total unrecognized compensation cost related to unvested restricted stock units was $6.0</w:t>
      </w:r>
      <w:r>
        <w:rPr>
          <w:rFonts w:ascii="Times New Roman" w:hAnsi="Times New Roman"/>
          <w:sz w:val="20"/>
        </w:rPr>
        <w:t xml:space="preserve"> </w:t>
      </w:r>
      <w:r>
        <w:rPr>
          <w:rFonts w:ascii="Times New Roman;serif" w:hAnsi="Times New Roman;serif"/>
          <w:b w:val="false"/>
          <w:sz w:val="20"/>
        </w:rPr>
        <w:t>million, which is expected to be recognized over a weighted-average remaining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120" w:after="0"/>
        <w:jc w:val="left"/>
        <w:rPr>
          <w:rFonts w:ascii="Times New Roman" w:hAnsi="Times New Roman"/>
          <w:sz w:val="20"/>
        </w:rPr>
      </w:pPr>
      <w:r>
        <w:rPr>
          <w:rFonts w:ascii="Times New Roman;serif" w:hAnsi="Times New Roman;serif"/>
          <w:b w:val="false"/>
          <w:sz w:val="20"/>
        </w:rPr>
        <w:t>service period of 3.5</w:t>
      </w:r>
      <w:r>
        <w:rPr>
          <w:rFonts w:ascii="Times New Roman" w:hAnsi="Times New Roman"/>
          <w:sz w:val="20"/>
        </w:rPr>
        <w:t xml:space="preserve"> </w:t>
      </w:r>
      <w:r>
        <w:rPr>
          <w:rFonts w:ascii="Times New Roman;serif" w:hAnsi="Times New Roman;serif"/>
          <w:b w:val="false"/>
          <w:sz w:val="20"/>
        </w:rPr>
        <w:t>years as of March 31, 2023. As of March 31, 2023, there was $0.1</w:t>
      </w:r>
      <w:r>
        <w:rPr>
          <w:rFonts w:ascii="Times New Roman" w:hAnsi="Times New Roman"/>
          <w:sz w:val="20"/>
        </w:rPr>
        <w:t xml:space="preserve"> </w:t>
      </w:r>
      <w:r>
        <w:rPr>
          <w:rFonts w:ascii="Times New Roman;serif" w:hAnsi="Times New Roman;serif"/>
          <w:b w:val="false"/>
          <w:sz w:val="20"/>
        </w:rPr>
        <w:t>million of unrecognized compensation cost related to ESPP, which is expected to be recognized over a weighted-average remaining service period of 0.2</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0" w:after="0"/>
        <w:jc w:val="left"/>
        <w:rPr>
          <w:rFonts w:ascii="Times New Roman;serif" w:hAnsi="Times New Roman;serif"/>
          <w:b/>
          <w:i/>
          <w:sz w:val="20"/>
        </w:rPr>
      </w:pPr>
      <w:r>
        <w:rPr>
          <w:rFonts w:ascii="Times New Roman;serif" w:hAnsi="Times New Roman;serif"/>
          <w:b/>
          <w:i/>
          <w:sz w:val="20"/>
        </w:rPr>
        <w:t>Liability for Early Exercise of Restricted Stock Options</w:t>
      </w:r>
    </w:p>
    <w:p>
      <w:pPr>
        <w:pStyle w:val="TextBody"/>
        <w:bidi w:val="0"/>
        <w:spacing w:before="0" w:after="0"/>
        <w:jc w:val="left"/>
        <w:rPr>
          <w:rFonts w:ascii="Times New Roman" w:hAnsi="Times New Roman"/>
          <w:sz w:val="20"/>
        </w:rPr>
      </w:pPr>
      <w:r>
        <w:rPr>
          <w:rFonts w:ascii="Times New Roman;serif" w:hAnsi="Times New Roman;serif"/>
          <w:b w:val="false"/>
          <w:sz w:val="20"/>
        </w:rPr>
        <w:t>Shares subject to repurchase by the Company were 113</w:t>
      </w:r>
      <w:r>
        <w:rPr>
          <w:rFonts w:ascii="Times New Roman" w:hAnsi="Times New Roman"/>
          <w:sz w:val="20"/>
        </w:rPr>
        <w:t xml:space="preserve"> </w:t>
      </w:r>
      <w:r>
        <w:rPr>
          <w:rFonts w:ascii="Times New Roman;serif" w:hAnsi="Times New Roman;serif"/>
          <w:b w:val="false"/>
          <w:sz w:val="20"/>
        </w:rPr>
        <w:t>shares and 508</w:t>
      </w:r>
      <w:r>
        <w:rPr>
          <w:rFonts w:ascii="Times New Roman" w:hAnsi="Times New Roman"/>
          <w:sz w:val="20"/>
        </w:rPr>
        <w:t xml:space="preserve"> </w:t>
      </w:r>
      <w:r>
        <w:rPr>
          <w:rFonts w:ascii="Times New Roman;serif" w:hAnsi="Times New Roman;serif"/>
          <w:b w:val="false"/>
          <w:sz w:val="20"/>
        </w:rPr>
        <w:t>shares, as of March 31, 2023 and December 31, 2022, respectively, and in each case the related liability recorded under other accrued and other current liabilities in the condensed balance sheets was insignificant.</w:t>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10. Income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was no</w:t>
      </w:r>
      <w:r>
        <w:rPr>
          <w:rFonts w:ascii="Times New Roman" w:hAnsi="Times New Roman"/>
          <w:sz w:val="20"/>
        </w:rPr>
        <w:t xml:space="preserve"> </w:t>
      </w:r>
      <w:r>
        <w:rPr>
          <w:rFonts w:ascii="Times New Roman;serif" w:hAnsi="Times New Roman;serif"/>
          <w:b w:val="false"/>
          <w:sz w:val="20"/>
        </w:rPr>
        <w:t>provision for income taxes recorded during the three months ended March 31, 2023 and 2022. The Company’s deferred tax assets continue to be fully offset by a valuation allowance.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bookmarkStart w:id="9" w:name="item_2_managements_discussion_analysis_f"/>
      <w:bookmarkEnd w:id="9"/>
      <w:r>
        <w:rPr>
          <w:rFonts w:ascii="Times New Roman;serif" w:hAnsi="Times New Roman;serif"/>
          <w:b/>
          <w:sz w:val="20"/>
        </w:rPr>
        <w:t>Item 2. Management’s Discussion and Analysis of Financial Condition and Results of Operations.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You should read the following discussion and analysis of our financial condition and results of operations together with our financial statements and related notes included in Item 1 of Part I of this Quarterly Report on Form 10-Q and with the audited financial statements and the related notes included in our Annual Report on Form 10-K filed with the SEC on March 16, 2023 for the fiscal year ended December 31, 2022, including information with respect to our plans and strategy for our business and related financing. The discussion and analysis below includes forward-looking statements that involve risks and uncertainties, including those risks and uncertainties set forth in the sections titled “Risk Factors” of this Quarterly Report on Form 10-Q, which may cause our actual results to differ materially from the results described in or implied by the forward-looking statements contained in the following discussion and analysis. See “Cautionary Note Regarding Forward-Looking Statements” above. Unless the context otherwise requires, the terms “Company,” “Nkarta, Inc.,” “we,” “us,” or “our” refer to Nkarta, Inc. We do not have any subsidiaries.</w:t>
      </w:r>
    </w:p>
    <w:p>
      <w:pPr>
        <w:pStyle w:val="TextBody"/>
        <w:bidi w:val="0"/>
        <w:spacing w:before="360" w:after="0"/>
        <w:jc w:val="left"/>
        <w:rPr>
          <w:rFonts w:ascii="Times New Roman;serif" w:hAnsi="Times New Roman;serif"/>
          <w:b/>
          <w:sz w:val="20"/>
        </w:rPr>
      </w:pPr>
      <w:r>
        <w:rPr>
          <w:rFonts w:ascii="Times New Roman;serif" w:hAnsi="Times New Roman;serif"/>
          <w:b/>
          <w:sz w:val="20"/>
        </w:rPr>
        <w:t>Overview</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biopharmaceutical company focused on the discovery, development and commercialization of allogeneic, off-the-shelf engineered NK cell therapies to treat cancer. We currently have two lead product candidates, NKX101, a chimeric antigen receptor-natural killer ("CAR NK") product candidate targeting cells that display NKG2D ligands, and NKX019, a CAR NK product candidate targeting the CD19 antigen, in ongoing Phase 1 clinical trials. Both product candidates incorporate proprietary technologies that enable us to generate an abundant supply of NK cells, improve the persistence of these cells for sustained activity in the body, engineer enhanced NK cell recognition of tumor targets, enhance cell fitness and tumor microenvironment evasion, and freeze, store and thaw our engineered NK cells for the treatment of cancer. Our product candidates are designed to be allogeneic and off-the-shelf, which means they are produced using cells from a different person than the patient(s) being treated, and they are produced in quantity, then frozen and therefore available for treating patients without delay, unlike autologous cell therapies, which are derived from a patient’s own cells. We believe that engineered NK cells have the potential to be an effective cancer therapy, be well tolerated, and avoid some of the toxicities observed with other cell therapies.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modular NK cell engineering platform is designed to address the limitations and challenges of current technologies for engineering T cells and NK cells and is a result of our internal expertise and deep understanding of NK cell biology. Our platform includes proprietary technologies for NK cell expansion, persistence, targeting and cryopreservation. All of our product candidates incorporate each of the four components of our technology platform, which we believe provides the best opportunity for achieving clinically meaningful results in our development program.</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NKX101 is currently being studied in a multi-center Phase 1 clinical trial in the U.S. for the treatment of relapsed or refractory acute myeloid leukemia ("r/r AML") and higher risk myelodysplastic syndromes ("MDS"). This ongoing first-in-human study evaluates the safety, pharmacology, and preliminary anti-tumor activity of NKX101. The clinical trial consists of dose-finding followed by dose-expansion and is designed to identify the recommended Phase 2 dose.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NKX019 is currently being studied in a multi-center Phase 1 clinical trial in the U.S. and Australia for the treatment of a variety of B-cell malignancies by targeting the CD19 antigen that is found on these types of cancerous cells and where CD19-targeted engineered NK cells, T cells and monoclonal antibodies have demonstrated clinical activity. This ongoing first-in-human study evaluates the safety, pharmacology, and preliminary anti-tumor activity of NKX019. The clinical trial consists of dose-finding followed by dose-expansion and is designed to identify the recommended Phase 2 dose.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the CRISPR Agreement entered into in May 2021, we are collaboratively designing and advancing up to two allogeneic, gene-edited NK cell therapies, one of which is the engineered CAR NK product candidate targeting the CD70 tumor antigen, and one allogeneic, gene-edited NK+T cell therapy.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Since the commencement of our operations in 2015, we have devoted substantially all of our resources in support of our product development efforts, hiring personnel, raising capital to support and expand such activities and providing general and administrative support for these operations. We have not generated any revenue from product sales and have funded our operations primarily from our IPO completed in July 2020, the issuance of convertible promissory notes, private placements of our preferred stock, the secondary offering of our common stock completed in April 2022, the proceeds from the sale of our common stock pursuant to the ATM Offering Program, and with proceeds from our previous collaboration. We have incurred a net loss of $113.8 million and $86.1 million during the years ended December 31, 2022 and 2021, respectively, and $30.8 million and $26.0 million during the three months ended March 31, 2023 and 2022, respectively, and we expect to continue to incur significant losses for the foreseeable future. As of March 31, 2023, we had an accumulated deficit of $348.7 million. At March 31, 2023, we had cash, cash equivalents, restricted cash and investments of $332.1 million.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120" w:after="0"/>
        <w:jc w:val="left"/>
        <w:rPr>
          <w:rFonts w:ascii="Times New Roman" w:hAnsi="Times New Roman"/>
          <w:sz w:val="20"/>
        </w:rPr>
      </w:pPr>
      <w:r>
        <w:rPr>
          <w:rFonts w:ascii="Times New Roman;serif" w:hAnsi="Times New Roman;serif"/>
          <w:b w:val="false"/>
          <w:sz w:val="20"/>
        </w:rPr>
        <w:t>We expect our operating expenses to significantly increase as we continue to develop and seek regulatory approvals for our product candidates, engage in other research and development activities to expand our pipeline of product candidates, maintain and expand our intellectual property portfolio, maintain and expand our product manufacturing capabilities, and ultimately establish a commercial organization. We have also incurred increased operating expenses since becoming a public company, which we expect will further increase when we are no longer able to rely on certain “emerging growth company” exemptions we are afforded under the Jumpstart Our Business Startups Act (the "JOBS Act") as further described under “—JOBS Act” below. Our net losses may fluctuate significantly from quarter-to-quarter and year-to-year, depending on the timing of our clinical trials, and our expenditures on other research and development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March 17, 2023, we filed the Registration Statement on Form S-3, as amended by the Form S-3/A filed on April 24, 2023 (the "Shelf Registration Statement"), covering the offer and sale from time to time, pursuant to Rule 415 of the Securities Act of 1933, as amended (the "Securities Act"), of up to $350.0 million in aggregate offering price of shares of our common stock, shares of our preferred stock, debt securities, warrants, rights and/or units (including up to $120.0 million in aggregate offering price of shares of our common stock, shares of our preferred stock, debt securities, warrants, rights and/or units registered on our Registration Statement on Form S-3 declared effective by the Securities and Exchange Commission (the "SEC") on September 2, 2021 (the "Prior Registration Statement") that have not yet been sold). The Shelf Registration Statement was declared effective by the SEC on May 5, 2023.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will need substantial additional funding to support our continuing operations and pursue our long-term development strategy. We may seek additional funding through the issuance of our common stock, including through our ATM Offering Program, other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We may not be able to raise additional capital on terms acceptable to us, or at all. Any failure to raise capital as and when needed would compromise our ability to execute on our business plan and may cause us to significantly delay, scale back or discontinue the development of some of our programs or curtail any efforts to expand our product pipeline.</w:t>
      </w:r>
    </w:p>
    <w:p>
      <w:pPr>
        <w:pStyle w:val="TextBody"/>
        <w:bidi w:val="0"/>
        <w:spacing w:before="360" w:after="0"/>
        <w:jc w:val="left"/>
        <w:rPr>
          <w:rFonts w:ascii="Times New Roman" w:hAnsi="Times New Roman"/>
          <w:sz w:val="20"/>
        </w:rPr>
      </w:pPr>
      <w:r>
        <w:rPr>
          <w:rFonts w:ascii="Times New Roman;serif" w:hAnsi="Times New Roman;serif"/>
          <w:b/>
          <w:sz w:val="20"/>
        </w:rPr>
        <w:t>Leadership</w:t>
      </w:r>
      <w:r>
        <w:rPr>
          <w:rFonts w:ascii="Times New Roman;serif" w:hAnsi="Times New Roman;serif"/>
          <w:b w:val="false"/>
          <w:sz w:val="20"/>
        </w:rPr>
        <w:br/>
      </w:r>
      <w:r>
        <w:rPr>
          <w:rFonts w:ascii="Times New Roman" w:hAnsi="Times New Roman"/>
          <w:sz w:val="20"/>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On March 28, 2023, Dr. Nadir Mahmood notified us of his decision to resign as our Chief Financial and Business Officer to take a position as chief executive officer of a private biotechnology company. Dr. Mahmood’s resignation is effective June 30, 2023.</w:t>
        <w:br/>
      </w:r>
      <w:r>
        <w:rPr>
          <w:rFonts w:ascii="Times New Roman" w:hAnsi="Times New Roman"/>
          <w:sz w:val="20"/>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Update on COVID-19, Macroeconomic Conditions, and Supply Disruptions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operations have been and may in the future be impacted by outbreaks of the COVID-19 pandemic, as well as by global and national economic and market conditions generally.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Disruptions in the global supply chain due to COVID-19 outbreaks or other factors have resulted in limited disruptions in the supply of our product candidates, as well as global supply shortages of certain materials that we and our contract development and manufacturing organization ("CDMOs") partners use for research and current good manufacturing practice ("cGMP") manufacturing, such as certain raw materials, cell culture media, disposable plastics, and equipment. To the extent there is a subsequent outbreak of COVID-19, or if such an outbreak begins to significantly impact essential distribution systems or our third-party manufacturers, contractors or suppliers, we may experience further disruptions in our supply chain and operations with associated delays in the manufacturing and supply of our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we could experience delays in the construction of our commercial-scale cGMP manufacturing facility and future headquarters due to the COVID-19 pandemic or current macroeconomic conditions. We saw significant inflation in construction costs in 2022, which has negatively affected the costs of constructing our new facility, and inflation may continue to impact our future construction and maintenance costs. In addition, global supply chain disruptions, including procurement delays and long lead times on certain pieces of equipment and materials, have impacted and could in the future further adversely impact the scheduled completion and/or costs of constructing our new facility.</w:t>
      </w:r>
    </w:p>
    <w:p>
      <w:pPr>
        <w:pStyle w:val="TextBody"/>
        <w:bidi w:val="0"/>
        <w:spacing w:before="120" w:after="0"/>
        <w:jc w:val="left"/>
        <w:rPr>
          <w:rFonts w:ascii="Times New Roman" w:hAnsi="Times New Roman"/>
          <w:sz w:val="20"/>
        </w:rPr>
      </w:pPr>
      <w:r>
        <w:rPr>
          <w:rFonts w:ascii="Times New Roman;serif" w:hAnsi="Times New Roman;serif"/>
          <w:b w:val="false"/>
          <w:sz w:val="20"/>
        </w:rPr>
        <w:t>A shortage of fludarabine, an agent commonly used in oncology, including in LD, was initially reported in 2022 and is ongoing. Fludarabine is used in our NKX101 and NKX019 clinical trials prior to treatment with our product candidates. Certain of our clinical trial sites have indicated that they are experiencing a shortage of fludarabine. Although we and our clinical sites have taken steps to try to mitigate any impact of the shortage on our clinical trials, enrollment has been delayed at certain of our clinical trial sites, and we could continue to experience enrollment delays due to the fludarabine shortage in the future.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continuously monitor the effects of domestic and global events, including but not limited to the current and expected impact of outbreaks, inflation, financial conditions affecting the banking system and financial markets, labor shortages, and supply chain matters on our operations, including continued enrollment in the NKX101 and NKX019 clinical trials, as well as on our contract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120" w:after="0"/>
        <w:jc w:val="left"/>
        <w:rPr>
          <w:rFonts w:ascii="Times New Roman" w:hAnsi="Times New Roman"/>
          <w:sz w:val="20"/>
        </w:rPr>
      </w:pPr>
      <w:r>
        <w:rPr>
          <w:rFonts w:ascii="Times New Roman;serif" w:hAnsi="Times New Roman;serif"/>
          <w:b w:val="false"/>
          <w:sz w:val="20"/>
        </w:rPr>
        <w:t>research organizations ("CROs"), CDMOs, and clinical trial sites, to ensure that we remain responsive and adaptable to the dynamic changes in our operating environment.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Financial Operations Overview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Research and Development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Research and development costs consist primarily of costs incurred for the discovery and clinical development of our drug candidates, which include: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employee-related expenses, including salaries, related benefits, travel and share-based compensation expenses for employees engaged in research and development functions;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expenses incurred in connection with research, laboratory consumables, sponsored research, and preclinical studies;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expenses incurred in connection with conducting clinical trials including investigator grants and site payments for time and pass-through expenses and expenses incurred under agreements with CROs, other vendors or central laboratories and service providers engaged to conduct our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 of consultants engaged in research and development related services;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 to manufacture drug product candidates for use in our preclinical studies and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facilities, depreciation and other expenses, which include allocated expenses for rent and maintenance of facilities, insurance and supplies;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costs related to regulatory compliance;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cost of annual license fees.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typically have various early-stage research and drug discovery projects as well as various product candidates undergoing clinical trials. Our internal resources, employees and infrastructure are not directly tied to any one research or drug discovery project and are typically deployed across multiple projects. As such, we do not maintain information regarding the costs incurred for these early-stage research and drug discovery programs on a project-specific basis.</w:t>
      </w:r>
    </w:p>
    <w:p>
      <w:pPr>
        <w:pStyle w:val="TextBody"/>
        <w:bidi w:val="0"/>
        <w:spacing w:before="240" w:after="0"/>
        <w:jc w:val="left"/>
        <w:rPr>
          <w:rFonts w:ascii="Times New Roman" w:hAnsi="Times New Roman"/>
          <w:sz w:val="20"/>
        </w:rPr>
      </w:pPr>
      <w:r>
        <w:rPr>
          <w:rFonts w:ascii="Times New Roman;serif" w:hAnsi="Times New Roman;serif"/>
          <w:b w:val="false"/>
          <w:sz w:val="20"/>
        </w:rPr>
        <w:t>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summarizes our research and development expenses for the three months ended March 31, 2023 and 2022.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partner cost sharing represents reimbursable research and development expenses from the CRISPR Agreement. The unallocated internal research and development costs include personnel, facility costs, laboratory consumables and discovery and research related activities associated with our pipeline.</w:t>
      </w:r>
      <w:r>
        <w:rPr>
          <w:rFonts w:ascii="Times New Roman" w:hAnsi="Times New Roman"/>
          <w:sz w:val="20"/>
        </w:rPr>
        <w:t xml:space="preserve"> </w:t>
      </w:r>
    </w:p>
    <w:p>
      <w:pPr>
        <w:pStyle w:val="TextBody"/>
        <w:bidi w:val="0"/>
        <w:spacing w:before="0" w:after="0"/>
        <w:jc w:val="left"/>
        <w:rPr/>
      </w:pPr>
      <w:r>
        <w:rPr/>
        <w:t> </w:t>
      </w:r>
    </w:p>
    <w:tbl>
      <w:tblPr>
        <w:tblW w:w="7494" w:type="dxa"/>
        <w:jc w:val="left"/>
        <w:tblInd w:w="0" w:type="dxa"/>
        <w:tblLayout w:type="fixed"/>
        <w:tblCellMar>
          <w:top w:w="28" w:type="dxa"/>
          <w:left w:w="28" w:type="dxa"/>
          <w:bottom w:w="28" w:type="dxa"/>
          <w:right w:w="28" w:type="dxa"/>
        </w:tblCellMar>
      </w:tblPr>
      <w:tblGrid>
        <w:gridCol w:w="4651"/>
        <w:gridCol w:w="146"/>
        <w:gridCol w:w="211"/>
        <w:gridCol w:w="676"/>
        <w:gridCol w:w="166"/>
        <w:gridCol w:w="146"/>
        <w:gridCol w:w="211"/>
        <w:gridCol w:w="676"/>
        <w:gridCol w:w="6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8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611" w:type="dxa"/>
            <w:tcBorders/>
            <w:vAlign w:val="center"/>
          </w:tcPr>
          <w:p>
            <w:pPr>
              <w:pStyle w:val="TableContents"/>
              <w:bidi w:val="0"/>
              <w:spacing w:before="0" w:after="0"/>
              <w:ind w:left="0" w:right="0" w:hanging="0"/>
              <w:jc w:val="center"/>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Direct external development program expenses: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NKX101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3,486</w:t>
            </w:r>
          </w:p>
        </w:tc>
        <w:tc>
          <w:tcPr>
            <w:tcW w:w="611" w:type="dxa"/>
            <w:tcBorders/>
            <w:vAlign w:val="center"/>
          </w:tcPr>
          <w:p>
            <w:pPr>
              <w:pStyle w:val="TableContents"/>
              <w:bidi w:val="0"/>
              <w:spacing w:before="0" w:after="0"/>
              <w:ind w:left="0" w:right="0" w:firstLine="200"/>
              <w:jc w:val="lef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NKX019</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2,323</w:t>
            </w:r>
          </w:p>
        </w:tc>
        <w:tc>
          <w:tcPr>
            <w:tcW w:w="611" w:type="dxa"/>
            <w:tcBorders/>
            <w:vAlign w:val="center"/>
          </w:tcPr>
          <w:p>
            <w:pPr>
              <w:pStyle w:val="TableContents"/>
              <w:bidi w:val="0"/>
              <w:spacing w:before="0" w:after="0"/>
              <w:ind w:left="0" w:right="0" w:firstLine="200"/>
              <w:jc w:val="lef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CD70</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581</w:t>
            </w:r>
          </w:p>
        </w:tc>
        <w:tc>
          <w:tcPr>
            <w:tcW w:w="611" w:type="dxa"/>
            <w:tcBorders/>
            <w:vAlign w:val="center"/>
          </w:tcPr>
          <w:p>
            <w:pPr>
              <w:pStyle w:val="TableContents"/>
              <w:bidi w:val="0"/>
              <w:spacing w:before="0" w:after="0"/>
              <w:ind w:left="0" w:right="0" w:firstLine="200"/>
              <w:jc w:val="lef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NK+T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611" w:type="dxa"/>
            <w:tcBorders/>
            <w:vAlign w:val="center"/>
          </w:tcPr>
          <w:p>
            <w:pPr>
              <w:pStyle w:val="TableContents"/>
              <w:bidi w:val="0"/>
              <w:spacing w:before="0" w:after="0"/>
              <w:ind w:left="0" w:right="0" w:firstLine="200"/>
              <w:jc w:val="lef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Program 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611" w:type="dxa"/>
            <w:tcBorders/>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Unallocated internal research and development costs: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Personnel related (including share-based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8,726</w:t>
            </w:r>
          </w:p>
        </w:tc>
        <w:tc>
          <w:tcPr>
            <w:tcW w:w="611" w:type="dxa"/>
            <w:tcBorders/>
            <w:vAlign w:val="center"/>
          </w:tcPr>
          <w:p>
            <w:pPr>
              <w:pStyle w:val="TableContents"/>
              <w:bidi w:val="0"/>
              <w:spacing w:before="0" w:after="0"/>
              <w:ind w:left="0" w:right="0" w:firstLine="200"/>
              <w:jc w:val="left"/>
              <w:rPr/>
            </w:pPr>
            <w:r>
              <w:rPr/>
              <w:t> </w:t>
            </w:r>
          </w:p>
        </w:tc>
      </w:tr>
      <w:tr>
        <w:trPr/>
        <w:tc>
          <w:tcPr>
            <w:tcW w:w="46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5,447</w:t>
            </w:r>
          </w:p>
        </w:tc>
        <w:tc>
          <w:tcPr>
            <w:tcW w:w="611" w:type="dxa"/>
            <w:tcBorders/>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Partner cost sharing</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65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research and development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19,568</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Research and development activities are central to our business model. There are numerous factors associated with the successful commercialization of any of our drug candidates, including future trial design and various regulatory requirements, many of</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40" w:after="0"/>
        <w:jc w:val="left"/>
        <w:rPr>
          <w:rFonts w:ascii="Times New Roman" w:hAnsi="Times New Roman"/>
          <w:sz w:val="20"/>
        </w:rPr>
      </w:pPr>
      <w:r>
        <w:rPr>
          <w:rFonts w:ascii="Times New Roman;serif" w:hAnsi="Times New Roman;serif"/>
          <w:b w:val="false"/>
          <w:sz w:val="20"/>
        </w:rPr>
        <w:t>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However, we expect that our research and development expenses will increase substantially in connection with our planned preclinical and clinical development activities in the near term and in the future.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successful development of our drug candidates is highly uncertain. A change in the outcome of any of a number of variables with respect to the development of our drug candidates may significantly impact the costs and timing associated with the development of our drug candidates. A discussion of the risks and uncertainties that we face in the development and commercialization of our drug candidates can be found under Part II, Item 1A, “Risk Factors” in this Quarterly Report on Form 10-Q. We may never succeed in obtaining regulatory approval for any of our drug candidates.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General and Administrative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expenses consist primarily of salaries and employee-related costs, including share-based compensation, for personnel in executive, finance and other administrative functions. Other significant costs include legal fees relating to intellectual property and corporate matters, professional fees for accounting and consulting services and facility-related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our general and administrative expenses will increase for the foreseeable future to support our increased research and development activities and to reflect increased costs associated with operating as a public company. These increased costs will likely include increased expenses related to audit, legal, regulatory and tax-related services associated with maintaining compliance with exchange listing and SEC requirements, director and officer insurance premiums and investor relations costs.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Other Income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Interest Income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Interest income consists of interest earned on our cash, cash equivalents and investments and adjustments related to amortization of purchase premiums and accretion of discounts of investments.</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periods indicated (in thousands):</w:t>
      </w:r>
    </w:p>
    <w:p>
      <w:pPr>
        <w:pStyle w:val="TextBody"/>
        <w:bidi w:val="0"/>
        <w:spacing w:before="120" w:after="0"/>
        <w:jc w:val="left"/>
        <w:rPr/>
      </w:pPr>
      <w:r>
        <w:rPr/>
        <w:t> </w:t>
      </w:r>
    </w:p>
    <w:tbl>
      <w:tblPr>
        <w:tblW w:w="6343" w:type="dxa"/>
        <w:jc w:val="left"/>
        <w:tblInd w:w="0" w:type="dxa"/>
        <w:tblLayout w:type="fixed"/>
        <w:tblCellMar>
          <w:top w:w="28" w:type="dxa"/>
          <w:left w:w="28" w:type="dxa"/>
          <w:bottom w:w="28" w:type="dxa"/>
          <w:right w:w="28" w:type="dxa"/>
        </w:tblCellMar>
      </w:tblPr>
      <w:tblGrid>
        <w:gridCol w:w="2446"/>
        <w:gridCol w:w="146"/>
        <w:gridCol w:w="211"/>
        <w:gridCol w:w="736"/>
        <w:gridCol w:w="166"/>
        <w:gridCol w:w="146"/>
        <w:gridCol w:w="211"/>
        <w:gridCol w:w="736"/>
        <w:gridCol w:w="166"/>
        <w:gridCol w:w="146"/>
        <w:gridCol w:w="211"/>
        <w:gridCol w:w="631"/>
        <w:gridCol w:w="3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36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4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6,567</w:t>
            </w:r>
          </w:p>
        </w:tc>
        <w:tc>
          <w:tcPr>
            <w:tcW w:w="391" w:type="dxa"/>
            <w:tcBorders/>
            <w:vAlign w:val="center"/>
          </w:tcPr>
          <w:p>
            <w:pPr>
              <w:pStyle w:val="TableContents"/>
              <w:bidi w:val="0"/>
              <w:spacing w:before="0" w:after="0"/>
              <w:ind w:left="0" w:right="0" w:firstLine="200"/>
              <w:jc w:val="left"/>
              <w:rPr/>
            </w:pPr>
            <w:r>
              <w:rPr/>
              <w:t> </w:t>
            </w:r>
          </w:p>
        </w:tc>
      </w:tr>
      <w:tr>
        <w:trPr/>
        <w:tc>
          <w:tcPr>
            <w:tcW w:w="24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(26,098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(8,215</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4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3,353</w:t>
            </w:r>
          </w:p>
        </w:tc>
        <w:tc>
          <w:tcPr>
            <w:tcW w:w="391" w:type="dxa"/>
            <w:tcBorders/>
            <w:vAlign w:val="center"/>
          </w:tcPr>
          <w:p>
            <w:pPr>
              <w:pStyle w:val="TableContents"/>
              <w:bidi w:val="0"/>
              <w:spacing w:before="0" w:after="0"/>
              <w:ind w:left="0" w:right="0" w:firstLine="200"/>
              <w:jc w:val="left"/>
              <w:rPr/>
            </w:pPr>
            <w:r>
              <w:rPr/>
              <w:t> </w:t>
            </w:r>
          </w:p>
        </w:tc>
      </w:tr>
      <w:tr>
        <w:trPr/>
        <w:tc>
          <w:tcPr>
            <w:tcW w:w="24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(25,987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6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Comparison of the Three Months Ended March 31, 2023 and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Research and development expenses</w:t>
      </w:r>
      <w:r>
        <w:rPr>
          <w:rFonts w:ascii="Times New Roman;serif" w:hAnsi="Times New Roman;serif"/>
          <w:b w:val="false"/>
          <w:sz w:val="20"/>
        </w:rPr>
        <w:t>. Research and development expenses were $26.1 million and $19.6 million for the three months ended March 31, 2023 and 2022, respectively. The increase of $6.6 million was primarily due to an increase in personnel costs of $1.6 million as a result of continued growth in headcount, an increase of $3.8 million in program costs primarily relating to NKX101 and NKX019 and an increase of $1.0 million in other internal research costs, primarily consisting of research and laboratory supplies and facilities expenses. The increase in program costs relating to NKX101 and NKX019 was primarily due to additional clinical development activities compared to the prior year period. We expect our research and development expenses will continue to increase in future periods as we progress our product candidates and conduct our clinical trials and development activities.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sz w:val="20"/>
        </w:rPr>
        <w:t>General and administrative expenses</w:t>
      </w:r>
      <w:r>
        <w:rPr>
          <w:rFonts w:ascii="Times New Roman;serif" w:hAnsi="Times New Roman;serif"/>
          <w:b w:val="false"/>
          <w:sz w:val="20"/>
        </w:rPr>
        <w:t>. General and administrative expenses were $8.2 million and $6.5 million for the three months ended March 31, 2023 and 2022, respectively. The increase of $1.6 million was primarily due to an increase in personnel costs of $1.1 million, including an increase of $0.4 million in share-based compensation expense as a result of continued growth in headcount, and an increase of $0.6 million in legal and consulting expenses.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have incurred and expect to continue to incur additional expenses as a result of being a public company, which we expect will further increase when we no longer qualify as an “emerging growth company” under the JOBS Act. In addition, we have incurred and expect to continue to incur increased expenses related to additional insurance, investor relations and other expenses related to the need for additional human resources and professional services associated with being a public company.</w:t>
      </w:r>
    </w:p>
    <w:p>
      <w:pPr>
        <w:pStyle w:val="TextBody"/>
        <w:bidi w:val="0"/>
        <w:spacing w:before="240" w:after="0"/>
        <w:jc w:val="left"/>
        <w:rPr>
          <w:rFonts w:ascii="Times New Roman" w:hAnsi="Times New Roman"/>
          <w:sz w:val="20"/>
        </w:rPr>
      </w:pPr>
      <w:r>
        <w:rPr>
          <w:rFonts w:ascii="Times New Roman;serif" w:hAnsi="Times New Roman;serif"/>
          <w:b/>
          <w:sz w:val="20"/>
        </w:rPr>
        <w:t>Interest income</w:t>
      </w:r>
      <w:r>
        <w:rPr>
          <w:rFonts w:ascii="Times New Roman;serif" w:hAnsi="Times New Roman;serif"/>
          <w:b w:val="false"/>
          <w:sz w:val="20"/>
        </w:rPr>
        <w:t>. Interest income was $3.5 million and $0.1 million for the three months ended March 31, 2023 and 2022, respectively. Interest income was due to interest earned from investments, partially offset by amortization of purchase premiums and accretion of discounts of investments.</w:t>
      </w:r>
    </w:p>
    <w:p>
      <w:pPr>
        <w:pStyle w:val="TextBody"/>
        <w:bidi w:val="0"/>
        <w:spacing w:before="240" w:after="0"/>
        <w:jc w:val="left"/>
        <w:rPr>
          <w:rFonts w:ascii="Times New Roman;serif" w:hAnsi="Times New Roman;serif"/>
          <w:b/>
          <w:sz w:val="20"/>
        </w:rPr>
      </w:pPr>
      <w:r>
        <w:rPr>
          <w:rFonts w:ascii="Times New Roman;serif" w:hAnsi="Times New Roman;serif"/>
          <w:b/>
          <w:sz w:val="20"/>
        </w:rPr>
        <w:t>Liquidity and Capital Resources</w:t>
      </w:r>
    </w:p>
    <w:p>
      <w:pPr>
        <w:pStyle w:val="TextBody"/>
        <w:bidi w:val="0"/>
        <w:spacing w:before="120" w:after="0"/>
        <w:jc w:val="left"/>
        <w:rPr>
          <w:rFonts w:ascii="Times New Roman" w:hAnsi="Times New Roman"/>
          <w:sz w:val="20"/>
        </w:rPr>
      </w:pPr>
      <w:r>
        <w:rPr>
          <w:rFonts w:ascii="Times New Roman;serif" w:hAnsi="Times New Roman;serif"/>
          <w:b/>
          <w:i/>
          <w:sz w:val="20"/>
        </w:rPr>
        <w:t>Sources of Liquidity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March 31, 2023, we had cash, cash equivalents, restricted cash and investments of $332.1 million. In connection with our IPO which closed on July 14, 2020, we received $265.1 million in net proceeds, after deducting underwriting discounts and commissions and other offering expenses. On April 28, 2022, we received $215.3 million in net proceeds, after deducting underwriting discounts, commissions and other offering expenses, in connection with our secondary offering of our common stock.</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On March 17, 2023, we filed a Shelf Registration Statement on Form S-3, as amended by the Form S-3/A filed on April 24, 2023, covering the offer and sale from time to time, pursuant to Rule 415 of the Securities Act, of up to $350.0 million in aggregate offering price of shares of our common stock, shares of our preferred stock, debt securities, warrants, rights and/or units(including up to $120.0 million in aggregate offering price of shares of our common stock, shares of our preferred stock, debt securities, warrants, rights and/or units registered on our Prior Registration Statement, that have not yet been sold. The Shelf Registration Statement was declared effective by the SEC on May 5, 2023.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Prior Registration Statement included a prospectus covering the offer and sale from time to time of up to $150.0 million in aggregate offering price of shares of our common stock through the ATM Offering Program with Cowen and Company, LLC, as sales agent. For the three months ended March 31, 2023, no sales of our common stock were made pursuant to the ATM Offering Program.</w:t>
      </w:r>
    </w:p>
    <w:p>
      <w:pPr>
        <w:pStyle w:val="TextBody"/>
        <w:bidi w:val="0"/>
        <w:spacing w:before="240" w:after="0"/>
        <w:jc w:val="left"/>
        <w:rPr>
          <w:rFonts w:ascii="Times New Roman" w:hAnsi="Times New Roman"/>
          <w:sz w:val="20"/>
        </w:rPr>
      </w:pPr>
      <w:r>
        <w:rPr>
          <w:rFonts w:ascii="Times New Roman;serif" w:hAnsi="Times New Roman;serif"/>
          <w:b w:val="false"/>
          <w:sz w:val="20"/>
        </w:rPr>
        <w:t>We have incurred net losses and negative cash flows from operations since our inception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 Furthermore, we expect to incur additional costs associated with operating as a public company, including significant legal, accounting, investor relations and other expenses that we did not incur as a private company.</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will need substantial additional funding to support our continuing operations and pursue our long-term development strategy. Until such time as we can generate significant revenue from sales of our drug candidates, if ever, we may seek additional funding through the issuance of our common stock, including through our ATM Offering Program, other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We may not be able to raise additional capital on terms acceptable to us, or at all. If we fail to raise capital or enter into such agreements as, and when, needed, we may have to significantly delay, scale back, or discontinue the development and commercialization of our drug candidates or delay our efforts to expand our product pipeline. We may also be required to sell or license to other parties’ rights to develop or commercialize our drug candidates that we would prefer to retain.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believe that our current cash, cash equivalents, restricted cash and investments as of March 31, 2023 will be sufficient to meet our cash needs for at least 12 months following the issuance date of this Quarterly Report on Form 10-Q.</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sets forth a summary of our cash flows for the periods indicated (in thousands):</w:t>
      </w:r>
      <w:r>
        <w:rPr>
          <w:rFonts w:ascii="Times New Roman" w:hAnsi="Times New Roman"/>
          <w:sz w:val="20"/>
        </w:rPr>
        <w:t xml:space="preserve"> </w:t>
      </w:r>
    </w:p>
    <w:p>
      <w:pPr>
        <w:pStyle w:val="TextBody"/>
        <w:bidi w:val="0"/>
        <w:spacing w:before="0" w:after="0"/>
        <w:jc w:val="left"/>
        <w:rPr/>
      </w:pPr>
      <w:r>
        <w:rPr/>
        <w:t> </w:t>
      </w:r>
    </w:p>
    <w:tbl>
      <w:tblPr>
        <w:tblW w:w="7064" w:type="dxa"/>
        <w:jc w:val="left"/>
        <w:tblInd w:w="0" w:type="dxa"/>
        <w:tblLayout w:type="fixed"/>
        <w:tblCellMar>
          <w:top w:w="28" w:type="dxa"/>
          <w:left w:w="28" w:type="dxa"/>
          <w:bottom w:w="28" w:type="dxa"/>
          <w:right w:w="28" w:type="dxa"/>
        </w:tblCellMar>
      </w:tblPr>
      <w:tblGrid>
        <w:gridCol w:w="4321"/>
        <w:gridCol w:w="146"/>
        <w:gridCol w:w="211"/>
        <w:gridCol w:w="736"/>
        <w:gridCol w:w="166"/>
        <w:gridCol w:w="146"/>
        <w:gridCol w:w="211"/>
        <w:gridCol w:w="736"/>
        <w:gridCol w:w="3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(18,258</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(1,026</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3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increase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(19,205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val="false"/>
          <w:i/>
          <w:sz w:val="20"/>
        </w:rPr>
        <w:t>Operating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Net cash used in operating activities was $20.8 million and $18.3 million for the three months ended March 31, 2023 and 2022, respectively. The net cash used in operating activities for the three months ended March 31, 2023 was primarily due to our net loss of $30.8 million, adjusted for $10.1 million of net non-cash charges consisting primarily of share-based compensation of $4.7</w:t>
      </w:r>
      <w:r>
        <w:rPr>
          <w:rFonts w:ascii="Times New Roman" w:hAnsi="Times New Roman"/>
          <w:sz w:val="20"/>
        </w:rPr>
        <w:t xml:space="preserve"> </w:t>
      </w:r>
      <w:r>
        <w:rPr>
          <w:rFonts w:ascii="Times New Roman;serif" w:hAnsi="Times New Roman;serif"/>
          <w:b w:val="false"/>
          <w:sz w:val="20"/>
        </w:rPr>
        <w:t>million, depreciation and amortization of $0.8</w:t>
      </w:r>
      <w:r>
        <w:rPr>
          <w:rFonts w:ascii="Times New Roman" w:hAnsi="Times New Roman"/>
          <w:sz w:val="20"/>
        </w:rPr>
        <w:t xml:space="preserve"> </w:t>
      </w:r>
      <w:r>
        <w:rPr>
          <w:rFonts w:ascii="Times New Roman;serif" w:hAnsi="Times New Roman;serif"/>
          <w:b w:val="false"/>
          <w:sz w:val="20"/>
        </w:rPr>
        <w:t>million, investment accretion and amortization of $2.3 million, non-cash lease expense of $0.5 million and a $6.3 million net change in operating assets and liabilities. The net cash used in operating activities for the three months ended March 31, 2022 was primarily due to our net loss of $26.0 million, adjusted for $7.7 million of net non-cash charges consisting primarily of share-based compensation of $4.1</w:t>
      </w:r>
      <w:r>
        <w:rPr>
          <w:rFonts w:ascii="Times New Roman" w:hAnsi="Times New Roman"/>
          <w:sz w:val="20"/>
        </w:rPr>
        <w:t xml:space="preserve"> </w:t>
      </w:r>
      <w:r>
        <w:rPr>
          <w:rFonts w:ascii="Times New Roman;serif" w:hAnsi="Times New Roman;serif"/>
          <w:b w:val="false"/>
          <w:sz w:val="20"/>
        </w:rPr>
        <w:t>million, depreciation and amortization of $0.6</w:t>
      </w:r>
      <w:r>
        <w:rPr>
          <w:rFonts w:ascii="Times New Roman" w:hAnsi="Times New Roman"/>
          <w:sz w:val="20"/>
        </w:rPr>
        <w:t xml:space="preserve"> </w:t>
      </w:r>
      <w:r>
        <w:rPr>
          <w:rFonts w:ascii="Times New Roman;serif" w:hAnsi="Times New Roman;serif"/>
          <w:b w:val="false"/>
          <w:sz w:val="20"/>
        </w:rPr>
        <w:t>million, investment accretion and amortization of $0.7 million, non-cash lease expense of $1.4 million and a $0.9 million net change in operating assets and liabilities.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Investing Activities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Net cash provided by investing activities was $36.9 million and net cash used in investing activities was $1.0 million for the three months ended March 31, 2023 and 2022, respectively. The net cash provided by investing activities for the three months ended March 31, 2023 was primarily due to proceeds from sales and maturities of investments of $126.0 million, partially offset by purchases of investments of $84.3 million and purchases of property and equipment of $4.8 million primarily related to the construction of our manufacturing facility. The net cash used in investing activities for the three months ended March 31, 2022 was primarily due to purchases of short-term investments of $28.5 million and purchases of property and equipment of $1.8 million primarily related to the construction of our manufacturing facility, partially offset by proceeds from maturities of short-term investments of $29.2 million.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Financing Activities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Net cash provided by financing activities was immaterial for the three months ended March 31, 2023, primarily due to the proceeds from the exercise of stock options. Net cash provided by financing activities was $0.1 million for the three months ended March 31, 2022, primarily due to proceeds from the exercise of stock options.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Funding Requirements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upon our current operating plans, we believe that our existing cash, cash equivalents, restricted cash and investments will be sufficient to fund our operations for at least the next 12 months from the date of this Quarterly Report on Form 10-Q.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pStyle w:val="TextBody"/>
        <w:bidi w:val="0"/>
        <w:spacing w:before="240" w:after="0"/>
        <w:jc w:val="left"/>
        <w:rPr>
          <w:rFonts w:ascii="Times New Roman" w:hAnsi="Times New Roman"/>
          <w:sz w:val="20"/>
        </w:rPr>
      </w:pPr>
      <w:r>
        <w:rPr>
          <w:rFonts w:ascii="Times New Roman;serif" w:hAnsi="Times New Roman;serif"/>
          <w:b w:val="false"/>
          <w:sz w:val="20"/>
        </w:rPr>
        <w:t>Our future capital requirements will depend on many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type, number, scope, progress, expansions, results, costs and timing of our clinical trials and preclinical studies for our product candidates or other potential product candidates or indications which we are pursuing or may choose to pursue in the future;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outcome, timing and costs of regulatory review of our product candidates;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costs and timing of manufacturing for our product candidates, including commercial manufacturing and the costs associated with building our manufacturing facilities;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efforts to enhance operational systems and hire additional personnel to satisfy our obligations as a public company, including enhanced internal controls over financial reporting;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associated with hiring additional personnel and consultants as our preclinical and clinical activities increase;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and timing of establishing or securing sales and marketing capabilities if any product candidate is approved;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achieve sufficient market acceptance, coverage and adequate reimbursement from third-party payors and adequate market share and revenue for any approved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patients’ willingness or ability to pay out-of-pocket for any approved products in the absence of coverage and/or adequate reimbursement from third-party payors;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terms and timing of establishing and maintaining collaborations, licenses and other similar arrangements, including payments required for meeting regulatory and commercial milestones or sales based royalties;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of obtaining, maintaining and enforcing our patent and other intellectual property rights;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costs associated with any product candidates, products or technologies that we may in-license or acquire.</w:t>
      </w:r>
    </w:p>
    <w:p>
      <w:pPr>
        <w:pStyle w:val="TextBody"/>
        <w:bidi w:val="0"/>
        <w:spacing w:before="240" w:after="0"/>
        <w:jc w:val="left"/>
        <w:rPr>
          <w:rFonts w:ascii="Times New Roman" w:hAnsi="Times New Roman"/>
          <w:sz w:val="20"/>
        </w:rPr>
      </w:pPr>
      <w:r>
        <w:rPr>
          <w:rFonts w:ascii="Times New Roman;serif" w:hAnsi="Times New Roman;serif"/>
          <w:b w:val="false"/>
          <w:sz w:val="20"/>
        </w:rPr>
        <w:t>Until such time as we can generate significant revenue from sales of our therapeutic product candidates, if ever, we expect to finance our cash needs through public or private equity, including pursuant to the ATM Offering Program, or debt financings or other capital sources, including potential collaborations, licenses and other similar arrangements. We may be unable to raise additional funds or enter into such other arrangements when needed on favorable terms or at all. There may also be instances where our ability to access a portion of our existing cash, cash equivalents and investments may be threatened due to financial conditions affecting the banking system and financial markets.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Material Cash Requirements</w:t>
      </w:r>
    </w:p>
    <w:p>
      <w:pPr>
        <w:pStyle w:val="TextBody"/>
        <w:bidi w:val="0"/>
        <w:spacing w:before="80" w:after="0"/>
        <w:jc w:val="left"/>
        <w:rPr>
          <w:rFonts w:ascii="Times New Roman;serif" w:hAnsi="Times New Roman;serif"/>
          <w:b w:val="false"/>
          <w:sz w:val="20"/>
        </w:rPr>
      </w:pPr>
      <w:r>
        <w:rPr>
          <w:rFonts w:ascii="Times New Roman;serif" w:hAnsi="Times New Roman;serif"/>
          <w:b w:val="false"/>
          <w:sz w:val="20"/>
        </w:rPr>
        <w:t>As of March 31, 2023, there have been no material changes from the contractual obligations and commitments previously disclosed in our Annual Report on Form 10-K for the year ended December 31, 2022.</w:t>
      </w:r>
    </w:p>
    <w:p>
      <w:pPr>
        <w:pStyle w:val="TextBody"/>
        <w:bidi w:val="0"/>
        <w:spacing w:before="80" w:after="0"/>
        <w:jc w:val="left"/>
        <w:rPr>
          <w:rFonts w:ascii="Times New Roman;serif" w:hAnsi="Times New Roman;serif"/>
          <w:b w:val="false"/>
          <w:sz w:val="20"/>
        </w:rPr>
      </w:pPr>
      <w:r>
        <w:rPr>
          <w:rFonts w:ascii="Times New Roman;serif" w:hAnsi="Times New Roman;serif"/>
          <w:b w:val="false"/>
          <w:sz w:val="20"/>
        </w:rPr>
        <w:t>See Note 6 to our financial statements included elsewhere in this Quarterly Report on Form 10-Q for additional information regarding our lease liability.</w:t>
      </w:r>
    </w:p>
    <w:p>
      <w:pPr>
        <w:pStyle w:val="TextBody"/>
        <w:bidi w:val="0"/>
        <w:spacing w:before="360" w:after="0"/>
        <w:jc w:val="left"/>
        <w:rPr>
          <w:rFonts w:ascii="Times New Roman;serif" w:hAnsi="Times New Roman;serif"/>
          <w:b/>
          <w:sz w:val="20"/>
        </w:rPr>
      </w:pPr>
      <w:r>
        <w:rPr>
          <w:rFonts w:ascii="Times New Roman;serif" w:hAnsi="Times New Roman;serif"/>
          <w:b/>
          <w:sz w:val="20"/>
        </w:rPr>
        <w:t>Critical Accounting Policies and Significant Judgments and Estimates</w:t>
      </w:r>
    </w:p>
    <w:p>
      <w:pPr>
        <w:pStyle w:val="TextBody"/>
        <w:bidi w:val="0"/>
        <w:spacing w:before="120" w:after="0"/>
        <w:jc w:val="left"/>
        <w:rPr>
          <w:rFonts w:ascii="Times New Roman" w:hAnsi="Times New Roman"/>
          <w:sz w:val="20"/>
        </w:rPr>
      </w:pPr>
      <w:r>
        <w:rPr>
          <w:rFonts w:ascii="Times New Roman;serif" w:hAnsi="Times New Roman;serif"/>
          <w:b w:val="false"/>
          <w:sz w:val="20"/>
        </w:rPr>
        <w:t>Our management’s discussion and analysis of our financial condition and results of operations are based on our financial statements, which have been prepared in accordance with U.S. GAAP. The preparation of these financial statements requires us to make estimates and judgments that affect the reported amounts of assets, liabilities and expenses and the disclosure of contingent assets and liabilities in our financial statements and accompanying notes. On an ongoing basis, we evaluate our estimates and judgments, including those related to preclinical studies and clinical trial accruals, the incremental borrowing rate used in determining the lease liability and right-of-use asset for the Additional Lease Agreement, and share-based compensation.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have been no significant changes in our critical accounting policies and estimates during the three months ended March 31, 2023, as compared to the critical accounting policies and estimates disclosed in “Management’s Discussion and Analysis of Financial Condition and Results of Operations” included in our Annual Report on Form 10-K.</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serif" w:hAnsi="Times New Roman;serif"/>
          <w:b/>
          <w:sz w:val="20"/>
        </w:rPr>
      </w:pPr>
      <w:r>
        <w:rPr>
          <w:rFonts w:ascii="Times New Roman;serif" w:hAnsi="Times New Roman;serif"/>
          <w:b/>
          <w:sz w:val="20"/>
        </w:rPr>
        <w:t>Indemnification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March 31, 2023 and December 31, 2022.</w:t>
      </w:r>
    </w:p>
    <w:p>
      <w:pPr>
        <w:pStyle w:val="TextBody"/>
        <w:bidi w:val="0"/>
        <w:spacing w:before="360" w:after="0"/>
        <w:jc w:val="left"/>
        <w:rPr>
          <w:rFonts w:ascii="Times New Roman" w:hAnsi="Times New Roman"/>
          <w:sz w:val="20"/>
        </w:rPr>
      </w:pPr>
      <w:r>
        <w:rPr>
          <w:rFonts w:ascii="Times New Roman;serif" w:hAnsi="Times New Roman;serif"/>
          <w:b/>
          <w:sz w:val="20"/>
        </w:rPr>
        <w:t>Segment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one business activity and operate in one reportable segment.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JOBS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an “emerging growth company” as described under the JOBS Act, and we could have taken advantage of an extended transition period for complying with new or revised accounting standards. This would have allowed us to delay the adoption of certain accounting standards until those standards would otherwise apply to private companies. We have chosen irrevocably to “opt out” of such extended transition period, and as a result, we will comply with new or revised accounting standards on the relevant dates on which adoption of such standards is required for non-emerging growth companies. We intend to rely on other exemptions provided by the JOBS Act, including without limitation, not being required to comply with the auditor attestation requirements of Section 404(b) of The Sarbanes-Oxley Act of 2002 (the "Sarbanes-Oxley Act").</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will remain an emerging growth company until the earliest of (i)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Even after we no longer qualify as an emerging growth company, we may still qualify as a smaller reporting company or a non-accelerated filer,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prospectuses and in our periodic reports and proxy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bookmarkStart w:id="10" w:name="item_3_quantitative_qualitative_disclosu"/>
      <w:bookmarkEnd w:id="10"/>
      <w:r>
        <w:rPr>
          <w:rFonts w:ascii="Times New Roman;serif" w:hAnsi="Times New Roman;serif"/>
          <w:b/>
          <w:sz w:val="20"/>
        </w:rPr>
        <w:t>Item 3. Quantitative and Qualitative Disclosures About Market Risk.</w:t>
      </w:r>
    </w:p>
    <w:p>
      <w:pPr>
        <w:pStyle w:val="TextBody"/>
        <w:bidi w:val="0"/>
        <w:spacing w:before="80" w:after="0"/>
        <w:jc w:val="left"/>
        <w:rPr>
          <w:rFonts w:ascii="Times New Roman" w:hAnsi="Times New Roman"/>
          <w:sz w:val="20"/>
        </w:rPr>
      </w:pPr>
      <w:r>
        <w:rPr>
          <w:rFonts w:ascii="Times New Roman;serif" w:hAnsi="Times New Roman;serif"/>
          <w:b w:val="false"/>
          <w:sz w:val="20"/>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cash equivalents, restricted cash and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For marketable investment securities with short-term maturities, we do not believe that an increase or decrease in market rates would have a significant impact on the realized values or the statements of operations and comprehensive loss. As such, we believe that if a 10.0% change in interest rates were to have occurred on March 31, 2023, this change would not have had a material effect on the fair value of our investment portfolio as of that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are exposed to market risk related to changes in foreign currency exchange rates. We contract with vendors that are located outside the United States and certain invoices are denominated in foreign currencies. We are subject to fluctuations in foreign currency rates in connection with such arrangements. We do not currently hedge our foreign currency exchange risk.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Inflation generally affects us by increasing labor, commercial support, construction, and research and development contract costs (including manufacturing and clinical supply costs). We do not believe inflation has had a material effect on our results of operations during the periods presented.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do not believe that inflation, interest rate changes, or exchange rate fluctuations had a significant impact on our results of operations for any periods presented herein.</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bookmarkStart w:id="11" w:name="item_4_controls_procedures"/>
      <w:bookmarkEnd w:id="11"/>
      <w:r>
        <w:rPr>
          <w:rFonts w:ascii="Times New Roman;serif" w:hAnsi="Times New Roman;serif"/>
          <w:b/>
          <w:sz w:val="20"/>
        </w:rPr>
        <w:t>Item 4. Controls and Procedures.</w:t>
      </w:r>
    </w:p>
    <w:p>
      <w:pPr>
        <w:pStyle w:val="TextBody"/>
        <w:bidi w:val="0"/>
        <w:spacing w:before="120" w:after="0"/>
        <w:jc w:val="left"/>
        <w:rPr>
          <w:rFonts w:ascii="Times New Roman" w:hAnsi="Times New Roman"/>
          <w:sz w:val="20"/>
        </w:rPr>
      </w:pPr>
      <w:r>
        <w:rPr>
          <w:rFonts w:ascii="Times New Roman;serif" w:hAnsi="Times New Roman;serif"/>
          <w:b/>
          <w:sz w:val="20"/>
        </w:rPr>
        <w:t>Disclosure Controls and Procedures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management, with the participation of our chief executive officer and chief financial and business officer, evaluated the effectiveness of our disclosures controls and procedures, as defined in Rules 13a-15(e) and 15d-15(e) under the Exchange Act, as of March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2023, our chief executive officer and chief financial and business officer concluded that, as of such date, our disclosure controls and procedures were effective at a reasonable assurance level.</w:t>
      </w:r>
    </w:p>
    <w:p>
      <w:pPr>
        <w:pStyle w:val="TextBody"/>
        <w:bidi w:val="0"/>
        <w:spacing w:before="360" w:after="0"/>
        <w:jc w:val="left"/>
        <w:rPr>
          <w:rFonts w:ascii="Times New Roman" w:hAnsi="Times New Roman"/>
          <w:sz w:val="20"/>
        </w:rPr>
      </w:pPr>
      <w:r>
        <w:rPr>
          <w:rFonts w:ascii="Times New Roman;serif" w:hAnsi="Times New Roman;serif"/>
          <w:b/>
          <w:sz w:val="20"/>
        </w:rPr>
        <w:t>Changes in Internal Control over Financial Reporting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Management determined that, as of March 31, 2023, there were no changes in our internal control over financial reporting that occurred during the fiscal quarter then ended that have materially affected, or are reasonably likely to materially affect, our internal control over financial reporting.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360" w:after="0"/>
        <w:jc w:val="center"/>
        <w:rPr>
          <w:rFonts w:ascii="Times New Roman" w:hAnsi="Times New Roman"/>
          <w:sz w:val="20"/>
        </w:rPr>
      </w:pPr>
      <w:bookmarkStart w:id="12" w:name="part_iior_information"/>
      <w:bookmarkEnd w:id="12"/>
      <w:r>
        <w:rPr>
          <w:rFonts w:ascii="Times New Roman;serif" w:hAnsi="Times New Roman;serif"/>
          <w:b/>
          <w:sz w:val="20"/>
        </w:rPr>
        <w:t>PART II—OTHER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240" w:after="0"/>
        <w:jc w:val="left"/>
        <w:rPr>
          <w:rFonts w:ascii="Times New Roman;serif" w:hAnsi="Times New Roman;serif"/>
          <w:b/>
          <w:sz w:val="20"/>
        </w:rPr>
      </w:pPr>
      <w:bookmarkStart w:id="13" w:name="item_1_legal_proceedings"/>
      <w:bookmarkEnd w:id="13"/>
      <w:r>
        <w:rPr>
          <w:rFonts w:ascii="Times New Roman;serif" w:hAnsi="Times New Roman;serif"/>
          <w:b/>
          <w:sz w:val="20"/>
        </w:rPr>
        <w:t>Item 1. Legal Proceedings.</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Ex parte reexaminations have been filed by one or more third parties against certain licensed patents in our portfolio. Ex parte reexaminations of U.S. Patent Nos. 9,511,092 (the "’092 Patent"), 10,774,309 (the "’309 Patent"), and 10,829,737 (the "’737 Patent") were recently concluded, resulting in the claims of each patent being maintained in amended form. None of the claims of the ’092, ’309, and ’737 Patents as maintained in amended form relate to any of our current product candidates. Additional ex parte reexaminations could be filed in the future and although we plan to vigorously protect our intellectual property rights, as with all legal proceedings, there can be no guarantee as to the outcome, and, regardless of the merits of third-party challenges, such proceedings are time-consuming and costly. As a result of such reexaminations, our rights under the relevant patents could be narrowed or lost, and in the course of such proceedings, we may incur substantial costs and the time and attention of our management may be diverted from the development and commercialization of our product candidates.</w:t>
      </w:r>
    </w:p>
    <w:p>
      <w:pPr>
        <w:pStyle w:val="TextBody"/>
        <w:bidi w:val="0"/>
        <w:spacing w:before="360" w:after="0"/>
        <w:jc w:val="left"/>
        <w:rPr>
          <w:rFonts w:ascii="Times New Roman;serif" w:hAnsi="Times New Roman;serif"/>
          <w:b/>
          <w:sz w:val="20"/>
        </w:rPr>
      </w:pPr>
      <w:bookmarkStart w:id="14" w:name="item_1a_risk_factors"/>
      <w:bookmarkEnd w:id="14"/>
      <w:r>
        <w:rPr>
          <w:rFonts w:ascii="Times New Roman;serif" w:hAnsi="Times New Roman;serif"/>
          <w:b/>
          <w:sz w:val="20"/>
        </w:rPr>
        <w:t>Item 1A. Risk Factors.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investment in shares of our common stock involves a high degree of risk. You should carefully consider the following risk factors, as well as all of the other information contained in this Quarterly Report on Form 10-Q,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Quarterly Report on Form 10-Q also contains forward-looking statements and estimates that involve risks and uncertainties. Our actual results could differ materially from those anticipated in the forward-looking statements as a result of specific factors, including the risks and uncertainties described below. The risks relating to our business set forth in our Annual Report on Form 10-K for the year ended December 31, 2022 and filed with the Securities and Exchange Commission ("SEC") on March 16, 2023, are set forth below and are unchanged substantively as of the date of this Quarterly Report on Form 10-Q, except for those risks designated by an asterisk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disclose further changes to the factors below or disclose additional factors from time to time in our future filings with the SEC.</w:t>
      </w:r>
    </w:p>
    <w:p>
      <w:pPr>
        <w:pStyle w:val="TextBody"/>
        <w:bidi w:val="0"/>
        <w:spacing w:before="360" w:after="0"/>
        <w:jc w:val="left"/>
        <w:rPr>
          <w:rFonts w:ascii="Times New Roman" w:hAnsi="Times New Roman"/>
          <w:sz w:val="20"/>
        </w:rPr>
      </w:pPr>
      <w:r>
        <w:rPr>
          <w:rFonts w:ascii="Times New Roman;serif" w:hAnsi="Times New Roman;serif"/>
          <w:b/>
          <w:sz w:val="20"/>
        </w:rPr>
        <w:t>Risks Related to our Financial Position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have a limited operating history and do not have any products approved for sale.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are a development-stage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our product candidates, building our intellectual property portfolio, developing our supply chain and in-house manufacturing capability, conducting business planning, raising capital and providing general and administrative support for these operations.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We have incurred significant losses since our inception, and we expect to continue to incur significant losses for the foreseeable future.*</w:t>
      </w:r>
    </w:p>
    <w:p>
      <w:pPr>
        <w:pStyle w:val="TextBody"/>
        <w:bidi w:val="0"/>
        <w:spacing w:before="240" w:after="0"/>
        <w:jc w:val="left"/>
        <w:rPr>
          <w:rFonts w:ascii="Times New Roman" w:hAnsi="Times New Roman"/>
          <w:sz w:val="20"/>
        </w:rPr>
      </w:pPr>
      <w:r>
        <w:rPr>
          <w:rFonts w:ascii="Times New Roman;serif" w:hAnsi="Times New Roman;serif"/>
          <w:b w:val="false"/>
          <w:sz w:val="20"/>
        </w:rPr>
        <w:t>Since our inception in 2015, we have incurred significant operating losses. Our net losses were $30.8 million, $113.8 million and $86.1 million for the three months ended March 31, 2023 and the years ended December 31, 2022 and 2021, respectively. Our accumulated deficit was $348.7 million as of March 31, 2023. We expect to continue to incur increasing operating losses for the foreseeable future as we continue to develop our product candidates. In addition, we anticipate that our expenses will increase substantially if, and as, we: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continue the clinical development of NKX101 and NKX019;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advance additional product candidates to clinical trials, including product candidates under the collaboration with CRISPR Therapeutics AG ("CRISPR");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develop our current product candidates for additional disease indications;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seek to discover and develop additional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and qualify our own clinical- and commercial-scale current good manufacturing practice ("cGMP") facilities;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submit a biologics license application ("BLA") or marketing authorization application, ("MAA") for NKX101 and/or NKX019 and/or seek marketing approvals for any of our other product candidates that successfully complete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seek regulatory approval of our product candidates in various jurisdictions for commercial sale;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maintain, expand and protect our intellectual property portfolio;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acquire or in-license other product candidates and technologies;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incur additional costs associated with operating as a public company;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develop or secure marketing, sales and distribution capabilities, either internally or with third parties, to support commercialization;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increase our employee headcount and related expenses to support the foregoing activities.</w:t>
      </w:r>
    </w:p>
    <w:p>
      <w:pPr>
        <w:pStyle w:val="TextBody"/>
        <w:bidi w:val="0"/>
        <w:spacing w:before="240" w:after="0"/>
        <w:jc w:val="left"/>
        <w:rPr>
          <w:rFonts w:ascii="Times New Roman" w:hAnsi="Times New Roman"/>
          <w:sz w:val="20"/>
        </w:rPr>
      </w:pPr>
      <w:r>
        <w:rPr>
          <w:rFonts w:ascii="Times New Roman;serif" w:hAnsi="Times New Roman;serif"/>
          <w:b w:val="false"/>
          <w:sz w:val="20"/>
        </w:rPr>
        <w:t>We may never succeed in any or all of these activities and, even if we do, we may never generate revenues that are significant or large enough to achieve profitability.</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We have never generated revenue from product sales and may never achieve or maintain profitability.*</w:t>
      </w:r>
    </w:p>
    <w:p>
      <w:pPr>
        <w:pStyle w:val="TextBody"/>
        <w:bidi w:val="0"/>
        <w:spacing w:before="240" w:after="0"/>
        <w:jc w:val="left"/>
        <w:rPr>
          <w:rFonts w:ascii="Times New Roman" w:hAnsi="Times New Roman"/>
          <w:sz w:val="20"/>
        </w:rPr>
      </w:pPr>
      <w:r>
        <w:rPr>
          <w:rFonts w:ascii="Times New Roman;serif" w:hAnsi="Times New Roman;serif"/>
          <w:b w:val="false"/>
          <w:sz w:val="20"/>
        </w:rPr>
        <w:t>We continue to incur significant research and development and other expenses related to ongoing operations and the development of our two lead product candidates, NKX101 and NKX019. All of our product candidates will require substantial additional development time and resources before we would be able to apply for or receive regulatory approvals and begin generating revenue from product sales. Neither the United States Food and Drug Administration ("FDA") nor any other regulatory authority has approved NKX101, NKX019 or any of our other product candidates, and we do not anticipate generating revenues from product sales unless and until such time as NKX101, NKX019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completing clinical development of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seeking and obtaining regulatory approvals for product candidates for which we successfully complete positive clinical trials, if any;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launching and commercializing product candidates, by establishing a commercial infrastructure or, alternatively, collaborating with a commercialization partner;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qualifying for adequate coverage and reimbursement by government and third-party payors for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establishing, maintaining and enhancing a sustainable, scalable, reproducible and transferable manufacturing process for each of our cell therapy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establishing and maintaining supply and manufacturing relationships with third parties that can provide adequate products and services, in both amount and quality, to support clinical development and the market demand for our product candidates, if approved;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obtaining market acceptance of our product candidates as a viable clinical option;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addressing any competing technological and market developments;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implementing additional internal systems and infrastructure, as needed;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negotiating favorable terms in any collaboration, licensing or other arrangements into which we may enter and performing our obligations in such collaborations;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maintaining, protecting and expanding our portfolio of intellectual property rights, including patents, trade secrets, know-how, and trademarks;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avoiding and defending against third-party interference or infringement claims;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attracting, hiring and retaining qualified personnel. </w:t>
      </w:r>
    </w:p>
    <w:p>
      <w:pPr>
        <w:pStyle w:val="TextBody"/>
        <w:bidi w:val="0"/>
        <w:spacing w:before="240" w:after="0"/>
        <w:jc w:val="left"/>
        <w:rPr>
          <w:rFonts w:ascii="Times New Roman" w:hAnsi="Times New Roman"/>
          <w:sz w:val="20"/>
        </w:rPr>
      </w:pPr>
      <w:r>
        <w:rPr>
          <w:rFonts w:ascii="Times New Roman;serif" w:hAnsi="Times New Roman;serif"/>
          <w:b w:val="false"/>
          <w:sz w:val="20"/>
        </w:rPr>
        <w:t>We anticipate incurring significant costs associated with commercializing any approved product candidate. Our expenses could increase beyond our current expectations if we are required by the FDA or other global regulatory authorities to perform clinical trials and/or other preclinical studies in addition to, or beyond the scope of, those that we currently anticipate being required to perform.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We will require additional capital, which, if available, may cause dilution to our stockholders, restrict our operations or require us to relinquish rights to our product candidates.*</w:t>
      </w:r>
    </w:p>
    <w:p>
      <w:pPr>
        <w:pStyle w:val="TextBody"/>
        <w:bidi w:val="0"/>
        <w:spacing w:before="240" w:after="0"/>
        <w:jc w:val="left"/>
        <w:rPr>
          <w:rFonts w:ascii="Times New Roman" w:hAnsi="Times New Roman"/>
          <w:sz w:val="20"/>
        </w:rPr>
      </w:pPr>
      <w:r>
        <w:rPr>
          <w:rFonts w:ascii="Times New Roman;serif" w:hAnsi="Times New Roman;serif"/>
          <w:b w:val="false"/>
          <w:sz w:val="20"/>
        </w:rPr>
        <w:t>We have financed our operations primarily through private placements of our preferred stock, proceeds from our previous collaboration with GlaxoSmithKline, proceeds from our initial public offering ("IPO") completed in July 2020, proceeds from our underwritten public offering of our common stock completed in April 2022 (the "Secondary Offering"), and our "at the market" equity offering program (the "ATM Offering Program"). We intend to continue to use the proceeds from our IPO and our Secondary Offering to, among other uses, advance NKX101 and NKX019 through clinical development. Developing pharmaceutical products and conducting preclinical studies and clinical trials is expensive. As of March 31, 2023, we had cash, cash equivalents, restricted cash and investments of $332.1 million. Our research and development expenses increased from $63.4 million for the year ended December 31, 2021 to $90.9 million for the year ended December 31, 2022 and increased from $19.6 million for the three months ended March 31, 2022 to $26.1 million for the three months ended March 31, 2023.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Until and unless we can generate substantial product revenue, we expect to finance our cash needs through the proceeds from our IPO and Secondary Offering, a combination of equity offerings and debt financings, including pursuant to our ATM Offering Program, and potentially through additional license and development agreements or strategic partnerships with third parties. Financing may not be available in sufficient amounts or on reasonable terms. In addition, market volatility resulting from the ongoing conflict in Ukraine, rising inflation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Attempting to secure additional financing may also divert our management from our day-to-day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due to the COVID-19 pandemic or other causes, and we may need to seek additional funds sooner than planned. Furthermore, if, in the future, one or more banks or financial institutions enter receivership or become insolvent in response to financial conditions affecting the banking system and financial markets, our ability to access our existing cash, cash equivalents and investments may be threatened and could have a material impact on our business and financial condition. If we are unable to obtain funding on a timely basis or at all, we may be required to significantly curtail or stop one or more of our research or development programs.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 w:hAnsi="Times New Roman"/>
          <w:sz w:val="20"/>
        </w:rPr>
      </w:pPr>
      <w:r>
        <w:rPr>
          <w:rFonts w:ascii="Times New Roman;serif" w:hAnsi="Times New Roman;serif"/>
          <w:b w:val="false"/>
          <w:sz w:val="20"/>
        </w:rPr>
        <w:br/>
        <w:br/>
      </w:r>
      <w:r>
        <w:rPr>
          <w:rFonts w:ascii="Times New Roman;serif" w:hAnsi="Times New Roman;serif"/>
          <w:b/>
          <w:sz w:val="20"/>
        </w:rPr>
        <w:t>Risks Related to Our Business and Industry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business depends upon the success of our CAR NK cell technology platform.</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success depends on our ability to utilize our chimeric antigen receptor-natural killer cell ("CAR NK") technology platform to generate product candidates, to obtain regulatory approval for product candidates derived from it, and to then commercialize our product candidates addressing one or more indications. Phase 1 clinical trials to evaluate our first two CAR NK product candidates in humans are ongoing. All of our product candidates developed from our technology platform will require significant additional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 NK engineering technology.</w:t>
      </w:r>
    </w:p>
    <w:p>
      <w:pPr>
        <w:pStyle w:val="TextBody"/>
        <w:bidi w:val="0"/>
        <w:spacing w:before="360" w:after="0"/>
        <w:jc w:val="left"/>
        <w:rPr>
          <w:rFonts w:ascii="Times New Roman;serif" w:hAnsi="Times New Roman;serif"/>
          <w:b/>
          <w:i/>
          <w:sz w:val="20"/>
        </w:rPr>
      </w:pPr>
      <w:r>
        <w:rPr>
          <w:rFonts w:ascii="Times New Roman;serif" w:hAnsi="Times New Roman;serif"/>
          <w:b/>
          <w:i/>
          <w:sz w:val="20"/>
        </w:rPr>
        <w:t>Utilizing CAR NK cells represents a novel approach to the treatment of cancer, and we must overcome significant challenges in order to develop, commercialize and manufacture our product candidates.</w:t>
      </w:r>
    </w:p>
    <w:p>
      <w:pPr>
        <w:pStyle w:val="TextBody"/>
        <w:bidi w:val="0"/>
        <w:spacing w:before="240" w:after="0"/>
        <w:jc w:val="left"/>
        <w:rPr>
          <w:rFonts w:ascii="Times New Roman" w:hAnsi="Times New Roman"/>
          <w:sz w:val="20"/>
        </w:rPr>
      </w:pPr>
      <w:r>
        <w:rPr>
          <w:rFonts w:ascii="Times New Roman;serif" w:hAnsi="Times New Roman;serif"/>
          <w:b w:val="false"/>
          <w:sz w:val="20"/>
        </w:rPr>
        <w:t>We have concentrated our research and development efforts on utilizing CAR NK cells as an immuno-oncology therapy. To date, the FDA has approved only a few cell-based therapies for commercialization and no natural killer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 NK platform product candidates are novel, and cell-based therapies are relatively new, regulatory agencies may lack precedents for evaluating product candidates like our CAR NK product candidates. As the cell therapy field develops further, the processes and requirements imposed by the regulatory agencies may evolve in a manner that adversely impacts us. The novelty of our product candidates may lengthen the regulatory review process, including the time it takes for the FDA to review our IND applications if and when submitted, increase our development costs and delay or prevent approval and commercialization of our CAR NK platform product candidates.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Additionally, advancing novel immuno-oncology therapies creates significant challenges for us,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enrolling sufficient numbers of patients in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training a sufficient number of medical personnel on how to properly thaw and administer our cells, especially in any solid tumor trial wherein the cells are given through a procedure by trained medical doctors;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training a sufficient number of medical and clinical laboratory personnel in the proper collection and handling of clinical samples in our clinical trials to enable a sufficient understanding of CAR NK pharmacokinetics and pharmacodynamics for the design of an optimal dosing regimen;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educating medical personnel regarding the potential side-effect profile of our cells and, as the clinical program progresses, on observed side effects with the therapy;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developing a reliable and safe and an effective means of genetically modifying our cells;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manufacturing and cryopreservation our cells on a large scale and in a cost-effective manner;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sourcing starting material suitable for clinical and commercial manufacturing;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establishing sales and marketing capabilities, as well as developing a manufacturing process and distribution network to support the commercialization of any approved products. </w:t>
      </w:r>
    </w:p>
    <w:p>
      <w:pPr>
        <w:pStyle w:val="TextBody"/>
        <w:bidi w:val="0"/>
        <w:spacing w:before="240" w:after="0"/>
        <w:jc w:val="left"/>
        <w:rPr>
          <w:rFonts w:ascii="Times New Roman" w:hAnsi="Times New Roman"/>
          <w:sz w:val="20"/>
        </w:rPr>
      </w:pPr>
      <w:r>
        <w:rPr>
          <w:rFonts w:ascii="Times New Roman;serif" w:hAnsi="Times New Roman;serif"/>
          <w:b w:val="false"/>
          <w:sz w:val="20"/>
        </w:rPr>
        <w:t>We must be able to overcome these challenges in order for us to develop, commercialize and manufacture our product candidates utilizing CAR NK cells.</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Certain aspects of the function and production of CAR NK cells are currently unknown or poorly understood, and may only become known through further preclinical testing and clinical trials. Any potential re-engineering required may result in delays and additional expenses.</w:t>
      </w:r>
    </w:p>
    <w:p>
      <w:pPr>
        <w:pStyle w:val="TextBody"/>
        <w:bidi w:val="0"/>
        <w:spacing w:before="240" w:after="0"/>
        <w:jc w:val="left"/>
        <w:rPr>
          <w:rFonts w:ascii="Times New Roman" w:hAnsi="Times New Roman"/>
          <w:sz w:val="20"/>
        </w:rPr>
      </w:pPr>
      <w:r>
        <w:rPr>
          <w:rFonts w:ascii="Times New Roman;serif" w:hAnsi="Times New Roman;serif"/>
          <w:b w:val="false"/>
          <w:sz w:val="20"/>
        </w:rPr>
        <w:t>Current clinical experience with NK cell therapy is predominantly based on cells from haplomatched donors, i.e., at least half of the major Human Leukocyte Antigen ("HLA") types matched between donor and recipient. Our ongoing NKX101 Phase 1 clinical trial evaluated product manufactured from patient specific haplo-related donors and completely unrelated donors (used off the shelf).</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Based on preliminary clinical results, we have moved forward into expansion cohorts and further development of NKX101 using off the shelf product only. There is a risk that the early clinical results may not be reflective of future clinical trial results which may require us to re-evaluate HLA matching. If it becomes apparent through future preclinical testing or clinical trials that such matching is required, the production of NKX101, NKX019, and our other product candidates as standardized, off-the-shelf products for all patients will not be achievable. Instead, we would need to establish an alternative approach for each of our product candidates to achieve coverage of the addressable patient population.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Furthermore, the killer immunoglobulin-like receptor ("KIR") is found on the surface of NK cells and recognizes certain HLA types. If there is a match between KIR and the HLA type, KIR acts as a natural inhibitor of NK activity, thereby serving to prevent immune reactions against an individual’s own cells. In both NKX101 and NKX019 Phase 1 clinical trials, product is administered regardless of specific KIR phenotype. As we continue our clinical trials, we may discover that retaining a KIR mismatch is required to achieve clinically meaningful activity, and we may need to factor KIR mismatch into the donor and product selection process for patients enrolled in our clinical trials. We also continue to analyze for donor characteristics that correlate with clinical activity and we may decide to select for donors to enhance activity of our products in the clinic.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tumors are sometimes able to evade detection by naturally occurring NK cells by shedding the NKG2D ligands found on malignant cells. While NKX101 has been engineered to resist this shedding mechanism, there can be no guarantee that tumor cells will not retain or regain the ability to shed NKG2D ligand completely despite the presence of NKX101, which would give such tumors a degree of resistance against NKX101. If we discover that tumors develop a resistance to NKX101 as a result of such NKG2D ligand shedding, we will need to reengineer NKX101 to counteract this effect, or we may need to change or abandon our development efforts for NKX101.</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Finally, there is limited history of CAR NK cells manufacturing for clinical use, and our understanding of NK cell biology is continuously expanding. If we find that our current manufacturing processes are inadequate, or should we identify opportunities for material improvement, adaptation of process improvements may require significant periods of time. Process improvements might also necessitate new pre-clinical studies and clinical protocols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w:t>
      </w:r>
    </w:p>
    <w:p>
      <w:pPr>
        <w:pStyle w:val="TextBody"/>
        <w:bidi w:val="0"/>
        <w:spacing w:before="240" w:after="0"/>
        <w:jc w:val="left"/>
        <w:rPr>
          <w:rFonts w:ascii="Times New Roman" w:hAnsi="Times New Roman"/>
          <w:sz w:val="20"/>
        </w:rPr>
      </w:pPr>
      <w:r>
        <w:rPr>
          <w:rFonts w:ascii="Times New Roman;serif" w:hAnsi="Times New Roman;serif"/>
          <w:b w:val="false"/>
          <w:sz w:val="20"/>
        </w:rPr>
        <w:t>The foregoing processes would require us to redesign the clinical protocols and clinical trials for our product candidates and could require significant additional time and resources to complete and the participation of a significant number of additional clinical trial participants and donors, any of which would delay the clinical development of our product candidates and their eventual commercialization.</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Clinical development involves a lengthy and expensive process with an uncertain outcome, and we may encounter substantial delays due to a variety of reasons outside our control.</w:t>
      </w:r>
    </w:p>
    <w:p>
      <w:pPr>
        <w:pStyle w:val="TextBody"/>
        <w:bidi w:val="0"/>
        <w:spacing w:before="240" w:after="0"/>
        <w:jc w:val="left"/>
        <w:rPr>
          <w:rFonts w:ascii="Times New Roman" w:hAnsi="Times New Roman"/>
          <w:sz w:val="20"/>
        </w:rPr>
      </w:pPr>
      <w:r>
        <w:rPr>
          <w:rFonts w:ascii="Times New Roman;serif" w:hAnsi="Times New Roman;serif"/>
          <w:b w:val="false"/>
          <w:sz w:val="20"/>
        </w:rPr>
        <w:t>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subjects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 failure of one or more of our clinical trials could occur at any stage,</w:t>
      </w:r>
      <w:r>
        <w:rPr>
          <w:rFonts w:ascii="Times New Roman" w:hAnsi="Times New Roman"/>
          <w:sz w:val="20"/>
        </w:rPr>
        <w:t xml:space="preserve"> </w:t>
      </w:r>
      <w:r>
        <w:rPr>
          <w:rFonts w:ascii="Times New Roman;serif" w:hAnsi="Times New Roman;serif"/>
          <w:b w:val="false"/>
          <w:sz w:val="20"/>
        </w:rPr>
        <w:t>and any failure could prevent us from obtaining the FDA and other regulatory approvals necessary to commercialize our product candidates. Events that may prevent successful initiation, timely completion, or positive outcomes of our clinical development include, but are not limited to:</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obtaining regulatory approval to commence a clinical trial;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delays in reaching agreement on acceptable terms with prospective clinical trial sites or CROs, the terms of which can be subject to extensive negotiation and may vary significantly among different trial sites and CROs;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inability to recruit sufficient patients for our clinical trials in a timely manner or at all;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achieving a sufficient number of clinical trial sites or obtaining the required institutional review board ("IRB"), approval at each clinical trial site;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imposition of a temporary or permanent clinical hold by us or by the FDA or other regulatory agencies based on emerging data;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clinical sites deviating from trial protocol or dropping out of a trial;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inability to obtain long-term follow-up data due to patient drop out or in cases where patients elect to receive post-protocol treatment for their disease before it progresses;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suspension or termination of a clinical trial by the IRB of the institutions in which such trials are being conducted or by the Data Safety Monitoring Board ("DSMB") (where applicable);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sufficiently developing, characterizing or controlling a manufacturing process suitable for clinical trials, or production delays, shutdowns or setbacks at any of our contract manufacturers;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due to additional regulatory, site and clinical trial participant approvals required if a product candidate, especially a product candidate custom manufactured for a specific patient, does not meet the required specifications;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reaching a consensus with regulatory agencies on the design or implementation of our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regulatory requirements or guidance that may require us to amend or submit new clinical protocols, or such requirements may not be as we anticipate;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the standard of care or treatment landscape on which a clinical development plan was based, which may require new or additional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insufficient quantities or inadequate quality of our product candidates or other materials necessary to conduct preclinical studies or clinical trials of our product candidates, including potential limitations to the availability of agents such as fludarabine, cyclophosphamide, or other agents administered to patients prior to treatment or in combination with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clinical trials of our product candidates producing negative or inconclusive results, which may result in our deciding, or regulators requiring us, to conduct additional clinical trials or abandon product development programs;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failure of enrolled patients in foreign countries to adhere to clinical protocol as a result of differences in healthcare services or cultural customs, or additional administrative burdens associated with foreign regulatory schemes;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disruptions caused by or related to the COVID-19 pandemic or other health epidemic may increase the likelihood that we encounter such difficulties or delays in initiating, enrolling, conducting or completing our planned and ongoing preclinical studies and clinical trials, as applicable. For example, we periodically interact with health authorities such as the FDA to obtain advice, or reach consensus, on our ongoing clinical trials, product development, and manufacturing activities. If these health authorities need to prioritize efforts related to future waves of the COVID-19 pandemic or other health epidemics, then we may experience delays in obtaining periodic advice which may affect our ability to move our clinical programs forward into the next phase of development.</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refusal to accept or rejection, of our marketing applications by the FDA or comparable foreign regulatory authority, as the case may be, and may ultimately lead to the denial of marketing approval of our product candidates.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regulatory expectations regarding the genome editing of cellular therapies continue to evolve with data emerging on chromosomal abnormalities from CAR T therapies or other sources, our pipeline programs that involve gene-edited cells, including an allogeneic, off-the-shelf CAR NK product candidate targeting the CD70 tumor antigen ("NKX070") and an allogeneic, off-the-shelf product candidate that comprises both engineered NK cells and engineered T cells ("NK+T"), which we are collaborating with CRISPR on could be impacted. For example, the FDA may require additional or new release assays for manufactured lots of any product candidates that have been gene edited, which, as a result, could slow development of our gene-edited product candidates and increase expenses.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the FDA’s and other regulatory authorities’ policies with respect to clinical trials may change and additional government regulations may be enacted. For example, passed in December 2022, the Food and Drug Omnibus Reform Act ("FDORA") requires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 If we are slow or unable to adapt to changes in existing requirements or the adoption of new requirements or policies governing clinical trials, our development plans may be impacted.</w:t>
      </w:r>
    </w:p>
    <w:p>
      <w:pPr>
        <w:pStyle w:val="TextBody"/>
        <w:bidi w:val="0"/>
        <w:spacing w:before="240" w:after="0"/>
        <w:jc w:val="left"/>
        <w:rPr>
          <w:rFonts w:ascii="Times New Roman" w:hAnsi="Times New Roman"/>
          <w:sz w:val="20"/>
        </w:rPr>
      </w:pPr>
      <w:r>
        <w:rPr>
          <w:rFonts w:ascii="Times New Roman;serif" w:hAnsi="Times New Roman;serif"/>
          <w:b w:val="false"/>
          <w:sz w:val="20"/>
        </w:rPr>
        <w:t>If we experience further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and slow down our product candidate development and approval process.</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Our business is highly dependent on the clinical success of our product candidates, and on the clinical success of NKX101 and NKX019 in particular, and we may fail to develop NKX101, NKX019 and/or our other product candidates successfully or be unable to obtain regulatory approval for them.*</w:t>
      </w:r>
    </w:p>
    <w:p>
      <w:pPr>
        <w:pStyle w:val="TextBody"/>
        <w:bidi w:val="0"/>
        <w:spacing w:before="240" w:after="0"/>
        <w:jc w:val="left"/>
        <w:rPr>
          <w:rFonts w:ascii="Times New Roman" w:hAnsi="Times New Roman"/>
          <w:sz w:val="20"/>
        </w:rPr>
      </w:pPr>
      <w:r>
        <w:rPr>
          <w:rFonts w:ascii="Times New Roman;serif" w:hAnsi="Times New Roman;serif"/>
          <w:b w:val="false"/>
          <w:sz w:val="20"/>
        </w:rPr>
        <w:t>We cannot guarantee that NKX101 and NKX019, or any of our other product candidates,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NKX101 and NKX019, or any of our other product candidates, will be successful in clinical trials or receive regulatory approval. The FDA, and other comparable global regulatory authorities can delay, limit or deny approval of a product candidate for many reasons. For further details about such reasons, see “—</w:t>
      </w:r>
      <w:r>
        <w:rPr>
          <w:rFonts w:ascii="Times New Roman;serif" w:hAnsi="Times New Roman;serif"/>
          <w:b w:val="false"/>
          <w:i/>
          <w:sz w:val="20"/>
        </w:rPr>
        <w:t>Clinical development involves a lengthy and expensive process with an uncertain outcome, and we may encounter substantial delays due to a variety of reasons outside our control.</w:t>
      </w:r>
      <w:r>
        <w:rPr>
          <w:rFonts w:ascii="Times New Roman" w:hAnsi="Times New Roman"/>
          <w:sz w:val="20"/>
        </w:rPr>
        <w:t xml:space="preserve">” </w:t>
      </w:r>
      <w:r>
        <w:rPr>
          <w:rFonts w:ascii="Times New Roman;serif" w:hAnsi="Times New Roman;serif"/>
          <w:b w:val="false"/>
          <w:sz w:val="20"/>
        </w:rPr>
        <w:t>Any delay in obtaining, or inability to obtain, applicable regulatory approval will delay or harm our ability to successfully commercialize NKX101, NKX019, or any of our other product candidates, and could materially adversely affect our business, financial condition, results of operations and growth prospects.</w:t>
      </w:r>
    </w:p>
    <w:p>
      <w:pPr>
        <w:pStyle w:val="TextBody"/>
        <w:bidi w:val="0"/>
        <w:spacing w:before="240" w:after="0"/>
        <w:jc w:val="left"/>
        <w:rPr>
          <w:rFonts w:ascii="Times New Roman" w:hAnsi="Times New Roman"/>
          <w:sz w:val="20"/>
        </w:rPr>
      </w:pPr>
      <w:r>
        <w:rPr>
          <w:rFonts w:ascii="Times New Roman;serif" w:hAnsi="Times New Roman;serif"/>
          <w:b w:val="false"/>
          <w:sz w:val="20"/>
        </w:rPr>
        <w:t>NKX101 is in an early-stage clinical trial and is subject to the risks inherent in drug development. In April 2022, we announced preliminary data from our Phase 1 clinical trial of NKX101 for the treatment of relapsed or refractory acute myeloid leukemia ("r/r AML") or higher risk myelodysplastic syndromes ("MDS"). If the ongoing Phase 1 or our later clinical trials of NKX101 encounter concerning safety signals, efficacy concerns, manufacturing problems, enrollment issues, development delays, regulatory issues, or other problems, our development plans for NKX101 could be significantly impaired, which could materially adversely affect our business, financial condition, results of operations and growth prospects.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may also develop NKX101 for additional indications if we are able to obtain clinical proof-of-concept from our NKX101 Phase 1 trials for blood cancers including r/r AML and MDS. We may not be able to advance any of these indications through the development process. Even if we receive regulatory approval to market NKX101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NKX101 for these additional indications, our commercial opportunity will be limited.</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Furthermore, the potential development of NKX101 for treating solid tumors is subject to a number of risks related to use of cell therapies in general including a hostile tumor microenvironment and trafficking to tumor site. The development of treatments to treat solid tumors often requires larger and more expensive clinical trials than for treating blood cancers.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In December 2022, we announced data from the dose escalation portion of the multi-center Phase 1 clinical trial of NKX019 for the treatment of B-cell malignancies. The dose-expansion portion of the Phase 1 study is ongoing. NKX019 is being investigated in dose expansion cohorts as a combination therapy with rituximab, as well as a monotherapy, in both patients with large B-cell lymphoma ("LBCL") who have previously received autologous CD19 CAR T-cell therapy and those who have not. Due to the commercial availability of multiple therapeutic agents that target CD19, as well as others that are in various stages of development, we have had increasing difficulty, and may continue to have increased difficulty, enrolling subjects into our NKX019 trial who have not previously been exposed to a CD19-directed cellular therapy. This has impacted the ability to obtain data about NKX019 activity in certain patient populations and slowed enrollment. If we are unable to enroll sufficient numbers of patients who have not previously received CD19 CAR T-cell therapy in our current or future NKX019 clinical trials in a timely manner, the clinical development and subsequent commercialization of NKX019 for treatment of those patient populations may be delayed or may not be possible at all. If our ongoing Phase 1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 Furthermore, because NKX101 and NKX019 are our most advanced product candidates, and because our other product candidates are based on similar technology, if our clinical trials of NKX101 or NKX019 experience any of the foregoing issues, our development plans for our other product candidates in our pipeline could also be significantly impaired, which could materially adversely affect our business, financial condition, results of operations and growth prospects.</w:t>
        <w:br/>
        <w:br/>
        <w:br/>
      </w:r>
      <w:r>
        <w:rPr>
          <w:rFonts w:ascii="Times New Roman" w:hAnsi="Times New Roman"/>
          <w:sz w:val="20"/>
        </w:rPr>
        <w:t> </w:t>
      </w:r>
    </w:p>
    <w:p>
      <w:pPr>
        <w:pStyle w:val="TextBody"/>
        <w:bidi w:val="0"/>
        <w:spacing w:before="240" w:after="0"/>
        <w:jc w:val="left"/>
        <w:rPr>
          <w:rFonts w:ascii="Times New Roman" w:hAnsi="Times New Roman"/>
          <w:sz w:val="20"/>
        </w:rPr>
      </w:pPr>
      <w:r>
        <w:rPr>
          <w:rFonts w:ascii="Times New Roman;serif" w:hAnsi="Times New Roman;serif"/>
          <w:b w:val="false"/>
          <w:sz w:val="20"/>
        </w:rPr>
        <w:t>We intend to develop our product candidates both as monotherapy and potentially as combination therapy, a common form of cancer treatment, with one or more currently approved cancer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we may be unable to obtain approval of or market our product candidates.</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Enrollment and retention of patients in clinical trials is an expensive and time-consuming process and could be delayed, made more difficult or rendered impossible by multiple factors outside our control.*</w:t>
      </w:r>
    </w:p>
    <w:p>
      <w:pPr>
        <w:pStyle w:val="TextBody"/>
        <w:bidi w:val="0"/>
        <w:spacing w:before="240" w:after="0"/>
        <w:jc w:val="left"/>
        <w:rPr>
          <w:rFonts w:ascii="Times New Roman" w:hAnsi="Times New Roman"/>
          <w:sz w:val="20"/>
        </w:rPr>
      </w:pPr>
      <w:r>
        <w:rPr>
          <w:rFonts w:ascii="Times New Roman;serif" w:hAnsi="Times New Roman;serif"/>
          <w:b w:val="false"/>
          <w:sz w:val="20"/>
        </w:rPr>
        <w:t>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open clinical trial sites;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size and nature of the patient population;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design and eligibility criteria of the clinical trial;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proximity of subjects to clinical sites;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patient referral practices of physicians;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changing medical practice patterns or guidelines related to the indications we are investigating;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competing clinical trials or approved therapies which present an attractive alternative to patients and their physicians;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perceived risks and benefits of the product candidate under study, including as a result of adverse effects observed in similar or competing therapies;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obtain and maintain patient consents due to various reasons;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risk that enrolled subjects will drop out or die before completion of the trial;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patients failing to complete a clinical trial or returning for post-treatment follow-up;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manufacture the requisite supply of our product candidates for a patient and clinical trials;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any failure or any delay by us or by our clinical sites to obtain sufficient quantities of components and supplies necessary for the conduct of our clinical trials, including any inability to obtain agents such as cyclophosphamide, fludarabine, or other agents administered to patients prior to treatment or in combination with our product candidates.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need to compete with many ongoing clinical trials and approved therapies to recruit patients into our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For example, due to the commercial availability of multiple therapeutic agents that target CD19, as well as others that are in various stages of development, we have had increasing difficulty in our NKX019 clinical trial and may continue to have increased difficulty in our current or future NKX019 clinical trials, enrolling subjects who have not previously been exposed to a CD19-directed cellular therapy. Since the number of qualified clinical investigators is limited, we may conduct some of our clinical trials at the same clinical trial sites that some of our competitors use, which will reduce the number of patients who are available for our clinical trials at such clinical trial site. If we are unable to enroll a sufficient number of patients in our clinical trials in a timely manner, our completion of clinical trials may be delayed or may not be achieved, which would prevent us from further developing or commercializing our product candidates in certain patient subpopulations or at all.</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clinical development of our product candidates depends on our ability to manufacture and provide the requisite supply of our product candidates for our clinical trials. Any failure or delays by us to manufacture and provide our product candidates in sufficient quantity and quality for the conduct of our clinical trials, may delay our ability to enroll and treat patients in, or complete, our current or future clinical trials of our product candidates on time, if at all.</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clinical development of our product candidates also depends on the availability of a sufficient supply of certain other materials and agents used in our clinical trials. For example, certain of our clinical trial protocols require the use of fludarabine and cyclophosphamide, agents which are routinely used in oncology studies, and which we use in certain of our clinical trial protocols to condition patients for treatment with our product candidates. Further, we may develop certain of our product candidates as a combination therapy with other cancer therapies, which would require the availability and use of those therapeutic agents in certain of our clinical trial protocols. Recently, the FDA reported a shortage of fludarabine and it is uncertain how long the fludarabine shortage may last. Certain of our clinical trial sites have reported that they are experiencing a shortage of fludarabine, which has resulted in some enrollment delays. We do not know how long the fludarabine shortage may last. Any failure or delays by us or by our clinical sites to obtain sufficient quantities of fludarabine or other components and agents necessary for the conduct of our clinical trials, may delay our ability to enroll and treat patients in, or complete, our current or future clinical trials of our product candidates on time, if at all.</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If we are unable to enroll a sufficient number of patients in our clinical trials in a timely manner, our completion of clinical trials may be delayed or may not be achieved, which would prevent us from further developing or commercializing our product candidates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Our preclinical pipeline programs may experience delays or may never advance to clinical trials, which would adversely affect our ability to obtain regulatory approvals or commercialize these programs on a timely basis or at all.</w:t>
      </w:r>
    </w:p>
    <w:p>
      <w:pPr>
        <w:pStyle w:val="TextBody"/>
        <w:bidi w:val="0"/>
        <w:spacing w:before="240" w:after="0"/>
        <w:jc w:val="left"/>
        <w:rPr>
          <w:rFonts w:ascii="Times New Roman" w:hAnsi="Times New Roman"/>
          <w:sz w:val="20"/>
        </w:rPr>
      </w:pPr>
      <w:r>
        <w:rPr>
          <w:rFonts w:ascii="Times New Roman;serif" w:hAnsi="Times New Roman;serif"/>
          <w:b w:val="false"/>
          <w:sz w:val="20"/>
        </w:rPr>
        <w:t>In order to obtain FDA or other regulatory authority approval to market a new biological product we must demonstrate proof of safety, purity, 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We began clinical development for our first product candidate, NKX101, in 2020 and our second product candidate, NKX019, in 2021, and the rest of our programs are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inability to generate sufficient preclinical or other in vivo or in vitro data to support the initiation of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reaching a consensus with regulatory agencies on acceptable clinical trial design or manufacturing process;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FDA not allowing us to rely on previous findings of safety and efficacy for other similar but approved products and published scientific literature. </w:t>
      </w:r>
    </w:p>
    <w:p>
      <w:pPr>
        <w:pStyle w:val="TextBody"/>
        <w:bidi w:val="0"/>
        <w:spacing w:before="240" w:after="0"/>
        <w:jc w:val="left"/>
        <w:rPr>
          <w:rFonts w:ascii="Times New Roman" w:hAnsi="Times New Roman"/>
          <w:sz w:val="20"/>
        </w:rPr>
      </w:pPr>
      <w:r>
        <w:rPr>
          <w:rFonts w:ascii="Times New Roman;serif" w:hAnsi="Times New Roman;serif"/>
          <w:b w:val="false"/>
          <w:sz w:val="20"/>
        </w:rPr>
        <w:t>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p>
    <w:p>
      <w:pPr>
        <w:pStyle w:val="TextBody"/>
        <w:bidi w:val="0"/>
        <w:spacing w:before="240" w:after="0"/>
        <w:jc w:val="left"/>
        <w:rPr>
          <w:rFonts w:ascii="Times New Roman" w:hAnsi="Times New Roman"/>
          <w:sz w:val="20"/>
        </w:rPr>
      </w:pPr>
      <w:r>
        <w:rPr>
          <w:rFonts w:ascii="Times New Roman;serif" w:hAnsi="Times New Roman;serif"/>
          <w:b w:val="false"/>
          <w:sz w:val="20"/>
        </w:rPr>
        <w:t>The results of preclinical studies may not be predictive of the results of clinical trials, and the results of any early-stage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including as patient enrollment continues and more data on existing patients becomes available. We also make assumptions, estimations, calculations and conclusions as part of our analyses of data, and we may not have received or had the opportunity to fully and carefully evaluate all data. As a result, the topline results that we report, including the preliminary Phase 1 clinical data for NKX101 and NKX019 reported in April 2022 and updated Phase 1 clinical data for NKX019 reported in December 2022, may differ from, and may not be indicative of,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and negative differences between preliminary or interim data and final data could materially adversely affect the prospects of any product candidate that is impacted by such data updates.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w:t>
      </w:r>
    </w:p>
    <w:p>
      <w:pPr>
        <w:pStyle w:val="TextBody"/>
        <w:bidi w:val="0"/>
        <w:spacing w:before="360" w:after="0"/>
        <w:jc w:val="left"/>
        <w:rPr>
          <w:rFonts w:ascii="Times New Roman;serif" w:hAnsi="Times New Roman;serif"/>
          <w:b/>
          <w:i/>
          <w:sz w:val="20"/>
        </w:rPr>
      </w:pPr>
      <w:r>
        <w:rPr>
          <w:rFonts w:ascii="Times New Roman;serif" w:hAnsi="Times New Roman;serif"/>
          <w:b/>
          <w:i/>
          <w:sz w:val="20"/>
        </w:rPr>
        <w:t>If any of our product candidates, or any competing product candidates, demonstrate relevant, serious adverse events, we may be required to halt or delay further clinical development.</w:t>
      </w:r>
    </w:p>
    <w:p>
      <w:pPr>
        <w:pStyle w:val="TextBody"/>
        <w:bidi w:val="0"/>
        <w:spacing w:before="240" w:after="0"/>
        <w:jc w:val="left"/>
        <w:rPr>
          <w:rFonts w:ascii="Times New Roman" w:hAnsi="Times New Roman"/>
          <w:sz w:val="20"/>
        </w:rPr>
      </w:pPr>
      <w:r>
        <w:rPr>
          <w:rFonts w:ascii="Times New Roman;serif" w:hAnsi="Times New Roman;serif"/>
          <w:b w:val="false"/>
          <w:sz w:val="20"/>
        </w:rPr>
        <w:t>Undesirable side effects that may be caused by our product candidates could cause us or regulatory authorities to interrupt, delay or halt clinical trials and could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Preliminary data from our NKX101 Phase 1 clinical trial were reported in April 2022, and updated data from the dose escalation portion of our NKX019 Phase 1 clinical trial were reported in December 2022. The most common higher-grade adverse events in the early data for both trials were myelosuppression – a condition resulting in fewer red blood cells, white blood cells and platelets, which is common in the treated patient populations post lymphodepleting conditioning ("LD"). The early data from the NKX101 clinical trial indicated that adverse events experienced by certain patients included infusion reactions, such as transient fever and fluid responsive hypotension. In the dose escalation phase of the NKX019 Phase 1 clinical trial, certain patients experienced adverse events including transient fevers and infusion-related reactions. Three patients in the NKX019 dose escalation study were assessed to have cytokine release syndrome ("CRS"), despite the rapid onset and rapid resolution, not consistent with previously described presentations of CRS with CAR T cell therapies.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While the preliminary data reported from our NKX101 and NKX019 Phase 1 clinical trials indicate that NK cell-based therapies may be better-tolerated as compared to T cell-based therapies due to biologic differences between these cell types, there can be no assurance that patients will not experience CRS, neurotoxicity, Graft-versus-host disease ("GvHD"), or other serious adverse events associated with our specific product candidates NKX101 or NKX019. NKX101 targets NKG2D ligands, which is not yet a well-characterized modality. NKG2D targets multiple ligands, and the extent and impact of ligand expression is currently not fully characterized. For example, there are risks that ligands may be expressed on either known or an as-yet-underappreciated population of healthy cells. Therefore, such cells may also be targeted by NKX101 and lead to adverse events of unknown frequency and severity as well as potentially decreased efficacy. Such adverse events may cause delays in completion of our clinical programs.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w:t>
      </w:r>
    </w:p>
    <w:p>
      <w:pPr>
        <w:pStyle w:val="TextBody"/>
        <w:bidi w:val="0"/>
        <w:spacing w:before="360" w:after="0"/>
        <w:jc w:val="left"/>
        <w:rPr>
          <w:rFonts w:ascii="Times New Roman;serif" w:hAnsi="Times New Roman;serif"/>
          <w:b/>
          <w:i/>
          <w:sz w:val="20"/>
        </w:rPr>
      </w:pPr>
      <w:r>
        <w:rPr>
          <w:rFonts w:ascii="Times New Roman;serif" w:hAnsi="Times New Roman;serif"/>
          <w:b/>
          <w:i/>
          <w:sz w:val="20"/>
        </w:rPr>
        <w:t>Our business and the business or operations of our research partners and other third parties with whom we conduct business have been and could continue to be adversely affected by the effects of health epidemics, including the COVID-19 pandemic, in regions where we or third parties on which we rely have business operations.*</w:t>
      </w:r>
    </w:p>
    <w:p>
      <w:pPr>
        <w:pStyle w:val="TextBody"/>
        <w:bidi w:val="0"/>
        <w:spacing w:before="240" w:after="200"/>
        <w:jc w:val="left"/>
        <w:rPr>
          <w:rFonts w:ascii="Times New Roman;serif" w:hAnsi="Times New Roman;serif"/>
          <w:b w:val="false"/>
          <w:sz w:val="20"/>
        </w:rPr>
      </w:pPr>
      <w:r>
        <w:rPr>
          <w:rFonts w:ascii="Times New Roman;serif" w:hAnsi="Times New Roman;serif"/>
          <w:b w:val="false"/>
          <w:sz w:val="20"/>
        </w:rPr>
        <w:t>The COVID-19 pandemic and preventative measures taken to mitigate the impact of the pandemic disrupted economic activity and business operations worldwide, including the San Francisco Bay Area, where our primary operations are located. The emergence of another health epidemic, including future outbreaks of COVID-19 variants, could result in similar disruptions.</w:t>
      </w:r>
    </w:p>
    <w:p>
      <w:pPr>
        <w:pStyle w:val="TextBody"/>
        <w:bidi w:val="0"/>
        <w:spacing w:before="0" w:after="200"/>
        <w:jc w:val="left"/>
        <w:rPr>
          <w:rFonts w:ascii="Times New Roman" w:hAnsi="Times New Roman"/>
          <w:sz w:val="20"/>
        </w:rPr>
      </w:pPr>
      <w:r>
        <w:rPr>
          <w:rFonts w:ascii="Times New Roman;serif" w:hAnsi="Times New Roman;serif"/>
          <w:b w:val="false"/>
          <w:sz w:val="20"/>
        </w:rPr>
        <w:t>Our operations, as well as the operations of some of our contract research organizations ("CROs"), contract development and manufacturing organizations ("CDMOs"), and clinical trial sites, were impacted by the COVID-19 pandemic and may in the future be similarly impacted by further outbreaks of COVID-19 variants or other health epidemics. For example, we experienced some delays in construction of our cGMP manufacturing facilities and in our internal research efforts as a result of the COVID-19 pandemic. COVID-19 also caused global supply shortages of certain materials, such as certain raw materials, cell culture media, disposable plastics, and equipment, that we and our CDMOs use for research and cGMP manufacturing. Due to the COVID-19 pandemic, some of our CROs experienced employee turnover/attrition, delays, or disruptions and some of our clinical trial sites had to temporarily restrict enrollment into clinical protocols. Supply chain and operational disruptions due to COVID-19 contributed to certain enrollment delays in our NKX101 clinical trial. In addition, we had minor delays in setting up certain clinical sites in our NKX019 clinical trial due to COVID-19 restrictions due to repurposing of healthcare personnel and facilities to support local pandemic efforts.</w:t>
      </w:r>
      <w:r>
        <w:rPr>
          <w:rFonts w:ascii="Times New Roman" w:hAnsi="Times New Roman"/>
          <w:sz w:val="20"/>
        </w:rPr>
        <w:t xml:space="preserve"> </w:t>
      </w:r>
    </w:p>
    <w:p>
      <w:pPr>
        <w:pStyle w:val="TextBody"/>
        <w:bidi w:val="0"/>
        <w:spacing w:before="0" w:after="200"/>
        <w:jc w:val="left"/>
        <w:rPr>
          <w:rFonts w:ascii="Times New Roman" w:hAnsi="Times New Roman"/>
          <w:sz w:val="20"/>
        </w:rPr>
      </w:pPr>
      <w:r>
        <w:rPr>
          <w:rFonts w:ascii="Times New Roman;serif" w:hAnsi="Times New Roman;serif"/>
          <w:b w:val="false"/>
          <w:sz w:val="20"/>
        </w:rPr>
        <w:t>The COVID-19 pandemic also impacted, and further COVID-19 outbreaks may impact in the future, the regulatory authorities to which we are subject in our industry, which may, in turn, hamper or delay our clinical development efforts. For instance, the COVID-19 pandemic resulted in a significant increase in the FDA workload, as well as the need to reprioritize the projects under review, and future outbreaks of COVID-19 or other epidemics may do so again in the future.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cannot predict the potential future impacts of further outbreaks of COVID-19, including its variants, or the emergence of another health epidemic on us, our research partners, including CRISPR, and other third parties with whom we conduct business. As a result of a further COVID-19 outbreak or other pandemic, epidemic or outbreak of an infectious disease, we may experience disruptions that could severely impact our business, preclinical studies and clinical trials,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delays or difficulties in enrolling patients in our clinical trials, including our ongoing NKX101 and NKX019 clinical trials;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or difficulties in clinical site initiation, including difficulties in recruiting and training clinical site investigators and clinical site staff;</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or difficulties in recruitment of key personnel;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diversion of healthcare resources away from the conduct of clinical trials, including the diversion of hospitals serving as our clinical trial sites and hospital staff supporting the conduct of our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interruption or delays in the operations of the FDA or other regulatory authorities, which may impact review and approval timelines, including the review of Investigational New Drug ("IND") or other regulatory submissions for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or supply systems;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interruption of, or delays in manufacture of our product candidates, including at our in-house manufacturing facility and CDMOs, due to staffing shortages, production slowdowns and disruptions or inability to procure critical raw materials or other supplies in a timely fashion;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or disruptions in the planning, construction or qualification of our cGMP facility for commercial-scale manufacture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interruptions in preclinical studies due to restricted or limited operations at our laboratory facility;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interruptions, or delays in receiving supplies and materials necessary for our business operations, and research and development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increases in the cost of services or supplies necessary for our research and development activities;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interruption or delays to our discovery and clinical activities. </w:t>
      </w:r>
    </w:p>
    <w:p>
      <w:pPr>
        <w:pStyle w:val="TextBody"/>
        <w:bidi w:val="0"/>
        <w:spacing w:before="240" w:after="0"/>
        <w:jc w:val="left"/>
        <w:rPr>
          <w:rFonts w:ascii="Times New Roman" w:hAnsi="Times New Roman"/>
          <w:sz w:val="20"/>
        </w:rPr>
      </w:pPr>
      <w:r>
        <w:rPr>
          <w:rFonts w:ascii="Times New Roman;serif" w:hAnsi="Times New Roman;serif"/>
          <w:b w:val="false"/>
          <w:sz w:val="20"/>
        </w:rPr>
        <w:t>On January 30, 2022, it was announced that the U.S. public health emergency declaration related to COVID-19 ("PHE Declaration") would end on May 11, 2023. On March 13, 2023, the FDA issued a Federal Register notice indicating that certain of the agency’s COVID-19 related guidance is being revised to continue in effect after expiration of the PHE Declaration. At this point, it is unclear how, if at all, these developments will impact our efforts to develop and commercialize our product candidates.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extent of any delays or impacts due to further COVID-19 outbreaks or similar health epidemics, or government regulations in response to such outbreaks or epidemics, will depend on future developments that are highly uncertain and cannot be predicted with confidence, but these delays could have a material impact on our business, financial condition, and/or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seek special designations by the regulatory authorities to expedite regulatory approvals, but may not be successful in receiving such designations, and even if received, they may not benefit the development and regulatory approval process.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may seek various expedited programs available through regulatory authority such as Regenerative Medicine Advanced Therapy ("RMAT") designation, Breakthrough Therapy designation, Fast Track designation, or PRIority MEdicine ("PRIME"), from regulatory authorities, for any product candidate that we develop. A product candidate may receive RMAT designation from the FDA if it is a regenerative medicine therapy that is intended to treat, modify, reverse or cure a serious or life-threatening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Fast Track Designation by the FDA. PRIME is a voluntary scheme launched by the European Medicines Agency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Seeking and obtaining these designations is dependent upon results of our clinical program, and we cannot guarantee whether and when we may have the data from our clinical programs to support an application to obtain any such designation.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changes in regulatory frameworks may impact our clinical development programs. For instance, the recent enactment of FDORA introduces reforms intending to expand the FDA’s ability to regulate products receiving accelerated approval. Pursuant to FDORA, the FDA is authorized to require a post-approval study to be underway prior to approval in addition to being completed within a specified time period following approval. FDORA also requires the FDA to specify the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Additionally, FDORA increased the FDA’s oversight of confirmatory trials and created a formal procedure to withdraw products approved through accelerated approval on an expedited basis for non-compliance with post-approval requirements. It is unclear how these proposals, future policy changes, and changes in FDA regulation will impact our clinical development programs.</w:t>
      </w:r>
    </w:p>
    <w:p>
      <w:pPr>
        <w:pStyle w:val="TextBody"/>
        <w:bidi w:val="0"/>
        <w:spacing w:before="360" w:after="0"/>
        <w:jc w:val="left"/>
        <w:rPr>
          <w:rFonts w:ascii="Times New Roman" w:hAnsi="Times New Roman"/>
          <w:sz w:val="20"/>
        </w:rPr>
      </w:pPr>
      <w:r>
        <w:rPr>
          <w:rFonts w:ascii="Times New Roman;serif" w:hAnsi="Times New Roman;serif"/>
          <w:b/>
          <w:i/>
          <w:sz w:val="20"/>
        </w:rPr>
        <w:t>We may seek and obtain orphan drug designation for our product candidates, and we may be unsuccessful or may be unable to maintain the benefits associated with orphan drug designation, including the potential for market exclusivity.</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Regulatory authorities in some jurisdictions, including the United States and Europe, may designate drugs for relatively low prevalence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On December 16, 2021, we announced that the FDA granted orphan drug designation to NKX101 for the treatment of AML.</w:t>
      </w:r>
    </w:p>
    <w:p>
      <w:pPr>
        <w:pStyle w:val="TextBody"/>
        <w:bidi w:val="0"/>
        <w:spacing w:before="240" w:after="0"/>
        <w:jc w:val="left"/>
        <w:rPr>
          <w:rFonts w:ascii="Times New Roman" w:hAnsi="Times New Roman"/>
          <w:sz w:val="20"/>
        </w:rPr>
      </w:pPr>
      <w:r>
        <w:rPr>
          <w:rFonts w:ascii="Times New Roman;serif" w:hAnsi="Times New Roman;serif"/>
          <w:b w:val="false"/>
          <w:sz w:val="20"/>
        </w:rPr>
        <w:t>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 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product candidates, we may never receive such designations. Even if we do receive such designations, there is no guarantee that we will enjoy the benefits of those designations.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Public opinion and scrutiny of cell-based immuno-oncology therapies for treating cancer may impact public perception of our company and product candidates, or impair our ability to conduct our business.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platform utilizes a relatively novel technology involving the genetic modification of human NK cells derived from adult healthy donors, and utilization of those modified cells in other individuals, and no NK cell-based immunotherapy has been approved to date. Further, many other cell therapies are in development, including NK cells derived from induced pluripotent stem cells (iPSCs), and negative results from those therapies may affect perception of NK cell therapy derived from adult healthy donors. Public perception may be influenced by claims, such as claims that NK cell-based immunotherapy is ineffective,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pStyle w:val="TextBody"/>
        <w:bidi w:val="0"/>
        <w:spacing w:before="360" w:after="0"/>
        <w:jc w:val="left"/>
        <w:rPr>
          <w:rFonts w:ascii="Times New Roman" w:hAnsi="Times New Roman"/>
          <w:sz w:val="20"/>
        </w:rPr>
      </w:pPr>
      <w:r>
        <w:rPr>
          <w:rFonts w:ascii="Times New Roman;serif" w:hAnsi="Times New Roman;serif"/>
          <w:b/>
          <w:i/>
          <w:sz w:val="20"/>
        </w:rPr>
        <w:t>We may not identify or discover other product candidates and may fail to capitalize on programs or product candidates that may present a greater commercial opportunity or for which there is a greater likelihood of success.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business depends upon our ability to identify, develop and commercialize product candidates. A key element of our strategy is to discover and develop additional product candidates based upon our NK 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targets for different cancers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research methodology or technology platform used may not be successful in identifying potential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competitors may develop alternatives that render our product candidates obsolete or less attractive;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choose to cease development if we determine that clinical results do not show promise;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product candidates we develop may nevertheless be covered by third parties’ patents or other exclusive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 product candidate may be shown to have harmful side effects or other characteristics that indicate it is unlikely to be effective or otherwise does not meet applicable regulatory criteria;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 product candidate may not be accepted as safe and effective by patients, the medical community or third-party payors. </w:t>
      </w:r>
    </w:p>
    <w:p>
      <w:pPr>
        <w:pStyle w:val="TextBody"/>
        <w:bidi w:val="0"/>
        <w:spacing w:before="240" w:after="0"/>
        <w:jc w:val="left"/>
        <w:rPr>
          <w:rFonts w:ascii="Times New Roman" w:hAnsi="Times New Roman"/>
          <w:sz w:val="20"/>
        </w:rPr>
      </w:pPr>
      <w:r>
        <w:rPr>
          <w:rFonts w:ascii="Times New Roman;serif" w:hAnsi="Times New Roman;serif"/>
          <w:b w:val="false"/>
          <w:sz w:val="20"/>
        </w:rPr>
        <w:t>Because we have limited resources, we must choose to pursue and fund the development of specific types of treatment, or treatment for a specific type of cancer,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any of these events occur, we may be forced to abandon or delay our development efforts with respect to a particular product candidate or fail to develop a potentially successful product candidate.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 w:hAnsi="Times New Roman"/>
          <w:sz w:val="20"/>
        </w:rPr>
      </w:pPr>
      <w:r>
        <w:rPr>
          <w:rFonts w:ascii="Times New Roman;serif" w:hAnsi="Times New Roman;serif"/>
          <w:b/>
          <w:i/>
          <w:sz w:val="20"/>
        </w:rPr>
        <w:t>If third parties that we rely on to conduct clinical trials do not successfully carry out their contractual duties, comply with regulatory requirements or meet expected deadlines, we may not be able to obtain marketing approval for or commercialize our product candidates.*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do not have the ability to independently conduct clinical trials. We rely on medical institutions, clinical investigators, contract laboratories, and other third parties, such as CROs to conduct or otherwise support clinical trials for our product candidates. We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and the third parties on which we rely for clinical trials are required to comply with regulations and requirements, including good clinical practices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do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The COVID-19 pandemic and government measures taken in response have also had a significant impact on our CROs, and we expect that they will face further disruption, which may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Although we intend to design the clinical trials for our product candidates, we plan to rely on third parties to conduct our clinical trials. As a result, many important aspects of our clinical development,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have staffing difficulties;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 to comply with contractual obligations;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experience regulatory compliance issues;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undergo changes in priorities or become financially distressed;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form relationships with other entities, some of which may be our competitors. </w:t>
      </w:r>
    </w:p>
    <w:p>
      <w:pPr>
        <w:pStyle w:val="TextBody"/>
        <w:bidi w:val="0"/>
        <w:spacing w:before="240" w:after="0"/>
        <w:jc w:val="left"/>
        <w:rPr>
          <w:rFonts w:ascii="Times New Roman" w:hAnsi="Times New Roman"/>
          <w:sz w:val="20"/>
        </w:rPr>
      </w:pPr>
      <w:r>
        <w:rPr>
          <w:rFonts w:ascii="Times New Roman;serif" w:hAnsi="Times New Roman;serif"/>
          <w:b w:val="false"/>
          <w:sz w:val="20"/>
        </w:rPr>
        <w:t>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serif" w:hAnsi="Times New Roman;serif"/>
          <w:b/>
          <w:i/>
          <w:sz w:val="20"/>
        </w:rPr>
      </w:pPr>
      <w:r>
        <w:rPr>
          <w:rFonts w:ascii="Times New Roman;serif" w:hAnsi="Times New Roman;serif"/>
          <w:b/>
          <w:i/>
          <w:sz w:val="20"/>
        </w:rPr>
        <w:t>If we are not able to establish pharmaceutical or biotechnology collaborations on commercially reasonable terms, or at all, we may have to alter our development and commercialization plans.</w:t>
      </w:r>
    </w:p>
    <w:p>
      <w:pPr>
        <w:pStyle w:val="TextBody"/>
        <w:bidi w:val="0"/>
        <w:spacing w:before="240" w:after="0"/>
        <w:jc w:val="left"/>
        <w:rPr>
          <w:rFonts w:ascii="Times New Roman" w:hAnsi="Times New Roman"/>
          <w:sz w:val="20"/>
        </w:rPr>
      </w:pPr>
      <w:r>
        <w:rPr>
          <w:rFonts w:ascii="Times New Roman;serif" w:hAnsi="Times New Roman;serif"/>
          <w:b w:val="false"/>
          <w:sz w:val="20"/>
        </w:rPr>
        <w:t>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such as our recent collaboration with CRISPR. Any of these relationships, including our relationship with CRISPR, may require us to incur non-recurring and other charges, increase our near and long-term expenditures, issue securities that dilute our existing stockholders, relinquish valuable rights to our product candidates, or disrupt our management and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We have entered into a research collaboration with CRISPR Therapeutics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may form strategic alliances or create joint ventures or collaborations with respect to our product candidates that we believe will complement or augment our existing business. We routinely engage, and are engaged, in partnering discussions with a range of pharmaceutical and biotechnology companies and could enter into new collaborations at any time. If we enter into a collaboration, strategic alliance or license arrangement, there is no guarantee that the collaboration will be successful, or that any future partner will commit sufficient resources to the development, regulatory approval, and commercialization effort for such products, or that such alliances will result in us achieving revenues that justify such transactions.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May 2021, we entered into a Research Collaboration Agreement with CRISPR (as amended, the "CRISPR Agreement") to establish research plans for the purpose of collaboratively designing and advancing up to two (2) allogeneic, gene-edited NK cell therapies and one (1) allogeneic, gene-edited NK+T cell therapy for use in the treatment of oncology, autoimmune disease, or infectious disease up to the filing of an application to a regulatory authority to request the ability to start a clinical trial. The first product candidate being developed in partnership with CRISPR is NKX070, and together with CRISPR, we may advance NKX070 for the treatment of solid tumors and blood cancers. The second product candidate being developed in partnership with CRISPR is NK+T. Additionally, under the CRISPR Agreement, CRISPR will also grant non-exclusive licenses to us on up to five gene-editing targets to enable us to independently research, develop and commercialize NK cell therapies that have been gene-edited using CRISPR’s gene-editing technology. In May 2022, we amended the CRISPR Agreement to revise the transfer of materials and nomination provisions. On March 8, 2023, the CRISPR Agreement was further amended to permit Nkarta's advancement of CRISPR-licensed product candidates targeting a specified tumor antigen (the "Specified TA") and incorporate associated development and regulatory approval milestones and sales based royalties.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If CRISPR, or any potential future collaboration partner, does not perform in the manner that we expect or fulfill their responsibilities in a timely manner or at all, the research, clinical development, regulatory approval and commercialization efforts related to the product candidates that are the subject of the collaboration with CRISPR, or that potential future collaboration partner, could be delayed or terminated. If we terminate the CRISPR Agreement in its entirety or with respect to a particular product candidate under the research collaboration with CRISPR, due to a material breach by CRISPR or CRISPR’s insolvency, then we have the right to negotiate a license from CRISPR to continue research, development, and commercialization of the terminated product candidate(s) on our own at our sole expense. We would need to pay CRISPR milestones and royalties for the terminated product candidate(s), and we may not be able to negotiate terms to the license that are favorable to us. Furthermore, assumption of sole responsibility for further development would greatly increase our expenditures and may mean we would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Whenever we enter into collaborations with third parties, we could face the following risks: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have significant discretion in determining the efforts and resources that they will apply to these collaborations;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could independently develop, or develop with third parties, products and processes that compete directly or indirectly with our products or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not properly enforce, maintain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disputes may arise between a collaborator and us that cause the delay or termination of the research, development or commercialization of the product candidate, or that result in costly litigation or arbitration that diverts management attention and resources;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if a present or future collaborator of ours were to be involved in a business combination, the continued pursuit and emphasis on our product development or commercialization program under such collaboration could be delayed, diminished or terminated;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collaboration agreements may restrict our right to independently pursue new product candidates. </w:t>
      </w:r>
    </w:p>
    <w:p>
      <w:pPr>
        <w:pStyle w:val="TextBody"/>
        <w:bidi w:val="0"/>
        <w:spacing w:before="240" w:after="0"/>
        <w:jc w:val="left"/>
        <w:rPr>
          <w:rFonts w:ascii="Times New Roman" w:hAnsi="Times New Roman"/>
          <w:sz w:val="20"/>
        </w:rPr>
      </w:pPr>
      <w:r>
        <w:rPr>
          <w:rFonts w:ascii="Times New Roman;serif" w:hAnsi="Times New Roman;serif"/>
          <w:b w:val="false"/>
          <w:sz w:val="20"/>
        </w:rPr>
        <w:t>If conflicts arise between our collaborators and us, including CRISPR, our collaborators may act in a manner adverse to us and could limit our ability to implement our strategies. CRISPR or future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a result, we may not be able to realize the benefit of new or existing</w:t>
      </w:r>
      <w:r>
        <w:rPr>
          <w:rFonts w:ascii="Times New Roman" w:hAnsi="Times New Roman"/>
          <w:sz w:val="20"/>
        </w:rPr>
        <w:t xml:space="preserve"> </w:t>
      </w:r>
      <w:r>
        <w:rPr>
          <w:rFonts w:ascii="Times New Roman;serif" w:hAnsi="Times New Roman;serif"/>
          <w:b w:val="false"/>
          <w:sz w:val="20"/>
        </w:rPr>
        <w:t>collaboration agreements and strategic partnerships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serif" w:hAnsi="Times New Roman;serif"/>
          <w:b/>
          <w:i/>
          <w:sz w:val="20"/>
        </w:rPr>
      </w:pPr>
      <w:r>
        <w:rPr>
          <w:rFonts w:ascii="Times New Roman;serif" w:hAnsi="Times New Roman;serif"/>
          <w:b/>
          <w:i/>
          <w:sz w:val="20"/>
        </w:rPr>
        <w:t>If we fail to compete effectively with academic institutions and other biopharmaceutical companies that develop similar or alternatives to cellular immunotherapy product candidates, our business will be materially adversely affected.</w:t>
      </w:r>
    </w:p>
    <w:p>
      <w:pPr>
        <w:pStyle w:val="TextBody"/>
        <w:bidi w:val="0"/>
        <w:spacing w:before="240" w:after="0"/>
        <w:jc w:val="left"/>
        <w:rPr>
          <w:rFonts w:ascii="Times New Roman" w:hAnsi="Times New Roman"/>
          <w:sz w:val="20"/>
        </w:rPr>
      </w:pPr>
      <w:r>
        <w:rPr>
          <w:rFonts w:ascii="Times New Roman;serif" w:hAnsi="Times New Roman;serif"/>
          <w:b w:val="false"/>
          <w:sz w:val="20"/>
        </w:rPr>
        <w:t>The development and commercialization of new cellular immunotherapy products is highly competitive. We face competition from existing and future competitors with respect to each of our product candidates currently in development, and will face competition with respect to other product candidates that we may seek to develop or commercialize in the future. For example, the autologous cell therapies Kymriah</w:t>
      </w:r>
      <w:r>
        <w:rPr>
          <w:rFonts w:ascii="Times New Roman;serif" w:hAnsi="Times New Roman;serif"/>
          <w:b w:val="false"/>
          <w:sz w:val="13"/>
        </w:rPr>
        <w:t>®</w:t>
      </w:r>
      <w:r>
        <w:rPr>
          <w:rFonts w:ascii="Times New Roman;serif" w:hAnsi="Times New Roman;serif"/>
          <w:b w:val="false"/>
          <w:sz w:val="20"/>
        </w:rPr>
        <w:t>, Yescarta</w:t>
      </w:r>
      <w:r>
        <w:rPr>
          <w:rFonts w:ascii="Times New Roman;serif" w:hAnsi="Times New Roman;serif"/>
          <w:b w:val="false"/>
          <w:sz w:val="13"/>
        </w:rPr>
        <w:t>®</w:t>
      </w:r>
      <w:r>
        <w:rPr>
          <w:rFonts w:ascii="Times New Roman;serif" w:hAnsi="Times New Roman;serif"/>
          <w:b w:val="false"/>
          <w:sz w:val="20"/>
        </w:rPr>
        <w:t>, Tecartus</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and Breyanzi</w:t>
      </w:r>
      <w:r>
        <w:rPr>
          <w:rFonts w:ascii="Times New Roman;serif" w:hAnsi="Times New Roman;serif"/>
          <w:b w:val="false"/>
          <w:sz w:val="13"/>
        </w:rPr>
        <w:t>®</w:t>
      </w:r>
      <w:r>
        <w:rPr>
          <w:rFonts w:ascii="Times New Roman;serif" w:hAnsi="Times New Roman;serif"/>
          <w:b w:val="false"/>
          <w:sz w:val="20"/>
        </w:rPr>
        <w:t>, which have been commercially approved, are direct competitors to our product candidate NKX019. In addition, other competitors, including biopharmaceutical companies, have clinical-stage or earlier stage allogenic programs, and a number of other companies are seeking to harness NK biology through engagers that seek to direct a patient’s own NK cells to the site of a tumor or are investigating other types of immune cells. Other biopharmaceutical companies are developing bi-specific antibodies, which are also direct competitors to NKX019. Numerous academic institutions are also conducting preclinical and clinical research in these areas, as well as with other white blood cell types including NKT cells and gamma-delta T cells. It is also possible that new competitors, including those developing similar or alternatives to cellular immunotherapy product 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We will need to increase the size of our organization, and we may experience difficulties in managing growth.*</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March 31, 2023, we had 165 full-time employees. We will need to continue to expand our managerial, operational, clinical, quality, human resources, legal, manufacturing, supply chain, finance, commercial and other resources in order to manage our operations and clinical trials, continue our development activities and eventually commercialize our product candidates. Our management and personnel, systems and facilities currently in place may not be adequate to support this future growth. Our need to effectively execute our growth strategy requires that we: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discover new product candidates, develop the process and analytical methods for IND-enabling studies and FDA submissions, complete the required IND-enabling studies for each, and receive approval from the FDA and other regulatory authorities to initiate clinical trials for such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manage our clinical trials effectively;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identify, recruit, retain, incentivize and integrate additional employees;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expand into additional office and laboratory space as we grow our employee base;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manage our in-house clinical cGMP manufacturing facility and establish and validate our commercial cGMP manufacturing facility;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continue to improve our operational, financial and management controls, reports systems and procedures. </w:t>
      </w:r>
    </w:p>
    <w:p>
      <w:pPr>
        <w:pStyle w:val="TextBody"/>
        <w:bidi w:val="0"/>
        <w:spacing w:before="240" w:after="0"/>
        <w:jc w:val="left"/>
        <w:rPr>
          <w:rFonts w:ascii="Times New Roman" w:hAnsi="Times New Roman"/>
          <w:sz w:val="20"/>
        </w:rPr>
      </w:pPr>
      <w:r>
        <w:rPr>
          <w:rFonts w:ascii="Times New Roman;serif" w:hAnsi="Times New Roman;serif"/>
          <w:b w:val="false"/>
          <w:sz w:val="20"/>
        </w:rPr>
        <w:t>If we are unable to attract skilled employees, increase the size of our organization or manage our future growth effectively, it will impair our ability to execute our business strategy and our business, financial condition, results of operations and growth prospects will be materially adversely affected.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we fail to attract and retain senior management, clinical, and key scientific personnel, we may be unable to successfully develop our product candidates, conduct our clinical trials and commercialize our product candidates.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manufacturing activities, or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bidi w:val="0"/>
        <w:spacing w:before="360" w:after="0"/>
        <w:jc w:val="left"/>
        <w:rPr>
          <w:rFonts w:ascii="Times New Roman" w:hAnsi="Times New Roman"/>
          <w:sz w:val="20"/>
        </w:rPr>
      </w:pPr>
      <w:r>
        <w:rPr>
          <w:rFonts w:ascii="Times New Roman;serif" w:hAnsi="Times New Roman;serif"/>
          <w:b/>
          <w:i/>
          <w:sz w:val="20"/>
        </w:rPr>
        <w:t>Product liability lawsuits against us could cause us to incur substantial liabilities and could limit commercialization of any product candidate that we may develop.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decreased demand for any product candidate that we may develop;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loss of revenue;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substantial monetary awards to trial participants or patients;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significant time and costs to defend the related litigation;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withdrawal of clinical trial participants;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increased insurance costs;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inability to commercialize any product candidate that we may develop;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injury to our reputation and significant negative media attention. </w:t>
      </w:r>
    </w:p>
    <w:p>
      <w:pPr>
        <w:pStyle w:val="TextBody"/>
        <w:bidi w:val="0"/>
        <w:spacing w:before="240" w:after="0"/>
        <w:jc w:val="left"/>
        <w:rPr>
          <w:rFonts w:ascii="Times New Roman" w:hAnsi="Times New Roman"/>
          <w:sz w:val="20"/>
        </w:rPr>
      </w:pPr>
      <w:r>
        <w:rPr>
          <w:rFonts w:ascii="Times New Roman;serif" w:hAnsi="Times New Roman;serif"/>
          <w:b w:val="false"/>
          <w:sz w:val="20"/>
        </w:rPr>
        <w:t>Any such outcomes could materially adversely affect our business, financial condition, results of operations and growth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insurance policies may be inadequate, may not cover all of our potential liabilities and may potentially expose us to unrecoverable risks.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business involves the use of hazardous materials and we and our third-party manufacturers and suppliers must comply with environmental laws and regulations, which can be expensive and restrict how we do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research and development and manufacturing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We cannot eliminate the risk of contamination, which could cause an interruption of our research and development efforts and business operations, including drug supply and inventory, and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business could be negatively impacted by the failure to address emerging environmental, social, and corporate governance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There is an increasing focus from investors, employees, business partners, and other stakeholders concerning environmental, social, and corporate governance ("ESG") matters. The expectations related to ESG matters are rapidly evolving and, while we have internal efforts directed at ESG matters and preparations for any increased required future disclosures, we may be perceived to not be adequately addressing these matters, which could negatively impact our reputation and our business. Moreover, the SEC has recently proposed, and may continue to propose, certain mandated ESG reporting requirements, such as the SEC’s proposed rules designed to enhance and standardize climate-related disclosures, which, if finally approved, would significantly increase our compliance and reporting costs and may also result in disclosures that could have a negative impact on investor perception. In addition, we currently do not report our environmental emissions, and our lack of reporting could result in certain investors declining to invest in our common stock.</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Risks Related to Manufacturing</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pStyle w:val="TextBody"/>
        <w:bidi w:val="0"/>
        <w:spacing w:before="240" w:after="0"/>
        <w:jc w:val="left"/>
        <w:rPr>
          <w:rFonts w:ascii="Times New Roman" w:hAnsi="Times New Roman"/>
          <w:sz w:val="20"/>
        </w:rPr>
      </w:pPr>
      <w:r>
        <w:rPr>
          <w:rFonts w:ascii="Times New Roman;serif" w:hAnsi="Times New Roman;serif"/>
          <w:b w:val="false"/>
          <w:sz w:val="20"/>
        </w:rPr>
        <w:t>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genome editing the NK cells (for certain product candidates with such edits), introducing a gamma-retrovirus with genes encoding the proteins we wish to express, cryopreservation, storage and eventually shipment. As a result of these complexities, the cost to manufacture our cellular product candidates, our proprietary, engineered K562 stimulatory cells ("NKSTIM"), and viral vector is generally higher than traditional small-molecule chemical compounds or biologics, and the manufacturing process is presently less reliable and more difficult to reproduce.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Any failure in the manufacturing processes could render a batch of product unusable, could impact supply and delay the progress of our clinical trials, could affect the regulatory approval of such product candidate, could cause us to incur fines or penalties or could harm our reputation and that of our product candidates.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manufactured product candidates may fail to meet the required specifications for any of a variety of reasons, including variability in starting material, deviations from normal manufacturing process, or insufficient optimization of specific process steps. This failure to meet specifications could result in supply shortages, or delays related to obtaining additional regulatory, site and patient approvals to continue dosing patients in the clinical trial. If the required additional approvals cannot be obtained, additional delays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may occur as manufacturing would need to be restarted and/or the patient may be unable to remain in the study. Any delay in the clinical development or commercialization of NKX101, NKX019, or our other product candidates could materially adversely affect our business, financial condition, results of operations and growth prospects.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may make changes to our manufacturing process at various points during development, and even after commercialization, for various reasons, such as to control costs, achieve scale, decrease processing time, increase manufacturing success rate or for other reasons.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Changes to our process made during the course of clinical development could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verify process changes during scale up.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Although we are manufacturing NKX019 in our own internal manufacturing facility for the NKX019 Phase 1 clinical trial, and plan to manufacture other product candidates, including NKX101, in our internal manufacturing facilities in the future, we may encounter problems with the internal production of our product candidates. We believe our current clinical cGMP manufacturing facility will supply our anticipated non-pivotal clinical trial needs, but if the dose and number of cycles needed increases, our current manufacturing process may not be able to support the enrollment of trials which could lead to delays until we scale up the manufacturing. Although we have an internal cGMP manufacturing facility for the production of certain of our product candidates for our early-stage clinical trials has been completed, we do not yet have a cGMP facility for the commercial-scale manufacture of our product candidates. We are currently building a commercial-scale cGMP manufacturing facility. Building and maintaining a commercial-scale facility and manufacturing product candidates in our own facilities will require an increase in staff and significant internal resources. Our manufacturing facilities will be subject to compliance with regulatory requirements, which we may struggle to meet. We may encounter problems with properly staffing our internal manufacturing facilities due to hiring challenges or other issues. For example, factors such as potential future outbreaks of COVID-19 variants and related restrictions could impact our ability to properly staff production of our product candidates. We experienced delays in the construction of our cGMP manufacturing facilities due to the COVID-19 pandemic and current macroeconomic conditions and may in the future experience similar delays due to future COVID-19 outbreaks. Current inflationary pressures are negatively affecting and could continue to negatively affect the costs of constructing our commercial-scale manufacturing facility. Global supply chain disruptions, including procurement delays and long lead times on certain materials, have adversely impacted and could continue to adversely impact the scheduled completion and/or costs of constructing our commercial-scale manufacturing facility. We may also encounter problems with training the staff we have to effectively manage and control the complex manufacturing process required to produce our product candidates and comply with all necessary regulations. We may also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We rely on third parties to manufacture certain of our product candidates, or certain materials for use in the production of our product candidates, which increases the risk that we will not have sufficient quantities of such product candidates or materials, or such quantities at an acceptable cost, which could delay, prevent or impair our development or commercialization efforts.*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Although we are building a commercial-scale manufacturing facility, we do not yet operate our own cGMP facility for the production of commercial supplies of the product candidates that we are developing or evaluating in our development programs or supplies of such product candidates for pivotal clinical trials. We have limited personnel with experience in drug manufacturing and currently lack the resources and the capabilities to manufacture any of our product candidates on a commercial scale. If we are unable to successfully build, maintain and staff our own commercial-scale cGMP facility, we will need to rely on third parties for commercial-scale manufacture of our product candidates. Although we intend to manufacture NKX101 at our cGMP facility in 2023, we currently rely on a third-party manufacturer for our clinical supply of NKX101. We compete with other companies for access to third party cGMP facilities and cannot assure continued access.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we currently outsource manufacturing of certain critical materials necessary for production of our product candidates, including NKSTIM and viral vectors. Even though we have established our own internal cGMP facility for clinical supply of certain product candidates, and even if we successfully establish our own cGMP manufacturing facility for manufacture of our product candidates on a commercial scale, we will continue to outsource manufacturing of certain materials necessary for production of our product candidates. If we are unable to outsource the manufacturing of these materials or our established third-party manufacturers delay delivery of or fail to provide certain materials as needed for the production of our product candidates, then the production of our clinical or commercial supply may be impacted.</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establish and maintain arrangements with third-party manufacturers, reliance on third-party manufacturers for either clinical or commercial supply entails risks,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reliance on the third-party for regulatory compliance and quality assurance;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possible breach of the manufacturing agreement by the third-party;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possible misappropriation of our proprietary information, including our trade secrets and know-how;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possible termination or nonrenewal of the agreement by the third-party at a time that is costly or inconvenient for us. </w:t>
      </w:r>
    </w:p>
    <w:p>
      <w:pPr>
        <w:pStyle w:val="TextBody"/>
        <w:bidi w:val="0"/>
        <w:spacing w:before="240" w:after="0"/>
        <w:jc w:val="left"/>
        <w:rPr>
          <w:rFonts w:ascii="Times New Roman" w:hAnsi="Times New Roman"/>
          <w:sz w:val="20"/>
        </w:rPr>
      </w:pPr>
      <w:r>
        <w:rPr>
          <w:rFonts w:ascii="Times New Roman;serif" w:hAnsi="Times New Roman;serif"/>
          <w:b w:val="false"/>
          <w:sz w:val="20"/>
        </w:rPr>
        <w:t>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the third parties that we engage to supply any materials or to manufacture any products for our preclinical tests and clinical trials should cease to continue to do so for any reason, including due to the effects of the COVID-19 pandemic and the actions undertaken by governments and private enterprises to contain COVID-19,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At some of our contract manufacturing sites, COVID-19-related restrictions, including temporary shutdowns, and instances of COVID-19 cases impacting personnel have resulted in some delays.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current and anticipated dependence upon others for the manufacture of our product candidates and materials necessary for production of our product candidates may adversely affect our profit margins and our ability to develop product candidates and commercialize any products that receive marketing approval on a timely and competitive basis.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are reliant on a sole supplier for certain steps of our manufacturing process.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manufacturing process for NKX101 and for NKX019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strategy to mitigate against the risk of shortage due to disruption of the supply chain.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result in lower yields or not be as suitable for our purposes. In addition, some of the raw materials that we use are complex materials, which</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may be more difficult to substitute. Therefore, supply disruptions could result in delays and additional regulatory submissions and prevent us from being able to manufacture our product candidates due to the unsuitability of the substituted reagent or consumable that we are able to procure. Substitution of some or all of these reagents and materials may require substantial changes to our manufacturing process, which may require us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Any disruption in supply of these instruments and reagents could also result in delays in our clinical trials, which would materially adversely affect our business, financial condition, results of operations and growth prospects.</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Delays in commissioning and receiving regulatory approvals for our manufacturing facilities could delay our development plans and thereby limit our ability to develop our product candidates and generate revenues.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believe that internal cGMP manufacturing is important to facilitate clinical product supply, lower the risk of manufacturing disruptions and enable more cost-effective manufacturing. We have a cGMP facility in South San Francisco, California that allows us to supply the product candidates needed for our early-stage clinical trials. We are also building a facility for the commercial-scale manufacture of our product candidates. The design, construction, qualification, regulatory approvals and maintenance for such facilities require substantial capital and technical expertise and any delay would limit our development activities and our opportunities for growth.</w:t>
      </w:r>
    </w:p>
    <w:p>
      <w:pPr>
        <w:pStyle w:val="TextBody"/>
        <w:bidi w:val="0"/>
        <w:spacing w:before="240" w:after="0"/>
        <w:jc w:val="left"/>
        <w:rPr>
          <w:rFonts w:ascii="Times New Roman" w:hAnsi="Times New Roman"/>
          <w:sz w:val="20"/>
        </w:rPr>
      </w:pPr>
      <w:r>
        <w:rPr>
          <w:rFonts w:ascii="Times New Roman;serif" w:hAnsi="Times New Roman;serif"/>
          <w:b w:val="false"/>
          <w:sz w:val="20"/>
        </w:rPr>
        <w:t>Furthermore, our manufacturing facilities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 candidates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 revocation, seizures or recalls of drug candidates, operating restrictions and criminal prosecutions, any of which could materially adversely affect our business, financial condition, results of operations and growth prospects.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also may encounter problems with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complying with regulations regarding evolving donor infectious disease testing, traceability, manufacturing, release of product candidates and other requirements from regulatory authorities outside the United States;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achieving adequate or clinical-grade materials that meet regulatory agency standards or specifications with consistent and acceptable production yield and costs;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bacterial, fungal or viral contamination in our manufacturing facilities;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disruptions due to natural disasters or supply chain interruptions;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shortages of qualified personnel, raw materials or key contractors.</w:t>
      </w:r>
    </w:p>
    <w:p>
      <w:pPr>
        <w:pStyle w:val="TextBody"/>
        <w:bidi w:val="0"/>
        <w:spacing w:before="240" w:after="0"/>
        <w:jc w:val="left"/>
        <w:rPr>
          <w:rFonts w:ascii="Times New Roman" w:hAnsi="Times New Roman"/>
          <w:sz w:val="20"/>
        </w:rPr>
      </w:pPr>
      <w:r>
        <w:rPr>
          <w:rFonts w:ascii="Times New Roman;serif" w:hAnsi="Times New Roman;serif"/>
          <w:b w:val="false"/>
          <w:sz w:val="20"/>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The optimal donor and manufacturing parameters for our product candidates have not been definitively established, which may hinder our ability to optimize our product candidates or to address any safety or efficacy issues that may arise.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we have not, at present, fully characterized or identified how donor characteristics and manufacturing process parameters affect the optimal cancer cell killing ability for our engineered NK cell product candidates for in vitro and animal efficacy studies or how such potency differences may translate into efficacy to be seen in human clinical trials, including both the proportion of patients who achieve a</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are dependent on third parties to store our CAR NK cells, viral vector, master and working cell banks of NKSTIM, and any damage or loss would cause delays in replacement, and our business could suffer.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CAR NK cells, the viral vector, and the master and working cell banks of NKSTIM are stored in freezers at third-party biorepositories and will also be stored in our freezers at our production facility. If these materials are damaged at these facilities, including by the loss or malfunction of these freezers or our back-up power systems, as well as by damage from fire, power loss or other natural disasters, we would need to establish replacement CAR NK cells, viral vector, and master and working cell banks of NKSTIM, which would impact clinical supply and delay our patients’ treatments. If we are unable to establish replacement materials, we could incur significant additional expenses and liability to patients whose treatment is delayed, and our business could suffer.</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have not yet developed a validated methodology for freezing and thawing commercial-scale quantities of CAR NK cells, which we believe will be required for the storage and distribution of our CAR NK product candidates.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have not yet demonstrated that CAR 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are unable to freeze CAR NK cells for shipping purposes, our ability to promote adoption and standardization of our product candidates, as well as achieve economies of scale by centralizing our production facility, will be limited. Even if we are able to successfully freeze and thaw CAR NK cells in large quantities, we will still need to develop a cost-effective and reliable distribution and logistics network, which we may be unable to accomplish.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Furthermore, we have not yet demonstrated long-term stability of cryopreserved CAR NK cells and therefore do not know if we will be able to store the cryopreserved cells for extended periods of time. If we are unable to demonstrate long-term stability, we will need to reduce the manufacturing batch size to ensure that the material we produce will be used before it expires. In that case, the scaling of our production processes will not deliver the efficiencies we expect, and the cost per dose of our product candidates will be substantially higher.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For these and other reasons, we have not yet established the long-term stability of our cryopreserved CAR NK cells and we may not be able to commercialize CAR NK cells on a large scale or in a cost-effective manner. If such product candidate is found to be instable, we would be required to conduct more frequent manufacturing runs, which could cause us to incur significant additional expenses.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Risks Related to Our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our license agreement with National University of Singapore and St. Jude Children’s Research Hospital, Inc. is terminated, we could lose our rights to key components enabling our NK cell engineering platform.*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August 2016, we entered into a license agreement with the National University of Singapore and St. Jude Children’s Research Hospital, Inc. (the "Licensors"). Pursuant to this license, the Licensors granted to us an exclusive, worldwide, royalty-bearing, sublicensable license to specified patents and patent applications related to NK cell technology in the field of therapeutics. We are reliant upon certain rights and proprietary technology provided to us under this license for the production and development of certain of our product candidates, such as NKX101, NKX019 and NKX070.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or necessary to the development or production of our product candidates, including NKX101, NKX019 and NKX070, which could impede or prevent our successful commercialization of such product candidates and materially adversely affect our business, financial condition, results of operations and growth prospects.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Furthermore, our license agreement with the Licensors is field-specific and has been granted to us in the field of therapeutics. This license agreement permits the Licensors to practice the licensed rights, and to allow non-profit academic third parties to practice the licensed rights for certain academic purposes. Further, one of the Licensors’ patent families from which we license certain patents and patent applications contains other certain patents and patent applications that the Licensors have licensed to at least one third party. Although the patents and patent applications licensed to the at least one third party should not overlap with our licensed patents and patent applications,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development and commercialization rights to our current and future product candidates and technology are subject, in part, to the terms and conditions of licenses granted to us by others.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are a party to a variety of intellectual property license agreements with third parties and expect to enter into additional license agreements in the future. These license agreements provide us with access to certain rights and proprietary technology from third parties for the production and development of our current and future product candidates, including NKX101, NKX019 and NKX070. However, these licenses may not provide exclusive rights to use such intellectual property and technology in all relevant fields of use and in all territories in which we choose to develop or commercialize our technology and product candidates in the future. As a result, we may not be able to prevent competitors from developing and commercializing competitive products in territories included in all of our licenses.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the institution.</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also have entered, and may in the future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 For example, we have entered into an agreement with CRISPR, which grants us a non-exclusive license on up to five gene-editing targets to enable us to independently research, develop and commercialize NK cell therapies that have been gene-edited using CRISPR’s gene-editing technology.</w:t>
      </w:r>
    </w:p>
    <w:p>
      <w:pPr>
        <w:pStyle w:val="TextBody"/>
        <w:bidi w:val="0"/>
        <w:spacing w:before="240" w:after="0"/>
        <w:jc w:val="left"/>
        <w:rPr>
          <w:rFonts w:ascii="Times New Roman" w:hAnsi="Times New Roman"/>
          <w:sz w:val="20"/>
        </w:rPr>
      </w:pPr>
      <w:r>
        <w:rPr>
          <w:rFonts w:ascii="Times New Roman;serif" w:hAnsi="Times New Roman;serif"/>
          <w:b w:val="false"/>
          <w:sz w:val="20"/>
        </w:rPr>
        <w:t>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materially adversely affect our business, financial condition, results of operations and growth prospects.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existing license agreements impose, and we expect that our future license agreements will impose, various diligence, milestone payment, royalty, insurance, indemnification and other obligations on us. Under certain circumstances such as a material breach of terms, our licensors could terminate our license agreements. If these in-licenses are terminated, or if the underlying patents fail to provide the intended exclusivity, competitors could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For example, if we do not have the right to control patent prosecution and maintenance of patents and patent applications directed to the technology that we license from licensors, such licensors could file terminal disclaimers and/or take other actions that could shorten the term of the patents or patent applications. If our licensors fail to prosecute, maintain, enforce and defend such patents, or lose rights to those patents or patent applications, the rights we have licensed may be reduced or eliminated, and our right to develop and commercialize any of our product candidates that are the subject of such licensed rights could be impaired. Additionally, we may be required to reimburse our licensors for all of their expenses related to the prosecution, maintenance, enforcement and defense of patents and patent applications that we in-license from them.</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Furthermore, 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harm our competitive position, and our business.</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Duration of patent terms may be inadequate to protect our competitive position on our product candidates for an adequate amount of time, and the expiration of our patents may subject us to increased competition.*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March 31, 2023, the patent portfolio that is assigned to us, jointly owned with others or licensed to us includes issued patents in the United States, Europe, Japan, and other jurisdictions outside the United States, and pending patent applications in the United States, Europe, Japan, and other jurisdictions outside the United States across our platform, NKX101, NKX019, and NKX070 patent families. Our portfolio of issued patents, excluding pending patent applications, has estimated expiration dates between 2024 and 2040. Our portfolio, including issued patents, and including pending applications if they issue, has estimated expiration dates between 2024 and 2044. For instance, composition of matter claims in our licensed patent portfolio that relate to our NKSTIM are estimated to expire in Q4 2024. We plan to file additional patent applications that could potentially allow for further increase of the exclusive market protection for use of NKX101, NKX019, and NKX070 product candidates. However, we can provide no assurance that we will be able to file or receive additional patent protection for these or other product candidates.</w:t>
      </w:r>
    </w:p>
    <w:p>
      <w:pPr>
        <w:pStyle w:val="TextBody"/>
        <w:bidi w:val="0"/>
        <w:spacing w:before="240" w:after="0"/>
        <w:jc w:val="left"/>
        <w:rPr>
          <w:rFonts w:ascii="Times New Roman" w:hAnsi="Times New Roman"/>
          <w:sz w:val="20"/>
        </w:rPr>
      </w:pPr>
      <w:r>
        <w:rPr>
          <w:rFonts w:ascii="Times New Roman;serif" w:hAnsi="Times New Roman;serif"/>
          <w:b w:val="false"/>
          <w:sz w:val="20"/>
        </w:rPr>
        <w:t>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In addition, if we fail to apply for applicable patent term extensions or adjustments, we will have a more limited time during which we can enforce our granted patent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United States Patent and Trademark Office (the "USPTO") in the United States, and any equivalent regulatory authority in other countries, may not agree with our assessment of whether such extensions are available, and may refuse to grant extensions to our patents, or may grant more limited extensions than we request. If we are responsible for patent prosecution and maintenance of patent rights in-licensed to us, we could be exposed to liability to the applicable patent owner. If we or our licensors fail to maintain the patents and patent applications covering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 launch their product earlier than might otherwise be the case, which could increase competition for our product candidates and materially adversely affect our business, financial condition, results of operations and growth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any patent protection we obtain is not sufficiently robust, our competitors could develop and commercialize products and technology similar or identical to ours.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 and licensing costs that we have incurred. This, in turn, would materially adversely affect our ability to compete in the market.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patent position of biotechnology and pharmaceutical companies generally is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issued that protect our technology or product candidates or effectively prevent others from commercializing competitive technologies and product candidates.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patent prosecution process is expensive, time-consuming and complex, and we may not be able to file, prosecute, maintain, enforce or license all necessary or desirable patent applications at a reasonable cost or in a timely manner. We also may fail to identify patentable aspects of our research and development output, or may identify patentable aspects of our research and development output once it is too late to obtain patent protection.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Claim scope in a patent application can be significantly reduced before the patent is issued, and claim scope in a patent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Even after issuance, our owned and in-licensed patents may be subject to challenge, which if successful could require us to obtain licenses from third parties, which may not be available on commercially reasonable terms or at all, or to cease the use of the underlying technology, which could materially adversely affect our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patent claims being narrowed, invalidated or held unenforceable, which could limit our ability to prevent others from using or commercializing similar or identical technology and products, or could limit the duration of the patent protection of our technology and product candidates.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Even if our patents are determined to be valid and enforceable, they may not be interpreted sufficiently broadly to prevent others from marketing products similar to ours or designing around our patents.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Ex parte reexaminations have been filed by one or more third parties against certain licensed patents in our portfolio. Ex parte reexaminations of U.S. Patent Nos. 9,511,092 (the "’092 Patent"), 10,774,309 (the "’309 Patent"), and 10,829,737 (the "’737 Patent") were recently concluded, resulting in the claims of each patent being maintained in amended form. None of the claims of the ’092, ’309, and ’737 Patents as maintained in amended form relate to any of our current product candidates. Additional ex parte reexaminations could be filed in the future and although we plan to vigorously protect our intellectual property rights, as with all legal proceedings, there can be no guarantee as to the outcome, and, regardless of the merits of third-party challenges, such proceedings are time-consuming and costly. As a result of such reexaminations, our rights under the relevant patents could be narrowed or lost, and in the course of such proceedings, we may incur substantial costs, and the time and attention of our management may be diverted from the development and commercialization of our product candidates.</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We may not identify relevant third-party patents or may incorrectly interpret the relevance, scope or expiration of a third-party patent, which could materially adversely affect our ability to develop, manufacture and market our product candidates.</w:t>
      </w:r>
    </w:p>
    <w:p>
      <w:pPr>
        <w:pStyle w:val="TextBody"/>
        <w:bidi w:val="0"/>
        <w:spacing w:before="240" w:after="0"/>
        <w:jc w:val="left"/>
        <w:rPr>
          <w:rFonts w:ascii="Times New Roman" w:hAnsi="Times New Roman"/>
          <w:sz w:val="20"/>
        </w:rPr>
      </w:pPr>
      <w:r>
        <w:rPr>
          <w:rFonts w:ascii="Times New Roman;serif" w:hAnsi="Times New Roman;serif"/>
          <w:b w:val="false"/>
          <w:sz w:val="20"/>
        </w:rPr>
        <w:t>There are many patents issued and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 candidates or technology similar to ours or that of our licensors. Any such patent application may have an earlier priority date than our patent applications or patents, or those of our licensors, which could further require us to obtain rights to patents directed to such technologies. Under certain circumstances, if third parties have filed such patent applications, an interference proceeding in the United States can be initiated by any such third party, or by the USPTO itself, to determine who was the first to invent any of the subject matter recited by the patent claims of our applications or issued patents.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or technology are not covered by a third party's patent or may incorrectly predict whether a third party’s pending application will issue with claims of relevant scope. Our determination of the expiration date of any patent in the United States or elsewhere that we consider relevant may also be incorrect. If we fail to correctly identify or interpret relevant patents,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or technology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success depends in part on our ability to develop, manufacture and market our technology and use our technology without infringing the proprietary rights of third parties. We or our collaborators may be subject to third-party claims that could cause us to incur substantial expenses to defend and these claims, if successful, could require us to pay substantial damages and/or limit our ability to commercialize our product candidates if we or our collaborators are found to be infringing a third party’s intellectual property rights.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are aware of third-party patents and patent applications that may relate to the areas in which we are developing product candidates. Additionally, as our industry expands and more patents are issued, the risk increases that there may be patents issued to third parties that relate to our product candidates and technology of which we are not aware or that we may need to challenge to continue our operations as currently contemplated. As a result, our technology and any future products that we commercialize could be alleged to infringe patent rights or other proprietary rights of third parties, which may require costly litigation and, if we are not successful in defending against such litigation, could cause us to pay substantial damages and/or limit our ability to commercialize our product candidates. Issued patents are entitled to a presumption of validity in many countries, including the United States and many European countries, and issued patents held by others that claim our technology or any of our product candidates may limit our freedom to operate, including our ability to commercialize our product candidates, unless and until these patents expire or are declared invalid or unenforceable in a court of applicable jurisdiction, if we do not obtain a license or other right to practice the claimed inventions. We may decide to file reexaminations, inter partes reviews, and other post-grant proceedings before the USPTO and other comparable proceedings (e.g., oppositions) in foreign jurisdictions, including to challenge the validity of third-party patents that may relate to the areas in which we are developing product candidates and technology. Such proceedings can be unpredictable and time consuming and can divert management attention and financial resources.</w:t>
      </w:r>
    </w:p>
    <w:p>
      <w:pPr>
        <w:pStyle w:val="TextBody"/>
        <w:bidi w:val="0"/>
        <w:spacing w:before="240" w:after="0"/>
        <w:jc w:val="left"/>
        <w:rPr>
          <w:rFonts w:ascii="Times New Roman" w:hAnsi="Times New Roman"/>
          <w:sz w:val="20"/>
        </w:rPr>
      </w:pPr>
      <w:r>
        <w:rPr>
          <w:rFonts w:ascii="Times New Roman;serif" w:hAnsi="Times New Roman;serif"/>
          <w:b w:val="false"/>
          <w:sz w:val="20"/>
        </w:rPr>
        <w:t>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Third parties could threaten or initiate litigation or other legal proceedings alleging that we have infringed their patents, trade secrets, trademarks or other intellectual property rights.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Results of any such litigation are difficult to predict and may require us to stop treating certain conditions, obtain licenses or modify our product candidates or technology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our product candidates or require us to take a license from a third party, which the third party is not required to do at a commercially reasonable price or at all. If a license is available from a third party, we may have to pay substantial royalties, upfront fees, or milestone fees, or grant cross-licenses to intellectual property rights for our product candidates or technology. We may also have to redesign our product candidates or technology so they do not infringe third-party intellectual property rights, which may not be possible or may require substantial monetary expenditures and time, during which our product candidates may not be available for manufacture, use, or sale.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 w:hAnsi="Times New Roman"/>
          <w:sz w:val="20"/>
        </w:rPr>
      </w:pPr>
      <w:r>
        <w:rPr>
          <w:rFonts w:ascii="Times New Roman;serif" w:hAnsi="Times New Roman;serif"/>
          <w:b/>
          <w:i/>
          <w:sz w:val="20"/>
        </w:rPr>
        <w:t>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candidates or service features, which could in turn reduce demand for our products.</w:t>
      </w:r>
    </w:p>
    <w:p>
      <w:pPr>
        <w:pStyle w:val="TextBody"/>
        <w:bidi w:val="0"/>
        <w:spacing w:before="240" w:after="0"/>
        <w:jc w:val="left"/>
        <w:rPr>
          <w:rFonts w:ascii="Times New Roman" w:hAnsi="Times New Roman"/>
          <w:sz w:val="20"/>
        </w:rPr>
      </w:pPr>
      <w:r>
        <w:rPr>
          <w:rFonts w:ascii="Times New Roman;serif" w:hAnsi="Times New Roman;serif"/>
          <w:b w:val="false"/>
          <w:sz w:val="20"/>
        </w:rPr>
        <w:t>We may also, from time to time, seek to enforce our intellectual property rights against infringers when we determine that a successful outcome is probable and may lead to an increase in the value of the 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we choose to enforce our patent rights against a party, that party could counterclaim that our patent is invalid and/or unenforceable. The defendant may challenge our patents through proceedings before the Patent Trial and Appeal Board ("PTAB"), including inter partes and post-grant review. Proceedings to challenge patents are also available internationally, including, for example, opposition proceedings and nullity actions. In patent litigation in the United States, counterclaims alleging invalidity and/or unenforceability and PTAB challenges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will not seek to protect our intellectual property rights in all jurisdictions throughout the world and we may not be able to adequately enforce our intellectual property rights even in the jurisdictions where we seek protection.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have a number of international patents and patent applications and expect to continue to pursue patent protection in many of the significant markets in which we intend to do business. However, filing, prosecuting and defending patents relating to our product candidates and technology,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Furthermore, the protection offered by intellectual property rights in certain countries outside of the United States may be less extensive than those in the United States.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 w:hAnsi="Times New Roman"/>
          <w:sz w:val="20"/>
        </w:rPr>
      </w:pPr>
      <w:r>
        <w:rPr>
          <w:rFonts w:ascii="Times New Roman;serif" w:hAnsi="Times New Roman;serif"/>
          <w:b/>
          <w:i/>
          <w:sz w:val="20"/>
        </w:rPr>
        <w:t>Changes in U.S. patent law or the patent law of other jurisdictions could decrease the certainty of our ability to obtain patents and diminish the value of patents in general, thereby impairing our ability to protect our current and any future product candidates.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over the past 20 years,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Changes in either the patent laws or interpretation of the patent laws in the United States could increase the uncertainties and costs surrounding the prosecution of patent applications and the enforcement or defense of issued patents. For instance, the Leahy-Smith America Invents Act (the "America Invents Act"), enacted in 2011, included a number of significant changes to patent law in the United States. Many of the substantive changes to patent law under the America Invents Act came into effect in March 2013. For example, in March 2013, the United States transitioned from a “first-to-invent” patent system to a patent system in which, assuming that other requirements for patentability are met, the first inventor to file a patent application is entitled to the patent on an invention regardless of whether a third party was the first to invent the claimed invention. The America Invents Act also included a number of significant changes that affect the way patent applications are prosecuted and how issued patents may be challenged, such as allowing third-party submission of prior art to the USPTO during patent prosecution and new post-grant administrative proceedings which can be used by third parties to attack the validity of an issued patent, including post-grant review, inter partes review and derivation proceedings. The America Invents Act and its implementation could increase the uncertainties and/or costs surrounding the prosecution of our patent applications and the enforcement or defense of our issued patents, all of which could materially adversely affect our business, financial condition, results of operations and growth prospects.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 For example, the complexity and uncertainty of European patent laws have also increased in recent years. In Europe, a new unitary patent system will take effect on June 1, 2023, which will significantly impact European patents, including those granted before the introduction of such a system. Under the unitary patent system, European patent applications will have the option, upon grant of a patent, of becoming a Unitary Patent, which will be subject to the jurisdiction of the Unitary Patent Court (the "UPC"). As the UPC is a new court system, there is no precedent for the court or any decisions that it may take, increasing the uncertainty of any litigation. Existing European patents that have not lapsed as of June 1, 2023 and for which no action has been filed before the UPC will have the option of opting out of the jurisdiction of the UPC and remaining as national patents in the UPC countries. Patents under the jurisdiction of the UPC will be potentially vulnerable to a single UPC-based revocation challenge that, if successful, could invalidate the patent in all countries that have ratified the UPC agreement. We cannot predict with certainty the long-term effects of any potential changes.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fail to obtain or enforce assignments of intellectual property rights from our employees and contractors.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 w:hAnsi="Times New Roman"/>
          <w:sz w:val="20"/>
        </w:rPr>
      </w:pPr>
      <w:r>
        <w:rPr>
          <w:rFonts w:ascii="Times New Roman;serif" w:hAnsi="Times New Roman;serif"/>
          <w:b/>
          <w:i/>
          <w:sz w:val="20"/>
        </w:rPr>
        <w:t>If we are not able to adequately prevent disclosure of trade secrets and other proprietary information, the value of our technology and product candidates could be materially diminished.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collaboration partners,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The U.S. government could choose to exercise certain rights in technology developed under government-funded research, which could eliminate our exclusive use of such technology or require us to commercialize our product candidates in a way we consider sub-optimal.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U.S. government has certain rights in some of our licensed patents (including U.S. Patent Nos. 7,435,596, 8,026,097 and certain related U.S. patent applications)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has the right to require us to grant exclusive licenses to such inventions to a third party if the U.S. government determines that: (i) adequate steps have not been taken to commercialize the invention; (ii) government action is necessary to meet public health or safety needs; or (iii) government action is necessary to meet requirements for public use under federal regulations.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in-licensed intellectual property, now or in the future, is generated through the use of U.S. government funding, these provisions of the Bayh-Dole Act may apply.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If we are unable to obtain a waiver from the government agency that provided the underlying research funding, we may be limited in our ability to contract with non-U.S. product manufacturers for products related to such 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 w:hAnsi="Times New Roman"/>
          <w:sz w:val="20"/>
        </w:rPr>
      </w:pPr>
      <w:r>
        <w:rPr>
          <w:rFonts w:ascii="Times New Roman;serif" w:hAnsi="Times New Roman;serif"/>
          <w:b/>
          <w:sz w:val="20"/>
        </w:rPr>
        <w:t>Risks Related to Commercialization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currently have limited sales, marketing or distribution expertise. We will need to develop internal sales, marketing and distribution capabilities and infrastructure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Our product candidates, including NKX101 and NKX019, could be subject to regulatory limitations following approval, if and when such approval is granted.</w:t>
      </w:r>
    </w:p>
    <w:p>
      <w:pPr>
        <w:pStyle w:val="TextBody"/>
        <w:bidi w:val="0"/>
        <w:spacing w:before="240" w:after="0"/>
        <w:jc w:val="left"/>
        <w:rPr>
          <w:rFonts w:ascii="Times New Roman" w:hAnsi="Times New Roman"/>
          <w:sz w:val="20"/>
        </w:rPr>
      </w:pPr>
      <w:r>
        <w:rPr>
          <w:rFonts w:ascii="Times New Roman;serif" w:hAnsi="Times New Roman;serif"/>
          <w:b w:val="false"/>
          <w:sz w:val="20"/>
        </w:rPr>
        <w:t>Following approval of a product candidate, if any, we must comply with comprehensive government regulations regarding the manufacture, 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NKX101 and NKX019 or other product candidates in development.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if we or others identify side-effects after any of our products are on the market, if our products fail to maintain a continued acceptable safety profile after approval, if manufacturing problems occur subsequent to regulatory approval, or if we, our manufacturers or our partners fail to comply with regulatory requirements, including those mentioned above, we or our partners could be subject to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restrictions on our ability to conduct clinical trials, including full or partial clinical holds on ongoing or planned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restrictions on such products’ manufacturing processes;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to the product label;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restrictions on the marketing of a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restrictions on product distribution;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requirements to conduct post-marketing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Untitled or Warning Letters from the FDA;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withdrawal of the product from the market;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refusal to approve pending applications or supplements to approved applications that we submit;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recall of products;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fines, restitution or disgorgement of profits or revenue;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suspension or withdrawal of regulatory approvals;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refusal to permit the import or export of our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product seizure;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injunctions;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imposition of civil or criminal penalties. </w:t>
      </w:r>
    </w:p>
    <w:p>
      <w:pPr>
        <w:pStyle w:val="TextBody"/>
        <w:bidi w:val="0"/>
        <w:spacing w:before="240" w:after="0"/>
        <w:jc w:val="left"/>
        <w:rPr>
          <w:rFonts w:ascii="Times New Roman" w:hAnsi="Times New Roman"/>
          <w:sz w:val="20"/>
        </w:rPr>
      </w:pPr>
      <w:r>
        <w:rPr>
          <w:rFonts w:ascii="Times New Roman;serif" w:hAnsi="Times New Roman;serif"/>
          <w:b w:val="false"/>
          <w:sz w:val="20"/>
        </w:rPr>
        <w:t>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The market opportunities for our product candidates, if and when approved, may be limited, and if such market opportunities are smaller than we expect, our revenues could be materially adversely affected and our business could suffer.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initial clinical trials evaluate NKX101 and NKX019 in relapsed/refractory patients who have been previously treated with other anti-cancer therapies. We do not know at this time whether either NKX101 or NKX019 or any of our product candidates will be safe for use in humans or whether they will demonstrate any anti-cancer activity. If the activity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candidates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number of patients who have the cancers we are targeting may turn out to be lower than expected. Additionally, the potentially addressable patient population for our current programs or future product candidates may be limited. Potentially addressable patient populations for of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pStyle w:val="TextBody"/>
        <w:bidi w:val="0"/>
        <w:spacing w:before="360" w:after="0"/>
        <w:jc w:val="left"/>
        <w:rPr>
          <w:rFonts w:ascii="Times New Roman" w:hAnsi="Times New Roman"/>
          <w:sz w:val="20"/>
        </w:rPr>
      </w:pPr>
      <w:r>
        <w:rPr>
          <w:rFonts w:ascii="Times New Roman;serif" w:hAnsi="Times New Roman;serif"/>
          <w:b/>
          <w:i/>
          <w:sz w:val="20"/>
        </w:rPr>
        <w:t>The commercial success of any of our product candidates will depend upon such product candidate’s degree of market acceptance by physicians, patients, third-party payors and others in the medical community.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efficacy and safety of such product candidates as demonstrated in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potential and perceived advantages of product candidates over alternative treatments;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 of treatment relative to alternative treatments;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clinical indications for which the product candidate is approved by the FDA;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willingness of physicians to refer patients and prescribe new therapies;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willingness of the target patient population to try new therapies;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nature, prevalence and severity of any side effects;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product labeling or product insert requirements imposed by the FDA or other regulatory authorities, including any limitations or warnings contained in a product’s approved labeling;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relative convenience and ease of administration;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of market introduction of competitive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adverse publicity concerning our product candidates or favorable publicity about competing products and treatments;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sufficient third-party payor coverage, any limitations in terms of center or personnel training requirement imposed by third parties and adequate reimbursement;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limitations or warnings contained in the FDA-approved labeling for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any FDA requirement to undertake a REMS;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effectiveness of our sales, marketing and distribution efforts;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potential product liability claims. </w:t>
      </w:r>
    </w:p>
    <w:p>
      <w:pPr>
        <w:pStyle w:val="TextBody"/>
        <w:bidi w:val="0"/>
        <w:spacing w:before="240" w:after="0"/>
        <w:jc w:val="left"/>
        <w:rPr>
          <w:rFonts w:ascii="Times New Roman" w:hAnsi="Times New Roman"/>
          <w:sz w:val="20"/>
        </w:rPr>
      </w:pPr>
      <w:r>
        <w:rPr>
          <w:rFonts w:ascii="Times New Roman;serif" w:hAnsi="Times New Roman;serif"/>
          <w:b w:val="false"/>
          <w:sz w:val="20"/>
        </w:rPr>
        <w:t>Even if a product candidate displays a favorable efficacy and safety profile in preclinical studies and clinical trials, market acceptance of the product will not be fully known until after such product is launched. Our product candidates may not achieve broad market acceptance.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The insurance coverage and reimbursement status of newly approved products is uncertain. Failure to obtain or maintain adequate coverage and reimbursement for our product candidates, if approved, could limit our ability to market such products and to generate product revenue.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expect the cost of a single administration of one of our cell therapy product candidates to be substantial, when and if they achieve regulatory approval. We expect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Centers for Medicare and Medicaid Services ("CMS"), the agency responsible for administering Medicare. It is difficult to predict what third payors, including CMS, will decide with respect to coverage and reimbursement for fundamentally novel products such as ours, since there is no body of established protocols and precedents for these types of drug products. Moreover, reimbursement agencies in other countries, such as those in Europe, may be more conservative than CMS.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average manufacturer price,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Healthcare reform initiatives and other administrative and legislative proposals may harm our business.*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United States federal and state levels that seek to reduce healthcare costs. For example, in March 2010, the Patient Protection and Affordable Care Act, as amended by the Health Care and Education Reconciliation Act (the "ACA") was enacted, which includes measures that have significantly changed the way healthcare is financed by both governmental and private payors. The provisions of the ACA of importance to the pharmaceutical and biotechnology industry are, among others,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annual, nondeductible fee on any entity that manufactures or imports certain branded prescription drug agents or biologic agents, which is apportioned among these entities according to their market share in certain government healthcare programs;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new methodology by which rebates owed by manufacturers under the Medicaid Drug Rebate Program are calculated for drugs that are inhaled, infused, instilled, implanted or injected;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expansion of eligibility criteria for Medicaid programs by, among other things, allowing states to offer Medicaid coverage to certain individuals with income at or below 133% of the federal poverty level, thereby potentially increasing manufacturers’ Medicaid rebate liability;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new Patient-Centered Outcomes Research Institute to oversee, identify priorities in, and conduct, comparative clinical effectiveness research, along with funding for such research;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establishment of a Center for Medicare and Medicaid Innovation at CMS to test innovative payment and service delivery models to lower Medicare and Medicaid spending, potentially including prescription drug spending.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Since its enactment, there have been legislative, judicial, and executive challenges to certain aspects of the ACA, including efforts to repeal or replace all or part of the ACA. While Congress has not passed comprehensive repeal legislation, two bills affecting the implementation of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mandates,” and the Bipartisan Budget Act of 2018 (the "BBA") among other things, amends the ACA to increase from 50 percent to 70 percent the point-of-sale discount that is owed by pharmaceutical manufacturers who participate in Medicare Part D and to close the coverage gap in most Medicare drug plans, commonly referred to as the “donut hole.” Further, the 2020 federal spending package eliminated, effective January 1, 2020, the ACA-mandated “Cadillac” tax on high-cost employer-sponsored health coverage and medical device tax and, effective January 1, 2021, also eliminated the health insurer. Congress could continue to consider other legislation to repeal or replace certain elements of the ACA, and it is unclear how other efforts, if any, to challenge, repeal or replace the ACA, and other healthcare reform measures, will impact our business.</w:t>
      </w:r>
    </w:p>
    <w:p>
      <w:pPr>
        <w:pStyle w:val="TextBody"/>
        <w:bidi w:val="0"/>
        <w:spacing w:before="240" w:after="0"/>
        <w:jc w:val="left"/>
        <w:rPr>
          <w:rFonts w:ascii="Times New Roman" w:hAnsi="Times New Roman"/>
          <w:sz w:val="20"/>
        </w:rPr>
      </w:pPr>
      <w:r>
        <w:rPr>
          <w:rFonts w:ascii="Times New Roman;serif" w:hAnsi="Times New Roman;serif"/>
          <w:b w:val="false"/>
          <w:sz w:val="20"/>
        </w:rPr>
        <w:t>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court affirmed the lower court’s ruling that the individual mandate portion of the ACA is unconstitutional and it remanded the case to the district court for reconsideration of the severability question and additional analysis of the provisions of the ACA. Thereafter, on March 2, 2020, the U.S. Supreme Court agreed to hear this case. Oral argument in the case took place on November 10, 2020. On June 17, 2021, the U.S. Supreme Court dismissed the case without specifically ruling on the constitutionality of the ACA, finding that the plaintiffs lacked standing to bring the 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Prior to the Supreme Court’s decision, an executive order was issued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Other federal health reform measures have been proposed and adopted in the United States since the ACA was enacted. For example, as a result of the Budget Control Act of 2011, among other things, providers are subject to Medicare payment reductions of 2% per fiscal year which went into effect on April 1, 2013 and, due to subsequent legislative amendments to the statute, will remain in effect through 2030 pursuant to the Coronavirus Aid, Relief and Economic Security Act (the "CARES Act"). Further, the American Taxpayer Relief Act of 2012, among other things, reduced Medicare payments to several types of providers, including hospitals, imaging centers and cancer treatment center, and increased the statute of limitations period for the government to recover overpayments from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began in 2019. These new laws or any other similar laws introduced in the future may result in additional reductions in Medicare and other health care funding, which could negatively affect our customers and accordingly, our financial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There have also been a number of proposals in the United States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Further, there has been heightened governmental scrutiny over the manner in which manufacturers set prices for their marketed products, which have resulted in several recent Congressional inquiries and proposed and enacted federal and state legislation designed to, among other things, bring more transparency to drug product pricing, review the relationship between pricing and manufacturer patient programs, and reform government program reimbursement methodologies for products. Most significantly, on August 16, 2022, the Inflation Reduction Act of 2022 ("IRA") was signed into law. The IRA includes provisions that will, among others: (i) direct CMS to negotiate the price of certain single-source prescription drugs reimbursed under Medicare, and subject drug manufacturers to civil monetary penalties and a potential excise tax by offering a price that is not equal to or less than the negotiated “maximum fair price” under the law; (ii) impose requirements on drug manufacturers to provide rebates to CMS under Medicare Part B and Medicare Part D as a penalty for price increases that outpace inflation; (iii) cap Medicare Part D beneficiaries’ annual out-of-pocket drug expenses to $2,000 starting in 2025, effectively eliminating the “donut hole” for Medicare Part D; and (iv) delay the rebate rule that would limit the fees that pharmacy benefit managers can charge. The IRA also extends enhanced subsidies for individuals purchasing coverage in a health insurance marketplace through plan year 2025. The effect of the IRA on our business and the healthcare industry in general is not yet known, but we continue to evaluate its potential impact. At the state level,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regulate pharmaceutical benefit managers ("PBMs") and other members of the health care and pharmaceutical supply chain, an important decision that may lead to further and more aggressive efforts by states in this area.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Furthermore, future price controls or other changes in pricing regulation or negative publicity related to the pricing of pharmaceutical drugs could restrict the amount that we are able to charge for our drug products, which could render our product candidates, if approved, commercially unviable and materially adversely affect our ability to raise additional capital on acceptable terms.</w:t>
      </w:r>
    </w:p>
    <w:p>
      <w:pPr>
        <w:pStyle w:val="TextBody"/>
        <w:bidi w:val="0"/>
        <w:spacing w:before="360" w:after="0"/>
        <w:jc w:val="left"/>
        <w:rPr>
          <w:rFonts w:ascii="Times New Roman" w:hAnsi="Times New Roman"/>
          <w:sz w:val="20"/>
        </w:rPr>
      </w:pPr>
      <w:r>
        <w:rPr>
          <w:rFonts w:ascii="Times New Roman;serif" w:hAnsi="Times New Roman;serif"/>
          <w:b/>
          <w:i/>
          <w:sz w:val="20"/>
        </w:rPr>
        <w:t>Obtaining and maintaining marketing approval or commercialization of our product candidates in one jurisdiction does not mean that we will be successful in obtaining marketing approval of our product candidates in other jurisdictions.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we market approved products outside the United States, we expect that we will be subject to additional risks in commercialization,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different regulatory requirements for approval of therapies in foreign countries;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reduced protection for intellectual property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unexpected changes in tariffs, trade barriers and regulatory requirements;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economic weakness, including inflation, or political instability in particular foreign economies and markets;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compliance with tax, employment, immigration and labor laws for employees living or traveling abroad;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foreign currency fluctuations, which could result in increased operating expenses and reduced revenues, and other obligations incident to doing business in another country;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foreign reimbursement, pricing and insurance regimes;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workforce uncertainty in countries where labor unrest is more common than in the United States;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production shortages resulting from any events affecting raw material supply or manufacturing capabilities abroad;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business interruptions resulting from geopolitical actions, including war and terrorism, natural disasters including earthquakes, typhoons, floods and fires, and other public health crises, illnesses, epidemics or pandemics, such as the potential impact of the COVID-19 outbreak. </w:t>
      </w:r>
    </w:p>
    <w:p>
      <w:pPr>
        <w:pStyle w:val="TextBody"/>
        <w:bidi w:val="0"/>
        <w:spacing w:before="240" w:after="0"/>
        <w:jc w:val="left"/>
        <w:rPr>
          <w:rFonts w:ascii="Times New Roman" w:hAnsi="Times New Roman"/>
          <w:sz w:val="20"/>
        </w:rPr>
      </w:pPr>
      <w:r>
        <w:rPr>
          <w:rFonts w:ascii="Times New Roman;serif" w:hAnsi="Times New Roman;serif"/>
          <w:b w:val="false"/>
          <w:sz w:val="20"/>
        </w:rPr>
        <w:t>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 w:hAnsi="Times New Roman"/>
          <w:sz w:val="20"/>
        </w:rPr>
      </w:pPr>
      <w:r>
        <w:rPr>
          <w:rFonts w:ascii="Times New Roman;serif" w:hAnsi="Times New Roman;serif"/>
          <w:b/>
          <w:i/>
          <w:sz w:val="20"/>
        </w:rPr>
        <w:t>Our business operations and relationships with investigators, healthcare professionals, consultants, third-party payors, patient organizations and customers will be subject to applicable fraud and abuse and other healthcare laws and regulations, which could expose us to penalties.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Health Information Technology for Economic and Clinical Health Act,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fail to comply with evolving global privacy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we conduct clinical trials in the European Economic Area ("EEA"), we may be subject to additional privacy laws. The General Data Protection Regulation, (EU) 2016/679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(the "CCPA"), which went into effect on January 1, 2020, is creating similar risks and obligations as those created by the GDPR, though the California Consumer Privacy Act does exempt certain clinical trial data.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Risks Related to Our Common Stock</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The market price for our common stock may be volatile, which could contribute to the loss of all or part of your investment.*</w:t>
      </w:r>
    </w:p>
    <w:p>
      <w:pPr>
        <w:pStyle w:val="TextBody"/>
        <w:bidi w:val="0"/>
        <w:spacing w:before="240" w:after="0"/>
        <w:jc w:val="left"/>
        <w:rPr>
          <w:rFonts w:ascii="Times New Roman" w:hAnsi="Times New Roman"/>
          <w:sz w:val="20"/>
        </w:rPr>
      </w:pPr>
      <w:r>
        <w:rPr>
          <w:rFonts w:ascii="Times New Roman;serif" w:hAnsi="Times New Roman;serif"/>
          <w:b w:val="false"/>
          <w:sz w:val="20"/>
        </w:rPr>
        <w:t>The trading price of our common stock is likely to be highly volatile and subject to wide fluctuations in response to various factors, some of which are beyond our control.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Factors affecting the trading price of our common stock may include, but are not limited to:</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decision to initiate a clinical study, not to initiate a clinical study or to terminate an existing clinical study;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in the announcement of initial data or clinical results from our clinical trials or expectations that such delays may occur;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data or clinical results from our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adverse regulatory decisions, including failure to receive regulatory approval for our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success or failure of competitive products, immunotherapy drugs or cellular therapies more generally;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adverse developments concerning our manufacturers or our strategic partnerships;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adverse safety or other clinical results, such as those that have occurred in the past or that may occur in the future, related to cellular therapies being developed by other companies that are or may be perceived to be similar to our cellular therapies;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operating and stock price performance of other companies that investors deem comparable to 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sales of substantial amounts of common stock by our directors, executive officers or significant stockholders or the perception that such sales could occur;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general economic and political conditions such as recessions, inflationary pressures, interest rates, fuel prices, elections, drug pricing policies, international currency fluctuations, acts of war or terrorism, and other public health crises, illnesses, epidemics or pandemics, such as the potential impact of the COVID-19 outbreak;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other factors discussed in these risk factors.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instance, technical factors in the public trading market for our common stock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 In addition, the trading prices for common stock of other biopharmaceutical and biotechnology companies have been highly volatile as a result of the COVID-19 pandemic. The COVID-19 outbreak continues to rapidly evolve. The full extent to which the outbreak may impact our business, preclinical studies and clinical trials will depend on future developments, which are highly uncertain and cannot be predicted with confidence.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Concentration of ownership of our shares of common stock among our existing executive officers, directors and principal stockholders may prevent new investors from influencing significant corporate decisions.*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May 8, 2023, our directors and executive officers, and entities affiliated with them, as well as holders of more than 5% of our outstanding shares of common stock, in the aggregate beneficially own 67% of our common stock.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Some of these persons or entities may have interests different from yours.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A significant portion of our total outstanding shares are eligible to be sold into the market, which could cause the market price of our common stock to drop significantly.*</w:t>
      </w:r>
    </w:p>
    <w:p>
      <w:pPr>
        <w:pStyle w:val="TextBody"/>
        <w:bidi w:val="0"/>
        <w:spacing w:before="240" w:after="0"/>
        <w:jc w:val="left"/>
        <w:rPr>
          <w:rFonts w:ascii="Times New Roman" w:hAnsi="Times New Roman"/>
          <w:sz w:val="20"/>
        </w:rPr>
      </w:pPr>
      <w:r>
        <w:rPr>
          <w:rFonts w:ascii="Times New Roman;serif" w:hAnsi="Times New Roman;serif"/>
          <w:b w:val="false"/>
          <w:sz w:val="20"/>
        </w:rPr>
        <w:t>Sales of a substantial number of shares of our common stock in the public market, or the perception in the market that the holders of a large number of stockholders intend to sell shares of our common stock, could reduce the market price of our common stock. As of May 8, 2023, we had 48,934,928 shares of common stock outstanding.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Holders of an aggregate of 13,200,076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serif" w:hAnsi="Times New Roman;serif"/>
          <w:b/>
          <w:i/>
          <w:sz w:val="20"/>
        </w:rPr>
      </w:pPr>
      <w:r>
        <w:rPr>
          <w:rFonts w:ascii="Times New Roman;serif" w:hAnsi="Times New Roman;serif"/>
          <w:b/>
          <w:i/>
          <w:sz w:val="20"/>
        </w:rPr>
        <w:t>We are an “emerging growth company” under the JOBS Act and a “smaller reporting company” and we rely on exemptions from certain disclosure and governance requirements applicable to emerging growth companies and smaller reporting companies, as a result of which our common stock may be less attractive to investors.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take advantage and may continue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w:t>
      </w:r>
    </w:p>
    <w:p>
      <w:pPr>
        <w:pStyle w:val="TextBody"/>
        <w:bidi w:val="0"/>
        <w:spacing w:before="240" w:after="0"/>
        <w:jc w:val="left"/>
        <w:rPr>
          <w:rFonts w:ascii="Times New Roman" w:hAnsi="Times New Roman"/>
          <w:sz w:val="20"/>
        </w:rPr>
      </w:pPr>
      <w:r>
        <w:rPr>
          <w:rFonts w:ascii="Times New Roman;serif" w:hAnsi="Times New Roman;serif"/>
          <w:b w:val="false"/>
          <w:sz w:val="20"/>
        </w:rPr>
        <w:t>We may take advantage of these reporting exemptions until we are no longer an emerging growth company. We will remain an emerging growth company until the earlier to occur of (1) the last day of the fiscal year (a) following the fifth anniversary of our IPO, (b) in which we have total annual gross revenue of at least $1.235 billion or (c) in which we are deemed to be a “large accelerated filer” under the rules of the SEC, which means the market value of our common stock that is held by non-affiliates exceeds $700 million as of the prior June 30; and (2) the date on which we have issued more than $1.0 billion in non-convertible debt during the prior three-year period.</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are also a “smaller reporting company” as defined by applicable rules of the SEC. Even after we no longer qualify as an emerging growth company, we may still qualify as a smaller reporting company and would be permitted to continue to take advantage of many of the same reporting exemptions, including exemption from compliance with the auditor attestation requirements of Section 404(b) of the Sarbanes-Oxley Act as long as we do not otherwise also qualify as an “accelerated filer” or “large accelerated filer” for SEC reporting purposes and reduced disclosure obligations regarding executive compensation in our periodic reports and proxy statements. We cannot predict if investors will find our common stock less attractive if we rely on emerging growth company or smaller reporting company exemptions. If some investors find our common stock less attractive as a result, there may be a less active trading market for our common stock and our stock price may be more volatile.</w:t>
      </w:r>
    </w:p>
    <w:p>
      <w:pPr>
        <w:pStyle w:val="TextBody"/>
        <w:bidi w:val="0"/>
        <w:spacing w:before="360" w:after="0"/>
        <w:jc w:val="left"/>
        <w:rPr>
          <w:rFonts w:ascii="Times New Roman" w:hAnsi="Times New Roman"/>
          <w:sz w:val="20"/>
        </w:rPr>
      </w:pPr>
      <w:r>
        <w:rPr>
          <w:rFonts w:ascii="Times New Roman;serif" w:hAnsi="Times New Roman;serif"/>
          <w:b/>
          <w:i/>
          <w:sz w:val="20"/>
        </w:rPr>
        <w:t>Our severance and change in control agreements with our executive officers may require us to pay severance benefits to any of those persons who are terminated, which could materially adversely affect our financial condition or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could materially adversely affect our financial condition and results of operations. In addition, these potential severance payments may discourage or prevent third parties from seeking a business combination with us.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ability to use our net operating loss carryovers and certain other tax attributes may be limited.</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described above under “We have incurred significant losses since our inception, and we expect to continue to incur significant losses for the foreseeable future,” we have incurred net losses since our inception and anticipate that we will continue to incur significant losses for the foreseeable future. Under the Internal Revenue Code of 1986 (the "Code"), a corporation is generally allowed a deduction for net operating losses ("NOLs") carried over from a prior taxable year. Under that provision, we can carry forward our NOLs to offset our future taxable income, if any, until such NOLs are used or expire, in the case of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Act, the amount of post-2017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 Recently enacted legislation, the Coronavirus Aid, Relief and Economic Security Act (the "CARES Act") temporarily reverses the limitations imposed by the Tax Act by suspending the 80% taxable income limitation to permit a corporation to offset without limitation its taxable income in 2019 or 2020 with NOL carryforwards generated in prior years. The CARES Act also allows NOLs generated in tax years 2018-2020 to be carried back up to five years.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Under the Tax Act’s amendment to Section 174 of the Code, beginning with tax years that start after December 31, 2021, research and development expenses must be capitalized and amortized over five or fifteen years, as applicable. This tax law change has increased our effective tax rate and our cash tax payable in the taxable year 2022. If the requirement to capitalize Section 174 expenditures is not repealed or otherwise modified, it may also impact our effective tax rate and our cash tax liability in future years.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do not expect to pay any cash dividends to the holders of our common stock for the foreseeable future.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certificate of incorporation, bylaws and Delaware law contain provisions that may have the effect of delaying or preventing a change in control of us or changes in our management. Our certificate of incorporation and bylaws include provisions that: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authorize “blank check” preferred stock, which could be issued by our board of directors without stockholder approval and may contain voting, liquidation, dividend and other rights superior to our common stock;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a classified board of directors such that not all members of the board are elected at one time, which may delay the ability of our stockholders to change the membership of a majority of our board of directors;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specify that only our board of directors, the Chairperson of our board of directors, our Chief Executive Officer or the President, or holders of greater than 10% of our common stock can call special meetings of our stockholders;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an advance notice procedure for stockholder approvals to be brought before an annual meeting of our stockholders, including proposed nominations of persons for election to our board of directors;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provide that a majority of directors then in office, even though less than a quorum, may fill vacancies on our board of directors;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specify that no stockholder is permitted to cumulate votes at any election of directors;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expressly authorize our board of directors to modify, alter or repeal our bylaws;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require supermajority votes of the holders of our common stock to amend specified provisions of our Certificate of Incorporation and bylaws. </w:t>
      </w:r>
    </w:p>
    <w:p>
      <w:pPr>
        <w:pStyle w:val="TextBody"/>
        <w:bidi w:val="0"/>
        <w:spacing w:before="240" w:after="0"/>
        <w:jc w:val="left"/>
        <w:rPr>
          <w:rFonts w:ascii="Times New Roman" w:hAnsi="Times New Roman"/>
          <w:sz w:val="20"/>
        </w:rPr>
      </w:pPr>
      <w:r>
        <w:rPr>
          <w:rFonts w:ascii="Times New Roman;serif" w:hAnsi="Times New Roman;serif"/>
          <w:b w:val="false"/>
          <w:sz w:val="20"/>
        </w:rPr>
        <w:t>These provisions, alone or together, could delay or prevent hostile takeovers and changes in control or changes in our management.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because we are incorporated in the State of Delaware, we are governed by the provisions of Section 203 of the Delaware General Corporation Law, which limits the ability of stockholders owning in excess of 15% of our outstanding voting stock to merge or combine with us.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certificate of incorporation includes a forum selection clause, which could limit our stockholders’ ability to obtain a favorable judicial forum for disputes with 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derivative action or proceeding brought on our behalf;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action asserting a claim of breach of a fiduciary duty owed by any of our directors, officers or other employees to us or our stockholders;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action asserting a claim against us arising pursuant to any provision of the Delaware General Corporation Law, our certificate of incorporation or our bylaws;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other action asserting a claim against us that is governed by the internal affairs doctrine. </w:t>
      </w:r>
    </w:p>
    <w:p>
      <w:pPr>
        <w:pStyle w:val="TextBody"/>
        <w:bidi w:val="0"/>
        <w:spacing w:before="240" w:after="0"/>
        <w:jc w:val="left"/>
        <w:rPr>
          <w:rFonts w:ascii="Times New Roman" w:hAnsi="Times New Roman"/>
          <w:sz w:val="20"/>
        </w:rPr>
      </w:pPr>
      <w:r>
        <w:rPr>
          <w:rFonts w:ascii="Times New Roman;serif" w:hAnsi="Times New Roman;serif"/>
          <w:b w:val="false"/>
          <w:sz w:val="20"/>
        </w:rPr>
        <w:t>This exclusive forum provision is intended to apply to claims arising under Delaware state law and is not intended to apply to claims brought pursuant to the Exchange Act or the Securities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General Risk Factors</w:t>
      </w:r>
    </w:p>
    <w:p>
      <w:pPr>
        <w:pStyle w:val="TextBody"/>
        <w:bidi w:val="0"/>
        <w:spacing w:before="360" w:after="0"/>
        <w:jc w:val="left"/>
        <w:rPr>
          <w:rFonts w:ascii="Times New Roman" w:hAnsi="Times New Roman"/>
          <w:sz w:val="20"/>
        </w:rPr>
      </w:pPr>
      <w:r>
        <w:rPr>
          <w:rFonts w:ascii="Times New Roman;serif" w:hAnsi="Times New Roman;serif"/>
          <w:b/>
          <w:i/>
          <w:sz w:val="20"/>
        </w:rPr>
        <w:t>Our business is affected by macroeconomic conditions, including rising inflation, interest rates and supply chain constraints.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Various macroeconomic factors could adversely affect our business, results of operations and financial condition, including changes in inflation, interest rates and overall economic conditions and uncertainties, such as those resulting from the current and future conditions in the banking system and the global financial markets. For instance, inflation has negatively impacted us and could continue to negatively impact us by increasing our cost of labor (through higher wages), commercial support, construction, manufacturing and clinical supply expenditures. See above under “—</w:t>
      </w:r>
      <w:r>
        <w:rPr>
          <w:rFonts w:ascii="Times New Roman;serif" w:hAnsi="Times New Roman;serif"/>
          <w:b w:val="false"/>
          <w:i/>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r>
        <w:rPr>
          <w:rFonts w:ascii="Times New Roman" w:hAnsi="Times New Roman"/>
          <w:sz w:val="20"/>
        </w:rPr>
        <w:t xml:space="preserve">” </w:t>
      </w:r>
      <w:r>
        <w:rPr>
          <w:rFonts w:ascii="Times New Roman;serif" w:hAnsi="Times New Roman;serif"/>
          <w:b w:val="false"/>
          <w:sz w:val="20"/>
        </w:rPr>
        <w:t>for the risks related to the impact of inflation on the construction of our commercial-scale manufacturing facility. Current inflationary pressures, if sustained, could have a negative impact on our operations. In addition, interest rates, the liquidity of the credit markets and the volatility of the capital markets could also affect our ability to raise capital in order to fund our operations, if needed. Financial conditions affecting the banking system and financial markets may threaten our ability to access our cash, as well as our access to letters of credit or other funding necessary to support our business, which may require us to find additional sources of cash or funding on short notice.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Similarly, these macroeconomic factors could affect the ability of our third-party manufacturers, contractors or suppliers to manufacture materials required for our product candidates on a cost effective basis, if at all.</w:t>
      </w:r>
    </w:p>
    <w:p>
      <w:pPr>
        <w:pStyle w:val="TextBody"/>
        <w:bidi w:val="0"/>
        <w:spacing w:before="360" w:after="0"/>
        <w:jc w:val="left"/>
        <w:rPr>
          <w:rFonts w:ascii="Times New Roman;serif" w:hAnsi="Times New Roman;serif"/>
          <w:b/>
          <w:i/>
          <w:sz w:val="20"/>
        </w:rPr>
      </w:pPr>
      <w:r>
        <w:rPr>
          <w:rFonts w:ascii="Times New Roman;serif" w:hAnsi="Times New Roman;serif"/>
          <w:b/>
          <w:i/>
          <w:sz w:val="20"/>
        </w:rPr>
        <w:t>Any acquisitions or strategic collaborations may increase our capital requirements, dilute our stockholders, cause us to incur debt or assume contingent liabilities or subject us to other risks.</w:t>
      </w:r>
    </w:p>
    <w:p>
      <w:pPr>
        <w:pStyle w:val="TextBody"/>
        <w:bidi w:val="0"/>
        <w:spacing w:before="240" w:after="0"/>
        <w:jc w:val="left"/>
        <w:rPr>
          <w:rFonts w:ascii="Times New Roman" w:hAnsi="Times New Roman"/>
          <w:sz w:val="20"/>
        </w:rPr>
      </w:pPr>
      <w:r>
        <w:rPr>
          <w:rFonts w:ascii="Times New Roman;serif" w:hAnsi="Times New Roman;serif"/>
          <w:b w:val="false"/>
          <w:sz w:val="20"/>
        </w:rPr>
        <w:t>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increased operating expenses and cash requirements;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assumption of indebtedness or contingent or unknown liabilities;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assimilation of operations, intellectual property and drugs of an acquired company, including difficulties associated with integrating new personnel;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adequately prosecuting and maintaining protection of any acquired intellectual property rights;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diversion of our management’s attention from our existing drug programs and initiatives in pursuing such a strategic partnership, merger or acquisition;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retention of key employees, the loss of key personnel, and uncertainties about our ability to maintain key business relationships;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risks and uncertainties associated with the other party to such a transaction, including the prospects of that party and their existing drugs or product candidates and regulatory approvals;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our inability to generate revenue from acquired drugs, intellectual property rights, technologies, and/or businesses sufficient to meet our objectives in undertaking the acquisition or even to offset the associated acquisition and maintenance costs.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could be subject to securities class action litigation.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securities analysts do not publish research or reports about our business or if they publish negative reports or downgrade our stock, the price of our common stock could decline.</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pBdr>
          <w:bottom w:val="double" w:sz="2" w:space="0" w:color="808080"/>
        </w:pBdr>
        <w:bidi w:val="0"/>
        <w:spacing w:before="0" w:after="283"/>
        <w:jc w:val="left"/>
        <w:rPr/>
      </w:pPr>
      <w:r>
        <w:rPr/>
      </w:r>
    </w:p>
    <w:p>
      <w:pPr>
        <w:pStyle w:val="TextBody"/>
        <w:bidi w:val="0"/>
        <w:spacing w:before="360" w:after="0"/>
        <w:jc w:val="left"/>
        <w:rPr>
          <w:rFonts w:ascii="Times New Roman" w:hAnsi="Times New Roman"/>
          <w:sz w:val="20"/>
        </w:rPr>
      </w:pPr>
      <w:r>
        <w:rPr>
          <w:rFonts w:ascii="Times New Roman;serif" w:hAnsi="Times New Roman;serif"/>
          <w:b/>
          <w:i/>
          <w:sz w:val="20"/>
        </w:rPr>
        <w:t>We incur significant increased costs as a result of operating as a public company, and our management is required to devote substantial time to new compliance initiatives.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w:t>
      </w:r>
    </w:p>
    <w:p>
      <w:pPr>
        <w:pStyle w:val="TextBody"/>
        <w:bidi w:val="0"/>
        <w:spacing w:before="240" w:after="0"/>
        <w:jc w:val="left"/>
        <w:rPr>
          <w:rFonts w:ascii="Times New Roman" w:hAnsi="Times New Roman"/>
          <w:sz w:val="20"/>
        </w:rPr>
      </w:pPr>
      <w:r>
        <w:rPr>
          <w:rFonts w:ascii="Times New Roman;serif" w:hAnsi="Times New Roman;serif"/>
          <w:b w:val="false"/>
          <w:sz w:val="20"/>
        </w:rPr>
        <w:t>The Sarbanes-Oxley Act requires, among other things, that we maintain effective internal control over financial reporting and disclosure controls and procedures following an initial transition period available to public companies. In particular, we must evaluate our systems and procedures, and test our internal control over financial reporting to allow management to report on the effectiveness of our internal control over financial reporting, as required by Section 404 of the Sarbanes-Oxley Act. In addition, we will be required to have our independent registered public accounting firm attest to the effectiveness of our internal control over financial reporting in the later of our second Annual Report on Form 10-K or the first Annual Report on Form 10-K following the date on which we are no longer an emerging growth company unless we are a smaller reporting company and do not otherwise also qualify as an “accelerated filer” or “large accelerated filer” for SEC reporting purposes.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is required to report upon the effectiveness of our internal control over financial reporting.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disclosure controls and procedures may not prevent or detect all errors or acts of fraud.</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Changes to, or interpretations of, financial accounting standards may affect our results of operations and could cause us to change our business practices.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prepare our financial statements in accordance with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Computer system interruptions or security breaches could significantly disrupt our product development programs and our ability to operate our business.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internal computer systems, cloud-based computing services and those of our current and any future collaborators and other contractors or consultants are vulnerable to damage or interruption from computer viruses, ransomware, malware, data corruption, cyber-based attacks, phishing attacks, unauthorized access, natural disasters, terrorism, war and telecommunication and electrical failures. While we have taken steps to protect the security of our information systems and the data maintained in those systems, we have, from time to time, experienced cyber incidents of varying degrees, although none of these cyber incidents have had a material adverse impact on our business, financial condition or results of operations. It is possible that in the future our safety and security measures will not prevent the improper functioning or damaging of our systems, or the improper access or disclosure of personally identifiable information, and any such event could materially and adversely impact our business, financial condition or results of operations. In addition, if a significant system failure, accident, security breach or other cyber incident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Furthermore, federal, state and international laws and regulations, such as the GDPR, which took effect in May 2018, and the CCPA which took effect on January 1, 2020, as well as the California Consumer Privacy Act, which was passed in November 2020 and makes a number of significant amendments to the CCPA, can expose us to enforcement actions and investigations by regulatory authorities, and potentially result in regulatory penalties and significant legal liability, if our information technology security efforts fail or if our privacy practices do not meet the requirements of such laws. Other states are considering similar laws that could impact our use of research data with respect to individuals in those states. There are extensive documentation obligations and transparency requirements, which may impose significant costs on us. In addition, our software systems include cloud-based applications that are hosted by third-party service providers with security and information technology systems subject to similar risks. To the extent that any disruption, security breach or other cyber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w:t>
      </w:r>
    </w:p>
    <w:p>
      <w:pPr>
        <w:pStyle w:val="TextBody"/>
        <w:bidi w:val="0"/>
        <w:spacing w:before="360" w:after="0"/>
        <w:jc w:val="left"/>
        <w:rPr>
          <w:rFonts w:ascii="Times New Roman;serif" w:hAnsi="Times New Roman;serif"/>
          <w:b/>
          <w:sz w:val="20"/>
        </w:rPr>
      </w:pPr>
      <w:bookmarkStart w:id="15" w:name="item_2_unregistered_sales_equity_securit"/>
      <w:bookmarkEnd w:id="15"/>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serif" w:hAnsi="Times New Roman;serif"/>
          <w:b/>
          <w:sz w:val="20"/>
        </w:rPr>
      </w:pPr>
      <w:r>
        <w:rPr>
          <w:rFonts w:ascii="Times New Roman;serif" w:hAnsi="Times New Roman;serif"/>
          <w:b/>
          <w:sz w:val="20"/>
        </w:rPr>
        <w:t>Recent Sales of Unregistered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were no unregistered sales of equity securities during the period covered by this report.</w:t>
      </w:r>
    </w:p>
    <w:p>
      <w:pPr>
        <w:pStyle w:val="TextBody"/>
        <w:bidi w:val="0"/>
        <w:spacing w:before="360" w:after="0"/>
        <w:jc w:val="left"/>
        <w:rPr>
          <w:rFonts w:ascii="Times New Roman" w:hAnsi="Times New Roman"/>
          <w:sz w:val="20"/>
        </w:rPr>
      </w:pPr>
      <w:r>
        <w:rPr>
          <w:rFonts w:ascii="Times New Roman;serif" w:hAnsi="Times New Roman;serif"/>
          <w:b/>
          <w:sz w:val="20"/>
        </w:rPr>
        <w:t>Use of Proceeds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July 14, 2020, we completed our IPO. Our registration statement on Form S-1 (File No. 333-239301) relating to the IPO was declared effective by the SEC on July 9, 2020.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There has been no material change in the planned use of proceeds from our IPO as described in our final prospectus filed with the SEC on July 13, 2020 pursuant to Rule 424(b)(4) under the Securities Act. As of March 31, 2023, we estimate that we have used $198.4 million from the net proceeds from the IPO primarily to advance our product candidates through preclinical studies and clinical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trial programs, the construction of our manufacturing facility, and for working capital and general corporate purposes. We invested the remaining funds received in cash equivalents and other marketable securities in accordance with our investment policy.</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Repurchase of Shares of Company Equity Securities</w:t>
      </w:r>
    </w:p>
    <w:p>
      <w:pPr>
        <w:pStyle w:val="TextBody"/>
        <w:bidi w:val="0"/>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6" w:name="item_3_defaults_upon_senior_securities"/>
      <w:bookmarkEnd w:id="16"/>
      <w:r>
        <w:rPr>
          <w:rFonts w:ascii="Times New Roman;serif" w:hAnsi="Times New Roman;serif"/>
          <w:b/>
          <w:sz w:val="20"/>
        </w:rPr>
        <w:t>Item 3. Defaults Upon</w:t>
      </w:r>
      <w:r>
        <w:rPr>
          <w:rFonts w:ascii="Times New Roman" w:hAnsi="Times New Roman"/>
          <w:sz w:val="20"/>
        </w:rPr>
        <w:t xml:space="preserve"> </w:t>
      </w:r>
      <w:r>
        <w:rPr>
          <w:rFonts w:ascii="Times New Roman;serif" w:hAnsi="Times New Roman;serif"/>
          <w:b/>
          <w:sz w:val="20"/>
        </w:rPr>
        <w:t>Senior Securities.</w:t>
      </w:r>
    </w:p>
    <w:p>
      <w:pPr>
        <w:pStyle w:val="TextBody"/>
        <w:bidi w:val="0"/>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bookmarkStart w:id="17" w:name="item_4_mine_safety_disclosures"/>
      <w:bookmarkEnd w:id="17"/>
      <w:r>
        <w:rPr>
          <w:rFonts w:ascii="Times New Roman;serif" w:hAnsi="Times New Roman;serif"/>
          <w:b/>
          <w:sz w:val="20"/>
        </w:rPr>
        <w:t>Item 4. Mine Safety Disclosures.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360" w:after="0"/>
        <w:jc w:val="left"/>
        <w:rPr>
          <w:rFonts w:ascii="Times New Roman;serif" w:hAnsi="Times New Roman;serif"/>
          <w:b/>
          <w:sz w:val="20"/>
        </w:rPr>
      </w:pPr>
      <w:bookmarkStart w:id="18" w:name="item_5_or_information"/>
      <w:bookmarkEnd w:id="18"/>
      <w:r>
        <w:rPr>
          <w:rFonts w:ascii="Times New Roman;serif" w:hAnsi="Times New Roman;serif"/>
          <w:b/>
          <w:sz w:val="20"/>
        </w:rPr>
        <w:t>Item 5. Other 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bookmarkStart w:id="19" w:name="item_6_exhibits"/>
      <w:bookmarkEnd w:id="19"/>
      <w:r>
        <w:rPr>
          <w:rFonts w:ascii="Times New Roman;serif" w:hAnsi="Times New Roman;serif"/>
          <w:b/>
          <w:sz w:val="20"/>
        </w:rPr>
        <w:t>Item 6. 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00"/>
        <w:gridCol w:w="146"/>
        <w:gridCol w:w="6632"/>
        <w:gridCol w:w="511"/>
        <w:gridCol w:w="761"/>
        <w:gridCol w:w="631"/>
        <w:gridCol w:w="724"/>
      </w:tblGrid>
      <w:tr>
        <w:trPr/>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800"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32"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627" w:type="dxa"/>
            <w:gridSpan w:val="4"/>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Incorporated by Reference</w:t>
            </w:r>
          </w:p>
        </w:tc>
      </w:tr>
      <w:tr>
        <w:trPr/>
        <w:tc>
          <w:tcPr>
            <w:tcW w:w="80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3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c>
          <w:tcPr>
            <w:tcW w:w="5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76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File No.</w:t>
            </w:r>
          </w:p>
        </w:tc>
        <w:tc>
          <w:tcPr>
            <w:tcW w:w="63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tc>
        <w:tc>
          <w:tcPr>
            <w:tcW w:w="724"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Filing Date</w:t>
            </w:r>
          </w:p>
        </w:tc>
      </w:tr>
      <w:tr>
        <w:trPr/>
        <w:tc>
          <w:tcPr>
            <w:tcW w:w="80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3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0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32" w:type="dxa"/>
            <w:tcBorders/>
            <w:tcMar>
              <w:top w:w="0" w:type="dxa"/>
              <w:left w:w="0" w:type="dxa"/>
              <w:bottom w:w="0" w:type="dxa"/>
              <w:right w:w="0" w:type="dxa"/>
            </w:tcMar>
            <w:vAlign w:val="center"/>
          </w:tcPr>
          <w:p>
            <w:pPr>
              <w:pStyle w:val="TableContents"/>
              <w:bidi w:val="0"/>
              <w:spacing w:before="0" w:after="120"/>
              <w:ind w:left="0" w:right="0" w:hanging="0"/>
              <w:jc w:val="left"/>
              <w:rPr/>
            </w:pPr>
            <w:hyperlink r:id="rId2">
              <w:r>
                <w:rPr>
                  <w:rStyle w:val="InternetLink"/>
                  <w:rFonts w:ascii="Times New Roman;serif" w:hAnsi="Times New Roman;serif"/>
                  <w:b w:val="false"/>
                  <w:sz w:val="20"/>
                  <w:u w:val="single"/>
                </w:rPr>
                <w:t>Amended and Restated Certificate of Incorporation of Nkarta, Inc.</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001-39370</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72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7/14/2020</w:t>
            </w:r>
          </w:p>
        </w:tc>
      </w:tr>
      <w:tr>
        <w:trPr/>
        <w:tc>
          <w:tcPr>
            <w:tcW w:w="80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32" w:type="dxa"/>
            <w:tcBorders/>
            <w:tcMar>
              <w:top w:w="0" w:type="dxa"/>
              <w:left w:w="0" w:type="dxa"/>
              <w:bottom w:w="0" w:type="dxa"/>
              <w:right w:w="0" w:type="dxa"/>
            </w:tcMar>
            <w:vAlign w:val="center"/>
          </w:tcPr>
          <w:p>
            <w:pPr>
              <w:pStyle w:val="TableContents"/>
              <w:bidi w:val="0"/>
              <w:spacing w:before="0" w:after="120"/>
              <w:ind w:left="0" w:right="0" w:hanging="0"/>
              <w:jc w:val="left"/>
              <w:rPr/>
            </w:pPr>
            <w:hyperlink r:id="rId3">
              <w:r>
                <w:rPr>
                  <w:rStyle w:val="InternetLink"/>
                  <w:rFonts w:ascii="Times New Roman;serif" w:hAnsi="Times New Roman;serif"/>
                  <w:b w:val="false"/>
                  <w:sz w:val="20"/>
                  <w:u w:val="single"/>
                </w:rPr>
                <w:t>Amended and Restated Bylaws of Nkarta, Inc.</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001-39370</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72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7/14/2020</w:t>
            </w:r>
          </w:p>
        </w:tc>
      </w:tr>
      <w:tr>
        <w:trPr/>
        <w:tc>
          <w:tcPr>
            <w:tcW w:w="80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32" w:type="dxa"/>
            <w:tcBorders/>
            <w:tcMar>
              <w:top w:w="0" w:type="dxa"/>
              <w:left w:w="0" w:type="dxa"/>
              <w:bottom w:w="0" w:type="dxa"/>
              <w:right w:w="0" w:type="dxa"/>
            </w:tcMar>
            <w:vAlign w:val="center"/>
          </w:tcPr>
          <w:p>
            <w:pPr>
              <w:pStyle w:val="TableContents"/>
              <w:bidi w:val="0"/>
              <w:spacing w:before="0" w:after="120"/>
              <w:ind w:left="0" w:right="0" w:hanging="0"/>
              <w:jc w:val="left"/>
              <w:rPr/>
            </w:pPr>
            <w:hyperlink w:anchor="nktx-ex10_1.htm">
              <w:r>
                <w:rPr>
                  <w:rStyle w:val="InternetLink"/>
                  <w:rFonts w:ascii="Times New Roman;serif" w:hAnsi="Times New Roman;serif"/>
                  <w:b w:val="false"/>
                  <w:sz w:val="20"/>
                  <w:u w:val="single"/>
                </w:rPr>
                <w:t>Amendment No. 2 to the Research Collaboration Agreement, dated March 8, 2023, by and between Nkarta, Inc. and CRISPR Therapeutics AG.</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80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32" w:type="dxa"/>
            <w:tcBorders/>
            <w:tcMar>
              <w:top w:w="0" w:type="dxa"/>
              <w:left w:w="0" w:type="dxa"/>
              <w:bottom w:w="0" w:type="dxa"/>
              <w:right w:w="0" w:type="dxa"/>
            </w:tcMar>
            <w:vAlign w:val="center"/>
          </w:tcPr>
          <w:p>
            <w:pPr>
              <w:pStyle w:val="TableContents"/>
              <w:bidi w:val="0"/>
              <w:spacing w:before="0" w:after="120"/>
              <w:ind w:left="0" w:right="0" w:hanging="0"/>
              <w:jc w:val="left"/>
              <w:rPr/>
            </w:pPr>
            <w:hyperlink w:anchor="nktx-ex10_2.htm">
              <w:r>
                <w:rPr>
                  <w:rStyle w:val="InternetLink"/>
                  <w:rFonts w:ascii="Times New Roman;serif" w:hAnsi="Times New Roman;serif"/>
                  <w:b w:val="false"/>
                  <w:sz w:val="20"/>
                  <w:u w:val="single"/>
                </w:rPr>
                <w:t>Nkarta, Inc. Non-Employee Director Compensation Policy, as amended on March 22, 2023.</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80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32" w:type="dxa"/>
            <w:tcBorders/>
            <w:tcMar>
              <w:top w:w="0" w:type="dxa"/>
              <w:left w:w="0" w:type="dxa"/>
              <w:bottom w:w="0" w:type="dxa"/>
              <w:right w:w="0" w:type="dxa"/>
            </w:tcMar>
            <w:vAlign w:val="center"/>
          </w:tcPr>
          <w:p>
            <w:pPr>
              <w:pStyle w:val="TableContents"/>
              <w:bidi w:val="0"/>
              <w:spacing w:before="0" w:after="120"/>
              <w:ind w:left="0" w:right="0" w:hanging="0"/>
              <w:jc w:val="left"/>
              <w:rPr/>
            </w:pPr>
            <w:hyperlink w:anchor="nktx-ex10_3.htm">
              <w:r>
                <w:rPr>
                  <w:rStyle w:val="InternetLink"/>
                  <w:rFonts w:ascii="Times New Roman;serif" w:hAnsi="Times New Roman;serif"/>
                  <w:b w:val="false"/>
                  <w:sz w:val="20"/>
                  <w:u w:val="single"/>
                </w:rPr>
                <w:t>Third Amendment to Lease, dated April 25, 2023, by and between HCP BTC, LLC and Nkarta, Inc.</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80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32" w:type="dxa"/>
            <w:tcBorders/>
            <w:tcMar>
              <w:top w:w="0" w:type="dxa"/>
              <w:left w:w="0" w:type="dxa"/>
              <w:bottom w:w="0" w:type="dxa"/>
              <w:right w:w="0" w:type="dxa"/>
            </w:tcMar>
            <w:vAlign w:val="center"/>
          </w:tcPr>
          <w:p>
            <w:pPr>
              <w:pStyle w:val="TableContents"/>
              <w:bidi w:val="0"/>
              <w:spacing w:before="0" w:after="120"/>
              <w:ind w:left="0" w:right="0" w:hanging="0"/>
              <w:jc w:val="left"/>
              <w:rPr/>
            </w:pPr>
            <w:hyperlink w:anchor="nktx-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80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32" w:type="dxa"/>
            <w:tcBorders/>
            <w:tcMar>
              <w:top w:w="0" w:type="dxa"/>
              <w:left w:w="0" w:type="dxa"/>
              <w:bottom w:w="0" w:type="dxa"/>
              <w:right w:w="0" w:type="dxa"/>
            </w:tcMar>
            <w:vAlign w:val="center"/>
          </w:tcPr>
          <w:p>
            <w:pPr>
              <w:pStyle w:val="TableContents"/>
              <w:bidi w:val="0"/>
              <w:spacing w:before="0" w:after="120"/>
              <w:ind w:left="0" w:right="0" w:hanging="0"/>
              <w:jc w:val="left"/>
              <w:rPr/>
            </w:pPr>
            <w:hyperlink w:anchor="nktx-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80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32</w:t>
            </w:r>
            <w:r>
              <w:rPr>
                <w:rFonts w:ascii="Times New Roman;serif" w:hAnsi="Times New Roman;serif"/>
                <w:b w:val="false"/>
                <w:sz w:val="13"/>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32" w:type="dxa"/>
            <w:tcBorders/>
            <w:tcMar>
              <w:top w:w="0" w:type="dxa"/>
              <w:left w:w="0" w:type="dxa"/>
              <w:bottom w:w="0" w:type="dxa"/>
              <w:right w:w="0" w:type="dxa"/>
            </w:tcMar>
            <w:vAlign w:val="center"/>
          </w:tcPr>
          <w:p>
            <w:pPr>
              <w:pStyle w:val="TableContents"/>
              <w:bidi w:val="0"/>
              <w:spacing w:before="0" w:after="120"/>
              <w:ind w:left="0" w:right="0" w:hanging="0"/>
              <w:jc w:val="left"/>
              <w:rPr/>
            </w:pPr>
            <w:hyperlink w:anchor="nktx-ex32.htm">
              <w:r>
                <w:rPr>
                  <w:rStyle w:val="InternetLink"/>
                  <w:rFonts w:ascii="Times New Roman;serif" w:hAnsi="Times New Roman;serif"/>
                  <w:b w:val="false"/>
                  <w:sz w:val="20"/>
                  <w:u w:val="single"/>
                </w:rPr>
                <w:t>Certification of Principal Executive Officer and Principal Financial Officer Pursuant to 18 U.S.C. Section 1350, as Adopted Pursuant to Section 906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80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3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724"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80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3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0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3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0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3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0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3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0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3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0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3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and contained in Exhibit 101)</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2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**Portions of this exhibit have been omitted in accordance with Item 601(b)(10)(iv) of Regulation S-K. The Company undertakes to provide to the Securities and Exchange Commission or its staff, if requested and on a supplemental basis, an unredacted copy of this exhibit.</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#Indicates management contract or compensatory plan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pBdr>
          <w:bottom w:val="double" w:sz="2" w:space="0" w:color="808080"/>
        </w:pBdr>
        <w:bidi w:val="0"/>
        <w:spacing w:before="0" w:after="283"/>
        <w:jc w:val="left"/>
        <w:rPr/>
      </w:pPr>
      <w:r>
        <w:rPr/>
      </w:r>
    </w:p>
    <w:p>
      <w:pPr>
        <w:pStyle w:val="TextBody"/>
        <w:bidi w:val="0"/>
        <w:spacing w:before="40" w:after="0"/>
        <w:jc w:val="left"/>
        <w:rPr>
          <w:rFonts w:ascii="Times New Roman" w:hAnsi="Times New Roman"/>
          <w:sz w:val="20"/>
        </w:rPr>
      </w:pPr>
      <w:r>
        <w:rPr>
          <w:rFonts w:ascii="Times New Roman;serif" w:hAnsi="Times New Roman;serif"/>
          <w:b w:val="false"/>
          <w:sz w:val="13"/>
        </w:rPr>
        <w:t xml:space="preserve">+ </w:t>
      </w:r>
      <w:r>
        <w:rPr>
          <w:rFonts w:ascii="Times New Roman;serif" w:hAnsi="Times New Roman;serif"/>
          <w:b w:val="false"/>
          <w:sz w:val="20"/>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pStyle w:val="TextBody"/>
        <w:bidi w:val="0"/>
        <w:spacing w:before="4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bookmarkStart w:id="20" w:name="signatures"/>
      <w:bookmarkEnd w:id="20"/>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7439" w:type="dxa"/>
        <w:jc w:val="left"/>
        <w:tblInd w:w="0" w:type="dxa"/>
        <w:tblLayout w:type="fixed"/>
        <w:tblCellMar>
          <w:top w:w="28" w:type="dxa"/>
          <w:left w:w="28" w:type="dxa"/>
          <w:bottom w:w="28" w:type="dxa"/>
          <w:right w:w="28" w:type="dxa"/>
        </w:tblCellMar>
      </w:tblPr>
      <w:tblGrid>
        <w:gridCol w:w="1741"/>
        <w:gridCol w:w="146"/>
        <w:gridCol w:w="406"/>
        <w:gridCol w:w="514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552"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Nkarta, Inc.</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Paul J. Hastings</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Paul J. Hastings</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Executive Officer</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 Executive Officer)</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5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Nadir Mahmood</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Nadir Mahmood</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Financial and Business Officer</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 Financial Officer and Principal Accounting Officer)</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74</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4"/>
        </w:rPr>
      </w:pPr>
      <w:bookmarkStart w:id="21" w:name="nktx-ex10_1.htm"/>
      <w:bookmarkStart w:id="22" w:name="ksnktxex10_1"/>
      <w:bookmarkEnd w:id="21"/>
      <w:bookmarkEnd w:id="22"/>
      <w:r>
        <w:rPr>
          <w:rFonts w:ascii="Times New Roman;serif" w:hAnsi="Times New Roman;serif"/>
          <w:b/>
          <w:sz w:val="24"/>
        </w:rPr>
        <w:t>Exhibit 10.1</w:t>
      </w:r>
      <w:r>
        <w:br w:type="page"/>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CERTAIN CONFIDENTIAL PORTIONS HAVE BEEN REDACTED FROM THIS EXHIBIT BECAUSE THEY ARE BOTH (i) NOT MATERIAL AND (ii) OF THE TYPE THAT THE COMPANY TREATS AS PRIVATE OR CONFIDENTIAL. INFORMATION THAT HAS BEEN OMITTED HAS BEEN IDENTIFIED IN THIS DOCUMENT WITH A PLACEHOLDER IDENTIFIED BY THE MARK "[***]".</w:t>
      </w:r>
    </w:p>
    <w:p>
      <w:pPr>
        <w:pStyle w:val="TextBody"/>
        <w:bidi w:val="0"/>
        <w:spacing w:before="0" w:after="0"/>
        <w:jc w:val="right"/>
        <w:rPr/>
      </w:pPr>
      <w:r>
        <w:rPr/>
        <w:t> </w:t>
      </w:r>
    </w:p>
    <w:p>
      <w:pPr>
        <w:pStyle w:val="TextBody"/>
        <w:bidi w:val="0"/>
        <w:spacing w:before="0" w:after="0"/>
        <w:jc w:val="right"/>
        <w:rPr>
          <w:rFonts w:ascii="Times New Roman;serif" w:hAnsi="Times New Roman;serif"/>
          <w:b w:val="false"/>
          <w:sz w:val="24"/>
        </w:rPr>
      </w:pPr>
      <w:r>
        <w:rPr>
          <w:rFonts w:ascii="Times New Roman;serif" w:hAnsi="Times New Roman;serif"/>
          <w:b w:val="false"/>
          <w:sz w:val="24"/>
        </w:rPr>
        <w:t>EXECUTION VERSION</w:t>
      </w:r>
    </w:p>
    <w:p>
      <w:pPr>
        <w:pStyle w:val="TextBody"/>
        <w:bidi w:val="0"/>
        <w:spacing w:before="0" w:after="0"/>
        <w:jc w:val="center"/>
        <w:rPr>
          <w:rFonts w:ascii="Times New Roman;serif" w:hAnsi="Times New Roman;serif"/>
          <w:b/>
          <w:caps/>
          <w:sz w:val="22"/>
        </w:rPr>
      </w:pPr>
      <w:r>
        <w:rPr>
          <w:rFonts w:ascii="Times New Roman;serif" w:hAnsi="Times New Roman;serif"/>
          <w:b/>
          <w:caps/>
          <w:sz w:val="22"/>
        </w:rPr>
        <w:t>Amendment No. 2</w:t>
      </w:r>
    </w:p>
    <w:p>
      <w:pPr>
        <w:pStyle w:val="TextBody"/>
        <w:bidi w:val="0"/>
        <w:spacing w:before="0" w:after="0"/>
        <w:jc w:val="center"/>
        <w:rPr>
          <w:rFonts w:ascii="Times New Roman;serif" w:hAnsi="Times New Roman;serif"/>
          <w:b/>
          <w:caps/>
          <w:sz w:val="22"/>
        </w:rPr>
      </w:pPr>
      <w:r>
        <w:rPr>
          <w:rFonts w:ascii="Times New Roman;serif" w:hAnsi="Times New Roman;serif"/>
          <w:b/>
          <w:caps/>
          <w:sz w:val="22"/>
        </w:rPr>
        <w:t>to the</w:t>
      </w:r>
    </w:p>
    <w:p>
      <w:pPr>
        <w:pStyle w:val="TextBody"/>
        <w:bidi w:val="0"/>
        <w:spacing w:before="0" w:after="0"/>
        <w:jc w:val="center"/>
        <w:rPr>
          <w:rFonts w:ascii="Times New Roman;serif" w:hAnsi="Times New Roman;serif"/>
          <w:b/>
          <w:caps/>
          <w:sz w:val="22"/>
        </w:rPr>
      </w:pPr>
      <w:r>
        <w:rPr>
          <w:rFonts w:ascii="Times New Roman;serif" w:hAnsi="Times New Roman;serif"/>
          <w:b/>
          <w:caps/>
          <w:sz w:val="22"/>
        </w:rPr>
        <w:t>RESEARCH Collaboration Agreement</w:t>
      </w:r>
    </w:p>
    <w:p>
      <w:pPr>
        <w:pStyle w:val="TextBody"/>
        <w:bidi w:val="0"/>
        <w:spacing w:before="0" w:after="0"/>
        <w:jc w:val="left"/>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This Amendment No. 2 to the Research Collaboration Agreement (the “</w:t>
      </w:r>
      <w:r>
        <w:rPr>
          <w:rFonts w:ascii="Times New Roman;serif" w:hAnsi="Times New Roman;serif"/>
          <w:b/>
          <w:sz w:val="22"/>
        </w:rPr>
        <w:t>Amendment</w:t>
      </w:r>
      <w:r>
        <w:rPr>
          <w:rFonts w:ascii="Times New Roman" w:hAnsi="Times New Roman"/>
          <w:sz w:val="20"/>
        </w:rPr>
        <w:t>”</w:t>
      </w:r>
      <w:r>
        <w:rPr>
          <w:rFonts w:ascii="Times New Roman;serif" w:hAnsi="Times New Roman;serif"/>
          <w:b w:val="false"/>
          <w:sz w:val="22"/>
        </w:rPr>
        <w:t>) is entered into as of March 8, 2023 (“</w:t>
      </w:r>
      <w:r>
        <w:rPr>
          <w:rFonts w:ascii="Times New Roman;serif" w:hAnsi="Times New Roman;serif"/>
          <w:b/>
          <w:sz w:val="22"/>
        </w:rPr>
        <w:t>Amendment Effective Date</w:t>
      </w:r>
      <w:r>
        <w:rPr>
          <w:rFonts w:ascii="Times New Roman" w:hAnsi="Times New Roman"/>
          <w:sz w:val="20"/>
        </w:rPr>
        <w:t>”</w:t>
      </w:r>
      <w:r>
        <w:rPr>
          <w:rFonts w:ascii="Times New Roman;serif" w:hAnsi="Times New Roman;serif"/>
          <w:b w:val="false"/>
          <w:sz w:val="22"/>
        </w:rPr>
        <w:t>) by and between Nkarta, Inc. (“</w:t>
      </w:r>
      <w:r>
        <w:rPr>
          <w:rFonts w:ascii="Times New Roman;serif" w:hAnsi="Times New Roman;serif"/>
          <w:b/>
          <w:sz w:val="22"/>
        </w:rPr>
        <w:t>Nkarta</w:t>
      </w:r>
      <w:r>
        <w:rPr>
          <w:rFonts w:ascii="Times New Roman" w:hAnsi="Times New Roman"/>
          <w:sz w:val="20"/>
        </w:rPr>
        <w:t>”</w:t>
      </w:r>
      <w:r>
        <w:rPr>
          <w:rFonts w:ascii="Times New Roman;serif" w:hAnsi="Times New Roman;serif"/>
          <w:b w:val="false"/>
          <w:sz w:val="22"/>
        </w:rPr>
        <w:t>) and CRISPR Therapeutics AG (“</w:t>
      </w:r>
      <w:r>
        <w:rPr>
          <w:rFonts w:ascii="Times New Roman;serif" w:hAnsi="Times New Roman;serif"/>
          <w:b/>
          <w:sz w:val="22"/>
        </w:rPr>
        <w:t>CRISPR</w:t>
      </w:r>
      <w:r>
        <w:rPr>
          <w:rFonts w:ascii="Times New Roman" w:hAnsi="Times New Roman"/>
          <w:sz w:val="20"/>
        </w:rPr>
        <w:t>”</w:t>
      </w:r>
      <w:r>
        <w:rPr>
          <w:rFonts w:ascii="Times New Roman;serif" w:hAnsi="Times New Roman;serif"/>
          <w:b w:val="false"/>
          <w:sz w:val="22"/>
        </w:rPr>
        <w:t>). Nkarta and CRISPR each may be referred to herein individually as a “</w:t>
      </w:r>
      <w:r>
        <w:rPr>
          <w:rFonts w:ascii="Times New Roman;serif" w:hAnsi="Times New Roman;serif"/>
          <w:b/>
          <w:sz w:val="22"/>
        </w:rPr>
        <w:t>Party</w:t>
      </w:r>
      <w:r>
        <w:rPr>
          <w:rFonts w:ascii="Times New Roman" w:hAnsi="Times New Roman"/>
          <w:sz w:val="20"/>
        </w:rPr>
        <w:t xml:space="preserve">” </w:t>
      </w:r>
      <w:r>
        <w:rPr>
          <w:rFonts w:ascii="Times New Roman;serif" w:hAnsi="Times New Roman;serif"/>
          <w:b w:val="false"/>
          <w:sz w:val="22"/>
        </w:rPr>
        <w:t>or collectively as the “</w:t>
      </w:r>
      <w:r>
        <w:rPr>
          <w:rFonts w:ascii="Times New Roman;serif" w:hAnsi="Times New Roman;serif"/>
          <w:b/>
          <w:sz w:val="22"/>
        </w:rPr>
        <w:t>Parties</w:t>
      </w:r>
      <w:r>
        <w:rPr>
          <w:rFonts w:ascii="Times New Roman;serif" w:hAnsi="Times New Roman;serif"/>
          <w:b w:val="false"/>
          <w:sz w:val="22"/>
        </w:rPr>
        <w:t>.” This Amendment amends the Research Collaboration Agreement, entered into as of May 5, 2021, between Nkarta and CRISPR and as amended by that certain Amendment No. 1 to the Research Collaboration Agreement entered into as of May 4, 2022 (collectively, the “</w:t>
      </w:r>
      <w:r>
        <w:rPr>
          <w:rFonts w:ascii="Times New Roman;serif" w:hAnsi="Times New Roman;serif"/>
          <w:b/>
          <w:sz w:val="22"/>
        </w:rPr>
        <w:t>Agreement</w:t>
      </w:r>
      <w:r>
        <w:rPr>
          <w:rFonts w:ascii="Times New Roman" w:hAnsi="Times New Roman"/>
          <w:sz w:val="20"/>
        </w:rPr>
        <w:t>”</w:t>
      </w:r>
      <w:r>
        <w:rPr>
          <w:rFonts w:ascii="Times New Roman;serif" w:hAnsi="Times New Roman;serif"/>
          <w:b w:val="false"/>
          <w:sz w:val="22"/>
        </w:rPr>
        <w:t>). Capitalized terms used but not defined in this Amendment shall have the meanings ascribed to such terms in the Agreement.</w:t>
      </w:r>
    </w:p>
    <w:p>
      <w:pPr>
        <w:pStyle w:val="TextBody"/>
        <w:bidi w:val="0"/>
        <w:spacing w:before="0" w:after="0"/>
        <w:jc w:val="center"/>
        <w:rPr>
          <w:rFonts w:ascii="Times New Roman;serif" w:hAnsi="Times New Roman;serif"/>
          <w:b/>
          <w:sz w:val="22"/>
        </w:rPr>
      </w:pPr>
      <w:r>
        <w:rPr>
          <w:rFonts w:ascii="Times New Roman;serif" w:hAnsi="Times New Roman;serif"/>
          <w:b/>
          <w:sz w:val="22"/>
        </w:rPr>
        <w:t>RECITALS</w:t>
      </w:r>
    </w:p>
    <w:p>
      <w:pPr>
        <w:pStyle w:val="TextBody"/>
        <w:bidi w:val="0"/>
        <w:spacing w:before="0" w:after="0"/>
        <w:jc w:val="center"/>
        <w:rPr/>
      </w:pPr>
      <w:r>
        <w:rPr/>
        <w:t> </w:t>
      </w:r>
    </w:p>
    <w:p>
      <w:pPr>
        <w:pStyle w:val="TextBody"/>
        <w:bidi w:val="0"/>
        <w:spacing w:before="0" w:after="0"/>
        <w:jc w:val="both"/>
        <w:rPr>
          <w:rFonts w:ascii="Times New Roman" w:hAnsi="Times New Roman"/>
          <w:sz w:val="20"/>
        </w:rPr>
      </w:pPr>
      <w:r>
        <w:rPr>
          <w:rFonts w:ascii="Times New Roman;serif" w:hAnsi="Times New Roman;serif"/>
          <w:b/>
          <w:sz w:val="22"/>
        </w:rPr>
        <w:t>WHEREAS,</w:t>
      </w:r>
      <w:r>
        <w:rPr>
          <w:rFonts w:ascii="Times New Roman" w:hAnsi="Times New Roman"/>
          <w:sz w:val="20"/>
        </w:rPr>
        <w:t xml:space="preserve"> </w:t>
      </w:r>
      <w:r>
        <w:rPr>
          <w:rFonts w:ascii="Times New Roman;serif" w:hAnsi="Times New Roman;serif"/>
          <w:b w:val="false"/>
          <w:sz w:val="22"/>
        </w:rPr>
        <w:t>the Parties desire to amend the Agreement to allow Nkarta Products to target [***] and provide for the calculation of milestone payments and royalties with respect thereto;</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sz w:val="22"/>
        </w:rPr>
        <w:t>NOW, THEREFORE,</w:t>
      </w:r>
      <w:r>
        <w:rPr>
          <w:rFonts w:ascii="Times New Roman" w:hAnsi="Times New Roman"/>
          <w:sz w:val="20"/>
        </w:rPr>
        <w:t xml:space="preserve"> </w:t>
      </w:r>
      <w:r>
        <w:rPr>
          <w:rFonts w:ascii="Times New Roman;serif" w:hAnsi="Times New Roman;serif"/>
          <w:b w:val="false"/>
          <w:sz w:val="22"/>
        </w:rPr>
        <w:t>in consideration of the respective covenants and agreements set forth herein, the Parties hereto agree as follows:</w:t>
      </w:r>
    </w:p>
    <w:p>
      <w:pPr>
        <w:pStyle w:val="TextBody"/>
        <w:bidi w:val="0"/>
        <w:spacing w:before="0" w:after="240"/>
        <w:jc w:val="left"/>
        <w:rPr/>
      </w:pPr>
      <w:r>
        <w:rPr/>
        <w:t> </w:t>
      </w:r>
    </w:p>
    <w:p>
      <w:pPr>
        <w:pStyle w:val="TextBody"/>
        <w:bidi w:val="0"/>
        <w:jc w:val="center"/>
        <w:rPr>
          <w:rFonts w:ascii="Times New Roman" w:hAnsi="Times New Roman"/>
          <w:b/>
          <w:caps/>
          <w:sz w:val="22"/>
        </w:rPr>
      </w:pPr>
      <w:r>
        <w:rPr>
          <w:rFonts w:ascii="Times New Roman" w:hAnsi="Times New Roman"/>
          <w:b/>
          <w:caps/>
          <w:sz w:val="22"/>
        </w:rPr>
        <w:t>ARTICLE 1.</w:t>
      </w:r>
    </w:p>
    <w:p>
      <w:pPr>
        <w:pStyle w:val="TextBody"/>
        <w:bidi w:val="0"/>
        <w:spacing w:before="0" w:after="240"/>
        <w:jc w:val="center"/>
        <w:rPr>
          <w:rFonts w:ascii="Times New Roman;serif" w:hAnsi="Times New Roman;serif"/>
          <w:b/>
          <w:caps/>
          <w:sz w:val="22"/>
        </w:rPr>
      </w:pPr>
      <w:r>
        <w:rPr>
          <w:rFonts w:ascii="Times New Roman;serif" w:hAnsi="Times New Roman;serif"/>
          <w:b/>
          <w:caps/>
          <w:sz w:val="22"/>
        </w:rPr>
        <w:t>Amendments</w:t>
      </w:r>
    </w:p>
    <w:p>
      <w:pPr>
        <w:pStyle w:val="TextBody"/>
        <w:bidi w:val="0"/>
        <w:spacing w:before="0" w:after="240"/>
        <w:jc w:val="both"/>
        <w:rPr>
          <w:rFonts w:ascii="Times New Roman" w:hAnsi="Times New Roman"/>
          <w:b w:val="false"/>
          <w:sz w:val="22"/>
        </w:rPr>
      </w:pPr>
      <w:r>
        <w:rPr>
          <w:rFonts w:ascii="Times New Roman" w:hAnsi="Times New Roman"/>
          <w:b w:val="false"/>
          <w:sz w:val="22"/>
        </w:rPr>
        <w:t>1.1.</w:t>
      </w:r>
    </w:p>
    <w:p>
      <w:pPr>
        <w:pStyle w:val="TextBody"/>
        <w:bidi w:val="0"/>
        <w:spacing w:before="0" w:after="240"/>
        <w:jc w:val="both"/>
        <w:rPr/>
      </w:pPr>
      <w:r>
        <w:rPr>
          <w:rFonts w:ascii="Times New Roman;serif" w:hAnsi="Times New Roman;serif"/>
          <w:b/>
          <w:sz w:val="22"/>
        </w:rPr>
        <w:t>Nkarta Product</w:t>
      </w:r>
      <w:r>
        <w:rPr>
          <w:rFonts w:ascii="Times New Roman;serif" w:hAnsi="Times New Roman;serif"/>
          <w:b w:val="false"/>
          <w:sz w:val="22"/>
        </w:rPr>
        <w:t>. Section 1.112 in the Agreement is hereby amended and restated as set forth below.</w:t>
      </w:r>
    </w:p>
    <w:p>
      <w:pPr>
        <w:pStyle w:val="TextBody"/>
        <w:bidi w:val="0"/>
        <w:spacing w:before="0" w:after="240"/>
        <w:jc w:val="both"/>
        <w:rPr/>
      </w:pPr>
      <w:r>
        <w:rPr/>
        <w:t>“</w:t>
      </w:r>
      <w:r>
        <w:rPr>
          <w:rFonts w:ascii="Times New Roman;serif" w:hAnsi="Times New Roman;serif"/>
          <w:b/>
          <w:sz w:val="22"/>
        </w:rPr>
        <w:t>Nkarta Product</w:t>
      </w:r>
      <w:r>
        <w:rPr>
          <w:rFonts w:ascii="Times New Roman" w:hAnsi="Times New Roman"/>
          <w:sz w:val="20"/>
        </w:rPr>
        <w:t xml:space="preserve">” </w:t>
      </w:r>
      <w:r>
        <w:rPr>
          <w:rFonts w:ascii="Times New Roman;serif" w:hAnsi="Times New Roman;serif"/>
          <w:b w:val="false"/>
          <w:sz w:val="22"/>
        </w:rPr>
        <w:t>means [***].</w:t>
      </w:r>
    </w:p>
    <w:p>
      <w:pPr>
        <w:pStyle w:val="TextBody"/>
        <w:bidi w:val="0"/>
        <w:spacing w:before="0" w:after="240"/>
        <w:jc w:val="both"/>
        <w:rPr>
          <w:rFonts w:ascii="Times New Roman" w:hAnsi="Times New Roman"/>
          <w:b w:val="false"/>
          <w:sz w:val="22"/>
        </w:rPr>
      </w:pPr>
      <w:r>
        <w:rPr>
          <w:rFonts w:ascii="Times New Roman" w:hAnsi="Times New Roman"/>
          <w:b w:val="false"/>
          <w:sz w:val="22"/>
        </w:rPr>
        <w:t>1.2.</w:t>
      </w:r>
    </w:p>
    <w:p>
      <w:pPr>
        <w:pStyle w:val="TextBody"/>
        <w:bidi w:val="0"/>
        <w:spacing w:before="0" w:after="240"/>
        <w:jc w:val="both"/>
        <w:rPr/>
      </w:pPr>
      <w:r>
        <w:rPr>
          <w:rFonts w:ascii="Times New Roman;serif" w:hAnsi="Times New Roman;serif"/>
          <w:b/>
          <w:sz w:val="22"/>
          <w:u w:val="single"/>
        </w:rPr>
        <w:t>Nkarta Products</w:t>
      </w:r>
      <w:r>
        <w:rPr>
          <w:rFonts w:ascii="Times New Roman;serif" w:hAnsi="Times New Roman;serif"/>
          <w:b w:val="false"/>
          <w:sz w:val="22"/>
        </w:rPr>
        <w:t xml:space="preserve">. Section 4.4.1(e) in the Agreement is hereby amended and restated as set forth below. </w:t>
      </w:r>
    </w:p>
    <w:p>
      <w:pPr>
        <w:pStyle w:val="TextBody"/>
        <w:bidi w:val="0"/>
        <w:spacing w:before="0" w:after="240"/>
        <w:jc w:val="both"/>
        <w:rPr/>
      </w:pPr>
      <w:r>
        <w:rPr/>
        <w:t>“</w:t>
      </w:r>
      <w:r>
        <w:rPr>
          <w:rFonts w:ascii="Times New Roman;serif" w:hAnsi="Times New Roman;serif"/>
          <w:b w:val="false"/>
          <w:sz w:val="22"/>
        </w:rPr>
        <w:t>(e) notwithstanding anything to the contrary hereunder, Nkarta Products shall not [***].”</w:t>
      </w:r>
    </w:p>
    <w:p>
      <w:pPr>
        <w:pStyle w:val="TextBody"/>
        <w:bidi w:val="0"/>
        <w:spacing w:before="0" w:after="240"/>
        <w:jc w:val="both"/>
        <w:rPr>
          <w:rFonts w:ascii="Times New Roman" w:hAnsi="Times New Roman"/>
          <w:b w:val="false"/>
          <w:sz w:val="22"/>
        </w:rPr>
      </w:pPr>
      <w:r>
        <w:rPr>
          <w:rFonts w:ascii="Times New Roman" w:hAnsi="Times New Roman"/>
          <w:b w:val="false"/>
          <w:sz w:val="22"/>
        </w:rPr>
        <w:t>1.3.</w:t>
      </w:r>
    </w:p>
    <w:p>
      <w:pPr>
        <w:pStyle w:val="TextBody"/>
        <w:bidi w:val="0"/>
        <w:spacing w:before="0" w:after="240"/>
        <w:jc w:val="both"/>
        <w:rPr/>
      </w:pPr>
      <w:r>
        <w:rPr>
          <w:rFonts w:ascii="Times New Roman;serif" w:hAnsi="Times New Roman;serif"/>
          <w:b/>
          <w:sz w:val="22"/>
          <w:u w:val="single"/>
        </w:rPr>
        <w:t>Milestone Payments</w:t>
      </w:r>
      <w:r>
        <w:rPr>
          <w:rFonts w:ascii="Times New Roman;serif" w:hAnsi="Times New Roman;serif"/>
          <w:b/>
          <w:sz w:val="22"/>
        </w:rPr>
        <w:t xml:space="preserve">. </w:t>
      </w:r>
      <w:r>
        <w:rPr>
          <w:rFonts w:ascii="Times New Roman;serif" w:hAnsi="Times New Roman;serif"/>
          <w:b w:val="false"/>
          <w:sz w:val="22"/>
        </w:rPr>
        <w:t xml:space="preserve">Section 10.1.1 in the Agreement is hereby amended and restated as set forth below. </w:t>
      </w:r>
    </w:p>
    <w:p>
      <w:pPr>
        <w:pStyle w:val="TextBody"/>
        <w:bidi w:val="0"/>
        <w:spacing w:before="0" w:after="240"/>
        <w:jc w:val="both"/>
        <w:rPr/>
      </w:pPr>
      <w:r>
        <w:rPr/>
        <w:t>“</w:t>
      </w:r>
      <w:r>
        <w:rPr>
          <w:rFonts w:ascii="Times New Roman;serif" w:hAnsi="Times New Roman;serif"/>
          <w:b w:val="false"/>
          <w:sz w:val="22"/>
        </w:rPr>
        <w:t xml:space="preserve">10.1.1. </w:t>
      </w:r>
      <w:r>
        <w:rPr>
          <w:rFonts w:ascii="Times New Roman;serif" w:hAnsi="Times New Roman;serif"/>
          <w:b w:val="false"/>
          <w:sz w:val="22"/>
          <w:u w:val="single"/>
        </w:rPr>
        <w:t>Event Milestones</w:t>
      </w:r>
      <w:r>
        <w:rPr>
          <w:rFonts w:ascii="Times New Roman;serif" w:hAnsi="Times New Roman;serif"/>
          <w:b w:val="false"/>
          <w:sz w:val="22"/>
        </w:rPr>
        <w:t>. Nkarta shall, in connection with the first occurrence of each milestone event listed below with respect to each Nkarta Product that is not a [***] and each [***], as the case may be (whether achieved by Nkarta, its Affiliate or a sublicensee), pay CRISPR the milestone payments listed below in accordance with the procedure set forth in Section 10.1.2. Each such payment shall be non-refundable and non-creditable.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r>
        <w:rPr/>
        <w:t> </w:t>
      </w:r>
    </w:p>
    <w:tbl>
      <w:tblPr>
        <w:tblW w:w="10205" w:type="dxa"/>
        <w:jc w:val="left"/>
        <w:tblInd w:w="0" w:type="dxa"/>
        <w:tblLayout w:type="fixed"/>
        <w:tblCellMar>
          <w:top w:w="28" w:type="dxa"/>
          <w:left w:w="28" w:type="dxa"/>
          <w:bottom w:w="28" w:type="dxa"/>
          <w:right w:w="28" w:type="dxa"/>
        </w:tblCellMar>
      </w:tblPr>
      <w:tblGrid>
        <w:gridCol w:w="1437"/>
        <w:gridCol w:w="5234"/>
        <w:gridCol w:w="3534"/>
      </w:tblGrid>
      <w:tr>
        <w:trPr/>
        <w:tc>
          <w:tcPr>
            <w:tcW w:w="1437" w:type="dxa"/>
            <w:tcBorders/>
            <w:vAlign w:val="center"/>
          </w:tcPr>
          <w:p>
            <w:pPr>
              <w:pStyle w:val="TableContents"/>
              <w:bidi w:val="0"/>
              <w:spacing w:before="0" w:after="283"/>
              <w:jc w:val="left"/>
              <w:rPr>
                <w:sz w:val="4"/>
                <w:szCs w:val="4"/>
              </w:rPr>
            </w:pPr>
            <w:r>
              <w:rPr>
                <w:sz w:val="4"/>
                <w:szCs w:val="4"/>
              </w:rPr>
            </w:r>
          </w:p>
        </w:tc>
        <w:tc>
          <w:tcPr>
            <w:tcW w:w="5234" w:type="dxa"/>
            <w:tcBorders/>
            <w:vAlign w:val="center"/>
          </w:tcPr>
          <w:p>
            <w:pPr>
              <w:pStyle w:val="TableContents"/>
              <w:bidi w:val="0"/>
              <w:spacing w:before="0" w:after="283"/>
              <w:jc w:val="left"/>
              <w:rPr>
                <w:sz w:val="4"/>
                <w:szCs w:val="4"/>
              </w:rPr>
            </w:pPr>
            <w:r>
              <w:rPr>
                <w:sz w:val="4"/>
                <w:szCs w:val="4"/>
              </w:rPr>
            </w:r>
          </w:p>
        </w:tc>
        <w:tc>
          <w:tcPr>
            <w:tcW w:w="3534" w:type="dxa"/>
            <w:tcBorders/>
            <w:vAlign w:val="center"/>
          </w:tcPr>
          <w:p>
            <w:pPr>
              <w:pStyle w:val="TableContents"/>
              <w:bidi w:val="0"/>
              <w:spacing w:before="0" w:after="283"/>
              <w:jc w:val="left"/>
              <w:rPr>
                <w:sz w:val="4"/>
                <w:szCs w:val="4"/>
              </w:rPr>
            </w:pPr>
            <w:r>
              <w:rPr>
                <w:sz w:val="4"/>
                <w:szCs w:val="4"/>
              </w:rPr>
            </w:r>
          </w:p>
        </w:tc>
      </w:tr>
      <w:tr>
        <w:trPr/>
        <w:tc>
          <w:tcPr>
            <w:tcW w:w="143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0"/>
              <w:ind w:left="0" w:right="0" w:hanging="0"/>
              <w:jc w:val="center"/>
              <w:rPr>
                <w:rFonts w:ascii="Times New Roman;serif" w:hAnsi="Times New Roman;serif"/>
                <w:b w:val="false"/>
                <w:sz w:val="22"/>
              </w:rPr>
            </w:pPr>
            <w:r>
              <w:rPr>
                <w:rFonts w:ascii="Times New Roman;serif" w:hAnsi="Times New Roman;serif"/>
                <w:b w:val="false"/>
                <w:sz w:val="22"/>
              </w:rPr>
              <w:t>Milestone Event</w:t>
            </w:r>
          </w:p>
        </w:tc>
        <w:tc>
          <w:tcPr>
            <w:tcW w:w="523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0"/>
              <w:ind w:left="0" w:right="0" w:hanging="0"/>
              <w:jc w:val="both"/>
              <w:rPr>
                <w:rFonts w:ascii="Times New Roman" w:hAnsi="Times New Roman"/>
                <w:sz w:val="22"/>
              </w:rPr>
            </w:pPr>
            <w:r>
              <w:rPr>
                <w:rFonts w:ascii="Times New Roman;serif" w:hAnsi="Times New Roman;serif"/>
                <w:b w:val="false"/>
                <w:sz w:val="22"/>
              </w:rPr>
              <w:t xml:space="preserve">Milestone Payment for each Nkarta Product that is not a </w:t>
            </w:r>
            <w:r>
              <w:rPr>
                <w:rFonts w:ascii="Calibri;sans-serif" w:hAnsi="Calibri;sans-serif"/>
                <w:b w:val="false"/>
                <w:sz w:val="22"/>
              </w:rPr>
              <w:t>[***]</w:t>
            </w:r>
            <w:r>
              <w:rPr>
                <w:rFonts w:ascii="Times New Roman" w:hAnsi="Times New Roman"/>
                <w:sz w:val="22"/>
              </w:rPr>
              <w:t> </w:t>
            </w:r>
            <w:r>
              <w:rPr>
                <w:rFonts w:ascii="Times New Roman;serif" w:hAnsi="Times New Roman;serif"/>
                <w:b w:val="false"/>
                <w:sz w:val="22"/>
              </w:rPr>
              <w:t>(in US Dollars)</w:t>
            </w:r>
          </w:p>
        </w:tc>
        <w:tc>
          <w:tcPr>
            <w:tcW w:w="353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0"/>
              <w:ind w:left="0" w:right="0" w:hanging="0"/>
              <w:jc w:val="center"/>
              <w:rPr>
                <w:rFonts w:ascii="Times New Roman" w:hAnsi="Times New Roman"/>
                <w:sz w:val="22"/>
              </w:rPr>
            </w:pPr>
            <w:r>
              <w:rPr>
                <w:rFonts w:ascii="Times New Roman;serif" w:hAnsi="Times New Roman;serif"/>
                <w:b w:val="false"/>
                <w:sz w:val="22"/>
              </w:rPr>
              <w:t xml:space="preserve">Milestone Payment for each </w:t>
            </w:r>
            <w:r>
              <w:rPr>
                <w:rFonts w:ascii="Calibri;sans-serif" w:hAnsi="Calibri;sans-serif"/>
                <w:b w:val="false"/>
                <w:sz w:val="22"/>
              </w:rPr>
              <w:t>[***]</w:t>
            </w:r>
            <w:r>
              <w:rPr>
                <w:rFonts w:ascii="Times New Roman" w:hAnsi="Times New Roman"/>
                <w:sz w:val="22"/>
              </w:rPr>
              <w:t> </w:t>
            </w:r>
            <w:r>
              <w:rPr>
                <w:rFonts w:ascii="Times New Roman;serif" w:hAnsi="Times New Roman;serif"/>
                <w:b w:val="false"/>
                <w:sz w:val="22"/>
              </w:rPr>
              <w:t>(in US Dollars)</w:t>
            </w:r>
          </w:p>
        </w:tc>
      </w:tr>
      <w:tr>
        <w:trPr/>
        <w:tc>
          <w:tcPr>
            <w:tcW w:w="143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2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ind w:left="0" w:right="0" w:hanging="0"/>
              <w:jc w:val="center"/>
              <w:rPr>
                <w:rFonts w:ascii="Calibri;sans-serif" w:hAnsi="Calibri;sans-serif"/>
                <w:b w:val="false"/>
                <w:sz w:val="22"/>
              </w:rPr>
            </w:pPr>
            <w:r>
              <w:rPr>
                <w:rFonts w:ascii="Calibri;sans-serif" w:hAnsi="Calibri;sans-serif"/>
                <w:b w:val="false"/>
                <w:sz w:val="22"/>
              </w:rPr>
              <w:t>[***]</w:t>
            </w:r>
          </w:p>
        </w:tc>
        <w:tc>
          <w:tcPr>
            <w:tcW w:w="35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ind w:left="0" w:right="0" w:hanging="0"/>
              <w:jc w:val="center"/>
              <w:rPr>
                <w:rFonts w:ascii="Calibri;sans-serif" w:hAnsi="Calibri;sans-serif"/>
                <w:b w:val="false"/>
                <w:sz w:val="22"/>
              </w:rPr>
            </w:pPr>
            <w:r>
              <w:rPr>
                <w:rFonts w:ascii="Calibri;sans-serif" w:hAnsi="Calibri;sans-serif"/>
                <w:b w:val="false"/>
                <w:sz w:val="22"/>
              </w:rPr>
              <w:t>[***]</w:t>
            </w:r>
          </w:p>
        </w:tc>
      </w:tr>
      <w:tr>
        <w:trPr/>
        <w:tc>
          <w:tcPr>
            <w:tcW w:w="143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2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ind w:left="0" w:right="0" w:hanging="0"/>
              <w:jc w:val="center"/>
              <w:rPr>
                <w:rFonts w:ascii="Calibri;sans-serif" w:hAnsi="Calibri;sans-serif"/>
                <w:b w:val="false"/>
                <w:sz w:val="22"/>
              </w:rPr>
            </w:pPr>
            <w:r>
              <w:rPr>
                <w:rFonts w:ascii="Calibri;sans-serif" w:hAnsi="Calibri;sans-serif"/>
                <w:b w:val="false"/>
                <w:sz w:val="22"/>
              </w:rPr>
              <w:t>[***]</w:t>
            </w:r>
          </w:p>
        </w:tc>
        <w:tc>
          <w:tcPr>
            <w:tcW w:w="35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ind w:left="0" w:right="0" w:hanging="0"/>
              <w:jc w:val="center"/>
              <w:rPr>
                <w:rFonts w:ascii="Calibri;sans-serif" w:hAnsi="Calibri;sans-serif"/>
                <w:b w:val="false"/>
                <w:sz w:val="22"/>
              </w:rPr>
            </w:pPr>
            <w:r>
              <w:rPr>
                <w:rFonts w:ascii="Calibri;sans-serif" w:hAnsi="Calibri;sans-serif"/>
                <w:b w:val="false"/>
                <w:sz w:val="22"/>
              </w:rPr>
              <w:t>[***]</w:t>
            </w:r>
          </w:p>
        </w:tc>
      </w:tr>
      <w:tr>
        <w:trPr/>
        <w:tc>
          <w:tcPr>
            <w:tcW w:w="143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2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ind w:left="0" w:right="0" w:hanging="0"/>
              <w:jc w:val="center"/>
              <w:rPr>
                <w:rFonts w:ascii="Calibri;sans-serif" w:hAnsi="Calibri;sans-serif"/>
                <w:b w:val="false"/>
                <w:sz w:val="22"/>
              </w:rPr>
            </w:pPr>
            <w:r>
              <w:rPr>
                <w:rFonts w:ascii="Calibri;sans-serif" w:hAnsi="Calibri;sans-serif"/>
                <w:b w:val="false"/>
                <w:sz w:val="22"/>
              </w:rPr>
              <w:t>[***]</w:t>
            </w:r>
          </w:p>
        </w:tc>
        <w:tc>
          <w:tcPr>
            <w:tcW w:w="35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ind w:left="0" w:right="0" w:hanging="0"/>
              <w:jc w:val="center"/>
              <w:rPr>
                <w:rFonts w:ascii="Calibri;sans-serif" w:hAnsi="Calibri;sans-serif"/>
                <w:b w:val="false"/>
                <w:sz w:val="22"/>
              </w:rPr>
            </w:pPr>
            <w:r>
              <w:rPr>
                <w:rFonts w:ascii="Calibri;sans-serif" w:hAnsi="Calibri;sans-serif"/>
                <w:b w:val="false"/>
                <w:sz w:val="22"/>
              </w:rPr>
              <w:t>[***]</w:t>
            </w:r>
          </w:p>
        </w:tc>
      </w:tr>
      <w:tr>
        <w:trPr/>
        <w:tc>
          <w:tcPr>
            <w:tcW w:w="143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52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ind w:left="0" w:right="0" w:hanging="0"/>
              <w:jc w:val="center"/>
              <w:rPr>
                <w:rFonts w:ascii="Calibri;sans-serif" w:hAnsi="Calibri;sans-serif"/>
                <w:b w:val="false"/>
                <w:sz w:val="22"/>
              </w:rPr>
            </w:pPr>
            <w:r>
              <w:rPr>
                <w:rFonts w:ascii="Calibri;sans-serif" w:hAnsi="Calibri;sans-serif"/>
                <w:b w:val="false"/>
                <w:sz w:val="22"/>
              </w:rPr>
              <w:t>[***]</w:t>
            </w:r>
          </w:p>
        </w:tc>
        <w:tc>
          <w:tcPr>
            <w:tcW w:w="35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ind w:left="0" w:right="0" w:hanging="0"/>
              <w:jc w:val="center"/>
              <w:rPr>
                <w:rFonts w:ascii="Calibri;sans-serif" w:hAnsi="Calibri;sans-serif"/>
                <w:b w:val="false"/>
                <w:sz w:val="22"/>
              </w:rPr>
            </w:pPr>
            <w:r>
              <w:rPr>
                <w:rFonts w:ascii="Calibri;sans-serif" w:hAnsi="Calibri;sans-serif"/>
                <w:b w:val="false"/>
                <w:sz w:val="22"/>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2"/>
        </w:rPr>
        <w:t>The term “</w:t>
      </w:r>
      <w:r>
        <w:rPr>
          <w:rFonts w:ascii="Times New Roman;serif" w:hAnsi="Times New Roman;serif"/>
          <w:b/>
          <w:sz w:val="22"/>
        </w:rPr>
        <w:t>Indication</w:t>
      </w:r>
      <w:r>
        <w:rPr>
          <w:rFonts w:ascii="Times New Roman" w:hAnsi="Times New Roman"/>
          <w:sz w:val="20"/>
        </w:rPr>
        <w:t xml:space="preserve">” </w:t>
      </w:r>
      <w:r>
        <w:rPr>
          <w:rFonts w:ascii="Times New Roman;serif" w:hAnsi="Times New Roman;serif"/>
          <w:b w:val="false"/>
          <w:sz w:val="22"/>
        </w:rPr>
        <w:t>as used above means, with respect to a particular Nkarta Product [***].</w:t>
      </w:r>
    </w:p>
    <w:p>
      <w:pPr>
        <w:pStyle w:val="TextBody"/>
        <w:bidi w:val="0"/>
        <w:spacing w:before="0" w:after="0"/>
        <w:jc w:val="both"/>
        <w:rPr/>
      </w:pPr>
      <w:r>
        <w:rPr/>
        <w:t>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Solely for purposes of determining the milestone payment amount after a milestone event hereunder or calculating the royalty rate of Net Sales in Section 10.2.1(b), the term [***].”</w:t>
      </w:r>
    </w:p>
    <w:p>
      <w:pPr>
        <w:pStyle w:val="TextBody"/>
        <w:bidi w:val="0"/>
        <w:spacing w:before="0" w:after="240"/>
        <w:jc w:val="both"/>
        <w:rPr>
          <w:rFonts w:ascii="Times New Roman" w:hAnsi="Times New Roman"/>
          <w:b w:val="false"/>
          <w:sz w:val="22"/>
        </w:rPr>
      </w:pPr>
      <w:r>
        <w:rPr>
          <w:rFonts w:ascii="Times New Roman" w:hAnsi="Times New Roman"/>
          <w:b w:val="false"/>
          <w:sz w:val="22"/>
        </w:rPr>
        <w:t>1.4.</w:t>
      </w:r>
    </w:p>
    <w:p>
      <w:pPr>
        <w:pStyle w:val="TextBody"/>
        <w:bidi w:val="0"/>
        <w:spacing w:before="0" w:after="240"/>
        <w:jc w:val="both"/>
        <w:rPr/>
      </w:pPr>
      <w:r>
        <w:rPr>
          <w:rFonts w:ascii="Times New Roman;serif" w:hAnsi="Times New Roman;serif"/>
          <w:b/>
          <w:sz w:val="22"/>
          <w:u w:val="single"/>
        </w:rPr>
        <w:t>Royalty Payments</w:t>
      </w:r>
      <w:r>
        <w:rPr>
          <w:rFonts w:ascii="Times New Roman;serif" w:hAnsi="Times New Roman;serif"/>
          <w:b/>
          <w:sz w:val="22"/>
        </w:rPr>
        <w:t xml:space="preserve">. </w:t>
      </w:r>
      <w:r>
        <w:rPr>
          <w:rFonts w:ascii="Times New Roman;serif" w:hAnsi="Times New Roman;serif"/>
          <w:b w:val="false"/>
          <w:sz w:val="22"/>
        </w:rPr>
        <w:t xml:space="preserve">Section 10.2.1(b) in the Agreement is hereby amended and restated as set forth below. </w:t>
      </w:r>
    </w:p>
    <w:p>
      <w:pPr>
        <w:pStyle w:val="TextBody"/>
        <w:bidi w:val="0"/>
        <w:spacing w:before="0" w:after="240"/>
        <w:jc w:val="both"/>
        <w:rPr/>
      </w:pPr>
      <w:r>
        <w:rPr/>
        <w:t>“</w:t>
      </w:r>
      <w:r>
        <w:rPr>
          <w:rFonts w:ascii="Times New Roman;serif" w:hAnsi="Times New Roman;serif"/>
          <w:b w:val="false"/>
          <w:sz w:val="22"/>
        </w:rPr>
        <w:t>(b) During the Royalty Term, on an Nkarta Product-by-Nkarta Product basis, Nkarta shall pay to CRISPR a royalty on total annual Net Sales in the Territory equal to the following portions of Net Sales multiplied by the applicable royalty rate for such portion:</w:t>
      </w:r>
    </w:p>
    <w:tbl>
      <w:tblPr>
        <w:tblW w:w="10205" w:type="dxa"/>
        <w:jc w:val="left"/>
        <w:tblInd w:w="0" w:type="dxa"/>
        <w:tblLayout w:type="fixed"/>
        <w:tblCellMar>
          <w:top w:w="28" w:type="dxa"/>
          <w:left w:w="28" w:type="dxa"/>
          <w:bottom w:w="28" w:type="dxa"/>
          <w:right w:w="28" w:type="dxa"/>
        </w:tblCellMar>
      </w:tblPr>
      <w:tblGrid>
        <w:gridCol w:w="4756"/>
        <w:gridCol w:w="3476"/>
        <w:gridCol w:w="1973"/>
      </w:tblGrid>
      <w:tr>
        <w:trPr/>
        <w:tc>
          <w:tcPr>
            <w:tcW w:w="4756" w:type="dxa"/>
            <w:tcBorders/>
            <w:vAlign w:val="center"/>
          </w:tcPr>
          <w:p>
            <w:pPr>
              <w:pStyle w:val="TableContents"/>
              <w:bidi w:val="0"/>
              <w:spacing w:before="0" w:after="283"/>
              <w:jc w:val="left"/>
              <w:rPr>
                <w:sz w:val="4"/>
                <w:szCs w:val="4"/>
              </w:rPr>
            </w:pPr>
            <w:r>
              <w:rPr>
                <w:sz w:val="4"/>
                <w:szCs w:val="4"/>
              </w:rPr>
            </w:r>
          </w:p>
        </w:tc>
        <w:tc>
          <w:tcPr>
            <w:tcW w:w="3476"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475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Portion of Total Annual Net Sales of Each Nkarta Product in a Calendar Year</w:t>
            </w:r>
          </w:p>
        </w:tc>
        <w:tc>
          <w:tcPr>
            <w:tcW w:w="347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0"/>
              <w:ind w:left="0" w:right="0" w:hanging="0"/>
              <w:jc w:val="left"/>
              <w:rPr>
                <w:rFonts w:ascii="Times New Roman" w:hAnsi="Times New Roman"/>
                <w:sz w:val="22"/>
              </w:rPr>
            </w:pPr>
            <w:r>
              <w:rPr>
                <w:rFonts w:ascii="Times New Roman;serif" w:hAnsi="Times New Roman;serif"/>
                <w:b w:val="false"/>
                <w:sz w:val="22"/>
              </w:rPr>
              <w:t xml:space="preserve">Royalty Rate for each Nkarta Product that is not a </w:t>
            </w:r>
            <w:r>
              <w:rPr>
                <w:rFonts w:ascii="Calibri;sans-serif" w:hAnsi="Calibri;sans-serif"/>
                <w:b w:val="false"/>
                <w:sz w:val="22"/>
              </w:rPr>
              <w:t>[***]</w:t>
            </w:r>
          </w:p>
        </w:tc>
        <w:tc>
          <w:tcPr>
            <w:tcW w:w="197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0"/>
              <w:ind w:left="0" w:right="0" w:hanging="0"/>
              <w:jc w:val="left"/>
              <w:rPr>
                <w:rFonts w:ascii="Times New Roman" w:hAnsi="Times New Roman"/>
                <w:sz w:val="22"/>
              </w:rPr>
            </w:pPr>
            <w:r>
              <w:rPr>
                <w:rFonts w:ascii="Times New Roman;serif" w:hAnsi="Times New Roman;serif"/>
                <w:b w:val="false"/>
                <w:sz w:val="22"/>
              </w:rPr>
              <w:t xml:space="preserve">Royalty Rate for each </w:t>
            </w:r>
            <w:r>
              <w:rPr>
                <w:rFonts w:ascii="Calibri;sans-serif" w:hAnsi="Calibri;sans-serif"/>
                <w:b w:val="false"/>
                <w:sz w:val="22"/>
              </w:rPr>
              <w:t>[***]</w:t>
            </w:r>
          </w:p>
        </w:tc>
      </w:tr>
      <w:tr>
        <w:trPr/>
        <w:tc>
          <w:tcPr>
            <w:tcW w:w="47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0"/>
              <w:ind w:left="0" w:right="0" w:hanging="0"/>
              <w:jc w:val="left"/>
              <w:rPr>
                <w:rFonts w:ascii="Times New Roman" w:hAnsi="Times New Roman"/>
                <w:sz w:val="22"/>
              </w:rPr>
            </w:pPr>
            <w:r>
              <w:rPr>
                <w:rFonts w:ascii="Times New Roman;serif" w:hAnsi="Times New Roman;serif"/>
                <w:b w:val="false"/>
                <w:sz w:val="22"/>
              </w:rPr>
              <w:t xml:space="preserve">Up to </w:t>
            </w:r>
            <w:r>
              <w:rPr>
                <w:rFonts w:ascii="Calibri;sans-serif" w:hAnsi="Calibri;sans-serif"/>
                <w:b w:val="false"/>
                <w:sz w:val="22"/>
              </w:rPr>
              <w:t>[***]</w:t>
            </w:r>
          </w:p>
        </w:tc>
        <w:tc>
          <w:tcPr>
            <w:tcW w:w="34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9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47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0"/>
              <w:ind w:left="0" w:right="0" w:hanging="0"/>
              <w:jc w:val="left"/>
              <w:rPr>
                <w:rFonts w:ascii="Times New Roman" w:hAnsi="Times New Roman"/>
                <w:sz w:val="22"/>
              </w:rPr>
            </w:pPr>
            <w:r>
              <w:rPr>
                <w:rFonts w:ascii="Times New Roman;serif" w:hAnsi="Times New Roman;serif"/>
                <w:b w:val="false"/>
                <w:sz w:val="22"/>
              </w:rPr>
              <w:t xml:space="preserve">Greater than or equal to </w:t>
            </w:r>
            <w:r>
              <w:rPr>
                <w:rFonts w:ascii="Calibri;sans-serif" w:hAnsi="Calibri;sans-serif"/>
                <w:b w:val="false"/>
                <w:sz w:val="22"/>
              </w:rPr>
              <w:t>[***]</w:t>
            </w:r>
            <w:r>
              <w:rPr>
                <w:rFonts w:ascii="Times New Roman" w:hAnsi="Times New Roman"/>
                <w:sz w:val="22"/>
              </w:rPr>
              <w:t> </w:t>
            </w:r>
            <w:r>
              <w:rPr>
                <w:rFonts w:ascii="Times New Roman;serif" w:hAnsi="Times New Roman;serif"/>
                <w:b w:val="false"/>
                <w:sz w:val="22"/>
              </w:rPr>
              <w:t xml:space="preserve">and less than </w:t>
            </w:r>
            <w:r>
              <w:rPr>
                <w:rFonts w:ascii="Calibri;sans-serif" w:hAnsi="Calibri;sans-serif"/>
                <w:b w:val="false"/>
                <w:sz w:val="22"/>
              </w:rPr>
              <w:t>[***]</w:t>
            </w:r>
          </w:p>
        </w:tc>
        <w:tc>
          <w:tcPr>
            <w:tcW w:w="34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9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47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0"/>
              <w:ind w:left="0" w:right="0" w:hanging="0"/>
              <w:jc w:val="left"/>
              <w:rPr>
                <w:rFonts w:ascii="Times New Roman" w:hAnsi="Times New Roman"/>
                <w:sz w:val="22"/>
              </w:rPr>
            </w:pPr>
            <w:r>
              <w:rPr>
                <w:rFonts w:ascii="Times New Roman;serif" w:hAnsi="Times New Roman;serif"/>
                <w:b w:val="false"/>
                <w:sz w:val="22"/>
              </w:rPr>
              <w:t xml:space="preserve">Greater than or equal to </w:t>
            </w:r>
            <w:r>
              <w:rPr>
                <w:rFonts w:ascii="Calibri;sans-serif" w:hAnsi="Calibri;sans-serif"/>
                <w:b w:val="false"/>
                <w:sz w:val="22"/>
              </w:rPr>
              <w:t>[***]</w:t>
            </w:r>
          </w:p>
        </w:tc>
        <w:tc>
          <w:tcPr>
            <w:tcW w:w="34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ind w:left="0" w:right="0" w:hanging="0"/>
              <w:jc w:val="left"/>
              <w:rPr>
                <w:rFonts w:ascii="Calibri;sans-serif" w:hAnsi="Calibri;sans-serif"/>
                <w:b w:val="false"/>
                <w:sz w:val="22"/>
              </w:rPr>
            </w:pPr>
            <w:r>
              <w:rPr>
                <w:rFonts w:ascii="Calibri;sans-serif" w:hAnsi="Calibri;sans-serif"/>
                <w:b w:val="false"/>
                <w:sz w:val="22"/>
              </w:rPr>
              <w:t>[***]</w:t>
            </w:r>
          </w:p>
        </w:tc>
        <w:tc>
          <w:tcPr>
            <w:tcW w:w="19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ind w:left="0" w:right="0" w:hanging="0"/>
              <w:jc w:val="left"/>
              <w:rPr>
                <w:rFonts w:ascii="Calibri;sans-serif" w:hAnsi="Calibri;sans-serif"/>
                <w:b w:val="false"/>
                <w:sz w:val="22"/>
              </w:rPr>
            </w:pPr>
            <w:r>
              <w:rPr>
                <w:rFonts w:ascii="Calibri;sans-serif" w:hAnsi="Calibri;sans-serif"/>
                <w:b w:val="false"/>
                <w:sz w:val="22"/>
              </w:rPr>
              <w:t>[***]</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By way of example, if the annual Net Sales of a given Nkarta Product that is not a [***] in a particular Calendar Year are [***].”</w:t>
      </w:r>
    </w:p>
    <w:p>
      <w:pPr>
        <w:pStyle w:val="TextBody"/>
        <w:bidi w:val="0"/>
        <w:spacing w:before="0" w:after="0"/>
        <w:jc w:val="both"/>
        <w:rPr/>
      </w:pPr>
      <w:r>
        <w:rPr/>
        <w:t> </w:t>
      </w:r>
    </w:p>
    <w:p>
      <w:pPr>
        <w:pStyle w:val="TextBody"/>
        <w:bidi w:val="0"/>
        <w:spacing w:before="0" w:after="0"/>
        <w:jc w:val="both"/>
        <w:rPr/>
      </w:pPr>
      <w:r>
        <w:rPr/>
        <w:t> </w:t>
      </w:r>
    </w:p>
    <w:p>
      <w:pPr>
        <w:pStyle w:val="TextBody"/>
        <w:bidi w:val="0"/>
        <w:jc w:val="center"/>
        <w:rPr>
          <w:rFonts w:ascii="Times New Roman" w:hAnsi="Times New Roman"/>
          <w:b/>
          <w:caps/>
          <w:sz w:val="22"/>
        </w:rPr>
      </w:pPr>
      <w:r>
        <w:rPr>
          <w:rFonts w:ascii="Times New Roman" w:hAnsi="Times New Roman"/>
          <w:b/>
          <w:caps/>
          <w:sz w:val="22"/>
        </w:rPr>
        <w:t>ARTICLE 2.</w:t>
      </w:r>
    </w:p>
    <w:p>
      <w:pPr>
        <w:pStyle w:val="TextBody"/>
        <w:bidi w:val="0"/>
        <w:spacing w:before="0" w:after="240"/>
        <w:jc w:val="center"/>
        <w:rPr>
          <w:rFonts w:ascii="Times New Roman;serif" w:hAnsi="Times New Roman;serif"/>
          <w:b/>
          <w:caps/>
          <w:sz w:val="22"/>
        </w:rPr>
      </w:pPr>
      <w:r>
        <w:rPr>
          <w:rFonts w:ascii="Times New Roman;serif" w:hAnsi="Times New Roman;serif"/>
          <w:b/>
          <w:caps/>
          <w:sz w:val="22"/>
        </w:rPr>
        <w:t>MISCELLANEOUS</w:t>
      </w:r>
    </w:p>
    <w:p>
      <w:pPr>
        <w:pStyle w:val="TextBody"/>
        <w:bidi w:val="0"/>
        <w:spacing w:before="0" w:after="240"/>
        <w:jc w:val="both"/>
        <w:rPr>
          <w:rFonts w:ascii="Times New Roman" w:hAnsi="Times New Roman"/>
          <w:b w:val="false"/>
          <w:sz w:val="22"/>
        </w:rPr>
      </w:pPr>
      <w:r>
        <w:rPr>
          <w:rFonts w:ascii="Times New Roman" w:hAnsi="Times New Roman"/>
          <w:b w:val="false"/>
          <w:sz w:val="22"/>
        </w:rPr>
        <w:t>2.1</w:t>
      </w:r>
    </w:p>
    <w:p>
      <w:pPr>
        <w:pStyle w:val="TextBody"/>
        <w:bidi w:val="0"/>
        <w:spacing w:before="0" w:after="240"/>
        <w:jc w:val="both"/>
        <w:rPr/>
      </w:pPr>
      <w:r>
        <w:rPr>
          <w:rFonts w:ascii="Times New Roman;serif" w:hAnsi="Times New Roman;serif"/>
          <w:b/>
          <w:sz w:val="22"/>
          <w:u w:val="single"/>
        </w:rPr>
        <w:t>Effect of Amendment</w:t>
      </w:r>
      <w:r>
        <w:rPr>
          <w:rFonts w:ascii="Times New Roman;serif" w:hAnsi="Times New Roman;serif"/>
          <w:b w:val="false"/>
          <w:sz w:val="22"/>
        </w:rPr>
        <w:t xml:space="preserve">. This Amendment shall not be deemed to be an amendment to any other terms and conditions of the Agreement. Except as expressly amended by this Amendment, the Agreement remains unchanged and in full force and effect. </w:t>
      </w:r>
    </w:p>
    <w:p>
      <w:pPr>
        <w:pStyle w:val="TextBody"/>
        <w:bidi w:val="0"/>
        <w:spacing w:before="0" w:after="240"/>
        <w:jc w:val="both"/>
        <w:rPr>
          <w:rFonts w:ascii="Times New Roman" w:hAnsi="Times New Roman"/>
          <w:b w:val="false"/>
          <w:sz w:val="22"/>
        </w:rPr>
      </w:pPr>
      <w:r>
        <w:rPr>
          <w:rFonts w:ascii="Times New Roman" w:hAnsi="Times New Roman"/>
          <w:b w:val="false"/>
          <w:sz w:val="22"/>
        </w:rPr>
        <w:t>2.2</w:t>
      </w:r>
    </w:p>
    <w:p>
      <w:pPr>
        <w:pStyle w:val="TextBody"/>
        <w:bidi w:val="0"/>
        <w:spacing w:before="0" w:after="240"/>
        <w:jc w:val="both"/>
        <w:rPr/>
      </w:pPr>
      <w:r>
        <w:rPr>
          <w:rFonts w:ascii="Times New Roman;serif" w:hAnsi="Times New Roman;serif"/>
          <w:b/>
          <w:sz w:val="22"/>
          <w:u w:val="single"/>
        </w:rPr>
        <w:t>Counterparts</w:t>
      </w:r>
      <w:r>
        <w:rPr>
          <w:rFonts w:ascii="Times New Roman;serif" w:hAnsi="Times New Roman;serif"/>
          <w:b w:val="false"/>
          <w:sz w:val="22"/>
        </w:rPr>
        <w:t>. This Amendment may be executed in one or more counterparts, each of which will be an original and all of which will constitute together the same document. Counterparts may be signed and delivered by facsimile or digital transmission (.pdf), each of which will be binding when received by the applicable Party.</w:t>
      </w:r>
    </w:p>
    <w:p>
      <w:pPr>
        <w:pStyle w:val="TextBody"/>
        <w:bidi w:val="0"/>
        <w:spacing w:before="0" w:after="0"/>
        <w:jc w:val="center"/>
        <w:rPr>
          <w:rFonts w:ascii="Times New Roman;serif" w:hAnsi="Times New Roman;serif"/>
          <w:b w:val="false"/>
          <w:i/>
          <w:sz w:val="22"/>
        </w:rPr>
      </w:pPr>
      <w:r>
        <w:rPr>
          <w:rFonts w:ascii="Times New Roman;serif" w:hAnsi="Times New Roman;serif"/>
          <w:b w:val="false"/>
          <w:i/>
          <w:sz w:val="22"/>
        </w:rPr>
        <w:t>[SIGNATURE PAGE FOLLOWS]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 - * - * - *</w:t>
      </w:r>
    </w:p>
    <w:p>
      <w:pPr>
        <w:pStyle w:val="TextBody"/>
        <w:bidi w:val="0"/>
        <w:spacing w:before="0" w:after="0"/>
        <w:jc w:val="center"/>
        <w:rPr/>
      </w:pPr>
      <w:r>
        <w:rPr/>
        <w:t> </w:t>
      </w:r>
    </w:p>
    <w:p>
      <w:pPr>
        <w:pStyle w:val="TextBody"/>
        <w:bidi w:val="0"/>
        <w:spacing w:before="0" w:after="0"/>
        <w:jc w:val="both"/>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sz w:val="22"/>
        </w:rPr>
        <w:t>IN WITNESS WHEREOF</w:t>
      </w:r>
      <w:r>
        <w:rPr>
          <w:rFonts w:ascii="Times New Roman;serif" w:hAnsi="Times New Roman;serif"/>
          <w:b w:val="false"/>
          <w:sz w:val="22"/>
        </w:rPr>
        <w:t>, the Parties have caused this Amendment to be executed by their representatives thereunto duly authorized as of the Amendment Effective Date.</w:t>
      </w:r>
    </w:p>
    <w:p>
      <w:pPr>
        <w:pStyle w:val="TextBody"/>
        <w:bidi w:val="0"/>
        <w:spacing w:before="0" w:after="0"/>
        <w:jc w:val="left"/>
        <w:rPr/>
      </w:pPr>
      <w:r>
        <w:rPr/>
        <w:t> </w:t>
      </w:r>
    </w:p>
    <w:tbl>
      <w:tblPr>
        <w:tblW w:w="7337" w:type="dxa"/>
        <w:jc w:val="left"/>
        <w:tblInd w:w="0" w:type="dxa"/>
        <w:tblLayout w:type="fixed"/>
        <w:tblCellMar>
          <w:top w:w="28" w:type="dxa"/>
          <w:left w:w="28" w:type="dxa"/>
          <w:bottom w:w="28" w:type="dxa"/>
          <w:right w:w="28" w:type="dxa"/>
        </w:tblCellMar>
      </w:tblPr>
      <w:tblGrid>
        <w:gridCol w:w="4096"/>
        <w:gridCol w:w="3241"/>
      </w:tblGrid>
      <w:tr>
        <w:trPr/>
        <w:tc>
          <w:tcPr>
            <w:tcW w:w="409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40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2"/>
              </w:rPr>
            </w:pPr>
            <w:r>
              <w:rPr>
                <w:rFonts w:ascii="Times New Roman;serif" w:hAnsi="Times New Roman;serif"/>
                <w:b/>
                <w:sz w:val="22"/>
              </w:rPr>
              <w:t>NKARTA, INC.</w:t>
            </w:r>
          </w:p>
          <w:p>
            <w:pPr>
              <w:pStyle w:val="TableContents"/>
              <w:bidi w:val="0"/>
              <w:spacing w:before="0" w:after="0"/>
              <w:ind w:left="0" w:right="0" w:hanging="0"/>
              <w:jc w:val="both"/>
              <w:rPr/>
            </w:pPr>
            <w:r>
              <w:rPr/>
              <w:t> </w:t>
            </w:r>
          </w:p>
          <w:p>
            <w:pPr>
              <w:pStyle w:val="TableContents"/>
              <w:bidi w:val="0"/>
              <w:spacing w:before="0" w:after="240"/>
              <w:ind w:left="0" w:right="0" w:hanging="0"/>
              <w:jc w:val="both"/>
              <w:rPr/>
            </w:pPr>
            <w:r>
              <w:rPr/>
              <w:t> </w:t>
            </w:r>
          </w:p>
        </w:tc>
        <w:tc>
          <w:tcPr>
            <w:tcW w:w="3241" w:type="dxa"/>
            <w:tcBorders/>
            <w:tcMar>
              <w:top w:w="0" w:type="dxa"/>
              <w:left w:w="0" w:type="dxa"/>
              <w:bottom w:w="0" w:type="dxa"/>
              <w:right w:w="0" w:type="dxa"/>
            </w:tcMar>
            <w:vAlign w:val="center"/>
          </w:tcPr>
          <w:p>
            <w:pPr>
              <w:pStyle w:val="TableContents"/>
              <w:bidi w:val="0"/>
              <w:spacing w:before="0" w:after="240"/>
              <w:ind w:left="0" w:right="0" w:hanging="0"/>
              <w:jc w:val="both"/>
              <w:rPr>
                <w:rFonts w:ascii="Times New Roman;serif" w:hAnsi="Times New Roman;serif"/>
                <w:b/>
                <w:caps/>
                <w:sz w:val="22"/>
              </w:rPr>
            </w:pPr>
            <w:r>
              <w:rPr>
                <w:rFonts w:ascii="Times New Roman;serif" w:hAnsi="Times New Roman;serif"/>
                <w:b/>
                <w:caps/>
                <w:sz w:val="22"/>
              </w:rPr>
              <w:t>CRISPR THERAPEUTICS AG</w:t>
            </w:r>
          </w:p>
        </w:tc>
      </w:tr>
      <w:tr>
        <w:trPr/>
        <w:tc>
          <w:tcPr>
            <w:tcW w:w="4096" w:type="dxa"/>
            <w:tcBorders/>
            <w:tcMar>
              <w:top w:w="0" w:type="dxa"/>
              <w:left w:w="0" w:type="dxa"/>
              <w:bottom w:w="0" w:type="dxa"/>
              <w:right w:w="0" w:type="dxa"/>
            </w:tcMar>
            <w:vAlign w:val="center"/>
          </w:tcPr>
          <w:p>
            <w:pPr>
              <w:pStyle w:val="TableContents"/>
              <w:bidi w:val="0"/>
              <w:spacing w:before="0" w:after="240"/>
              <w:ind w:left="0" w:right="0" w:hanging="0"/>
              <w:jc w:val="both"/>
              <w:rPr/>
            </w:pPr>
            <w:r>
              <w:rPr/>
              <w:t> </w:t>
            </w:r>
          </w:p>
          <w:p>
            <w:pPr>
              <w:pStyle w:val="TableContents"/>
              <w:bidi w:val="0"/>
              <w:spacing w:before="0" w:after="240"/>
              <w:ind w:left="0" w:right="0" w:hanging="0"/>
              <w:jc w:val="both"/>
              <w:rPr/>
            </w:pPr>
            <w:r>
              <w:rPr/>
              <w:t> </w:t>
            </w:r>
          </w:p>
          <w:p>
            <w:pPr>
              <w:pStyle w:val="TableContents"/>
              <w:bidi w:val="0"/>
              <w:spacing w:before="0" w:after="240"/>
              <w:ind w:left="0" w:right="0" w:hanging="0"/>
              <w:jc w:val="both"/>
              <w:rPr>
                <w:rFonts w:ascii="Times New Roman" w:hAnsi="Times New Roman"/>
                <w:sz w:val="22"/>
              </w:rPr>
            </w:pPr>
            <w:r>
              <w:rPr>
                <w:rFonts w:ascii="Times New Roman;serif" w:hAnsi="Times New Roman;serif"/>
                <w:b w:val="false"/>
                <w:sz w:val="22"/>
              </w:rPr>
              <w:t xml:space="preserve">By: </w:t>
            </w:r>
            <w:r>
              <w:rPr>
                <w:rFonts w:ascii="Times New Roman;serif" w:hAnsi="Times New Roman;serif"/>
                <w:b w:val="false"/>
                <w:sz w:val="22"/>
                <w:u w:val="single"/>
              </w:rPr>
              <w:t>/s/ Nadir Mahmood</w:t>
            </w:r>
          </w:p>
        </w:tc>
        <w:tc>
          <w:tcPr>
            <w:tcW w:w="3241" w:type="dxa"/>
            <w:tcBorders/>
            <w:tcMar>
              <w:top w:w="0" w:type="dxa"/>
              <w:left w:w="0" w:type="dxa"/>
              <w:bottom w:w="0" w:type="dxa"/>
              <w:right w:w="0" w:type="dxa"/>
            </w:tcMar>
            <w:vAlign w:val="center"/>
          </w:tcPr>
          <w:p>
            <w:pPr>
              <w:pStyle w:val="TableContents"/>
              <w:bidi w:val="0"/>
              <w:spacing w:before="0" w:after="240"/>
              <w:ind w:left="0" w:right="0" w:hanging="0"/>
              <w:jc w:val="both"/>
              <w:rPr/>
            </w:pPr>
            <w:r>
              <w:rPr/>
              <w:t> </w:t>
            </w:r>
          </w:p>
          <w:p>
            <w:pPr>
              <w:pStyle w:val="TableContents"/>
              <w:bidi w:val="0"/>
              <w:spacing w:before="0" w:after="240"/>
              <w:ind w:left="0" w:right="0" w:hanging="0"/>
              <w:jc w:val="both"/>
              <w:rPr/>
            </w:pPr>
            <w:r>
              <w:rPr/>
              <w:t> </w:t>
            </w:r>
          </w:p>
          <w:p>
            <w:pPr>
              <w:pStyle w:val="TableContents"/>
              <w:bidi w:val="0"/>
              <w:spacing w:before="0" w:after="240"/>
              <w:ind w:left="0" w:right="0" w:hanging="0"/>
              <w:jc w:val="both"/>
              <w:rPr>
                <w:rFonts w:ascii="Times New Roman" w:hAnsi="Times New Roman"/>
                <w:sz w:val="22"/>
              </w:rPr>
            </w:pPr>
            <w:r>
              <w:rPr>
                <w:rFonts w:ascii="Times New Roman;serif" w:hAnsi="Times New Roman;serif"/>
                <w:b w:val="false"/>
                <w:sz w:val="22"/>
              </w:rPr>
              <w:t xml:space="preserve">By: </w:t>
            </w:r>
            <w:r>
              <w:rPr>
                <w:rFonts w:ascii="Times New Roman;serif" w:hAnsi="Times New Roman;serif"/>
                <w:b w:val="false"/>
                <w:sz w:val="22"/>
                <w:u w:val="single"/>
              </w:rPr>
              <w:t>/s/ Rodger Novak</w:t>
            </w:r>
          </w:p>
        </w:tc>
      </w:tr>
      <w:tr>
        <w:trPr/>
        <w:tc>
          <w:tcPr>
            <w:tcW w:w="4096" w:type="dxa"/>
            <w:tcBorders/>
            <w:tcMar>
              <w:top w:w="0" w:type="dxa"/>
              <w:left w:w="0" w:type="dxa"/>
              <w:bottom w:w="0" w:type="dxa"/>
              <w:right w:w="0" w:type="dxa"/>
            </w:tcMar>
            <w:vAlign w:val="center"/>
          </w:tcPr>
          <w:p>
            <w:pPr>
              <w:pStyle w:val="TableContents"/>
              <w:bidi w:val="0"/>
              <w:spacing w:before="0" w:after="240"/>
              <w:ind w:left="0" w:right="0" w:hanging="0"/>
              <w:jc w:val="both"/>
              <w:rPr>
                <w:rFonts w:ascii="Times New Roman" w:hAnsi="Times New Roman"/>
                <w:sz w:val="22"/>
              </w:rPr>
            </w:pPr>
            <w:r>
              <w:rPr>
                <w:rFonts w:ascii="Times New Roman;serif" w:hAnsi="Times New Roman;serif"/>
                <w:b w:val="false"/>
                <w:sz w:val="22"/>
              </w:rPr>
              <w:t xml:space="preserve">Name: </w:t>
            </w:r>
            <w:r>
              <w:rPr>
                <w:rFonts w:ascii="Times New Roman;serif" w:hAnsi="Times New Roman;serif"/>
                <w:b w:val="false"/>
                <w:sz w:val="22"/>
                <w:u w:val="single"/>
              </w:rPr>
              <w:t>Nadir Mahmood</w:t>
            </w:r>
          </w:p>
          <w:p>
            <w:pPr>
              <w:pStyle w:val="TableContents"/>
              <w:bidi w:val="0"/>
              <w:spacing w:before="0" w:after="240"/>
              <w:ind w:left="0" w:right="0" w:hanging="0"/>
              <w:jc w:val="left"/>
              <w:rPr>
                <w:rFonts w:ascii="Times New Roman" w:hAnsi="Times New Roman"/>
                <w:sz w:val="22"/>
              </w:rPr>
            </w:pPr>
            <w:r>
              <w:rPr>
                <w:rFonts w:ascii="Times New Roman;serif" w:hAnsi="Times New Roman;serif"/>
                <w:b w:val="false"/>
                <w:sz w:val="22"/>
              </w:rPr>
              <w:t xml:space="preserve">Title: </w:t>
            </w:r>
            <w:r>
              <w:rPr>
                <w:rFonts w:ascii="Times New Roman;serif" w:hAnsi="Times New Roman;serif"/>
                <w:b w:val="false"/>
                <w:sz w:val="22"/>
                <w:u w:val="single"/>
              </w:rPr>
              <w:t>Chief Financial and Business Officer</w:t>
            </w:r>
          </w:p>
        </w:tc>
        <w:tc>
          <w:tcPr>
            <w:tcW w:w="3241" w:type="dxa"/>
            <w:tcBorders/>
            <w:tcMar>
              <w:top w:w="0" w:type="dxa"/>
              <w:left w:w="0" w:type="dxa"/>
              <w:bottom w:w="0" w:type="dxa"/>
              <w:right w:w="0" w:type="dxa"/>
            </w:tcMar>
            <w:vAlign w:val="center"/>
          </w:tcPr>
          <w:p>
            <w:pPr>
              <w:pStyle w:val="TableContents"/>
              <w:bidi w:val="0"/>
              <w:spacing w:before="0" w:after="240"/>
              <w:ind w:left="0" w:right="0" w:hanging="0"/>
              <w:jc w:val="both"/>
              <w:rPr>
                <w:rFonts w:ascii="Times New Roman" w:hAnsi="Times New Roman"/>
                <w:sz w:val="22"/>
              </w:rPr>
            </w:pPr>
            <w:r>
              <w:rPr>
                <w:rFonts w:ascii="Times New Roman;serif" w:hAnsi="Times New Roman;serif"/>
                <w:b w:val="false"/>
                <w:sz w:val="22"/>
              </w:rPr>
              <w:t xml:space="preserve">Name: </w:t>
            </w:r>
            <w:r>
              <w:rPr>
                <w:rFonts w:ascii="Times New Roman;serif" w:hAnsi="Times New Roman;serif"/>
                <w:b w:val="false"/>
                <w:sz w:val="22"/>
                <w:u w:val="single"/>
              </w:rPr>
              <w:t>Rodger Novak</w:t>
            </w:r>
          </w:p>
          <w:p>
            <w:pPr>
              <w:pStyle w:val="TableContents"/>
              <w:bidi w:val="0"/>
              <w:spacing w:before="0" w:after="240"/>
              <w:ind w:left="0" w:right="0" w:hanging="0"/>
              <w:jc w:val="both"/>
              <w:rPr>
                <w:rFonts w:ascii="Times New Roman" w:hAnsi="Times New Roman"/>
                <w:sz w:val="22"/>
              </w:rPr>
            </w:pPr>
            <w:r>
              <w:rPr>
                <w:rFonts w:ascii="Times New Roman;serif" w:hAnsi="Times New Roman;serif"/>
                <w:b w:val="false"/>
                <w:sz w:val="22"/>
              </w:rPr>
              <w:t xml:space="preserve">Title: </w:t>
            </w:r>
            <w:r>
              <w:rPr>
                <w:rFonts w:ascii="Times New Roman;serif" w:hAnsi="Times New Roman;serif"/>
                <w:b w:val="false"/>
                <w:sz w:val="22"/>
                <w:u w:val="single"/>
              </w:rPr>
              <w:t>President</w:t>
            </w:r>
            <w:r>
              <w:rPr>
                <w:rFonts w:ascii="Times New Roman" w:hAnsi="Times New Roman"/>
                <w:sz w:val="22"/>
              </w:rPr>
              <w:t xml:space="preserve"> </w:t>
            </w:r>
          </w:p>
        </w:tc>
      </w:tr>
      <w:tr>
        <w:trPr/>
        <w:tc>
          <w:tcPr>
            <w:tcW w:w="4096" w:type="dxa"/>
            <w:tcBorders/>
            <w:tcMar>
              <w:top w:w="0" w:type="dxa"/>
              <w:left w:w="0" w:type="dxa"/>
              <w:bottom w:w="0" w:type="dxa"/>
              <w:right w:w="0" w:type="dxa"/>
            </w:tcMar>
            <w:vAlign w:val="center"/>
          </w:tcPr>
          <w:p>
            <w:pPr>
              <w:pStyle w:val="TableContents"/>
              <w:bidi w:val="0"/>
              <w:spacing w:before="0" w:after="240"/>
              <w:ind w:left="0" w:right="0" w:hanging="0"/>
              <w:jc w:val="both"/>
              <w:rPr/>
            </w:pPr>
            <w:r>
              <w:rPr/>
              <w:t> </w:t>
            </w:r>
          </w:p>
        </w:tc>
        <w:tc>
          <w:tcPr>
            <w:tcW w:w="3241" w:type="dxa"/>
            <w:tcBorders/>
            <w:tcMar>
              <w:top w:w="0" w:type="dxa"/>
              <w:left w:w="0" w:type="dxa"/>
              <w:bottom w:w="0" w:type="dxa"/>
              <w:right w:w="0" w:type="dxa"/>
            </w:tcMar>
            <w:vAlign w:val="center"/>
          </w:tcPr>
          <w:p>
            <w:pPr>
              <w:pStyle w:val="TableContents"/>
              <w:bidi w:val="0"/>
              <w:spacing w:before="0" w:after="240"/>
              <w:ind w:left="0" w:right="0" w:hanging="0"/>
              <w:jc w:val="both"/>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[Signature Page to Amendment No. 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2"/>
        </w:rPr>
      </w:pPr>
      <w:bookmarkStart w:id="23" w:name="nktx-ex10_2.htm"/>
      <w:bookmarkStart w:id="24" w:name="ksnktxex10_2"/>
      <w:bookmarkEnd w:id="23"/>
      <w:bookmarkEnd w:id="24"/>
      <w:r>
        <w:rPr>
          <w:rFonts w:ascii="Times New Roman;serif" w:hAnsi="Times New Roman;serif"/>
          <w:b/>
          <w:sz w:val="22"/>
        </w:rPr>
        <w:t>Exhibit 10.2</w:t>
      </w:r>
      <w:r>
        <w:br w:type="page"/>
      </w:r>
    </w:p>
    <w:p>
      <w:pPr>
        <w:pStyle w:val="TextBody"/>
        <w:bidi w:val="0"/>
        <w:spacing w:before="0" w:after="0"/>
        <w:jc w:val="center"/>
        <w:rPr>
          <w:rFonts w:ascii="Times New Roman;serif" w:hAnsi="Times New Roman;serif"/>
          <w:b/>
          <w:sz w:val="22"/>
        </w:rPr>
      </w:pPr>
      <w:r>
        <w:rPr>
          <w:rFonts w:ascii="Times New Roman;serif" w:hAnsi="Times New Roman;serif"/>
          <w:b/>
          <w:sz w:val="22"/>
        </w:rPr>
        <w:t>NKARTA, INC.</w:t>
      </w:r>
    </w:p>
    <w:p>
      <w:pPr>
        <w:pStyle w:val="TextBody"/>
        <w:bidi w:val="0"/>
        <w:spacing w:before="0" w:after="240"/>
        <w:jc w:val="center"/>
        <w:rPr>
          <w:rFonts w:ascii="Times New Roman;serif" w:hAnsi="Times New Roman;serif"/>
          <w:b/>
          <w:sz w:val="22"/>
        </w:rPr>
      </w:pPr>
      <w:r>
        <w:rPr>
          <w:rFonts w:ascii="Times New Roman;serif" w:hAnsi="Times New Roman;serif"/>
          <w:b/>
          <w:sz w:val="22"/>
        </w:rPr>
        <w:t>DIRECTOR COMPENSATION POLICY</w:t>
      </w:r>
    </w:p>
    <w:p>
      <w:pPr>
        <w:pStyle w:val="TextBody"/>
        <w:bidi w:val="0"/>
        <w:spacing w:before="0" w:after="240"/>
        <w:jc w:val="center"/>
        <w:rPr>
          <w:rFonts w:ascii="Times New Roman;serif" w:hAnsi="Times New Roman;serif"/>
          <w:b/>
          <w:sz w:val="22"/>
        </w:rPr>
      </w:pPr>
      <w:r>
        <w:rPr>
          <w:rFonts w:ascii="Times New Roman;serif" w:hAnsi="Times New Roman;serif"/>
          <w:b/>
          <w:sz w:val="22"/>
        </w:rPr>
        <w:t>(Last Amended March 22, 2023)</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Directors of Nkarta, Inc., a Delaware corporation (the “Company”), who are not employed by the Company or one of its subsidiaries (“Non-Employee Directors”) are entitled to the compensation set forth below for their service as a member of the Board of Directors (the “Board”) of the Company. The Board (or any committee of the Board within the authority delegated to it) has the right to amend this policy from time to time.</w:t>
      </w:r>
    </w:p>
    <w:p>
      <w:pPr>
        <w:pStyle w:val="TextBody"/>
        <w:bidi w:val="0"/>
        <w:spacing w:before="0" w:after="0"/>
        <w:jc w:val="both"/>
        <w:rPr>
          <w:rFonts w:ascii="Times New Roman;serif" w:hAnsi="Times New Roman;serif"/>
          <w:b/>
          <w:i/>
          <w:sz w:val="22"/>
        </w:rPr>
      </w:pPr>
      <w:r>
        <w:rPr>
          <w:rFonts w:ascii="Times New Roman;serif" w:hAnsi="Times New Roman;serif"/>
          <w:b/>
          <w:i/>
          <w:sz w:val="22"/>
        </w:rPr>
        <w:t>Cash Compensation</w:t>
      </w:r>
    </w:p>
    <w:p>
      <w:pPr>
        <w:pStyle w:val="TextBody"/>
        <w:bidi w:val="0"/>
        <w:spacing w:before="0" w:after="0"/>
        <w:jc w:val="both"/>
        <w:rPr/>
      </w:pPr>
      <w:r>
        <w:rPr/>
        <w:t> </w:t>
      </w:r>
    </w:p>
    <w:tbl>
      <w:tblPr>
        <w:tblW w:w="6773" w:type="dxa"/>
        <w:jc w:val="left"/>
        <w:tblInd w:w="0" w:type="dxa"/>
        <w:tblLayout w:type="fixed"/>
        <w:tblCellMar>
          <w:top w:w="28" w:type="dxa"/>
          <w:left w:w="28" w:type="dxa"/>
          <w:bottom w:w="28" w:type="dxa"/>
          <w:right w:w="28" w:type="dxa"/>
        </w:tblCellMar>
      </w:tblPr>
      <w:tblGrid>
        <w:gridCol w:w="5011"/>
        <w:gridCol w:w="1762"/>
      </w:tblGrid>
      <w:tr>
        <w:trPr/>
        <w:tc>
          <w:tcPr>
            <w:tcW w:w="5011"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ind w:left="0" w:right="0" w:firstLine="576"/>
              <w:jc w:val="left"/>
              <w:rPr>
                <w:sz w:val="4"/>
                <w:szCs w:val="4"/>
              </w:rPr>
            </w:pPr>
            <w:r>
              <w:rPr>
                <w:sz w:val="4"/>
                <w:szCs w:val="4"/>
              </w:rPr>
            </w:r>
          </w:p>
        </w:tc>
      </w:tr>
      <w:tr>
        <w:trPr/>
        <w:tc>
          <w:tcPr>
            <w:tcW w:w="5011" w:type="dxa"/>
            <w:tcBorders/>
            <w:tcMar>
              <w:top w:w="0" w:type="dxa"/>
              <w:left w:w="0" w:type="dxa"/>
              <w:bottom w:w="0" w:type="dxa"/>
              <w:right w:w="0" w:type="dxa"/>
            </w:tcMar>
            <w:vAlign w:val="center"/>
          </w:tcPr>
          <w:p>
            <w:pPr>
              <w:pStyle w:val="TableContents"/>
              <w:bidi w:val="0"/>
              <w:spacing w:before="0" w:after="0"/>
              <w:ind w:left="576" w:right="0" w:hanging="0"/>
              <w:jc w:val="left"/>
              <w:rPr>
                <w:rFonts w:ascii="Times New Roman;serif" w:hAnsi="Times New Roman;serif"/>
                <w:b w:val="false"/>
                <w:sz w:val="20"/>
              </w:rPr>
            </w:pPr>
            <w:r>
              <w:rPr>
                <w:rFonts w:ascii="Times New Roman;serif" w:hAnsi="Times New Roman;serif"/>
                <w:b w:val="false"/>
                <w:sz w:val="20"/>
              </w:rPr>
              <w:t>Annual Retainer</w:t>
            </w:r>
          </w:p>
        </w:tc>
        <w:tc>
          <w:tcPr>
            <w:tcW w:w="1762" w:type="dxa"/>
            <w:tcBorders/>
            <w:tcMar>
              <w:top w:w="0" w:type="dxa"/>
              <w:left w:w="0" w:type="dxa"/>
              <w:bottom w:w="0" w:type="dxa"/>
              <w:right w:w="0" w:type="dxa"/>
            </w:tcMar>
            <w:vAlign w:val="center"/>
          </w:tcPr>
          <w:p>
            <w:pPr>
              <w:pStyle w:val="TableContents"/>
              <w:bidi w:val="0"/>
              <w:spacing w:before="0" w:after="0"/>
              <w:ind w:left="0" w:right="0" w:firstLine="576"/>
              <w:jc w:val="right"/>
              <w:rPr>
                <w:rFonts w:ascii="Times New Roman;serif" w:hAnsi="Times New Roman;serif"/>
                <w:b w:val="false"/>
                <w:sz w:val="20"/>
              </w:rPr>
            </w:pPr>
            <w:r>
              <w:rPr>
                <w:rFonts w:ascii="Times New Roman;serif" w:hAnsi="Times New Roman;serif"/>
                <w:b w:val="false"/>
                <w:sz w:val="20"/>
              </w:rPr>
              <w:t>$40,000</w:t>
            </w:r>
          </w:p>
        </w:tc>
      </w:tr>
      <w:tr>
        <w:trPr/>
        <w:tc>
          <w:tcPr>
            <w:tcW w:w="5011" w:type="dxa"/>
            <w:tcBorders/>
            <w:tcMar>
              <w:top w:w="0" w:type="dxa"/>
              <w:left w:w="0" w:type="dxa"/>
              <w:bottom w:w="0" w:type="dxa"/>
              <w:right w:w="0" w:type="dxa"/>
            </w:tcMar>
            <w:vAlign w:val="center"/>
          </w:tcPr>
          <w:p>
            <w:pPr>
              <w:pStyle w:val="TableContents"/>
              <w:bidi w:val="0"/>
              <w:spacing w:before="0" w:after="0"/>
              <w:ind w:left="576" w:right="0" w:hanging="0"/>
              <w:jc w:val="left"/>
              <w:rPr>
                <w:rFonts w:ascii="Times New Roman;serif" w:hAnsi="Times New Roman;serif"/>
                <w:b w:val="false"/>
                <w:sz w:val="20"/>
              </w:rPr>
            </w:pPr>
            <w:r>
              <w:rPr>
                <w:rFonts w:ascii="Times New Roman;serif" w:hAnsi="Times New Roman;serif"/>
                <w:b w:val="false"/>
                <w:sz w:val="20"/>
              </w:rPr>
              <w:t>Additional Board Chair/Lead Independent Director Retainer</w:t>
            </w:r>
          </w:p>
        </w:tc>
        <w:tc>
          <w:tcPr>
            <w:tcW w:w="1762" w:type="dxa"/>
            <w:tcBorders/>
            <w:tcMar>
              <w:top w:w="0" w:type="dxa"/>
              <w:left w:w="0" w:type="dxa"/>
              <w:bottom w:w="0" w:type="dxa"/>
              <w:right w:w="0" w:type="dxa"/>
            </w:tcMar>
            <w:vAlign w:val="center"/>
          </w:tcPr>
          <w:p>
            <w:pPr>
              <w:pStyle w:val="TableContents"/>
              <w:bidi w:val="0"/>
              <w:spacing w:before="0" w:after="0"/>
              <w:ind w:left="0" w:right="0" w:firstLine="576"/>
              <w:jc w:val="right"/>
              <w:rPr>
                <w:rFonts w:ascii="Times New Roman;serif" w:hAnsi="Times New Roman;serif"/>
                <w:b w:val="false"/>
                <w:sz w:val="20"/>
              </w:rPr>
            </w:pPr>
            <w:r>
              <w:rPr>
                <w:rFonts w:ascii="Times New Roman;serif" w:hAnsi="Times New Roman;serif"/>
                <w:b w:val="false"/>
                <w:sz w:val="20"/>
              </w:rPr>
              <w:t>$30,000</w:t>
            </w:r>
          </w:p>
        </w:tc>
      </w:tr>
      <w:tr>
        <w:trPr/>
        <w:tc>
          <w:tcPr>
            <w:tcW w:w="5011" w:type="dxa"/>
            <w:tcBorders/>
            <w:tcMar>
              <w:top w:w="0" w:type="dxa"/>
              <w:left w:w="0" w:type="dxa"/>
              <w:bottom w:w="0" w:type="dxa"/>
              <w:right w:w="0" w:type="dxa"/>
            </w:tcMar>
            <w:vAlign w:val="center"/>
          </w:tcPr>
          <w:p>
            <w:pPr>
              <w:pStyle w:val="TableContents"/>
              <w:bidi w:val="0"/>
              <w:spacing w:before="0" w:after="0"/>
              <w:ind w:left="576" w:right="0" w:hanging="0"/>
              <w:jc w:val="left"/>
              <w:rPr>
                <w:rFonts w:ascii="Times New Roman;serif" w:hAnsi="Times New Roman;serif"/>
                <w:b w:val="false"/>
                <w:sz w:val="20"/>
              </w:rPr>
            </w:pPr>
            <w:r>
              <w:rPr>
                <w:rFonts w:ascii="Times New Roman;serif" w:hAnsi="Times New Roman;serif"/>
                <w:b w:val="false"/>
                <w:sz w:val="20"/>
              </w:rPr>
              <w:t>Additional Committee Chair Retainers:</w:t>
            </w:r>
          </w:p>
        </w:tc>
        <w:tc>
          <w:tcPr>
            <w:tcW w:w="1762" w:type="dxa"/>
            <w:tcBorders/>
            <w:tcMar>
              <w:top w:w="0" w:type="dxa"/>
              <w:left w:w="0" w:type="dxa"/>
              <w:bottom w:w="0" w:type="dxa"/>
              <w:right w:w="0" w:type="dxa"/>
            </w:tcMar>
            <w:vAlign w:val="center"/>
          </w:tcPr>
          <w:p>
            <w:pPr>
              <w:pStyle w:val="TableContents"/>
              <w:bidi w:val="0"/>
              <w:spacing w:before="0" w:after="0"/>
              <w:ind w:left="0" w:right="0" w:firstLine="936"/>
              <w:jc w:val="right"/>
              <w:rPr/>
            </w:pPr>
            <w:r>
              <w:rPr/>
              <w:t> </w:t>
            </w:r>
          </w:p>
        </w:tc>
      </w:tr>
      <w:tr>
        <w:trPr/>
        <w:tc>
          <w:tcPr>
            <w:tcW w:w="5011" w:type="dxa"/>
            <w:tcBorders/>
            <w:tcMar>
              <w:top w:w="0" w:type="dxa"/>
              <w:left w:w="0" w:type="dxa"/>
              <w:bottom w:w="0" w:type="dxa"/>
              <w:right w:w="0" w:type="dxa"/>
            </w:tcMar>
            <w:vAlign w:val="center"/>
          </w:tcPr>
          <w:p>
            <w:pPr>
              <w:pStyle w:val="TableContents"/>
              <w:bidi w:val="0"/>
              <w:spacing w:before="0" w:after="0"/>
              <w:ind w:left="936" w:right="0" w:hanging="0"/>
              <w:jc w:val="left"/>
              <w:rPr>
                <w:rFonts w:ascii="Times New Roman;serif" w:hAnsi="Times New Roman;serif"/>
                <w:b w:val="false"/>
                <w:sz w:val="20"/>
              </w:rPr>
            </w:pPr>
            <w:r>
              <w:rPr>
                <w:rFonts w:ascii="Times New Roman;serif" w:hAnsi="Times New Roman;serif"/>
                <w:b w:val="false"/>
                <w:sz w:val="20"/>
              </w:rPr>
              <w:t>Audit Committee Chair</w:t>
            </w:r>
          </w:p>
        </w:tc>
        <w:tc>
          <w:tcPr>
            <w:tcW w:w="1762" w:type="dxa"/>
            <w:tcBorders/>
            <w:tcMar>
              <w:top w:w="0" w:type="dxa"/>
              <w:left w:w="0" w:type="dxa"/>
              <w:bottom w:w="0" w:type="dxa"/>
              <w:right w:w="0" w:type="dxa"/>
            </w:tcMar>
            <w:vAlign w:val="center"/>
          </w:tcPr>
          <w:p>
            <w:pPr>
              <w:pStyle w:val="TableContents"/>
              <w:bidi w:val="0"/>
              <w:spacing w:before="0" w:after="0"/>
              <w:ind w:left="0" w:right="0" w:firstLine="936"/>
              <w:jc w:val="right"/>
              <w:rPr>
                <w:rFonts w:ascii="Times New Roman;serif" w:hAnsi="Times New Roman;serif"/>
                <w:b w:val="false"/>
                <w:sz w:val="20"/>
              </w:rPr>
            </w:pPr>
            <w:r>
              <w:rPr>
                <w:rFonts w:ascii="Times New Roman;serif" w:hAnsi="Times New Roman;serif"/>
                <w:b w:val="false"/>
                <w:sz w:val="20"/>
              </w:rPr>
              <w:t>$15,000</w:t>
            </w:r>
          </w:p>
        </w:tc>
      </w:tr>
      <w:tr>
        <w:trPr/>
        <w:tc>
          <w:tcPr>
            <w:tcW w:w="5011" w:type="dxa"/>
            <w:tcBorders/>
            <w:tcMar>
              <w:top w:w="0" w:type="dxa"/>
              <w:left w:w="0" w:type="dxa"/>
              <w:bottom w:w="0" w:type="dxa"/>
              <w:right w:w="0" w:type="dxa"/>
            </w:tcMar>
            <w:vAlign w:val="center"/>
          </w:tcPr>
          <w:p>
            <w:pPr>
              <w:pStyle w:val="TableContents"/>
              <w:bidi w:val="0"/>
              <w:spacing w:before="0" w:after="0"/>
              <w:ind w:left="936" w:right="0" w:hanging="0"/>
              <w:jc w:val="left"/>
              <w:rPr>
                <w:rFonts w:ascii="Times New Roman;serif" w:hAnsi="Times New Roman;serif"/>
                <w:b w:val="false"/>
                <w:sz w:val="20"/>
              </w:rPr>
            </w:pPr>
            <w:r>
              <w:rPr>
                <w:rFonts w:ascii="Times New Roman;serif" w:hAnsi="Times New Roman;serif"/>
                <w:b w:val="false"/>
                <w:sz w:val="20"/>
              </w:rPr>
              <w:t>Compensation Committee Chair</w:t>
            </w:r>
          </w:p>
        </w:tc>
        <w:tc>
          <w:tcPr>
            <w:tcW w:w="1762" w:type="dxa"/>
            <w:tcBorders/>
            <w:tcMar>
              <w:top w:w="0" w:type="dxa"/>
              <w:left w:w="0" w:type="dxa"/>
              <w:bottom w:w="0" w:type="dxa"/>
              <w:right w:w="0" w:type="dxa"/>
            </w:tcMar>
            <w:vAlign w:val="center"/>
          </w:tcPr>
          <w:p>
            <w:pPr>
              <w:pStyle w:val="TableContents"/>
              <w:bidi w:val="0"/>
              <w:spacing w:before="0" w:after="0"/>
              <w:ind w:left="0" w:right="0" w:firstLine="936"/>
              <w:jc w:val="right"/>
              <w:rPr>
                <w:rFonts w:ascii="Times New Roman;serif" w:hAnsi="Times New Roman;serif"/>
                <w:b w:val="false"/>
                <w:sz w:val="20"/>
              </w:rPr>
            </w:pPr>
            <w:r>
              <w:rPr>
                <w:rFonts w:ascii="Times New Roman;serif" w:hAnsi="Times New Roman;serif"/>
                <w:b w:val="false"/>
                <w:sz w:val="20"/>
              </w:rPr>
              <w:t>$10,000</w:t>
            </w:r>
          </w:p>
        </w:tc>
      </w:tr>
      <w:tr>
        <w:trPr/>
        <w:tc>
          <w:tcPr>
            <w:tcW w:w="5011" w:type="dxa"/>
            <w:tcBorders/>
            <w:tcMar>
              <w:top w:w="0" w:type="dxa"/>
              <w:left w:w="0" w:type="dxa"/>
              <w:bottom w:w="0" w:type="dxa"/>
              <w:right w:w="0" w:type="dxa"/>
            </w:tcMar>
            <w:vAlign w:val="center"/>
          </w:tcPr>
          <w:p>
            <w:pPr>
              <w:pStyle w:val="TableContents"/>
              <w:bidi w:val="0"/>
              <w:spacing w:before="0" w:after="0"/>
              <w:ind w:left="936" w:right="0" w:hanging="0"/>
              <w:jc w:val="left"/>
              <w:rPr>
                <w:rFonts w:ascii="Times New Roman;serif" w:hAnsi="Times New Roman;serif"/>
                <w:b w:val="false"/>
                <w:sz w:val="20"/>
              </w:rPr>
            </w:pPr>
            <w:r>
              <w:rPr>
                <w:rFonts w:ascii="Times New Roman;serif" w:hAnsi="Times New Roman;serif"/>
                <w:b w:val="false"/>
                <w:sz w:val="20"/>
              </w:rPr>
              <w:t>Nominating and Governance Committee Chair</w:t>
            </w:r>
          </w:p>
        </w:tc>
        <w:tc>
          <w:tcPr>
            <w:tcW w:w="1762" w:type="dxa"/>
            <w:tcBorders/>
            <w:tcMar>
              <w:top w:w="0" w:type="dxa"/>
              <w:left w:w="0" w:type="dxa"/>
              <w:bottom w:w="0" w:type="dxa"/>
              <w:right w:w="0" w:type="dxa"/>
            </w:tcMar>
            <w:vAlign w:val="center"/>
          </w:tcPr>
          <w:p>
            <w:pPr>
              <w:pStyle w:val="TableContents"/>
              <w:bidi w:val="0"/>
              <w:spacing w:before="0" w:after="0"/>
              <w:ind w:left="0" w:right="0" w:firstLine="576"/>
              <w:jc w:val="right"/>
              <w:rPr>
                <w:rFonts w:ascii="Times New Roman;serif" w:hAnsi="Times New Roman;serif"/>
                <w:b w:val="false"/>
                <w:sz w:val="20"/>
              </w:rPr>
            </w:pPr>
            <w:r>
              <w:rPr>
                <w:rFonts w:ascii="Times New Roman;serif" w:hAnsi="Times New Roman;serif"/>
                <w:b w:val="false"/>
                <w:sz w:val="20"/>
              </w:rPr>
              <w:t>$8,000</w:t>
            </w:r>
          </w:p>
        </w:tc>
      </w:tr>
      <w:tr>
        <w:trPr/>
        <w:tc>
          <w:tcPr>
            <w:tcW w:w="5011" w:type="dxa"/>
            <w:tcBorders/>
            <w:tcMar>
              <w:top w:w="0" w:type="dxa"/>
              <w:left w:w="0" w:type="dxa"/>
              <w:bottom w:w="0" w:type="dxa"/>
              <w:right w:w="0" w:type="dxa"/>
            </w:tcMar>
            <w:vAlign w:val="center"/>
          </w:tcPr>
          <w:p>
            <w:pPr>
              <w:pStyle w:val="TableContents"/>
              <w:bidi w:val="0"/>
              <w:spacing w:before="0" w:after="0"/>
              <w:ind w:left="576" w:right="0" w:hanging="0"/>
              <w:jc w:val="left"/>
              <w:rPr>
                <w:rFonts w:ascii="Times New Roman;serif" w:hAnsi="Times New Roman;serif"/>
                <w:b w:val="false"/>
                <w:sz w:val="20"/>
              </w:rPr>
            </w:pPr>
            <w:r>
              <w:rPr>
                <w:rFonts w:ascii="Times New Roman;serif" w:hAnsi="Times New Roman;serif"/>
                <w:b w:val="false"/>
                <w:sz w:val="20"/>
              </w:rPr>
              <w:t>Additional Committee Retainers:</w:t>
            </w:r>
          </w:p>
        </w:tc>
        <w:tc>
          <w:tcPr>
            <w:tcW w:w="1762" w:type="dxa"/>
            <w:tcBorders/>
            <w:tcMar>
              <w:top w:w="0" w:type="dxa"/>
              <w:left w:w="0" w:type="dxa"/>
              <w:bottom w:w="0" w:type="dxa"/>
              <w:right w:w="0" w:type="dxa"/>
            </w:tcMar>
            <w:vAlign w:val="center"/>
          </w:tcPr>
          <w:p>
            <w:pPr>
              <w:pStyle w:val="TableContents"/>
              <w:bidi w:val="0"/>
              <w:spacing w:before="0" w:after="0"/>
              <w:ind w:left="0" w:right="0" w:firstLine="936"/>
              <w:jc w:val="right"/>
              <w:rPr/>
            </w:pPr>
            <w:r>
              <w:rPr/>
              <w:t> </w:t>
            </w:r>
          </w:p>
        </w:tc>
      </w:tr>
      <w:tr>
        <w:trPr/>
        <w:tc>
          <w:tcPr>
            <w:tcW w:w="5011" w:type="dxa"/>
            <w:tcBorders/>
            <w:tcMar>
              <w:top w:w="0" w:type="dxa"/>
              <w:left w:w="0" w:type="dxa"/>
              <w:bottom w:w="0" w:type="dxa"/>
              <w:right w:w="0" w:type="dxa"/>
            </w:tcMar>
            <w:vAlign w:val="center"/>
          </w:tcPr>
          <w:p>
            <w:pPr>
              <w:pStyle w:val="TableContents"/>
              <w:bidi w:val="0"/>
              <w:spacing w:before="0" w:after="0"/>
              <w:ind w:left="936" w:right="0" w:hanging="0"/>
              <w:jc w:val="left"/>
              <w:rPr>
                <w:rFonts w:ascii="Times New Roman" w:hAnsi="Times New Roman"/>
                <w:sz w:val="20"/>
              </w:rPr>
            </w:pPr>
            <w:r>
              <w:rPr>
                <w:rFonts w:ascii="Times New Roman;serif" w:hAnsi="Times New Roman;serif"/>
                <w:b w:val="false"/>
                <w:sz w:val="20"/>
              </w:rPr>
              <w:t>Audit Committee</w:t>
            </w:r>
            <w:r>
              <w:rPr>
                <w:rFonts w:ascii="Times New Roman" w:hAnsi="Times New Roman"/>
                <w:sz w:val="20"/>
              </w:rPr>
              <w:t xml:space="preserve"> </w:t>
            </w:r>
          </w:p>
        </w:tc>
        <w:tc>
          <w:tcPr>
            <w:tcW w:w="1762" w:type="dxa"/>
            <w:tcBorders/>
            <w:tcMar>
              <w:top w:w="0" w:type="dxa"/>
              <w:left w:w="0" w:type="dxa"/>
              <w:bottom w:w="0" w:type="dxa"/>
              <w:right w:w="0" w:type="dxa"/>
            </w:tcMar>
            <w:vAlign w:val="center"/>
          </w:tcPr>
          <w:p>
            <w:pPr>
              <w:pStyle w:val="TableContents"/>
              <w:bidi w:val="0"/>
              <w:spacing w:before="0" w:after="0"/>
              <w:ind w:left="0" w:right="0" w:firstLine="936"/>
              <w:jc w:val="right"/>
              <w:rPr>
                <w:rFonts w:ascii="Times New Roman;serif" w:hAnsi="Times New Roman;serif"/>
                <w:b w:val="false"/>
                <w:sz w:val="20"/>
              </w:rPr>
            </w:pPr>
            <w:r>
              <w:rPr>
                <w:rFonts w:ascii="Times New Roman;serif" w:hAnsi="Times New Roman;serif"/>
                <w:b w:val="false"/>
                <w:sz w:val="20"/>
              </w:rPr>
              <w:t>$7,500</w:t>
            </w:r>
          </w:p>
        </w:tc>
      </w:tr>
      <w:tr>
        <w:trPr/>
        <w:tc>
          <w:tcPr>
            <w:tcW w:w="5011" w:type="dxa"/>
            <w:tcBorders/>
            <w:tcMar>
              <w:top w:w="0" w:type="dxa"/>
              <w:left w:w="0" w:type="dxa"/>
              <w:bottom w:w="0" w:type="dxa"/>
              <w:right w:w="0" w:type="dxa"/>
            </w:tcMar>
            <w:vAlign w:val="center"/>
          </w:tcPr>
          <w:p>
            <w:pPr>
              <w:pStyle w:val="TableContents"/>
              <w:bidi w:val="0"/>
              <w:spacing w:before="0" w:after="0"/>
              <w:ind w:left="936" w:right="0" w:hanging="0"/>
              <w:jc w:val="left"/>
              <w:rPr>
                <w:rFonts w:ascii="Times New Roman" w:hAnsi="Times New Roman"/>
                <w:sz w:val="20"/>
              </w:rPr>
            </w:pPr>
            <w:r>
              <w:rPr>
                <w:rFonts w:ascii="Times New Roman;serif" w:hAnsi="Times New Roman;serif"/>
                <w:b w:val="false"/>
                <w:sz w:val="20"/>
              </w:rPr>
              <w:t>Compensation Committee</w:t>
            </w:r>
            <w:r>
              <w:rPr>
                <w:rFonts w:ascii="Times New Roman" w:hAnsi="Times New Roman"/>
                <w:sz w:val="20"/>
              </w:rPr>
              <w:t xml:space="preserve"> </w:t>
            </w:r>
          </w:p>
        </w:tc>
        <w:tc>
          <w:tcPr>
            <w:tcW w:w="1762" w:type="dxa"/>
            <w:tcBorders/>
            <w:tcMar>
              <w:top w:w="0" w:type="dxa"/>
              <w:left w:w="0" w:type="dxa"/>
              <w:bottom w:w="0" w:type="dxa"/>
              <w:right w:w="0" w:type="dxa"/>
            </w:tcMar>
            <w:vAlign w:val="center"/>
          </w:tcPr>
          <w:p>
            <w:pPr>
              <w:pStyle w:val="TableContents"/>
              <w:bidi w:val="0"/>
              <w:spacing w:before="0" w:after="0"/>
              <w:ind w:left="0" w:right="0" w:firstLine="936"/>
              <w:jc w:val="right"/>
              <w:rPr>
                <w:rFonts w:ascii="Times New Roman;serif" w:hAnsi="Times New Roman;serif"/>
                <w:b w:val="false"/>
                <w:sz w:val="20"/>
              </w:rPr>
            </w:pPr>
            <w:r>
              <w:rPr>
                <w:rFonts w:ascii="Times New Roman;serif" w:hAnsi="Times New Roman;serif"/>
                <w:b w:val="false"/>
                <w:sz w:val="20"/>
              </w:rPr>
              <w:t>$5,000</w:t>
            </w:r>
          </w:p>
        </w:tc>
      </w:tr>
      <w:tr>
        <w:trPr/>
        <w:tc>
          <w:tcPr>
            <w:tcW w:w="5011" w:type="dxa"/>
            <w:tcBorders/>
            <w:tcMar>
              <w:top w:w="0" w:type="dxa"/>
              <w:left w:w="0" w:type="dxa"/>
              <w:bottom w:w="0" w:type="dxa"/>
              <w:right w:w="0" w:type="dxa"/>
            </w:tcMar>
            <w:vAlign w:val="center"/>
          </w:tcPr>
          <w:p>
            <w:pPr>
              <w:pStyle w:val="TableContents"/>
              <w:bidi w:val="0"/>
              <w:spacing w:before="0" w:after="0"/>
              <w:ind w:left="936" w:right="0" w:hanging="0"/>
              <w:jc w:val="left"/>
              <w:rPr>
                <w:rFonts w:ascii="Times New Roman" w:hAnsi="Times New Roman"/>
                <w:sz w:val="20"/>
              </w:rPr>
            </w:pPr>
            <w:r>
              <w:rPr>
                <w:rFonts w:ascii="Times New Roman;serif" w:hAnsi="Times New Roman;serif"/>
                <w:b w:val="false"/>
                <w:sz w:val="20"/>
              </w:rPr>
              <w:t>Nominating and Governance Committee</w:t>
            </w:r>
            <w:r>
              <w:rPr>
                <w:rFonts w:ascii="Times New Roman" w:hAnsi="Times New Roman"/>
                <w:sz w:val="20"/>
              </w:rPr>
              <w:t xml:space="preserve"> </w:t>
            </w:r>
          </w:p>
        </w:tc>
        <w:tc>
          <w:tcPr>
            <w:tcW w:w="176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$4,000</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2"/>
        </w:rPr>
      </w:pPr>
      <w:r>
        <w:rPr>
          <w:rFonts w:ascii="Times New Roman;serif" w:hAnsi="Times New Roman;serif"/>
          <w:b w:val="false"/>
          <w:sz w:val="22"/>
        </w:rPr>
        <w:t>The retainers set forth above are expressed as annualized amounts. These retainers will be paid on a quarterly basis, in arrears after the end of each fiscal quarter, to the Non-Employee Directors serving on the Board (or in the applicable position, in the case of the Additional Board Chair/Lead Independent Director Retainer or an Additional Committee or Committee Chair Retainer) during such fiscal quarter. Retainers for the fiscal quarter in which the Effective Date occurs will be paid on a pro-rated basis. If an individual serves as a Non-Employee Director, Chair of the Board or lead independent director, or Chair or member of a Board committee, as the case may be, for only a portion of a fiscal quarter, the Non-Employee Director will be paid a pro-rata portion of the applicable retainer for such quarter based on the time the individual served in the applicable position.</w:t>
      </w:r>
    </w:p>
    <w:p>
      <w:pPr>
        <w:pStyle w:val="TextBody"/>
        <w:bidi w:val="0"/>
        <w:spacing w:before="0" w:after="0"/>
        <w:jc w:val="both"/>
        <w:rPr/>
      </w:pPr>
      <w:r>
        <w:rPr/>
        <w:t> </w:t>
      </w:r>
    </w:p>
    <w:p>
      <w:pPr>
        <w:pStyle w:val="TextBody"/>
        <w:bidi w:val="0"/>
        <w:spacing w:before="0" w:after="240"/>
        <w:jc w:val="both"/>
        <w:rPr>
          <w:rFonts w:ascii="Times New Roman;serif" w:hAnsi="Times New Roman;serif"/>
          <w:b/>
          <w:i/>
          <w:sz w:val="22"/>
        </w:rPr>
      </w:pPr>
      <w:r>
        <w:rPr>
          <w:rFonts w:ascii="Times New Roman;serif" w:hAnsi="Times New Roman;serif"/>
          <w:b/>
          <w:i/>
          <w:sz w:val="22"/>
        </w:rPr>
        <w:t>Equity Compensation</w:t>
      </w:r>
    </w:p>
    <w:p>
      <w:pPr>
        <w:pStyle w:val="TextBody"/>
        <w:bidi w:val="0"/>
        <w:spacing w:before="0" w:after="240"/>
        <w:jc w:val="both"/>
        <w:rPr>
          <w:rFonts w:ascii="Times New Roman" w:hAnsi="Times New Roman"/>
          <w:sz w:val="20"/>
        </w:rPr>
      </w:pPr>
      <w:r>
        <w:rPr>
          <w:rFonts w:ascii="Times New Roman;serif" w:hAnsi="Times New Roman;serif"/>
          <w:b w:val="false"/>
          <w:i/>
          <w:sz w:val="22"/>
        </w:rPr>
        <w:t>Annual Equity Awards for Continuing Board Members</w:t>
      </w:r>
      <w:r>
        <w:rPr>
          <w:rFonts w:ascii="Times New Roman" w:hAnsi="Times New Roman"/>
          <w:sz w:val="20"/>
        </w:rPr>
        <w:t xml:space="preserve"> </w:t>
      </w:r>
    </w:p>
    <w:p>
      <w:pPr>
        <w:pStyle w:val="TextBody"/>
        <w:bidi w:val="0"/>
        <w:spacing w:before="0" w:after="240"/>
        <w:jc w:val="both"/>
        <w:rPr>
          <w:rFonts w:ascii="Times New Roman" w:hAnsi="Times New Roman"/>
          <w:sz w:val="20"/>
        </w:rPr>
      </w:pPr>
      <w:r>
        <w:rPr>
          <w:rFonts w:ascii="Times New Roman;serif" w:hAnsi="Times New Roman;serif"/>
          <w:b w:val="false"/>
          <w:sz w:val="22"/>
        </w:rPr>
        <w:t>On the date of each annual meeting of the Company’s stockholders at which one or more directors are to be elected to the Board, each Non-Employee Director continuing in office after that date will be granted an award of Company stock options (“Options”) to acquire a number of shares of Company common stock equal to the lesser of (a) 22,500 shares or (b) the number of shares that produce a grant date fair value for the award of approximately $270,000 (the lesser of (a) or (b), the “Share Number”); provided, however, that the Share Number will be multiplied by the Pro-Rata Fraction (as defined below) in the case of such an award to a Non-Employee Director whose initial appointment or election to the Board occurred after the date of the immediately preceding annual meeting of the Company’s stockholders at which one or more directors were elected to the Board (for example, in the case of such an award in connection with the Company’s 2022 annual meeting of stockholders, as to a Non-Employee Director whose initial appointment or election to the Board occurred after the date of the Company’s 2021 annual meeting of stockholders). The “Pro-Rata Fraction” is a fraction (not greater than one), the numerator of which is the total number of days in the period of time commencing with the date that the Non-Employee Director was first elected or appointed to the Board through and including the date of the annual meeting of the Company’s stockholders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0"/>
        </w:rPr>
        <w:t>- 1</w:t>
      </w:r>
      <w:r>
        <w:rPr>
          <w:rFonts w:ascii="Times New Roman" w:hAnsi="Times New Roman"/>
          <w:sz w:val="20"/>
        </w:rPr>
        <w:t xml:space="preserve"> </w:t>
      </w:r>
      <w:r>
        <w:rPr>
          <w:rFonts w:ascii="Times New Roman;serif" w:hAnsi="Times New Roman;serif"/>
          <w:b w:val="false"/>
          <w:sz w:val="20"/>
        </w:rPr>
        <w: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2"/>
        </w:rPr>
      </w:pPr>
      <w:r>
        <w:rPr>
          <w:rFonts w:ascii="Times New Roman;serif" w:hAnsi="Times New Roman;serif"/>
          <w:b/>
          <w:sz w:val="22"/>
        </w:rPr>
        <w:t>Exhibit 10.2</w:t>
      </w:r>
    </w:p>
    <w:p>
      <w:pPr>
        <w:pStyle w:val="TextBody"/>
        <w:bidi w:val="0"/>
        <w:spacing w:before="0" w:after="240"/>
        <w:jc w:val="both"/>
        <w:rPr>
          <w:rFonts w:ascii="Times New Roman" w:hAnsi="Times New Roman"/>
          <w:sz w:val="20"/>
        </w:rPr>
      </w:pPr>
      <w:r>
        <w:rPr>
          <w:rFonts w:ascii="Times New Roman;serif" w:hAnsi="Times New Roman;serif"/>
          <w:b w:val="false"/>
          <w:sz w:val="22"/>
        </w:rPr>
        <w:t>at which the award in question is to be granted, and the denominator of which is the total number of days in the period of time commencing with the date of the immediately preceding annual meeting of the Company’s stockholders at which one or more directors were elected to the Board through and including the date of the annual meeting of the Company’s stockholders at which the award in question is to be granted.</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Each such award of Options will be scheduled to vest on the first to occur of (i) the first anniversary of the date of grant of the award, or (ii) on the day immediately preceding the first annual meeting of the Company’s stockholders to occur after the date of grant of the award.</w:t>
      </w:r>
    </w:p>
    <w:p>
      <w:pPr>
        <w:pStyle w:val="TextBody"/>
        <w:bidi w:val="0"/>
        <w:spacing w:before="0" w:after="240"/>
        <w:jc w:val="both"/>
        <w:rPr>
          <w:rFonts w:ascii="Times New Roman;serif" w:hAnsi="Times New Roman;serif"/>
          <w:b w:val="false"/>
          <w:i/>
          <w:sz w:val="22"/>
        </w:rPr>
      </w:pPr>
      <w:r>
        <w:rPr>
          <w:rFonts w:ascii="Times New Roman;serif" w:hAnsi="Times New Roman;serif"/>
          <w:b w:val="false"/>
          <w:i/>
          <w:sz w:val="22"/>
        </w:rPr>
        <w:t>Initial Equity Awards</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Each new Non-Employee Director appointed or elected to the Board after the Effective Date will (unless otherwise provided by the Board) be granted, on the date that the new Non-Employee Director first becomes a member of the Board, an award of Options to acquire a number of shares of Company common stock equal to the lesser of (a) 45,000 shares or (b) the number of shares that produce a grant date fair value for the award of approximately $540,000. Each such award of Options will be scheduled to vest as to one-third of the Options subject to the award on each of the first, second and third anniversaries of the date of grant of the award.</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Notwithstanding anything to the contrary herein, if a Non-Employee Director is first elected to the Board at an annual meeting of the Company's stockholders, the Non-Employee Director will be entitled to an initial equity award pursuant to the immediately preceding paragraph but will not (unless otherwise provided by the Board) be eligible for an annual equity award in connection with that annual meeting. Unless otherwise provided by the Board, an employee or former employee of the Company or one of its subsidiaries who ceases or has ceased to be so employed and becomes a Non-Employee Director will not be eligible for an initial equity award grant pursuant to the immediately preceding paragraph, but will be eligible for cash compensation and annual equity awards on the same basis as other Non-Employee Directors.</w:t>
      </w:r>
    </w:p>
    <w:p>
      <w:pPr>
        <w:pStyle w:val="TextBody"/>
        <w:bidi w:val="0"/>
        <w:spacing w:before="0" w:after="240"/>
        <w:jc w:val="both"/>
        <w:rPr>
          <w:rFonts w:ascii="Times New Roman;serif" w:hAnsi="Times New Roman;serif"/>
          <w:b w:val="false"/>
          <w:i/>
          <w:sz w:val="22"/>
        </w:rPr>
      </w:pPr>
      <w:r>
        <w:rPr>
          <w:rFonts w:ascii="Times New Roman;serif" w:hAnsi="Times New Roman;serif"/>
          <w:b w:val="false"/>
          <w:i/>
          <w:sz w:val="22"/>
        </w:rPr>
        <w:t>Provisions Applicable to All Non-Employee Director Equity Awards</w:t>
      </w:r>
    </w:p>
    <w:p>
      <w:pPr>
        <w:pStyle w:val="TextBody"/>
        <w:bidi w:val="0"/>
        <w:spacing w:before="0" w:after="240"/>
        <w:jc w:val="both"/>
        <w:rPr>
          <w:rFonts w:ascii="Times New Roman" w:hAnsi="Times New Roman"/>
          <w:sz w:val="20"/>
        </w:rPr>
      </w:pPr>
      <w:r>
        <w:rPr>
          <w:rFonts w:ascii="Times New Roman;serif" w:hAnsi="Times New Roman;serif"/>
          <w:b w:val="false"/>
          <w:sz w:val="22"/>
        </w:rPr>
        <w:t>Each Option granted to a Non-Employee Director will be granted under and subject to the terms and conditions of the Company’s 2020 Performance Incentive Plan or any successor equity compensation plan approved by the Company’s stockholders and in effect at the time of grant.</w:t>
      </w:r>
      <w:r>
        <w:rPr>
          <w:rFonts w:ascii="Times New Roman" w:hAnsi="Times New Roman"/>
          <w:sz w:val="20"/>
        </w:rPr>
        <w:t xml:space="preserve"> </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Unless otherwise provided by the Board in connection with a particular award, each award of Options granted to a Non-Employee Director will have a maximum term of 10 years, will vest (to the extent then outstanding and otherwise unvested) should a change in control of the Company occur (as defined in the applicable award agreement), and will be evidenced by and subject to the terms and conditions of the Company’s standard form of stock option award agreement for Non-Employee Director stock option grants as in effect on the date of grant of the award. The per share exercise price of each Option granted to a Non-Employee Director will equal the closing price of a share of Company common stock on the date of grant of the award (or, if such date of grant is not a trading day, the closing price of a share of Company common stock on the last trading day immediately preceding the date of grant of the Award), with such exercise price and the number of shares subject to the award subject to adjustment for stock splits and similar events as provided in the applicable stock option award agreement.</w:t>
      </w:r>
    </w:p>
    <w:p>
      <w:pPr>
        <w:pStyle w:val="TextBody"/>
        <w:bidi w:val="0"/>
        <w:spacing w:before="0" w:after="240"/>
        <w:jc w:val="both"/>
        <w:rPr>
          <w:rFonts w:ascii="Times New Roman" w:hAnsi="Times New Roman"/>
          <w:sz w:val="20"/>
        </w:rPr>
      </w:pPr>
      <w:r>
        <w:rPr>
          <w:rFonts w:ascii="Times New Roman;serif" w:hAnsi="Times New Roman;serif"/>
          <w:b w:val="false"/>
          <w:sz w:val="22"/>
        </w:rPr>
        <w:t>The Board (or any committee of the Board within the authority delegated to it) may approve other grants of equity-based awards to Non-Employee Directors from time to time, on such terms as the Board (or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0"/>
        </w:rPr>
        <w:t>- 2</w:t>
      </w:r>
      <w:r>
        <w:rPr>
          <w:rFonts w:ascii="Times New Roman" w:hAnsi="Times New Roman"/>
          <w:sz w:val="20"/>
        </w:rPr>
        <w:t xml:space="preserve"> </w:t>
      </w:r>
      <w:r>
        <w:rPr>
          <w:rFonts w:ascii="Times New Roman;serif" w:hAnsi="Times New Roman;serif"/>
          <w:b w:val="false"/>
          <w:sz w:val="20"/>
        </w:rPr>
        <w: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2"/>
        </w:rPr>
      </w:pPr>
      <w:r>
        <w:rPr>
          <w:rFonts w:ascii="Times New Roman;serif" w:hAnsi="Times New Roman;serif"/>
          <w:b/>
          <w:sz w:val="22"/>
        </w:rPr>
        <w:t>Exhibit 10.2</w:t>
      </w:r>
    </w:p>
    <w:p>
      <w:pPr>
        <w:pStyle w:val="TextBody"/>
        <w:bidi w:val="0"/>
        <w:spacing w:before="0" w:after="240"/>
        <w:jc w:val="both"/>
        <w:rPr>
          <w:rFonts w:ascii="Times New Roman;serif" w:hAnsi="Times New Roman;serif"/>
          <w:b w:val="false"/>
          <w:sz w:val="22"/>
        </w:rPr>
      </w:pPr>
      <w:r>
        <w:rPr>
          <w:rFonts w:ascii="Times New Roman;serif" w:hAnsi="Times New Roman;serif"/>
          <w:b w:val="false"/>
          <w:sz w:val="22"/>
        </w:rPr>
        <w:t>committee) may determine and subject to the applicable provisions of the Company’s equity compensation plan then in effect.</w:t>
      </w:r>
    </w:p>
    <w:p>
      <w:pPr>
        <w:pStyle w:val="TextBody"/>
        <w:bidi w:val="0"/>
        <w:spacing w:before="0" w:after="240"/>
        <w:jc w:val="both"/>
        <w:rPr>
          <w:rFonts w:ascii="Times New Roman" w:hAnsi="Times New Roman"/>
          <w:sz w:val="20"/>
        </w:rPr>
      </w:pPr>
      <w:r>
        <w:rPr>
          <w:rFonts w:ascii="Times New Roman;serif" w:hAnsi="Times New Roman;serif"/>
          <w:b/>
          <w:i/>
          <w:sz w:val="22"/>
        </w:rPr>
        <w:t>Expense Reimbursement</w:t>
      </w:r>
      <w:r>
        <w:rPr>
          <w:rFonts w:ascii="Times New Roman;serif" w:hAnsi="Times New Roman;serif"/>
          <w:b w:val="false"/>
          <w:sz w:val="22"/>
        </w:rPr>
        <w:t>. All Non-Employee Directors will be entitled to reimbursement from the Company for their reasonable travel (including airfare and ground transportation), lodging and meal expenses incident to meetings of the Board or committees thereof or in connection with other Board-related business. The Company will make reimbursement to a non-employee director within a reasonable amount of time following submission by the non-employee director of reasonable written substantiation for the expenses.</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- 3</w:t>
      </w:r>
      <w:r>
        <w:rPr>
          <w:rFonts w:ascii="Times New Roman" w:hAnsi="Times New Roman"/>
          <w:sz w:val="20"/>
        </w:rPr>
        <w:t xml:space="preserve"> </w:t>
      </w:r>
      <w:r>
        <w:rPr>
          <w:rFonts w:ascii="Times New Roman;serif" w:hAnsi="Times New Roman;serif"/>
          <w:b w:val="false"/>
          <w:sz w:val="20"/>
        </w:rPr>
        <w: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4"/>
        </w:rPr>
      </w:pPr>
      <w:bookmarkStart w:id="25" w:name="nktx-ex10_3.htm"/>
      <w:bookmarkStart w:id="26" w:name="ksnktxex10_3"/>
      <w:bookmarkEnd w:id="25"/>
      <w:bookmarkEnd w:id="26"/>
      <w:r>
        <w:rPr>
          <w:rFonts w:ascii="Times New Roman;serif" w:hAnsi="Times New Roman;serif"/>
          <w:b/>
          <w:sz w:val="24"/>
        </w:rPr>
        <w:t>Exhibit 10.3</w:t>
      </w:r>
      <w:r>
        <w:br w:type="page"/>
      </w:r>
    </w:p>
    <w:p>
      <w:pPr>
        <w:pStyle w:val="TextBody"/>
        <w:bidi w:val="0"/>
        <w:spacing w:before="240" w:after="0"/>
        <w:jc w:val="center"/>
        <w:rPr>
          <w:rFonts w:ascii="Times New Roman;serif" w:hAnsi="Times New Roman;serif"/>
          <w:b/>
          <w:sz w:val="24"/>
          <w:u w:val="single"/>
        </w:rPr>
      </w:pPr>
      <w:r>
        <w:rPr>
          <w:rFonts w:ascii="Times New Roman;serif" w:hAnsi="Times New Roman;serif"/>
          <w:b/>
          <w:sz w:val="24"/>
          <w:u w:val="single"/>
        </w:rPr>
        <w:t>THIRD AMENDMENT TO LEASE</w:t>
      </w:r>
    </w:p>
    <w:p>
      <w:pPr>
        <w:pStyle w:val="TextBody"/>
        <w:bidi w:val="0"/>
        <w:spacing w:before="240" w:after="0"/>
        <w:jc w:val="both"/>
        <w:rPr>
          <w:rFonts w:ascii="Times New Roman" w:hAnsi="Times New Roman"/>
          <w:sz w:val="20"/>
        </w:rPr>
      </w:pPr>
      <w:r>
        <w:rPr>
          <w:rFonts w:ascii="Times New Roman;serif" w:hAnsi="Times New Roman;serif"/>
          <w:b w:val="false"/>
          <w:sz w:val="24"/>
        </w:rPr>
        <w:t>This THIRD AMENDMENT TO LEASE (this "</w:t>
      </w:r>
      <w:r>
        <w:rPr>
          <w:rFonts w:ascii="Times New Roman;serif" w:hAnsi="Times New Roman;serif"/>
          <w:b/>
          <w:sz w:val="24"/>
        </w:rPr>
        <w:t>Third Amendment</w:t>
      </w:r>
      <w:r>
        <w:rPr>
          <w:rFonts w:ascii="Times New Roman;serif" w:hAnsi="Times New Roman;serif"/>
          <w:b w:val="false"/>
          <w:sz w:val="24"/>
        </w:rPr>
        <w:t xml:space="preserve">") is made and entered into as of April 25, 2023, by and between </w:t>
      </w:r>
      <w:r>
        <w:rPr>
          <w:rFonts w:ascii="Times New Roman;serif" w:hAnsi="Times New Roman;serif"/>
          <w:b/>
          <w:sz w:val="24"/>
        </w:rPr>
        <w:t>HCP BTC, LLC</w:t>
      </w:r>
      <w:r>
        <w:rPr>
          <w:rFonts w:ascii="Times New Roman;serif" w:hAnsi="Times New Roman;serif"/>
          <w:b w:val="false"/>
          <w:sz w:val="24"/>
        </w:rPr>
        <w:t>,</w:t>
      </w:r>
      <w:r>
        <w:rPr>
          <w:rFonts w:ascii="Times New Roman" w:hAnsi="Times New Roman"/>
          <w:sz w:val="20"/>
        </w:rPr>
        <w:t xml:space="preserve"> </w:t>
      </w:r>
      <w:r>
        <w:rPr>
          <w:rFonts w:ascii="Times New Roman;serif" w:hAnsi="Times New Roman;serif"/>
          <w:b w:val="false"/>
          <w:sz w:val="24"/>
        </w:rPr>
        <w:t>a Delaware limited company (“</w:t>
      </w:r>
      <w:r>
        <w:rPr>
          <w:rFonts w:ascii="Times New Roman;serif" w:hAnsi="Times New Roman;serif"/>
          <w:b/>
          <w:sz w:val="24"/>
        </w:rPr>
        <w:t>Landlord</w:t>
      </w:r>
      <w:r>
        <w:rPr>
          <w:rFonts w:ascii="Times New Roman" w:hAnsi="Times New Roman"/>
          <w:sz w:val="20"/>
        </w:rPr>
        <w:t>”</w:t>
      </w:r>
      <w:r>
        <w:rPr>
          <w:rFonts w:ascii="Times New Roman;serif" w:hAnsi="Times New Roman;serif"/>
          <w:b w:val="false"/>
          <w:sz w:val="24"/>
        </w:rPr>
        <w:t xml:space="preserve">), and </w:t>
      </w:r>
      <w:r>
        <w:rPr>
          <w:rFonts w:ascii="Times New Roman;serif" w:hAnsi="Times New Roman;serif"/>
          <w:b/>
          <w:sz w:val="24"/>
        </w:rPr>
        <w:t>NKARTA, INC.</w:t>
      </w:r>
      <w:r>
        <w:rPr>
          <w:rFonts w:ascii="Times New Roman;serif" w:hAnsi="Times New Roman;serif"/>
          <w:b w:val="false"/>
          <w:sz w:val="24"/>
        </w:rPr>
        <w:t>, a Delaware</w:t>
      </w:r>
      <w:r>
        <w:rPr>
          <w:rFonts w:ascii="Times New Roman" w:hAnsi="Times New Roman"/>
          <w:sz w:val="20"/>
        </w:rPr>
        <w:t xml:space="preserve"> </w:t>
      </w:r>
      <w:r>
        <w:rPr>
          <w:rFonts w:ascii="Times New Roman;serif" w:hAnsi="Times New Roman;serif"/>
          <w:b w:val="false"/>
          <w:sz w:val="24"/>
        </w:rPr>
        <w:t>corporation (“</w:t>
      </w:r>
      <w:r>
        <w:rPr>
          <w:rFonts w:ascii="Times New Roman;serif" w:hAnsi="Times New Roman;serif"/>
          <w:b/>
          <w:sz w:val="24"/>
        </w:rPr>
        <w:t>Tenant</w:t>
      </w:r>
      <w:r>
        <w:rPr>
          <w:rFonts w:ascii="Times New Roman" w:hAnsi="Times New Roman"/>
          <w:sz w:val="20"/>
        </w:rPr>
        <w:t>”</w:t>
      </w:r>
      <w:r>
        <w:rPr>
          <w:rFonts w:ascii="Times New Roman;serif" w:hAnsi="Times New Roman;serif"/>
          <w:b w:val="false"/>
          <w:sz w:val="24"/>
        </w:rPr>
        <w:t>).</w:t>
      </w:r>
    </w:p>
    <w:p>
      <w:pPr>
        <w:pStyle w:val="TextBody"/>
        <w:bidi w:val="0"/>
        <w:spacing w:before="480" w:after="240"/>
        <w:jc w:val="center"/>
        <w:rPr>
          <w:rFonts w:ascii="Times New Roman" w:hAnsi="Times New Roman"/>
          <w:sz w:val="20"/>
        </w:rPr>
      </w:pPr>
      <w:r>
        <w:rPr>
          <w:rFonts w:ascii="Times New Roman;serif" w:hAnsi="Times New Roman;serif"/>
          <w:b w:val="false"/>
          <w:caps/>
          <w:sz w:val="24"/>
          <w:u w:val="single"/>
        </w:rPr>
        <w:t xml:space="preserve">r e c i t a l s </w:t>
      </w:r>
      <w:r>
        <w:rPr>
          <w:rFonts w:ascii="Times New Roman;serif" w:hAnsi="Times New Roman;serif"/>
          <w:b w:val="false"/>
          <w:caps/>
          <w:sz w:val="24"/>
        </w:rPr>
        <w:t>:</w:t>
      </w:r>
    </w:p>
    <w:p>
      <w:pPr>
        <w:pStyle w:val="TextBody"/>
        <w:bidi w:val="0"/>
        <w:spacing w:before="240" w:after="0"/>
        <w:jc w:val="both"/>
        <w:rPr>
          <w:rFonts w:ascii="Times New Roman" w:hAnsi="Times New Roman"/>
          <w:sz w:val="20"/>
        </w:rPr>
      </w:pPr>
      <w:r>
        <w:rPr>
          <w:rFonts w:ascii="Times New Roman;serif" w:hAnsi="Times New Roman;serif"/>
          <w:b w:val="false"/>
          <w:sz w:val="24"/>
        </w:rPr>
        <w:t>A. Landlord and Tenant entered into that certain Lease dated July 9, 2021 (the “</w:t>
      </w:r>
      <w:r>
        <w:rPr>
          <w:rFonts w:ascii="Times New Roman;serif" w:hAnsi="Times New Roman;serif"/>
          <w:b/>
          <w:sz w:val="24"/>
        </w:rPr>
        <w:t>Original</w:t>
      </w:r>
      <w:r>
        <w:rPr>
          <w:rFonts w:ascii="Times New Roman" w:hAnsi="Times New Roman"/>
          <w:sz w:val="20"/>
        </w:rPr>
        <w:t xml:space="preserve"> </w:t>
      </w:r>
      <w:r>
        <w:rPr>
          <w:rFonts w:ascii="Times New Roman;serif" w:hAnsi="Times New Roman;serif"/>
          <w:b/>
          <w:sz w:val="24"/>
        </w:rPr>
        <w:t>Lease</w:t>
      </w:r>
      <w:r>
        <w:rPr>
          <w:rFonts w:ascii="Times New Roman" w:hAnsi="Times New Roman"/>
          <w:sz w:val="20"/>
        </w:rPr>
        <w:t>”</w:t>
      </w:r>
      <w:r>
        <w:rPr>
          <w:rFonts w:ascii="Times New Roman;serif" w:hAnsi="Times New Roman;serif"/>
          <w:b w:val="false"/>
          <w:sz w:val="24"/>
        </w:rPr>
        <w:t>), as amended by that certain First Amendment to Lease dated November 5, 2021 (the “</w:t>
      </w:r>
      <w:r>
        <w:rPr>
          <w:rFonts w:ascii="Times New Roman;serif" w:hAnsi="Times New Roman;serif"/>
          <w:b/>
          <w:sz w:val="24"/>
        </w:rPr>
        <w:t>First Amendment</w:t>
      </w:r>
      <w:r>
        <w:rPr>
          <w:rFonts w:ascii="Times New Roman" w:hAnsi="Times New Roman"/>
          <w:sz w:val="20"/>
        </w:rPr>
        <w:t>”</w:t>
      </w:r>
      <w:r>
        <w:rPr>
          <w:rFonts w:ascii="Times New Roman;serif" w:hAnsi="Times New Roman;serif"/>
          <w:b w:val="false"/>
          <w:sz w:val="24"/>
        </w:rPr>
        <w:t>) and that certain Second Amendment to Lease dated August 11, 2022 (the “</w:t>
      </w:r>
      <w:r>
        <w:rPr>
          <w:rFonts w:ascii="Times New Roman;serif" w:hAnsi="Times New Roman;serif"/>
          <w:b/>
          <w:sz w:val="24"/>
        </w:rPr>
        <w:t>Second Amendment</w:t>
      </w:r>
      <w:r>
        <w:rPr>
          <w:rFonts w:ascii="Times New Roman" w:hAnsi="Times New Roman"/>
          <w:sz w:val="20"/>
        </w:rPr>
        <w:t>”</w:t>
      </w:r>
      <w:r>
        <w:rPr>
          <w:rFonts w:ascii="Times New Roman;serif" w:hAnsi="Times New Roman;serif"/>
          <w:b w:val="false"/>
          <w:sz w:val="24"/>
        </w:rPr>
        <w:t>) and together with the Original Lease and First Amendment, the “</w:t>
      </w:r>
      <w:r>
        <w:rPr>
          <w:rFonts w:ascii="Times New Roman;serif" w:hAnsi="Times New Roman;serif"/>
          <w:b/>
          <w:sz w:val="24"/>
        </w:rPr>
        <w:t>Lease</w:t>
      </w:r>
      <w:r>
        <w:rPr>
          <w:rFonts w:ascii="Times New Roman" w:hAnsi="Times New Roman"/>
          <w:sz w:val="20"/>
        </w:rPr>
        <w:t>”</w:t>
      </w:r>
      <w:r>
        <w:rPr>
          <w:rFonts w:ascii="Times New Roman;serif" w:hAnsi="Times New Roman;serif"/>
          <w:b w:val="false"/>
          <w:sz w:val="24"/>
        </w:rPr>
        <w:t>), whereby Landlord leases to Tenant and Tenant leases from Landlord those certain premises containing approximately 88,106 rentable square feet (collectively, the “</w:t>
      </w:r>
      <w:r>
        <w:rPr>
          <w:rFonts w:ascii="Times New Roman;serif" w:hAnsi="Times New Roman;serif"/>
          <w:b/>
          <w:sz w:val="24"/>
        </w:rPr>
        <w:t>Premises</w:t>
      </w:r>
      <w:r>
        <w:rPr>
          <w:rFonts w:ascii="Times New Roman" w:hAnsi="Times New Roman"/>
          <w:sz w:val="20"/>
        </w:rPr>
        <w:t>”</w:t>
      </w:r>
      <w:r>
        <w:rPr>
          <w:rFonts w:ascii="Times New Roman;serif" w:hAnsi="Times New Roman;serif"/>
          <w:b w:val="false"/>
          <w:sz w:val="24"/>
        </w:rPr>
        <w:t>) consisting of the entire building located at 1150 Veterans Boulevard, South San Francisco, California (“</w:t>
      </w:r>
      <w:r>
        <w:rPr>
          <w:rFonts w:ascii="Times New Roman;serif" w:hAnsi="Times New Roman;serif"/>
          <w:b/>
          <w:sz w:val="24"/>
        </w:rPr>
        <w:t>Building</w:t>
      </w:r>
      <w:r>
        <w:rPr>
          <w:rFonts w:ascii="Times New Roman" w:hAnsi="Times New Roman"/>
          <w:sz w:val="20"/>
        </w:rPr>
        <w:t>”</w:t>
      </w:r>
      <w:r>
        <w:rPr>
          <w:rFonts w:ascii="Times New Roman;serif" w:hAnsi="Times New Roman;serif"/>
          <w:b w:val="false"/>
          <w:sz w:val="24"/>
        </w:rPr>
        <w:t>).</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B. Landlord and Tenant desire to make modifications to the Lease, and in connection therewith, Landlord and Tenant desire to amend the Lease as hereinafter provided.</w:t>
      </w:r>
    </w:p>
    <w:p>
      <w:pPr>
        <w:pStyle w:val="TextBody"/>
        <w:bidi w:val="0"/>
        <w:spacing w:before="480" w:after="240"/>
        <w:jc w:val="center"/>
        <w:rPr>
          <w:rFonts w:ascii="Times New Roman" w:hAnsi="Times New Roman"/>
          <w:sz w:val="20"/>
        </w:rPr>
      </w:pPr>
      <w:r>
        <w:rPr>
          <w:rFonts w:ascii="Times New Roman;serif" w:hAnsi="Times New Roman;serif"/>
          <w:b w:val="false"/>
          <w:caps/>
          <w:sz w:val="24"/>
          <w:u w:val="single"/>
        </w:rPr>
        <w:t xml:space="preserve">a g r e e m e n t </w:t>
      </w:r>
      <w:r>
        <w:rPr>
          <w:rFonts w:ascii="Times New Roman;serif" w:hAnsi="Times New Roman;serif"/>
          <w:b w:val="false"/>
          <w:caps/>
          <w:sz w:val="24"/>
        </w:rPr>
        <w:t>:</w:t>
      </w:r>
    </w:p>
    <w:p>
      <w:pPr>
        <w:pStyle w:val="TextBody"/>
        <w:bidi w:val="0"/>
        <w:spacing w:before="240" w:after="0"/>
        <w:jc w:val="both"/>
        <w:rPr>
          <w:rFonts w:ascii="Times New Roman;serif" w:hAnsi="Times New Roman;serif"/>
          <w:b w:val="false"/>
          <w:sz w:val="24"/>
        </w:rPr>
      </w:pPr>
      <w:r>
        <w:rPr>
          <w:rFonts w:ascii="Times New Roman;serif" w:hAnsi="Times New Roman;serif"/>
          <w:b w:val="false"/>
          <w:sz w:val="24"/>
        </w:rPr>
        <w:t>NOW, THEREFORE, in consideration of the foregoing recitals and the mutual covenants contained herein, and for other good and valuable consideration, the receipt and sufficiency of which are hereby acknowledged, the parties hereto hereby agree as follows:</w:t>
      </w:r>
    </w:p>
    <w:p>
      <w:pPr>
        <w:pStyle w:val="TextBody"/>
        <w:bidi w:val="0"/>
        <w:spacing w:before="240" w:after="0"/>
        <w:jc w:val="both"/>
        <w:rPr>
          <w:rFonts w:ascii="Times New Roman" w:hAnsi="Times New Roman"/>
          <w:b w:val="false"/>
          <w:sz w:val="24"/>
        </w:rPr>
      </w:pPr>
      <w:r>
        <w:rPr>
          <w:rFonts w:ascii="Times New Roman" w:hAnsi="Times New Roman"/>
          <w:b w:val="false"/>
          <w:sz w:val="24"/>
        </w:rPr>
        <w:t>1.</w:t>
      </w:r>
    </w:p>
    <w:p>
      <w:pPr>
        <w:pStyle w:val="TextBody"/>
        <w:bidi w:val="0"/>
        <w:spacing w:before="240" w:after="0"/>
        <w:jc w:val="both"/>
        <w:rPr/>
      </w:pPr>
      <w:r>
        <w:rPr>
          <w:rFonts w:ascii="Times New Roman;serif" w:hAnsi="Times New Roman;serif"/>
          <w:b/>
          <w:sz w:val="24"/>
          <w:u w:val="single"/>
        </w:rPr>
        <w:t>Capitalized Terms</w:t>
      </w:r>
      <w:r>
        <w:rPr>
          <w:rFonts w:ascii="Times New Roman;serif" w:hAnsi="Times New Roman;serif"/>
          <w:b w:val="false"/>
          <w:sz w:val="24"/>
        </w:rPr>
        <w:t>. All capitalized terms when used herein shall have the same meaning as is given such terms in the Lease unless expressly superseded by the terms of this Third Amendment.</w:t>
      </w:r>
    </w:p>
    <w:p>
      <w:pPr>
        <w:pStyle w:val="TextBody"/>
        <w:bidi w:val="0"/>
        <w:spacing w:before="240" w:after="0"/>
        <w:jc w:val="both"/>
        <w:rPr>
          <w:rFonts w:ascii="Times New Roman" w:hAnsi="Times New Roman"/>
          <w:b w:val="false"/>
          <w:sz w:val="24"/>
        </w:rPr>
      </w:pPr>
      <w:r>
        <w:rPr>
          <w:rFonts w:ascii="Times New Roman" w:hAnsi="Times New Roman"/>
          <w:b w:val="false"/>
          <w:sz w:val="24"/>
        </w:rPr>
        <w:t>2.</w:t>
      </w:r>
    </w:p>
    <w:p>
      <w:pPr>
        <w:pStyle w:val="TextBody"/>
        <w:bidi w:val="0"/>
        <w:spacing w:before="240" w:after="283"/>
        <w:jc w:val="both"/>
        <w:rPr/>
      </w:pPr>
      <w:r>
        <w:rPr>
          <w:rFonts w:ascii="Times New Roman;serif" w:hAnsi="Times New Roman;serif"/>
          <w:b/>
          <w:sz w:val="24"/>
          <w:u w:val="single"/>
        </w:rPr>
        <w:t>Form of L-C</w:t>
      </w:r>
      <w:r>
        <w:rPr>
          <w:rFonts w:ascii="Times New Roman;serif" w:hAnsi="Times New Roman;serif"/>
          <w:b w:val="false"/>
          <w:sz w:val="24"/>
        </w:rPr>
        <w:t xml:space="preserve">. The first sentence of Section 21.1 of the Lease is deleted in its entirety and replaced with the following: </w:t>
      </w:r>
    </w:p>
    <w:p>
      <w:pPr>
        <w:pStyle w:val="TextBody"/>
        <w:bidi w:val="0"/>
        <w:spacing w:before="240" w:after="0"/>
        <w:jc w:val="both"/>
        <w:rPr/>
      </w:pPr>
      <w:r>
        <w:rPr/>
        <w:t>“</w:t>
      </w:r>
      <w:r>
        <w:rPr>
          <w:rFonts w:ascii="Times New Roman;serif" w:hAnsi="Times New Roman;serif"/>
          <w:b w:val="false"/>
          <w:sz w:val="24"/>
        </w:rPr>
        <w:t>Tenant shall deliver to Landlord, concurrently with Tenant’s execution of this Lease, an unconditional, clean, irrevocable letter of credit (the “</w:t>
      </w:r>
      <w:r>
        <w:rPr>
          <w:rFonts w:ascii="Times New Roman;serif" w:hAnsi="Times New Roman;serif"/>
          <w:b/>
          <w:sz w:val="24"/>
        </w:rPr>
        <w:t>L-C</w:t>
      </w:r>
      <w:r>
        <w:rPr>
          <w:rFonts w:ascii="Times New Roman" w:hAnsi="Times New Roman"/>
          <w:sz w:val="20"/>
        </w:rPr>
        <w:t>”</w:t>
      </w:r>
      <w:r>
        <w:rPr>
          <w:rFonts w:ascii="Times New Roman;serif" w:hAnsi="Times New Roman;serif"/>
          <w:b w:val="false"/>
          <w:sz w:val="24"/>
        </w:rPr>
        <w:t>) in the amount set forth in Section 8 of the Lease Summary (the “</w:t>
      </w:r>
      <w:r>
        <w:rPr>
          <w:rFonts w:ascii="Times New Roman;serif" w:hAnsi="Times New Roman;serif"/>
          <w:b/>
          <w:sz w:val="24"/>
        </w:rPr>
        <w:t>L-C Amount</w:t>
      </w:r>
      <w:r>
        <w:rPr>
          <w:rFonts w:ascii="Times New Roman" w:hAnsi="Times New Roman"/>
          <w:sz w:val="20"/>
        </w:rPr>
        <w:t>”</w:t>
      </w:r>
      <w:r>
        <w:rPr>
          <w:rFonts w:ascii="Times New Roman;serif" w:hAnsi="Times New Roman;serif"/>
          <w:b w:val="false"/>
          <w:sz w:val="24"/>
        </w:rPr>
        <w:t>), which L-C shall be issued by a money-center, solvent and nationally recognized bank (a bank which accepts deposits, maintains accounts, has a local San Francisco Bay Area office which will negotiate a letter of credit, and whose deposits are insured by the FDIC) reasonably acceptable to Landlord (such approved, issuing bank being referred to herein as the “</w:t>
      </w:r>
      <w:r>
        <w:rPr>
          <w:rFonts w:ascii="Times New Roman;serif" w:hAnsi="Times New Roman;serif"/>
          <w:b/>
          <w:sz w:val="24"/>
        </w:rPr>
        <w:t>Bank</w:t>
      </w:r>
      <w:r>
        <w:rPr>
          <w:rFonts w:ascii="Times New Roman" w:hAnsi="Times New Roman"/>
          <w:sz w:val="20"/>
        </w:rPr>
        <w:t>”</w:t>
      </w:r>
      <w:r>
        <w:rPr>
          <w:rFonts w:ascii="Times New Roman;serif" w:hAnsi="Times New Roman;serif"/>
          <w:b w:val="false"/>
          <w:sz w:val="24"/>
        </w:rPr>
        <w:t>), which Bank must have a rating from Standard and Poors Corporation of A- or better (or any equivalent rating thereto from any successor or substitute rating service selected by Landlord) and a letter of credit issuer rating from Moody’s Investor Service of A3 or better (or any</w:t>
      </w:r>
      <w:r>
        <w:rPr>
          <w:rFonts w:ascii="Times New Roman" w:hAnsi="Times New Roman"/>
          <w:sz w:val="20"/>
        </w:rPr>
        <w:t xml:space="preserve"> </w:t>
      </w:r>
    </w:p>
    <w:p>
      <w:pPr>
        <w:pStyle w:val="TextBody"/>
        <w:bidi w:val="0"/>
        <w:spacing w:before="0" w:after="0"/>
        <w:jc w:val="left"/>
        <w:rPr/>
      </w:pPr>
      <w:r>
        <w:rPr/>
        <w:t> </w:t>
      </w:r>
    </w:p>
    <w:tbl>
      <w:tblPr>
        <w:tblW w:w="683" w:type="dxa"/>
        <w:jc w:val="left"/>
        <w:tblInd w:w="0" w:type="dxa"/>
        <w:tblLayout w:type="fixed"/>
        <w:tblCellMar>
          <w:top w:w="28" w:type="dxa"/>
          <w:left w:w="28" w:type="dxa"/>
          <w:bottom w:w="28" w:type="dxa"/>
          <w:right w:w="28" w:type="dxa"/>
        </w:tblCellMar>
      </w:tblPr>
      <w:tblGrid>
        <w:gridCol w:w="161"/>
        <w:gridCol w:w="33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4"/>
        </w:rPr>
      </w:pPr>
      <w:r>
        <w:rPr>
          <w:rFonts w:ascii="Times New Roman;serif" w:hAnsi="Times New Roman;serif"/>
          <w:b/>
          <w:sz w:val="24"/>
        </w:rPr>
        <w:t>Exhibit 10.3</w:t>
      </w:r>
    </w:p>
    <w:p>
      <w:pPr>
        <w:pStyle w:val="TextBody"/>
        <w:bidi w:val="0"/>
        <w:spacing w:before="240" w:after="0"/>
        <w:jc w:val="both"/>
        <w:rPr>
          <w:rFonts w:ascii="Times New Roman" w:hAnsi="Times New Roman"/>
          <w:sz w:val="20"/>
        </w:rPr>
      </w:pPr>
      <w:r>
        <w:rPr>
          <w:rFonts w:ascii="Times New Roman;serif" w:hAnsi="Times New Roman;serif"/>
          <w:b w:val="false"/>
          <w:sz w:val="24"/>
        </w:rPr>
        <w:t>equivalent rating thereto from any successor rating agency thereto)) (collectively, the “</w:t>
      </w:r>
      <w:r>
        <w:rPr>
          <w:rFonts w:ascii="Times New Roman;serif" w:hAnsi="Times New Roman;serif"/>
          <w:b/>
          <w:sz w:val="24"/>
        </w:rPr>
        <w:t>Bank’s Credit Rating Threshold</w:t>
      </w:r>
      <w:r>
        <w:rPr>
          <w:rFonts w:ascii="Times New Roman" w:hAnsi="Times New Roman"/>
          <w:sz w:val="20"/>
        </w:rPr>
        <w:t>”</w:t>
      </w:r>
      <w:r>
        <w:rPr>
          <w:rFonts w:ascii="Times New Roman;serif" w:hAnsi="Times New Roman;serif"/>
          <w:b w:val="false"/>
          <w:sz w:val="24"/>
        </w:rPr>
        <w:t>), and which L-C shall be a form approved by the Landlord.”</w:t>
      </w:r>
    </w:p>
    <w:p>
      <w:pPr>
        <w:pStyle w:val="TextBody"/>
        <w:bidi w:val="0"/>
        <w:spacing w:before="240" w:after="0"/>
        <w:jc w:val="both"/>
        <w:rPr>
          <w:rFonts w:ascii="Times New Roman" w:hAnsi="Times New Roman"/>
          <w:b w:val="false"/>
          <w:sz w:val="24"/>
        </w:rPr>
      </w:pPr>
      <w:r>
        <w:rPr>
          <w:rFonts w:ascii="Times New Roman" w:hAnsi="Times New Roman"/>
          <w:b w:val="false"/>
          <w:sz w:val="24"/>
        </w:rPr>
        <w:t>3.</w:t>
      </w:r>
    </w:p>
    <w:p>
      <w:pPr>
        <w:pStyle w:val="TextBody"/>
        <w:bidi w:val="0"/>
        <w:spacing w:before="240" w:after="283"/>
        <w:jc w:val="both"/>
        <w:rPr/>
      </w:pPr>
      <w:r>
        <w:rPr>
          <w:rFonts w:ascii="Times New Roman;serif" w:hAnsi="Times New Roman;serif"/>
          <w:b/>
          <w:sz w:val="24"/>
          <w:u w:val="single"/>
        </w:rPr>
        <w:t>No Further Modification; Conflict</w:t>
      </w:r>
      <w:r>
        <w:rPr>
          <w:rFonts w:ascii="Times New Roman;serif" w:hAnsi="Times New Roman;serif"/>
          <w:b w:val="false"/>
          <w:sz w:val="24"/>
        </w:rPr>
        <w:t>. Except as set forth in this Third Amendment, all of the terms and provisions of the Lease shall remain unmodified and in full force and effect. In the event of a conflict between the Lease and this Third Amendment, the terms of this Third Amendment shall prevail.</w:t>
      </w:r>
    </w:p>
    <w:p>
      <w:pPr>
        <w:pStyle w:val="TextBody"/>
        <w:bidi w:val="0"/>
        <w:spacing w:before="240" w:after="0"/>
        <w:jc w:val="center"/>
        <w:rPr>
          <w:rFonts w:ascii="Times New Roman;serif" w:hAnsi="Times New Roman;serif"/>
          <w:b w:val="false"/>
          <w:sz w:val="24"/>
        </w:rPr>
      </w:pPr>
      <w:r>
        <w:rPr>
          <w:rFonts w:ascii="Times New Roman;serif" w:hAnsi="Times New Roman;serif"/>
          <w:b w:val="false"/>
          <w:sz w:val="24"/>
        </w:rPr>
        <w:t>[Signature Page Follows]</w:t>
      </w:r>
    </w:p>
    <w:p>
      <w:pPr>
        <w:pStyle w:val="TextBody"/>
        <w:bidi w:val="0"/>
        <w:spacing w:before="0" w:after="0"/>
        <w:jc w:val="left"/>
        <w:rPr/>
      </w:pPr>
      <w:r>
        <w:rPr/>
        <w:t> </w:t>
      </w:r>
    </w:p>
    <w:p>
      <w:pPr>
        <w:pStyle w:val="TextBody"/>
        <w:bidi w:val="0"/>
        <w:spacing w:before="0" w:after="0"/>
        <w:jc w:val="left"/>
        <w:rPr/>
      </w:pPr>
      <w:r>
        <w:rPr/>
        <w:t> </w:t>
      </w:r>
    </w:p>
    <w:tbl>
      <w:tblPr>
        <w:tblW w:w="683" w:type="dxa"/>
        <w:jc w:val="left"/>
        <w:tblInd w:w="0" w:type="dxa"/>
        <w:tblLayout w:type="fixed"/>
        <w:tblCellMar>
          <w:top w:w="28" w:type="dxa"/>
          <w:left w:w="28" w:type="dxa"/>
          <w:bottom w:w="28" w:type="dxa"/>
          <w:right w:w="28" w:type="dxa"/>
        </w:tblCellMar>
      </w:tblPr>
      <w:tblGrid>
        <w:gridCol w:w="161"/>
        <w:gridCol w:w="33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4"/>
        </w:rPr>
      </w:pPr>
      <w:r>
        <w:rPr>
          <w:rFonts w:ascii="Times New Roman;serif" w:hAnsi="Times New Roman;serif"/>
          <w:b/>
          <w:sz w:val="24"/>
        </w:rPr>
        <w:t>Exhibit 10.3</w:t>
      </w:r>
    </w:p>
    <w:p>
      <w:pPr>
        <w:pStyle w:val="TextBody"/>
        <w:bidi w:val="0"/>
        <w:spacing w:before="240" w:after="0"/>
        <w:jc w:val="both"/>
        <w:rPr>
          <w:rFonts w:ascii="Times New Roman" w:hAnsi="Times New Roman"/>
          <w:sz w:val="20"/>
        </w:rPr>
      </w:pPr>
      <w:r>
        <w:rPr>
          <w:rFonts w:ascii="Times New Roman;serif" w:hAnsi="Times New Roman;serif"/>
          <w:b w:val="false"/>
          <w:sz w:val="24"/>
        </w:rPr>
        <w:t>IN WITNESS WHEREOF, this Third Amendment has been executed as of the day and year first above written.</w:t>
      </w:r>
      <w:r>
        <w:rPr>
          <w:rFonts w:ascii="Times New Roman" w:hAnsi="Times New Roman"/>
          <w:sz w:val="20"/>
        </w:rPr>
        <w:t xml:space="preserve"> </w:t>
      </w:r>
    </w:p>
    <w:tbl>
      <w:tblPr>
        <w:tblW w:w="7964" w:type="dxa"/>
        <w:jc w:val="left"/>
        <w:tblInd w:w="0" w:type="dxa"/>
        <w:tblLayout w:type="fixed"/>
        <w:tblCellMar>
          <w:top w:w="28" w:type="dxa"/>
          <w:left w:w="28" w:type="dxa"/>
          <w:bottom w:w="28" w:type="dxa"/>
          <w:right w:w="28" w:type="dxa"/>
        </w:tblCellMar>
      </w:tblPr>
      <w:tblGrid>
        <w:gridCol w:w="3673"/>
        <w:gridCol w:w="4291"/>
      </w:tblGrid>
      <w:tr>
        <w:trPr/>
        <w:tc>
          <w:tcPr>
            <w:tcW w:w="3673" w:type="dxa"/>
            <w:tcBorders/>
            <w:vAlign w:val="center"/>
          </w:tcPr>
          <w:p>
            <w:pPr>
              <w:pStyle w:val="TableContents"/>
              <w:bidi w:val="0"/>
              <w:spacing w:before="0" w:after="283"/>
              <w:jc w:val="left"/>
              <w:rPr>
                <w:sz w:val="4"/>
                <w:szCs w:val="4"/>
              </w:rPr>
            </w:pPr>
            <w:r>
              <w:rPr>
                <w:sz w:val="4"/>
                <w:szCs w:val="4"/>
              </w:rPr>
            </w:r>
          </w:p>
        </w:tc>
        <w:tc>
          <w:tcPr>
            <w:tcW w:w="4291" w:type="dxa"/>
            <w:tcBorders/>
            <w:vAlign w:val="center"/>
          </w:tcPr>
          <w:p>
            <w:pPr>
              <w:pStyle w:val="TableContents"/>
              <w:bidi w:val="0"/>
              <w:spacing w:before="0" w:after="283"/>
              <w:jc w:val="left"/>
              <w:rPr>
                <w:sz w:val="4"/>
                <w:szCs w:val="4"/>
              </w:rPr>
            </w:pPr>
            <w:r>
              <w:rPr>
                <w:sz w:val="4"/>
                <w:szCs w:val="4"/>
              </w:rPr>
            </w:r>
          </w:p>
        </w:tc>
      </w:tr>
      <w:tr>
        <w:trPr/>
        <w:tc>
          <w:tcPr>
            <w:tcW w:w="3673" w:type="dxa"/>
            <w:tcBorders/>
            <w:tcMar>
              <w:top w:w="0" w:type="dxa"/>
              <w:left w:w="0" w:type="dxa"/>
              <w:bottom w:w="0" w:type="dxa"/>
              <w:right w:w="0" w:type="dxa"/>
            </w:tcMar>
            <w:vAlign w:val="center"/>
          </w:tcPr>
          <w:p>
            <w:pPr>
              <w:pStyle w:val="TableContents"/>
              <w:bidi w:val="0"/>
              <w:spacing w:before="240" w:after="0"/>
              <w:ind w:left="0" w:right="0" w:hanging="0"/>
              <w:jc w:val="left"/>
              <w:rPr/>
            </w:pPr>
            <w:r>
              <w:rPr/>
              <w:t>“</w:t>
            </w:r>
            <w:r>
              <w:rPr>
                <w:rFonts w:ascii="Times New Roman;serif" w:hAnsi="Times New Roman;serif"/>
                <w:b/>
                <w:sz w:val="24"/>
              </w:rPr>
              <w:t>LANDLORD</w:t>
            </w:r>
            <w:r>
              <w:rPr>
                <w:rFonts w:ascii="Times New Roman" w:hAnsi="Times New Roman"/>
                <w:sz w:val="24"/>
              </w:rPr>
              <w:t>”</w:t>
            </w:r>
          </w:p>
        </w:tc>
        <w:tc>
          <w:tcPr>
            <w:tcW w:w="4291" w:type="dxa"/>
            <w:tcBorders/>
            <w:tcMar>
              <w:top w:w="0" w:type="dxa"/>
              <w:left w:w="0" w:type="dxa"/>
              <w:bottom w:w="0" w:type="dxa"/>
              <w:right w:w="0" w:type="dxa"/>
            </w:tcMar>
            <w:vAlign w:val="center"/>
          </w:tcPr>
          <w:p>
            <w:pPr>
              <w:pStyle w:val="TableContents"/>
              <w:bidi w:val="0"/>
              <w:spacing w:before="240" w:after="0"/>
              <w:ind w:left="0" w:right="0" w:hanging="0"/>
              <w:jc w:val="left"/>
              <w:rPr/>
            </w:pPr>
            <w:r>
              <w:rPr/>
              <w:t>“</w:t>
            </w:r>
            <w:r>
              <w:rPr>
                <w:rFonts w:ascii="Times New Roman;serif" w:hAnsi="Times New Roman;serif"/>
                <w:b/>
                <w:sz w:val="24"/>
              </w:rPr>
              <w:t>TENANT</w:t>
            </w:r>
            <w:r>
              <w:rPr>
                <w:rFonts w:ascii="Times New Roman;serif" w:hAnsi="Times New Roman;serif"/>
                <w:b w:val="false"/>
                <w:sz w:val="24"/>
              </w:rPr>
              <w:t>"</w:t>
            </w:r>
          </w:p>
        </w:tc>
      </w:tr>
      <w:tr>
        <w:trPr/>
        <w:tc>
          <w:tcPr>
            <w:tcW w:w="3673" w:type="dxa"/>
            <w:tcBorders/>
            <w:tcMar>
              <w:top w:w="0" w:type="dxa"/>
              <w:left w:w="0" w:type="dxa"/>
              <w:bottom w:w="0" w:type="dxa"/>
              <w:right w:w="0" w:type="dxa"/>
            </w:tcMar>
            <w:vAlign w:val="center"/>
          </w:tcPr>
          <w:p>
            <w:pPr>
              <w:pStyle w:val="TableContents"/>
              <w:bidi w:val="0"/>
              <w:spacing w:before="240" w:after="0"/>
              <w:ind w:left="0" w:right="0" w:firstLine="12"/>
              <w:jc w:val="left"/>
              <w:rPr>
                <w:rFonts w:ascii="Times New Roman" w:hAnsi="Times New Roman"/>
                <w:sz w:val="24"/>
              </w:rPr>
            </w:pPr>
            <w:r>
              <w:rPr>
                <w:rFonts w:ascii="Times New Roman;serif" w:hAnsi="Times New Roman;serif"/>
                <w:b/>
                <w:sz w:val="24"/>
              </w:rPr>
              <w:t>HCP BTC, LLC.</w:t>
            </w:r>
            <w:r>
              <w:rPr>
                <w:rFonts w:ascii="Times New Roman;serif" w:hAnsi="Times New Roman;serif"/>
                <w:b w:val="false"/>
                <w:sz w:val="24"/>
              </w:rPr>
              <w:t>,</w:t>
            </w:r>
            <w:r>
              <w:rPr>
                <w:rFonts w:ascii="Times New Roman" w:hAnsi="Times New Roman"/>
                <w:sz w:val="24"/>
              </w:rPr>
              <w:t xml:space="preserve"> </w:t>
            </w:r>
            <w:r>
              <w:rPr>
                <w:rFonts w:ascii="Times New Roman;serif" w:hAnsi="Times New Roman;serif"/>
                <w:b/>
                <w:sz w:val="24"/>
              </w:rPr>
              <w:br/>
            </w:r>
            <w:r>
              <w:rPr>
                <w:rFonts w:ascii="Times New Roman;serif" w:hAnsi="Times New Roman;serif"/>
                <w:b w:val="false"/>
                <w:sz w:val="24"/>
              </w:rPr>
              <w:t>a Delaware limited liability company</w:t>
            </w:r>
            <w:r>
              <w:rPr>
                <w:rFonts w:ascii="Times New Roman" w:hAnsi="Times New Roman"/>
                <w:sz w:val="24"/>
              </w:rPr>
              <w:t xml:space="preserve"> </w:t>
            </w:r>
          </w:p>
        </w:tc>
        <w:tc>
          <w:tcPr>
            <w:tcW w:w="4291" w:type="dxa"/>
            <w:tcBorders/>
            <w:tcMar>
              <w:top w:w="0" w:type="dxa"/>
              <w:left w:w="0" w:type="dxa"/>
              <w:bottom w:w="0" w:type="dxa"/>
              <w:right w:w="0" w:type="dxa"/>
            </w:tcMar>
            <w:vAlign w:val="center"/>
          </w:tcPr>
          <w:p>
            <w:pPr>
              <w:pStyle w:val="TableContents"/>
              <w:bidi w:val="0"/>
              <w:spacing w:before="240" w:after="0"/>
              <w:ind w:left="12" w:right="0" w:hanging="0"/>
              <w:jc w:val="left"/>
              <w:rPr>
                <w:rFonts w:ascii="Times New Roman" w:hAnsi="Times New Roman"/>
                <w:sz w:val="24"/>
              </w:rPr>
            </w:pPr>
            <w:r>
              <w:rPr>
                <w:rFonts w:ascii="Times New Roman;serif" w:hAnsi="Times New Roman;serif"/>
                <w:b/>
                <w:sz w:val="24"/>
              </w:rPr>
              <w:t>NKARTA, INC.</w:t>
            </w:r>
            <w:r>
              <w:rPr>
                <w:rFonts w:ascii="Times New Roman;serif" w:hAnsi="Times New Roman;serif"/>
                <w:b w:val="false"/>
                <w:sz w:val="24"/>
              </w:rPr>
              <w:t>,</w:t>
              <w:br/>
              <w:t>a Delaware</w:t>
            </w:r>
            <w:r>
              <w:rPr>
                <w:rFonts w:ascii="Times New Roman" w:hAnsi="Times New Roman"/>
                <w:sz w:val="24"/>
              </w:rPr>
              <w:t xml:space="preserve"> </w:t>
            </w:r>
            <w:r>
              <w:rPr>
                <w:rFonts w:ascii="Times New Roman;serif" w:hAnsi="Times New Roman;serif"/>
                <w:b w:val="false"/>
                <w:sz w:val="24"/>
              </w:rPr>
              <w:t>corporation</w:t>
            </w:r>
          </w:p>
        </w:tc>
      </w:tr>
      <w:tr>
        <w:trPr/>
        <w:tc>
          <w:tcPr>
            <w:tcW w:w="3673" w:type="dxa"/>
            <w:tcBorders/>
            <w:tcMar>
              <w:top w:w="0" w:type="dxa"/>
              <w:left w:w="0" w:type="dxa"/>
              <w:bottom w:w="0" w:type="dxa"/>
              <w:right w:w="0" w:type="dxa"/>
            </w:tcMar>
            <w:vAlign w:val="center"/>
          </w:tcPr>
          <w:p>
            <w:pPr>
              <w:pStyle w:val="TableContents"/>
              <w:bidi w:val="0"/>
              <w:spacing w:before="240" w:after="0"/>
              <w:ind w:left="0" w:right="0" w:hanging="0"/>
              <w:jc w:val="left"/>
              <w:rPr>
                <w:rFonts w:ascii="Times New Roman" w:hAnsi="Times New Roman"/>
                <w:sz w:val="24"/>
              </w:rPr>
            </w:pPr>
            <w:r>
              <w:rPr>
                <w:rFonts w:ascii="Times New Roman;serif" w:hAnsi="Times New Roman;serif"/>
                <w:b w:val="false"/>
                <w:sz w:val="24"/>
              </w:rPr>
              <w:t xml:space="preserve">By: </w:t>
            </w:r>
            <w:r>
              <w:rPr>
                <w:rFonts w:ascii="Times New Roman;serif" w:hAnsi="Times New Roman;serif"/>
                <w:b w:val="false"/>
                <w:sz w:val="24"/>
                <w:u w:val="single"/>
              </w:rPr>
              <w:t>/s/ Scott R. Bohn</w:t>
            </w:r>
            <w:r>
              <w:rPr>
                <w:rFonts w:ascii="Times New Roman;serif" w:hAnsi="Times New Roman;serif"/>
                <w:b w:val="false"/>
                <w:sz w:val="24"/>
              </w:rPr>
              <w:br/>
              <w:t xml:space="preserve">      Name: </w:t>
            </w:r>
            <w:r>
              <w:rPr>
                <w:rFonts w:ascii="Times New Roman;serif" w:hAnsi="Times New Roman;serif"/>
                <w:b w:val="false"/>
                <w:sz w:val="24"/>
                <w:u w:val="single"/>
              </w:rPr>
              <w:t>Scott R. Bohn</w:t>
            </w:r>
            <w:r>
              <w:rPr>
                <w:rFonts w:ascii="Times New Roman;serif" w:hAnsi="Times New Roman;serif"/>
                <w:b w:val="false"/>
                <w:sz w:val="24"/>
              </w:rPr>
              <w:br/>
              <w:t xml:space="preserve">      Its: </w:t>
            </w:r>
            <w:r>
              <w:rPr>
                <w:rFonts w:ascii="Times New Roman;serif" w:hAnsi="Times New Roman;serif"/>
                <w:b w:val="false"/>
                <w:sz w:val="24"/>
                <w:u w:val="single"/>
              </w:rPr>
              <w:t>Chief Development Officer</w:t>
            </w:r>
          </w:p>
          <w:p>
            <w:pPr>
              <w:pStyle w:val="TableContents"/>
              <w:bidi w:val="0"/>
              <w:spacing w:before="240" w:after="0"/>
              <w:ind w:left="0" w:right="0" w:hanging="0"/>
              <w:jc w:val="left"/>
              <w:rPr/>
            </w:pPr>
            <w:r>
              <w:rPr/>
              <w:t> </w:t>
            </w:r>
          </w:p>
          <w:p>
            <w:pPr>
              <w:pStyle w:val="TableContents"/>
              <w:pBdr/>
              <w:bidi w:val="0"/>
              <w:spacing w:before="0" w:after="0"/>
              <w:ind w:left="0" w:right="0" w:hanging="720"/>
              <w:jc w:val="left"/>
              <w:rPr/>
            </w:pPr>
            <w:r>
              <w:rPr/>
              <w:t> </w:t>
            </w:r>
          </w:p>
        </w:tc>
        <w:tc>
          <w:tcPr>
            <w:tcW w:w="4291" w:type="dxa"/>
            <w:tcBorders/>
            <w:tcMar>
              <w:top w:w="0" w:type="dxa"/>
              <w:left w:w="0" w:type="dxa"/>
              <w:bottom w:w="0" w:type="dxa"/>
              <w:right w:w="0" w:type="dxa"/>
            </w:tcMar>
            <w:vAlign w:val="center"/>
          </w:tcPr>
          <w:p>
            <w:pPr>
              <w:pStyle w:val="TableContents"/>
              <w:bidi w:val="0"/>
              <w:spacing w:before="240" w:after="0"/>
              <w:ind w:left="0" w:right="0" w:hanging="0"/>
              <w:jc w:val="left"/>
              <w:rPr>
                <w:rFonts w:ascii="Times New Roman" w:hAnsi="Times New Roman"/>
                <w:sz w:val="24"/>
              </w:rPr>
            </w:pPr>
            <w:r>
              <w:rPr>
                <w:rFonts w:ascii="Times New Roman;serif" w:hAnsi="Times New Roman;serif"/>
                <w:b w:val="false"/>
                <w:sz w:val="24"/>
              </w:rPr>
              <w:t xml:space="preserve">By: </w:t>
            </w:r>
            <w:r>
              <w:rPr>
                <w:rFonts w:ascii="Times New Roman;serif" w:hAnsi="Times New Roman;serif"/>
                <w:b w:val="false"/>
                <w:sz w:val="24"/>
                <w:u w:val="single"/>
              </w:rPr>
              <w:t>/s/ Nadir Mahmood</w:t>
            </w:r>
          </w:p>
          <w:p>
            <w:pPr>
              <w:pStyle w:val="TableContents"/>
              <w:bidi w:val="0"/>
              <w:spacing w:before="0" w:after="0"/>
              <w:ind w:left="0" w:right="0" w:hanging="0"/>
              <w:jc w:val="left"/>
              <w:rPr/>
            </w:pPr>
            <w:r>
              <w:rPr/>
              <w:t>     </w:t>
            </w:r>
            <w:r>
              <w:rPr>
                <w:rFonts w:ascii="Times New Roman;serif" w:hAnsi="Times New Roman;serif"/>
                <w:b w:val="false"/>
                <w:sz w:val="24"/>
              </w:rPr>
              <w:t xml:space="preserve">Name: </w:t>
            </w:r>
            <w:r>
              <w:rPr>
                <w:rFonts w:ascii="Times New Roman;serif" w:hAnsi="Times New Roman;serif"/>
                <w:b w:val="false"/>
                <w:sz w:val="24"/>
                <w:u w:val="single"/>
              </w:rPr>
              <w:t>Nadir Mahmood</w:t>
            </w:r>
          </w:p>
          <w:p>
            <w:pPr>
              <w:pStyle w:val="TableContents"/>
              <w:bidi w:val="0"/>
              <w:spacing w:before="0" w:after="0"/>
              <w:ind w:left="0" w:right="0" w:hanging="0"/>
              <w:jc w:val="left"/>
              <w:rPr/>
            </w:pPr>
            <w:r>
              <w:rPr/>
              <w:t>     </w:t>
            </w:r>
            <w:r>
              <w:rPr>
                <w:rFonts w:ascii="Times New Roman;serif" w:hAnsi="Times New Roman;serif"/>
                <w:b w:val="false"/>
                <w:sz w:val="24"/>
              </w:rPr>
              <w:t xml:space="preserve">Its: </w:t>
            </w:r>
            <w:r>
              <w:rPr>
                <w:rFonts w:ascii="Times New Roman;serif" w:hAnsi="Times New Roman;serif"/>
                <w:b w:val="false"/>
                <w:sz w:val="24"/>
                <w:u w:val="single"/>
              </w:rPr>
              <w:t>Chief Financial and Business Officer</w:t>
            </w:r>
          </w:p>
        </w:tc>
      </w:tr>
    </w:tbl>
    <w:p>
      <w:pPr>
        <w:pStyle w:val="TextBody"/>
        <w:bidi w:val="0"/>
        <w:spacing w:before="0" w:after="0"/>
        <w:jc w:val="both"/>
        <w:rPr/>
      </w:pPr>
      <w:r>
        <w:rPr/>
        <w:t> </w:t>
      </w:r>
    </w:p>
    <w:p>
      <w:pPr>
        <w:pStyle w:val="TextBody"/>
        <w:bidi w:val="0"/>
        <w:spacing w:before="0" w:after="0"/>
        <w:jc w:val="left"/>
        <w:rPr/>
      </w:pPr>
      <w:r>
        <w:rPr/>
        <w:t> </w:t>
      </w:r>
    </w:p>
    <w:tbl>
      <w:tblPr>
        <w:tblW w:w="683" w:type="dxa"/>
        <w:jc w:val="left"/>
        <w:tblInd w:w="0" w:type="dxa"/>
        <w:tblLayout w:type="fixed"/>
        <w:tblCellMar>
          <w:top w:w="28" w:type="dxa"/>
          <w:left w:w="28" w:type="dxa"/>
          <w:bottom w:w="28" w:type="dxa"/>
          <w:right w:w="28" w:type="dxa"/>
        </w:tblCellMar>
      </w:tblPr>
      <w:tblGrid>
        <w:gridCol w:w="161"/>
        <w:gridCol w:w="33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7" w:name="nktx-ex31_1.htm"/>
      <w:bookmarkStart w:id="28" w:name="ksnktxex31_1"/>
      <w:bookmarkEnd w:id="27"/>
      <w:bookmarkEnd w:id="28"/>
      <w:r>
        <w:rPr>
          <w:rFonts w:ascii="Times New Roman;serif" w:hAnsi="Times New Roman;serif"/>
          <w:b/>
          <w:sz w:val="20"/>
        </w:rPr>
        <w:t>Exhibit 31.1</w:t>
      </w:r>
      <w:r>
        <w:br w:type="page"/>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NKARTA, INC.</w:t>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CERTIFICATIONS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302 OF</w:t>
      </w:r>
    </w:p>
    <w:p>
      <w:pPr>
        <w:pStyle w:val="TextBody"/>
        <w:bidi w:val="0"/>
        <w:spacing w:before="0" w:after="0"/>
        <w:jc w:val="center"/>
        <w:rPr>
          <w:rFonts w:ascii="Times New Roman;serif" w:hAnsi="Times New Roman;serif"/>
          <w:b/>
          <w:sz w:val="20"/>
        </w:rPr>
      </w:pPr>
      <w:r>
        <w:rPr>
          <w:rFonts w:ascii="Times New Roman;serif" w:hAnsi="Times New Roman;serif"/>
          <w:b/>
          <w:sz w:val="20"/>
        </w:rPr>
        <w:t>THE SARBANES-OXLEY ACT OF 2002</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CERTIFICATION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Paul J. Hastings,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Nkarta, Inc. (the “registrant”);</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387" w:type="dxa"/>
        <w:jc w:val="left"/>
        <w:tblInd w:w="0" w:type="dxa"/>
        <w:tblLayout w:type="fixed"/>
        <w:tblCellMar>
          <w:top w:w="28" w:type="dxa"/>
          <w:left w:w="28" w:type="dxa"/>
          <w:bottom w:w="28" w:type="dxa"/>
          <w:right w:w="28" w:type="dxa"/>
        </w:tblCellMar>
      </w:tblPr>
      <w:tblGrid>
        <w:gridCol w:w="1741"/>
        <w:gridCol w:w="109"/>
        <w:gridCol w:w="406"/>
        <w:gridCol w:w="213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3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Paul J. Hastings</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Paul J. Hastings</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9" w:name="nktx-ex31_2.htm"/>
      <w:bookmarkStart w:id="30" w:name="ksnktxex31_2"/>
      <w:bookmarkEnd w:id="29"/>
      <w:bookmarkEnd w:id="30"/>
      <w:r>
        <w:rPr>
          <w:rFonts w:ascii="Times New Roman;serif" w:hAnsi="Times New Roman;serif"/>
          <w:b/>
          <w:sz w:val="20"/>
        </w:rPr>
        <w:t>Exhibit 31.2</w:t>
      </w:r>
      <w:r>
        <w:br w:type="page"/>
      </w:r>
    </w:p>
    <w:p>
      <w:pPr>
        <w:pStyle w:val="TextBody"/>
        <w:bidi w:val="0"/>
        <w:spacing w:before="0" w:after="0"/>
        <w:jc w:val="center"/>
        <w:rPr>
          <w:rFonts w:ascii="Times New Roman;serif" w:hAnsi="Times New Roman;serif"/>
          <w:b/>
          <w:sz w:val="20"/>
        </w:rPr>
      </w:pPr>
      <w:r>
        <w:rPr>
          <w:rFonts w:ascii="Times New Roman;serif" w:hAnsi="Times New Roman;serif"/>
          <w:b/>
          <w:sz w:val="20"/>
        </w:rPr>
        <w:t>NKARTA, INC.</w:t>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CERTIFICATIONS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302 OF</w:t>
      </w:r>
    </w:p>
    <w:p>
      <w:pPr>
        <w:pStyle w:val="TextBody"/>
        <w:bidi w:val="0"/>
        <w:spacing w:before="0" w:after="0"/>
        <w:jc w:val="center"/>
        <w:rPr>
          <w:rFonts w:ascii="Times New Roman;serif" w:hAnsi="Times New Roman;serif"/>
          <w:b/>
          <w:sz w:val="20"/>
        </w:rPr>
      </w:pPr>
      <w:r>
        <w:rPr>
          <w:rFonts w:ascii="Times New Roman;serif" w:hAnsi="Times New Roman;serif"/>
          <w:b/>
          <w:sz w:val="20"/>
        </w:rPr>
        <w:t>THE SARBANES-OXLEY ACT OF 2002</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CERTIFICATION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Nadir Mahmood,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Nkarta, Inc. (the “registrant”);</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5482" w:type="dxa"/>
        <w:jc w:val="left"/>
        <w:tblInd w:w="0" w:type="dxa"/>
        <w:tblLayout w:type="fixed"/>
        <w:tblCellMar>
          <w:top w:w="28" w:type="dxa"/>
          <w:left w:w="28" w:type="dxa"/>
          <w:bottom w:w="28" w:type="dxa"/>
          <w:right w:w="28" w:type="dxa"/>
        </w:tblCellMar>
      </w:tblPr>
      <w:tblGrid>
        <w:gridCol w:w="1741"/>
        <w:gridCol w:w="109"/>
        <w:gridCol w:w="406"/>
        <w:gridCol w:w="322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22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Nadir Mahmood</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Nadir Mahmood</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and Business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1" w:name="nktx-ex32.htm"/>
      <w:bookmarkStart w:id="32" w:name="ksnktxex32"/>
      <w:bookmarkEnd w:id="31"/>
      <w:bookmarkEnd w:id="32"/>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w:t>
      </w:r>
    </w:p>
    <w:p>
      <w:pPr>
        <w:pStyle w:val="TextBody"/>
        <w:bidi w:val="0"/>
        <w:spacing w:before="0" w:after="0"/>
        <w:jc w:val="center"/>
        <w:rPr>
          <w:rFonts w:ascii="Times New Roman;serif" w:hAnsi="Times New Roman;serif"/>
          <w:b/>
          <w:sz w:val="20"/>
        </w:rPr>
      </w:pPr>
      <w:r>
        <w:rPr>
          <w:rFonts w:ascii="Times New Roman;serif" w:hAnsi="Times New Roman;serif"/>
          <w:b/>
          <w:sz w:val="20"/>
        </w:rPr>
        <w:t>NKARTA, INC.</w:t>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on Form 10-Q for the quarter ended March 31, 2023 of Nkarta, Inc. (the "Company") as filed with the Securities and Exchange Commission on the date hereof (the "Report"), we, Paul J. Hastings, Chief Executive Officer of the Company, and Nadir Mahmood, Chief Financial and Business Officer of the Company, certify, pursuant to 18 U.S.C. 1350, as adopted pursuant to Section 906 of the Sarbanes-Oxley Act of 2002,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p>
      <w:pPr>
        <w:pStyle w:val="TextBody"/>
        <w:bidi w:val="0"/>
        <w:spacing w:before="0" w:after="0"/>
        <w:jc w:val="left"/>
        <w:rPr/>
      </w:pPr>
      <w:r>
        <w:rPr/>
        <w:t> </w:t>
      </w:r>
    </w:p>
    <w:tbl>
      <w:tblPr>
        <w:tblW w:w="4387" w:type="dxa"/>
        <w:jc w:val="left"/>
        <w:tblInd w:w="0" w:type="dxa"/>
        <w:tblLayout w:type="fixed"/>
        <w:tblCellMar>
          <w:top w:w="28" w:type="dxa"/>
          <w:left w:w="28" w:type="dxa"/>
          <w:bottom w:w="28" w:type="dxa"/>
          <w:right w:w="28" w:type="dxa"/>
        </w:tblCellMar>
      </w:tblPr>
      <w:tblGrid>
        <w:gridCol w:w="1741"/>
        <w:gridCol w:w="109"/>
        <w:gridCol w:w="406"/>
        <w:gridCol w:w="213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3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Paul J. Hastings</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Paul J. Hastings</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tc>
      </w:tr>
    </w:tbl>
    <w:p>
      <w:pPr>
        <w:pStyle w:val="TextBody"/>
        <w:bidi w:val="0"/>
        <w:spacing w:before="0" w:after="0"/>
        <w:jc w:val="left"/>
        <w:rPr/>
      </w:pPr>
      <w:r>
        <w:rPr/>
        <w:t> </w:t>
      </w:r>
    </w:p>
    <w:p>
      <w:pPr>
        <w:pStyle w:val="TextBody"/>
        <w:bidi w:val="0"/>
        <w:spacing w:before="0" w:after="0"/>
        <w:jc w:val="left"/>
        <w:rPr/>
      </w:pPr>
      <w:r>
        <w:rPr/>
        <w:t> </w:t>
      </w:r>
    </w:p>
    <w:tbl>
      <w:tblPr>
        <w:tblW w:w="5482" w:type="dxa"/>
        <w:jc w:val="left"/>
        <w:tblInd w:w="0" w:type="dxa"/>
        <w:tblLayout w:type="fixed"/>
        <w:tblCellMar>
          <w:top w:w="28" w:type="dxa"/>
          <w:left w:w="28" w:type="dxa"/>
          <w:bottom w:w="28" w:type="dxa"/>
          <w:right w:w="28" w:type="dxa"/>
        </w:tblCellMar>
      </w:tblPr>
      <w:tblGrid>
        <w:gridCol w:w="1741"/>
        <w:gridCol w:w="109"/>
        <w:gridCol w:w="406"/>
        <w:gridCol w:w="322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22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Nadir Mahmood</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Nadir Mahmood</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and Business Officer</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This is being furnished solely to accompany the Report pursuant to 18 U.S.C. § 1350.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the Company specifically incorporates it by reference.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7400/000119312520192614/d62111dex31.htm" TargetMode="External"/><Relationship Id="rId3" Type="http://schemas.openxmlformats.org/officeDocument/2006/relationships/hyperlink" Target="https://www.sec.gov/Archives/edgar/data/1787400/000119312520192614/d62111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56155</Words>
  <Characters>312024</Characters>
  <CharactersWithSpaces>368278</CharactersWithSpaces>
  <Paragraphs>4262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