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Nkarta,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 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21"/>
              <w:spacing w:after="0"/>
              <w:rPr>
                <w:sz w:val="20"/>
                <w:szCs w:val="20"/>
                <w:color w:val="auto"/>
              </w:rPr>
            </w:pPr>
            <w:r>
              <w:rPr>
                <w:rFonts w:ascii="Times New Roman" w:cs="Times New Roman" w:eastAsia="Times New Roman" w:hAnsi="Times New Roman"/>
                <w:sz w:val="18"/>
                <w:szCs w:val="18"/>
                <w:b w:val="1"/>
                <w:bCs w:val="1"/>
                <w:color w:val="auto"/>
              </w:rPr>
              <w:t>001-39370</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47-4515206</w:t>
            </w:r>
          </w:p>
        </w:tc>
      </w:tr>
      <w:tr>
        <w:trPr>
          <w:trHeight w:val="159"/>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3"/>
                <w:szCs w:val="13"/>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1150 Veterans Boulevard</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320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68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6"/>
                <w:szCs w:val="16"/>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(925) 407-1049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NKTX</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212529"/>
              </w:rPr>
              <w:t>(Nasdaq Global Select Market)</w:t>
            </w:r>
          </w:p>
        </w:tc>
        <w:tc>
          <w:tcPr>
            <w:tcW w:w="0" w:type="dxa"/>
            <w:vAlign w:val="bottom"/>
          </w:tcPr>
          <w:p>
            <w:pPr>
              <w:spacing w:after="0"/>
              <w:rPr>
                <w:sz w:val="1"/>
                <w:szCs w:val="1"/>
                <w:color w:val="auto"/>
              </w:rPr>
            </w:pPr>
          </w:p>
        </w:tc>
      </w:tr>
    </w:tbl>
    <w:p>
      <w:pPr>
        <w:spacing w:after="0" w:line="16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212529"/>
        </w:rPr>
        <w:t>On May 9, 2024, Nkarta, Inc. (the “Company”) issued a press release announcing the Company’s financial results for the first quarter ended March 31, 2024. A copy of the Company’s press release is attached hereto as Exhibit 99.1.</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12529"/>
        </w:rPr>
        <w:t>The information in Item 2.02 of this Current Report on Form 8-K (including Exhibit 99.1) shall not be deemed “filed” for purposes of Section 18 of the Securities Exchange Act of 1934, as amended (the “Exchange Act”), or otherwise subject to the liabilities of that section, nor shall it be, or be deemed, incorporated by reference in any filings under the Securities Act of 1933, as amended (the “Securities Act”), unless the Company specifically states that the information is to be considered “filed” under the Exchange Act or incorporates it by reference into a filing under the Securities Act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10180" w:type="dxa"/>
            <w:vAlign w:val="bottom"/>
            <w:gridSpan w:val="2"/>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800" w:type="dxa"/>
            <w:vAlign w:val="bottom"/>
          </w:tcPr>
          <w:p>
            <w:pPr>
              <w:jc w:val="right"/>
              <w:ind w:right="382"/>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9, 2024 entitled “Nkarta Reports First Quarter 2024 Financial Results and Corporate Highlights”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80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5580" w:right="4380" w:hanging="5559"/>
        <w:spacing w:after="0" w:line="548" w:lineRule="auto"/>
        <w:tabs>
          <w:tab w:leader="none" w:pos="10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Nkarta, Inc.</w:t>
      </w:r>
    </w:p>
    <w:p>
      <w:pPr>
        <w:spacing w:after="0" w:line="252"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Alyssa Levin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Business Officer</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128270</wp:posOffset>
            </wp:positionV>
            <wp:extent cx="217741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74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Calibri" w:cs="Calibri" w:eastAsia="Calibri" w:hAnsi="Calibri"/>
          <w:sz w:val="25"/>
          <w:szCs w:val="25"/>
          <w:b w:val="1"/>
          <w:bCs w:val="1"/>
          <w:color w:val="auto"/>
        </w:rPr>
        <w:t>Nkarta Reports First Quarter 2024 Financial Results and Corporate Highlights</w:t>
      </w:r>
    </w:p>
    <w:p>
      <w:pPr>
        <w:spacing w:after="0" w:line="396" w:lineRule="exact"/>
        <w:rPr>
          <w:sz w:val="20"/>
          <w:szCs w:val="20"/>
          <w:color w:val="auto"/>
        </w:rPr>
      </w:pPr>
    </w:p>
    <w:p>
      <w:pPr>
        <w:ind w:left="1020" w:hanging="503"/>
        <w:spacing w:after="0" w:line="235"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Dosing of frst patent with NKX019 for lupus nephrits using disease-tailored lymphodepleton expected in frst half of 2024</w:t>
      </w:r>
    </w:p>
    <w:p>
      <w:pPr>
        <w:spacing w:after="0" w:line="11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Cash balance of $450.0 million on March 31, 2024, including cash, cash equivalents and investments</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Strong balance sheet, bolstered by recent $240.1 million ofering, expected to fund operatons into late 2027</w:t>
      </w:r>
    </w:p>
    <w:p>
      <w:pPr>
        <w:spacing w:after="0" w:line="323" w:lineRule="exact"/>
        <w:rPr>
          <w:sz w:val="20"/>
          <w:szCs w:val="20"/>
          <w:color w:val="auto"/>
        </w:rPr>
      </w:pPr>
    </w:p>
    <w:p>
      <w:pPr>
        <w:ind w:right="300"/>
        <w:spacing w:after="0" w:line="237" w:lineRule="auto"/>
        <w:rPr>
          <w:sz w:val="20"/>
          <w:szCs w:val="20"/>
          <w:color w:val="auto"/>
        </w:rPr>
      </w:pPr>
      <w:r>
        <w:rPr>
          <w:rFonts w:ascii="Calibri" w:cs="Calibri" w:eastAsia="Calibri" w:hAnsi="Calibri"/>
          <w:sz w:val="22"/>
          <w:szCs w:val="22"/>
          <w:color w:val="auto"/>
        </w:rPr>
        <w:t>SOUTH SAN FRANCISCO, Calif., May 9, 2024 -- Nkarta, Inc. (Nasdaq: NKTX), a clinical-stage biopharmaceutcal company developing engineered natural killer (NK) cell therapies, today reported fnancial results for the frst quarter ended March 31, 2024.</w:t>
      </w:r>
    </w:p>
    <w:p>
      <w:pPr>
        <w:spacing w:after="0" w:line="284" w:lineRule="exact"/>
        <w:rPr>
          <w:sz w:val="20"/>
          <w:szCs w:val="20"/>
          <w:color w:val="auto"/>
        </w:rPr>
      </w:pPr>
    </w:p>
    <w:p>
      <w:pPr>
        <w:ind w:right="120"/>
        <w:spacing w:after="0" w:line="239" w:lineRule="auto"/>
        <w:rPr>
          <w:sz w:val="20"/>
          <w:szCs w:val="20"/>
          <w:color w:val="auto"/>
        </w:rPr>
      </w:pPr>
      <w:r>
        <w:rPr>
          <w:rFonts w:ascii="Calibri" w:cs="Calibri" w:eastAsia="Calibri" w:hAnsi="Calibri"/>
          <w:sz w:val="22"/>
          <w:szCs w:val="22"/>
          <w:color w:val="auto"/>
        </w:rPr>
        <w:t>“Cell therapy has the potental to transform the way people living with autoimmune diseases are treated,” said Paul J. Hastngs, President and CEO of Nkarta. “We believe that an of-the-shelf, targeted NK-cell product like NKX019 could address the infrastructure and safety concerns that have created barriers to patent access across our industry. We are excited to dose patents with NKX019 in lupus nephrits, and we look forward to giving an update in the coming months, including our plans for evaluatng other autoimmune diseases.”</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NKX019 in autoimmune disease</w:t>
      </w:r>
    </w:p>
    <w:p>
      <w:pPr>
        <w:spacing w:after="0" w:line="12" w:lineRule="exact"/>
        <w:rPr>
          <w:sz w:val="20"/>
          <w:szCs w:val="20"/>
          <w:color w:val="auto"/>
        </w:rPr>
      </w:pPr>
    </w:p>
    <w:p>
      <w:pPr>
        <w:ind w:left="1020" w:right="300" w:hanging="503"/>
        <w:spacing w:after="0" w:line="235"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NKX019 is an allogeneic, of-the-shelf cell therapy candidate comprising NK cells derived from healthy donors and engineered to target the B-cell antgen CD19 for patents with B-cell mediated diseases.</w:t>
      </w:r>
    </w:p>
    <w:p>
      <w:pPr>
        <w:spacing w:after="0" w:line="14" w:lineRule="exact"/>
        <w:rPr>
          <w:rFonts w:ascii="Times New Roman" w:cs="Times New Roman" w:eastAsia="Times New Roman" w:hAnsi="Times New Roman"/>
          <w:sz w:val="22"/>
          <w:szCs w:val="22"/>
          <w:color w:val="auto"/>
        </w:rPr>
      </w:pPr>
    </w:p>
    <w:p>
      <w:pPr>
        <w:ind w:left="1020" w:right="20" w:hanging="503"/>
        <w:spacing w:after="0" w:line="238"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Phase 1 mult-center, dose-escalaton clinical trial will assess the safety and clinical actvity of NKX019 in patents with refractory lupus nephrits (LN). Per the protocol, patents receive a three-dose cycle of NKX019 following single-agent lymphodepleton (LD) comprising only cyclophosphamide (cy), an agent with an established safety profle in systemic lupus erythematosus (SLE) and LN.</w:t>
      </w:r>
    </w:p>
    <w:p>
      <w:pPr>
        <w:spacing w:after="0" w:line="2"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Investgatonal New Drug (IND) Applicaton for LN cleared in 4Q 2023.</w:t>
      </w:r>
    </w:p>
    <w:p>
      <w:pPr>
        <w:spacing w:after="0" w:line="13" w:lineRule="exact"/>
        <w:rPr>
          <w:rFonts w:ascii="Times New Roman" w:cs="Times New Roman" w:eastAsia="Times New Roman" w:hAnsi="Times New Roman"/>
          <w:sz w:val="22"/>
          <w:szCs w:val="22"/>
          <w:color w:val="auto"/>
        </w:rPr>
      </w:pPr>
    </w:p>
    <w:p>
      <w:pPr>
        <w:ind w:left="1020" w:right="260" w:hanging="503"/>
        <w:spacing w:after="0" w:line="237" w:lineRule="auto"/>
        <w:tabs>
          <w:tab w:leader="none" w:pos="10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Translatonal data support the potental for NKX019 to drive immunologic reset, including efcient killing of B cells from patents with autoimmune disease and recovery of predominantly naïve B cells following treatment with NKX019 for B-cell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4" w:name="page5"/>
    <w:bookmarkEnd w:id="4"/>
    <w:p>
      <w:pPr>
        <w:ind w:left="1020" w:right="280" w:hanging="503"/>
        <w:spacing w:after="0" w:line="254" w:lineRule="auto"/>
        <w:tabs>
          <w:tab w:leader="none" w:pos="1020" w:val="left"/>
        </w:tabs>
        <w:numPr>
          <w:ilvl w:val="0"/>
          <w:numId w:val="5"/>
        </w:numPr>
        <w:rPr>
          <w:rFonts w:ascii="Times New Roman" w:cs="Times New Roman" w:eastAsia="Times New Roman" w:hAnsi="Times New Roman"/>
          <w:sz w:val="21"/>
          <w:szCs w:val="21"/>
          <w:color w:val="auto"/>
        </w:rPr>
      </w:pPr>
      <w:r>
        <w:rPr>
          <w:rFonts w:ascii="Calibri" w:cs="Calibri" w:eastAsia="Calibri" w:hAnsi="Calibri"/>
          <w:sz w:val="21"/>
          <w:szCs w:val="21"/>
          <w:color w:val="auto"/>
        </w:rPr>
        <w:t>Nkarta expects to provide an update on frst patent dosing for NKX019 in LN in the frst half of 2024. The announcement is also expected to feature plans for the evaluaton of NKX019 in additonal autoimmune diseases.</w:t>
      </w:r>
    </w:p>
    <w:p>
      <w:pPr>
        <w:spacing w:after="0" w:line="25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NKX019 in non-Hodgkin lymphoma (NHL)</w:t>
      </w:r>
    </w:p>
    <w:p>
      <w:pPr>
        <w:spacing w:after="0" w:line="12" w:lineRule="exact"/>
        <w:rPr>
          <w:sz w:val="20"/>
          <w:szCs w:val="20"/>
          <w:color w:val="auto"/>
        </w:rPr>
      </w:pPr>
    </w:p>
    <w:p>
      <w:pPr>
        <w:ind w:left="1020" w:right="100" w:hanging="503"/>
        <w:spacing w:after="0" w:line="238"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Nkarta reported in January 2024 that 4 of 4 patents with relapsed/refractory (r/r) NHL that relapsed afer achieving complete response (CR) following treatment with NKX019 were again able to achieve CR afer re-treatment with NKX019. These outcomes suggest that relapse, when it occurs, may be atributable to mechanisms of NKX019 exposure and not resistance to NKX019.</w:t>
      </w:r>
    </w:p>
    <w:p>
      <w:pPr>
        <w:spacing w:after="0" w:line="14" w:lineRule="exact"/>
        <w:rPr>
          <w:rFonts w:ascii="Times New Roman" w:cs="Times New Roman" w:eastAsia="Times New Roman" w:hAnsi="Times New Roman"/>
          <w:sz w:val="22"/>
          <w:szCs w:val="22"/>
          <w:color w:val="auto"/>
        </w:rPr>
      </w:pPr>
    </w:p>
    <w:p>
      <w:pPr>
        <w:ind w:left="1020" w:right="40" w:hanging="503"/>
        <w:spacing w:after="0" w:line="238"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the Phase 1 study of NKX019 in r/r NHL, patents receive NKX019 doses on Days 0, 3 and 7 following LD with fudarabine (fu) and cy. This compressed dosing regimen is designed to intensify exposure of NKX019 by dosing closer to LD. In additon, patents with ongoing cytopenias have the potental to receive NKX019 following LD with cy alone.</w:t>
      </w:r>
    </w:p>
    <w:p>
      <w:pPr>
        <w:spacing w:after="0" w:line="4"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color w:val="auto"/>
        </w:rPr>
        <w:t>Nkarta expects to announce preliminary data from the NKX019 compressed dosing cohort in mid-2024.</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Other Corporate Highlights</w:t>
      </w:r>
    </w:p>
    <w:p>
      <w:pPr>
        <w:spacing w:after="0" w:line="12" w:lineRule="exact"/>
        <w:rPr>
          <w:sz w:val="20"/>
          <w:szCs w:val="20"/>
          <w:color w:val="auto"/>
        </w:rPr>
      </w:pPr>
    </w:p>
    <w:p>
      <w:pPr>
        <w:ind w:left="1020" w:right="320" w:hanging="503"/>
        <w:spacing w:after="0" w:line="235"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 March 2024, Nkarta completed an underwriten ofering of common stock and pre-funded warrants with gross proceeds of $240.1 million. New and existng investors partcipated in the ofering.</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First Quarter 2024 and Recent Financial Highlights</w:t>
      </w:r>
    </w:p>
    <w:p>
      <w:pPr>
        <w:spacing w:after="0" w:line="12" w:lineRule="exact"/>
        <w:rPr>
          <w:sz w:val="20"/>
          <w:szCs w:val="20"/>
          <w:color w:val="auto"/>
        </w:rPr>
      </w:pPr>
    </w:p>
    <w:p>
      <w:pPr>
        <w:ind w:left="1020" w:right="200" w:hanging="503"/>
        <w:spacing w:after="0" w:line="235" w:lineRule="auto"/>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Nkarta had cash, cash equivalents, restricted cash, and investments in marketable securites of $450.0 million as of March 31, 2024.</w:t>
      </w:r>
    </w:p>
    <w:p>
      <w:pPr>
        <w:spacing w:after="0" w:line="14" w:lineRule="exact"/>
        <w:rPr>
          <w:rFonts w:ascii="Times New Roman" w:cs="Times New Roman" w:eastAsia="Times New Roman" w:hAnsi="Times New Roman"/>
          <w:sz w:val="22"/>
          <w:szCs w:val="22"/>
          <w:color w:val="auto"/>
        </w:rPr>
      </w:pPr>
    </w:p>
    <w:p>
      <w:pPr>
        <w:ind w:left="1020" w:right="260" w:hanging="503"/>
        <w:spacing w:after="0" w:line="235" w:lineRule="auto"/>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Research and development (R&amp;D) expenses were $25.2 million for the frst quarter of 2024. Non-cash stock-based compensaton expense included in R&amp;D expense was $2.2 million for the frst quarter of 2024.</w:t>
      </w:r>
    </w:p>
    <w:p>
      <w:pPr>
        <w:spacing w:after="0" w:line="14" w:lineRule="exact"/>
        <w:rPr>
          <w:rFonts w:ascii="Times New Roman" w:cs="Times New Roman" w:eastAsia="Times New Roman" w:hAnsi="Times New Roman"/>
          <w:sz w:val="22"/>
          <w:szCs w:val="22"/>
          <w:color w:val="auto"/>
        </w:rPr>
      </w:pPr>
    </w:p>
    <w:p>
      <w:pPr>
        <w:ind w:left="1020" w:right="360" w:hanging="503"/>
        <w:spacing w:after="0" w:line="235" w:lineRule="auto"/>
        <w:tabs>
          <w:tab w:leader="none" w:pos="1020" w:val="left"/>
        </w:tabs>
        <w:numPr>
          <w:ilvl w:val="0"/>
          <w:numId w:val="8"/>
        </w:numPr>
        <w:rPr>
          <w:rFonts w:ascii="Times New Roman" w:cs="Times New Roman" w:eastAsia="Times New Roman" w:hAnsi="Times New Roman"/>
          <w:sz w:val="22"/>
          <w:szCs w:val="22"/>
          <w:color w:val="auto"/>
        </w:rPr>
      </w:pPr>
      <w:r>
        <w:rPr>
          <w:rFonts w:ascii="Calibri" w:cs="Calibri" w:eastAsia="Calibri" w:hAnsi="Calibri"/>
          <w:sz w:val="22"/>
          <w:szCs w:val="22"/>
          <w:color w:val="auto"/>
        </w:rPr>
        <w:t>General and administratve (G&amp;A) expenses were $7.5 million for the frst quarter of 2024. Non-cash stock-based compensaton expense included in G&amp;A expense was $2.2 million for the frst quarter of 2024.</w:t>
      </w:r>
    </w:p>
    <w:p>
      <w:pPr>
        <w:spacing w:after="0" w:line="14" w:lineRule="exact"/>
        <w:rPr>
          <w:rFonts w:ascii="Times New Roman" w:cs="Times New Roman" w:eastAsia="Times New Roman" w:hAnsi="Times New Roman"/>
          <w:sz w:val="22"/>
          <w:szCs w:val="22"/>
          <w:color w:val="auto"/>
        </w:rPr>
      </w:pPr>
    </w:p>
    <w:p>
      <w:pPr>
        <w:jc w:val="both"/>
        <w:ind w:left="1020" w:right="180" w:hanging="503"/>
        <w:spacing w:after="0" w:line="254" w:lineRule="auto"/>
        <w:tabs>
          <w:tab w:leader="none" w:pos="1020" w:val="left"/>
        </w:tabs>
        <w:numPr>
          <w:ilvl w:val="0"/>
          <w:numId w:val="8"/>
        </w:numPr>
        <w:rPr>
          <w:rFonts w:ascii="Times New Roman" w:cs="Times New Roman" w:eastAsia="Times New Roman" w:hAnsi="Times New Roman"/>
          <w:sz w:val="21"/>
          <w:szCs w:val="21"/>
          <w:color w:val="auto"/>
        </w:rPr>
      </w:pPr>
      <w:r>
        <w:rPr>
          <w:rFonts w:ascii="Calibri" w:cs="Calibri" w:eastAsia="Calibri" w:hAnsi="Calibri"/>
          <w:sz w:val="21"/>
          <w:szCs w:val="21"/>
          <w:color w:val="auto"/>
        </w:rPr>
        <w:t>Net loss was $29.5 million, or $0.58 per basic and diluted share, for the frst quarter of 2024. This net loss includes non-cash charges of $5.6 million that consisted primarily of share-based compensaton and depreciaton expenses.</w:t>
      </w:r>
    </w:p>
    <w:p>
      <w:pPr>
        <w:spacing w:after="0" w:line="257"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Financial Guidance</w:t>
      </w:r>
    </w:p>
    <w:p>
      <w:pPr>
        <w:spacing w:after="0" w:line="12" w:lineRule="exact"/>
        <w:rPr>
          <w:sz w:val="20"/>
          <w:szCs w:val="20"/>
          <w:color w:val="auto"/>
        </w:rPr>
      </w:pPr>
    </w:p>
    <w:p>
      <w:pPr>
        <w:ind w:left="1020" w:right="440" w:hanging="503"/>
        <w:spacing w:after="0" w:line="235" w:lineRule="auto"/>
        <w:tabs>
          <w:tab w:leader="none" w:pos="1020" w:val="left"/>
        </w:tabs>
        <w:numPr>
          <w:ilvl w:val="0"/>
          <w:numId w:val="9"/>
        </w:numPr>
        <w:rPr>
          <w:rFonts w:ascii="Times New Roman" w:cs="Times New Roman" w:eastAsia="Times New Roman" w:hAnsi="Times New Roman"/>
          <w:sz w:val="22"/>
          <w:szCs w:val="22"/>
          <w:color w:val="auto"/>
        </w:rPr>
      </w:pPr>
      <w:r>
        <w:rPr>
          <w:rFonts w:ascii="Calibri" w:cs="Calibri" w:eastAsia="Calibri" w:hAnsi="Calibri"/>
          <w:sz w:val="22"/>
          <w:szCs w:val="22"/>
          <w:color w:val="auto"/>
        </w:rPr>
        <w:t>Nkarta expects its current cash and cash equivalents will be sufcient to fund its current operatng plan into late 2027.</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NKX019</w:t>
      </w:r>
    </w:p>
    <w:p>
      <w:pPr>
        <w:spacing w:after="0" w:line="12" w:lineRule="exact"/>
        <w:rPr>
          <w:sz w:val="20"/>
          <w:szCs w:val="20"/>
          <w:color w:val="auto"/>
        </w:rPr>
      </w:pPr>
    </w:p>
    <w:p>
      <w:pPr>
        <w:ind w:right="200"/>
        <w:spacing w:after="0" w:line="235" w:lineRule="auto"/>
        <w:rPr>
          <w:sz w:val="20"/>
          <w:szCs w:val="20"/>
          <w:color w:val="auto"/>
        </w:rPr>
      </w:pPr>
      <w:r>
        <w:rPr>
          <w:rFonts w:ascii="Calibri" w:cs="Calibri" w:eastAsia="Calibri" w:hAnsi="Calibri"/>
          <w:sz w:val="22"/>
          <w:szCs w:val="22"/>
          <w:color w:val="auto"/>
        </w:rPr>
        <w:t>NKX019 is an allogeneic, cryopreserved, of-the-shelf immunotherapy candidate that uses natural killer (NK) cells derived from the peripheral blood of healthy adult donors. It is</w:t>
      </w:r>
    </w:p>
    <w:p>
      <w:pPr>
        <w:spacing w:after="0" w:line="382"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 w:name="page6"/>
    <w:bookmarkEnd w:id="5"/>
    <w:p>
      <w:pPr>
        <w:ind w:right="40"/>
        <w:spacing w:after="0" w:line="237" w:lineRule="auto"/>
        <w:rPr>
          <w:sz w:val="20"/>
          <w:szCs w:val="20"/>
          <w:color w:val="auto"/>
        </w:rPr>
      </w:pPr>
      <w:r>
        <w:rPr>
          <w:rFonts w:ascii="Calibri" w:cs="Calibri" w:eastAsia="Calibri" w:hAnsi="Calibri"/>
          <w:sz w:val="22"/>
          <w:szCs w:val="22"/>
          <w:color w:val="auto"/>
        </w:rPr>
        <w:t>engineered with a humanized CD19-directed CAR for enhanced cell targetng and a proprietary, membrane-bound form of interleukin-15 (IL-15) for greater persistence and actvity without exogenous cytokine support. CD19 is a biomarker for normal B cells as well as those implicated in autoimmune disease and B cell-derived malignancies.</w:t>
      </w: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Nkarta</w:t>
      </w:r>
    </w:p>
    <w:p>
      <w:pPr>
        <w:spacing w:after="0" w:line="12" w:lineRule="exact"/>
        <w:rPr>
          <w:sz w:val="20"/>
          <w:szCs w:val="20"/>
          <w:color w:val="auto"/>
        </w:rPr>
      </w:pPr>
    </w:p>
    <w:p>
      <w:pPr>
        <w:ind w:right="220"/>
        <w:spacing w:after="0" w:line="239" w:lineRule="auto"/>
        <w:rPr>
          <w:sz w:val="20"/>
          <w:szCs w:val="20"/>
          <w:color w:val="auto"/>
        </w:rPr>
      </w:pPr>
      <w:r>
        <w:rPr>
          <w:rFonts w:ascii="Calibri" w:cs="Calibri" w:eastAsia="Calibri" w:hAnsi="Calibri"/>
          <w:sz w:val="22"/>
          <w:szCs w:val="22"/>
          <w:color w:val="auto"/>
        </w:rPr>
        <w:t xml:space="preserve">Nkarta is a clinical-stage biotechnology company advancing the development of allogeneic, of-the-shelf natural killer (NK) cell therapies. By combining its cell expansion and cryopreservaton platorm with proprietary cell engineering technologies and CRISPR-based genome engineering capabilites, Nkarta is building a pipeline of future cell therapies engineered for deep therapeutc actvity and intended for broad access in the outpatent treatment setng. For more informaton, please visit the company’s website at </w:t>
      </w:r>
      <w:r>
        <w:rPr>
          <w:rFonts w:ascii="Calibri" w:cs="Calibri" w:eastAsia="Calibri" w:hAnsi="Calibri"/>
          <w:sz w:val="22"/>
          <w:szCs w:val="22"/>
          <w:u w:val="single" w:color="auto"/>
          <w:color w:val="auto"/>
        </w:rPr>
        <w:t>www.nkartatx.com</w:t>
      </w:r>
      <w:r>
        <w:rPr>
          <w:rFonts w:ascii="Calibri" w:cs="Calibri" w:eastAsia="Calibri" w:hAnsi="Calibri"/>
          <w:sz w:val="22"/>
          <w:szCs w:val="22"/>
          <w:color w:val="auto"/>
        </w:rPr>
        <w:t>.</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Cautonary Note on Forward-Looking Statements</w:t>
      </w:r>
    </w:p>
    <w:p>
      <w:pPr>
        <w:spacing w:after="0" w:line="12" w:lineRule="exact"/>
        <w:rPr>
          <w:sz w:val="20"/>
          <w:szCs w:val="20"/>
          <w:color w:val="auto"/>
        </w:rPr>
      </w:pPr>
    </w:p>
    <w:p>
      <w:pPr>
        <w:ind w:right="60"/>
        <w:spacing w:after="0"/>
        <w:rPr>
          <w:sz w:val="20"/>
          <w:szCs w:val="20"/>
          <w:color w:val="auto"/>
        </w:rPr>
      </w:pPr>
      <w:r>
        <w:rPr>
          <w:rFonts w:ascii="Calibri" w:cs="Calibri" w:eastAsia="Calibri" w:hAnsi="Calibri"/>
          <w:sz w:val="22"/>
          <w:szCs w:val="22"/>
          <w:color w:val="auto"/>
        </w:rPr>
        <w:t>Statements contained in this press release regarding maters that are not historical facts are “forward-looking statements” within the meaning of the Private Securites Litgaton Reform Act of 1995, as amended. Words such as "antcipates," "believes," "expects," "intends," “plans,” “potental,” "projects,” “would” and "future" or similar expressions are intended to identfy forward-looking statements. Examples of these forward-looking statements include, but are not limited to, statements concerning Nkarta’s expectatons regarding any or all of the following: Nkarta’s positon, plans, strategies, and tmelines for the contnued and future clinical development and commercial potental of its product candidates, including NKX019; the therapeutc potental, accessibility, tolerability, advantages, and safety profle of NK cell therapies, including NKX019 for the treatment of autoimmune diseases, such as LN, and NHL; plans and tmelines for the future availability and disclosure of NKX019 clinical data or other clinical updates; and Nkarta’s expected cash runway. Interim clinical data for NKX019 included in this press release are subject to the risk that one or more of the clinical outcomes may materially change as patent enrollment contnues and more data on existng patents become available.</w:t>
      </w:r>
    </w:p>
    <w:p>
      <w:pPr>
        <w:spacing w:after="0" w:line="286" w:lineRule="exact"/>
        <w:rPr>
          <w:sz w:val="20"/>
          <w:szCs w:val="20"/>
          <w:color w:val="auto"/>
        </w:rPr>
      </w:pPr>
    </w:p>
    <w:p>
      <w:pPr>
        <w:ind w:right="80"/>
        <w:spacing w:after="0"/>
        <w:rPr>
          <w:sz w:val="20"/>
          <w:szCs w:val="20"/>
          <w:color w:val="auto"/>
        </w:rPr>
      </w:pPr>
      <w:r>
        <w:rPr>
          <w:rFonts w:ascii="Calibri" w:cs="Calibri" w:eastAsia="Calibri" w:hAnsi="Calibri"/>
          <w:sz w:val="22"/>
          <w:szCs w:val="22"/>
          <w:color w:val="auto"/>
        </w:rPr>
        <w:t>Because such statements are subject to risks and uncertaintes, actual results may difer materially from those expressed or implied by such forward-looking statements. These risks and uncertaintes include, among others: Nkarta’s limited operatng history and historical losses; Nkarta’s lack of any products approved for sale and its ability to achieve proftability; the risk that the results of preclinical studies and early-stage clinical trials may not be predictve of future results; Nkarta’s ability to raise additonal funding to complete the development and any commercializaton of its product candidates; Nkarta’s dependence on the clinical success of NKX019; that Nkarta may be delayed in initatng, enrolling or completng its clinical trials; competton from third partes that are developing products for similar uses; Nkarta’s ability to obtain, maintain and protect its intellectual property; Nkarta’s dependence on third partes in connecton with manufacturing, clinical trials and pre-clinical studies; and the complexity of the manufacturing process for CAR NK cell therapies.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 w:name="page7"/>
    <w:bookmarkEnd w:id="6"/>
    <w:p>
      <w:pPr>
        <w:ind w:right="20"/>
        <w:spacing w:after="0" w:line="239" w:lineRule="auto"/>
        <w:rPr>
          <w:sz w:val="20"/>
          <w:szCs w:val="20"/>
          <w:color w:val="auto"/>
        </w:rPr>
      </w:pPr>
      <w:r>
        <w:rPr>
          <w:rFonts w:ascii="Calibri" w:cs="Calibri" w:eastAsia="Calibri" w:hAnsi="Calibri"/>
          <w:sz w:val="22"/>
          <w:szCs w:val="22"/>
          <w:color w:val="auto"/>
        </w:rPr>
        <w:t>These and other risks and uncertaintes are described more fully in Nkarta’s flings with the Securites and Exchange Commission (“SEC”), including the “Risk Factors” secton of Nkarta’s Annual Report on Form 10-K for the quarter and year ended December 31, 2023, fled with the SEC on March 21, 2024, and Nkarta’s other documents subsequently fled with or furnished to the SEC. All forward-looking statements contained in this press release speak only as of the date on which they were made. Except to the extent required by law, Nkarta undertakes no obligaton to update such statements to refect events that occur or circumstances that exist afer the date on which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Nkarta,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Statements of Operatons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per share data)</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300" w:type="dxa"/>
            <w:vAlign w:val="bottom"/>
            <w:gridSpan w:val="4"/>
          </w:tcPr>
          <w:p>
            <w:pPr>
              <w:jc w:val="right"/>
              <w:ind w:right="790"/>
              <w:spacing w:after="0"/>
              <w:rPr>
                <w:sz w:val="20"/>
                <w:szCs w:val="20"/>
                <w:color w:val="auto"/>
              </w:rPr>
            </w:pPr>
            <w:r>
              <w:rPr>
                <w:rFonts w:ascii="Calibri" w:cs="Calibri" w:eastAsia="Calibri" w:hAnsi="Calibri"/>
                <w:sz w:val="18"/>
                <w:szCs w:val="18"/>
                <w:b w:val="1"/>
                <w:bCs w:val="1"/>
                <w:color w:val="auto"/>
              </w:rPr>
              <w:t>Three Months Ended March 31,</w:t>
            </w:r>
          </w:p>
        </w:tc>
      </w:tr>
      <w:tr>
        <w:trPr>
          <w:trHeight w:val="199"/>
        </w:trPr>
        <w:tc>
          <w:tcPr>
            <w:tcW w:w="60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8"/>
        </w:trPr>
        <w:tc>
          <w:tcPr>
            <w:tcW w:w="6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jc w:val="right"/>
              <w:ind w:right="710"/>
              <w:spacing w:after="0" w:line="208" w:lineRule="exact"/>
              <w:rPr>
                <w:sz w:val="20"/>
                <w:szCs w:val="20"/>
                <w:color w:val="auto"/>
              </w:rPr>
            </w:pPr>
            <w:r>
              <w:rPr>
                <w:rFonts w:ascii="Calibri" w:cs="Calibri" w:eastAsia="Calibri" w:hAnsi="Calibri"/>
                <w:sz w:val="18"/>
                <w:szCs w:val="18"/>
                <w:b w:val="1"/>
                <w:bCs w:val="1"/>
                <w:color w:val="auto"/>
                <w:w w:val="98"/>
              </w:rPr>
              <w:t>2024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jc w:val="right"/>
              <w:ind w:right="690"/>
              <w:spacing w:after="0" w:line="208" w:lineRule="exact"/>
              <w:rPr>
                <w:sz w:val="20"/>
                <w:szCs w:val="20"/>
                <w:color w:val="auto"/>
              </w:rPr>
            </w:pPr>
            <w:r>
              <w:rPr>
                <w:rFonts w:ascii="Calibri" w:cs="Calibri" w:eastAsia="Calibri" w:hAnsi="Calibri"/>
                <w:sz w:val="18"/>
                <w:szCs w:val="18"/>
                <w:b w:val="1"/>
                <w:bCs w:val="1"/>
                <w:color w:val="auto"/>
                <w:w w:val="98"/>
              </w:rPr>
              <w:t>2023</w:t>
            </w:r>
          </w:p>
        </w:tc>
      </w:tr>
      <w:tr>
        <w:trPr>
          <w:trHeight w:val="69"/>
        </w:trPr>
        <w:tc>
          <w:tcPr>
            <w:tcW w:w="60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08"/>
        </w:trPr>
        <w:tc>
          <w:tcPr>
            <w:tcW w:w="6020" w:type="dxa"/>
            <w:vAlign w:val="bottom"/>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Operatng expenses</w:t>
            </w:r>
          </w:p>
        </w:tc>
        <w:tc>
          <w:tcPr>
            <w:tcW w:w="7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69"/>
        </w:trPr>
        <w:tc>
          <w:tcPr>
            <w:tcW w:w="602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r>
      <w:tr>
        <w:trPr>
          <w:trHeight w:val="215"/>
        </w:trPr>
        <w:tc>
          <w:tcPr>
            <w:tcW w:w="6020" w:type="dxa"/>
            <w:vAlign w:val="bottom"/>
          </w:tcPr>
          <w:p>
            <w:pPr>
              <w:ind w:left="260"/>
              <w:spacing w:after="0" w:line="215" w:lineRule="exact"/>
              <w:rPr>
                <w:sz w:val="20"/>
                <w:szCs w:val="20"/>
                <w:color w:val="auto"/>
              </w:rPr>
            </w:pPr>
            <w:r>
              <w:rPr>
                <w:rFonts w:ascii="Calibri" w:cs="Calibri" w:eastAsia="Calibri" w:hAnsi="Calibri"/>
                <w:sz w:val="18"/>
                <w:szCs w:val="18"/>
                <w:color w:val="auto"/>
              </w:rPr>
              <w:t>Research and development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25,237</w:t>
            </w:r>
          </w:p>
        </w:tc>
        <w:tc>
          <w:tcPr>
            <w:tcW w:w="9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26,135</w:t>
            </w:r>
          </w:p>
        </w:tc>
      </w:tr>
      <w:tr>
        <w:trPr>
          <w:trHeight w:val="69"/>
        </w:trPr>
        <w:tc>
          <w:tcPr>
            <w:tcW w:w="6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15"/>
        </w:trPr>
        <w:tc>
          <w:tcPr>
            <w:tcW w:w="602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General and administratve</w:t>
            </w:r>
          </w:p>
        </w:tc>
        <w:tc>
          <w:tcPr>
            <w:tcW w:w="7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7,525</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8,178</w:t>
            </w:r>
          </w:p>
        </w:tc>
      </w:tr>
      <w:tr>
        <w:trPr>
          <w:trHeight w:val="69"/>
        </w:trPr>
        <w:tc>
          <w:tcPr>
            <w:tcW w:w="6020" w:type="dxa"/>
            <w:vAlign w:val="bottom"/>
            <w:shd w:val="clear" w:color="auto" w:fill="CFF0FC"/>
          </w:tcPr>
          <w:p>
            <w:pPr>
              <w:spacing w:after="0"/>
              <w:rPr>
                <w:sz w:val="5"/>
                <w:szCs w:val="5"/>
                <w:color w:val="auto"/>
              </w:rPr>
            </w:pPr>
          </w:p>
        </w:tc>
        <w:tc>
          <w:tcPr>
            <w:tcW w:w="780" w:type="dxa"/>
            <w:vAlign w:val="bottom"/>
            <w:tcBorders>
              <w:bottom w:val="single" w:sz="8" w:color="auto"/>
            </w:tcBorders>
            <w:shd w:val="clear" w:color="auto" w:fill="CFF0FC"/>
          </w:tcPr>
          <w:p>
            <w:pPr>
              <w:spacing w:after="0"/>
              <w:rPr>
                <w:sz w:val="5"/>
                <w:szCs w:val="5"/>
                <w:color w:val="auto"/>
              </w:rPr>
            </w:pPr>
          </w:p>
        </w:tc>
        <w:tc>
          <w:tcPr>
            <w:tcW w:w="1180" w:type="dxa"/>
            <w:vAlign w:val="bottom"/>
            <w:tcBorders>
              <w:bottom w:val="single" w:sz="8" w:color="auto"/>
            </w:tcBorders>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80" w:type="dxa"/>
            <w:vAlign w:val="bottom"/>
            <w:tcBorders>
              <w:bottom w:val="single" w:sz="8" w:color="auto"/>
            </w:tcBorders>
            <w:shd w:val="clear" w:color="auto" w:fill="CFF0FC"/>
          </w:tcPr>
          <w:p>
            <w:pPr>
              <w:spacing w:after="0"/>
              <w:rPr>
                <w:sz w:val="5"/>
                <w:szCs w:val="5"/>
                <w:color w:val="auto"/>
              </w:rPr>
            </w:pPr>
          </w:p>
        </w:tc>
        <w:tc>
          <w:tcPr>
            <w:tcW w:w="1160" w:type="dxa"/>
            <w:vAlign w:val="bottom"/>
            <w:tcBorders>
              <w:bottom w:val="single" w:sz="8" w:color="auto"/>
            </w:tcBorders>
            <w:shd w:val="clear" w:color="auto" w:fill="CFF0FC"/>
          </w:tcPr>
          <w:p>
            <w:pPr>
              <w:spacing w:after="0"/>
              <w:rPr>
                <w:sz w:val="5"/>
                <w:szCs w:val="5"/>
                <w:color w:val="auto"/>
              </w:rPr>
            </w:pPr>
          </w:p>
        </w:tc>
      </w:tr>
      <w:tr>
        <w:trPr>
          <w:trHeight w:val="208"/>
        </w:trPr>
        <w:tc>
          <w:tcPr>
            <w:tcW w:w="6020" w:type="dxa"/>
            <w:vAlign w:val="bottom"/>
          </w:tcPr>
          <w:p>
            <w:pPr>
              <w:ind w:left="20"/>
              <w:spacing w:after="0" w:line="195" w:lineRule="exact"/>
              <w:rPr>
                <w:sz w:val="20"/>
                <w:szCs w:val="20"/>
                <w:color w:val="auto"/>
              </w:rPr>
            </w:pPr>
            <w:r>
              <w:rPr>
                <w:rFonts w:ascii="Calibri" w:cs="Calibri" w:eastAsia="Calibri" w:hAnsi="Calibri"/>
                <w:sz w:val="18"/>
                <w:szCs w:val="18"/>
                <w:color w:val="auto"/>
              </w:rPr>
              <w:t>Total operatng expenses</w:t>
            </w:r>
          </w:p>
        </w:tc>
        <w:tc>
          <w:tcPr>
            <w:tcW w:w="780" w:type="dxa"/>
            <w:vAlign w:val="bottom"/>
          </w:tcPr>
          <w:p>
            <w:pPr>
              <w:spacing w:after="0"/>
              <w:rPr>
                <w:sz w:val="18"/>
                <w:szCs w:val="18"/>
                <w:color w:val="auto"/>
              </w:rPr>
            </w:pPr>
          </w:p>
        </w:tc>
        <w:tc>
          <w:tcPr>
            <w:tcW w:w="1180" w:type="dxa"/>
            <w:vAlign w:val="bottom"/>
          </w:tcPr>
          <w:p>
            <w:pPr>
              <w:jc w:val="right"/>
              <w:spacing w:after="0" w:line="208" w:lineRule="exact"/>
              <w:rPr>
                <w:sz w:val="20"/>
                <w:szCs w:val="20"/>
                <w:color w:val="auto"/>
              </w:rPr>
            </w:pPr>
            <w:r>
              <w:rPr>
                <w:rFonts w:ascii="Calibri" w:cs="Calibri" w:eastAsia="Calibri" w:hAnsi="Calibri"/>
                <w:sz w:val="18"/>
                <w:szCs w:val="18"/>
                <w:color w:val="auto"/>
              </w:rPr>
              <w:t>32,762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jc w:val="right"/>
              <w:spacing w:after="0" w:line="208" w:lineRule="exact"/>
              <w:rPr>
                <w:sz w:val="20"/>
                <w:szCs w:val="20"/>
                <w:color w:val="auto"/>
              </w:rPr>
            </w:pPr>
            <w:r>
              <w:rPr>
                <w:rFonts w:ascii="Calibri" w:cs="Calibri" w:eastAsia="Calibri" w:hAnsi="Calibri"/>
                <w:sz w:val="18"/>
                <w:szCs w:val="18"/>
                <w:color w:val="auto"/>
              </w:rPr>
              <w:t>34,313</w:t>
            </w:r>
          </w:p>
        </w:tc>
      </w:tr>
      <w:tr>
        <w:trPr>
          <w:trHeight w:val="69"/>
        </w:trPr>
        <w:tc>
          <w:tcPr>
            <w:tcW w:w="60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08"/>
        </w:trPr>
        <w:tc>
          <w:tcPr>
            <w:tcW w:w="6020" w:type="dxa"/>
            <w:vAlign w:val="bottom"/>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Loss from operatons</w:t>
            </w:r>
          </w:p>
        </w:tc>
        <w:tc>
          <w:tcPr>
            <w:tcW w:w="7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(32,762)</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(34,313)</w:t>
            </w:r>
          </w:p>
        </w:tc>
      </w:tr>
      <w:tr>
        <w:trPr>
          <w:trHeight w:val="69"/>
        </w:trPr>
        <w:tc>
          <w:tcPr>
            <w:tcW w:w="602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r>
      <w:tr>
        <w:trPr>
          <w:trHeight w:val="215"/>
        </w:trPr>
        <w:tc>
          <w:tcPr>
            <w:tcW w:w="602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 net:</w:t>
            </w: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69"/>
        </w:trPr>
        <w:tc>
          <w:tcPr>
            <w:tcW w:w="6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15"/>
        </w:trPr>
        <w:tc>
          <w:tcPr>
            <w:tcW w:w="6020" w:type="dxa"/>
            <w:vAlign w:val="bottom"/>
            <w:shd w:val="clear" w:color="auto" w:fill="CFF0FC"/>
          </w:tcPr>
          <w:p>
            <w:pPr>
              <w:ind w:left="260"/>
              <w:spacing w:after="0" w:line="215" w:lineRule="exact"/>
              <w:rPr>
                <w:sz w:val="20"/>
                <w:szCs w:val="20"/>
                <w:color w:val="auto"/>
              </w:rPr>
            </w:pPr>
            <w:r>
              <w:rPr>
                <w:rFonts w:ascii="Calibri" w:cs="Calibri" w:eastAsia="Calibri" w:hAnsi="Calibri"/>
                <w:sz w:val="18"/>
                <w:szCs w:val="18"/>
                <w:color w:val="auto"/>
              </w:rPr>
              <w:t>Interest income</w:t>
            </w:r>
          </w:p>
        </w:tc>
        <w:tc>
          <w:tcPr>
            <w:tcW w:w="7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3,246</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3,465</w:t>
            </w:r>
          </w:p>
        </w:tc>
      </w:tr>
      <w:tr>
        <w:trPr>
          <w:trHeight w:val="69"/>
        </w:trPr>
        <w:tc>
          <w:tcPr>
            <w:tcW w:w="602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118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r>
      <w:tr>
        <w:trPr>
          <w:trHeight w:val="215"/>
        </w:trPr>
        <w:tc>
          <w:tcPr>
            <w:tcW w:w="6020" w:type="dxa"/>
            <w:vAlign w:val="bottom"/>
          </w:tcPr>
          <w:p>
            <w:pPr>
              <w:ind w:left="260"/>
              <w:spacing w:after="0" w:line="215" w:lineRule="exact"/>
              <w:rPr>
                <w:sz w:val="20"/>
                <w:szCs w:val="20"/>
                <w:color w:val="auto"/>
              </w:rPr>
            </w:pPr>
            <w:r>
              <w:rPr>
                <w:rFonts w:ascii="Calibri" w:cs="Calibri" w:eastAsia="Calibri" w:hAnsi="Calibri"/>
                <w:sz w:val="18"/>
                <w:szCs w:val="18"/>
                <w:color w:val="auto"/>
              </w:rPr>
              <w:t>Other income, net</w:t>
            </w:r>
          </w:p>
        </w:tc>
        <w:tc>
          <w:tcPr>
            <w:tcW w:w="78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33</w:t>
            </w:r>
          </w:p>
        </w:tc>
      </w:tr>
      <w:tr>
        <w:trPr>
          <w:trHeight w:val="69"/>
        </w:trPr>
        <w:tc>
          <w:tcPr>
            <w:tcW w:w="60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08"/>
        </w:trPr>
        <w:tc>
          <w:tcPr>
            <w:tcW w:w="6020" w:type="dxa"/>
            <w:vAlign w:val="bottom"/>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other income, net</w:t>
            </w:r>
          </w:p>
        </w:tc>
        <w:tc>
          <w:tcPr>
            <w:tcW w:w="7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3,244</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3,498</w:t>
            </w:r>
          </w:p>
        </w:tc>
      </w:tr>
      <w:tr>
        <w:trPr>
          <w:trHeight w:val="69"/>
        </w:trPr>
        <w:tc>
          <w:tcPr>
            <w:tcW w:w="6020" w:type="dxa"/>
            <w:vAlign w:val="bottom"/>
            <w:shd w:val="clear" w:color="auto" w:fill="CFF0FC"/>
          </w:tcPr>
          <w:p>
            <w:pPr>
              <w:spacing w:after="0"/>
              <w:rPr>
                <w:sz w:val="5"/>
                <w:szCs w:val="5"/>
                <w:color w:val="auto"/>
              </w:rPr>
            </w:pPr>
          </w:p>
        </w:tc>
        <w:tc>
          <w:tcPr>
            <w:tcW w:w="780" w:type="dxa"/>
            <w:vAlign w:val="bottom"/>
            <w:tcBorders>
              <w:bottom w:val="single" w:sz="8" w:color="auto"/>
            </w:tcBorders>
            <w:shd w:val="clear" w:color="auto" w:fill="CFF0FC"/>
          </w:tcPr>
          <w:p>
            <w:pPr>
              <w:spacing w:after="0"/>
              <w:rPr>
                <w:sz w:val="5"/>
                <w:szCs w:val="5"/>
                <w:color w:val="auto"/>
              </w:rPr>
            </w:pPr>
          </w:p>
        </w:tc>
        <w:tc>
          <w:tcPr>
            <w:tcW w:w="1180" w:type="dxa"/>
            <w:vAlign w:val="bottom"/>
            <w:tcBorders>
              <w:bottom w:val="single" w:sz="8" w:color="auto"/>
            </w:tcBorders>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780" w:type="dxa"/>
            <w:vAlign w:val="bottom"/>
            <w:tcBorders>
              <w:bottom w:val="single" w:sz="8" w:color="auto"/>
            </w:tcBorders>
            <w:shd w:val="clear" w:color="auto" w:fill="CFF0FC"/>
          </w:tcPr>
          <w:p>
            <w:pPr>
              <w:spacing w:after="0"/>
              <w:rPr>
                <w:sz w:val="5"/>
                <w:szCs w:val="5"/>
                <w:color w:val="auto"/>
              </w:rPr>
            </w:pPr>
          </w:p>
        </w:tc>
        <w:tc>
          <w:tcPr>
            <w:tcW w:w="1160" w:type="dxa"/>
            <w:vAlign w:val="bottom"/>
            <w:tcBorders>
              <w:bottom w:val="single" w:sz="8" w:color="auto"/>
            </w:tcBorders>
            <w:shd w:val="clear" w:color="auto" w:fill="CFF0FC"/>
          </w:tcPr>
          <w:p>
            <w:pPr>
              <w:spacing w:after="0"/>
              <w:rPr>
                <w:sz w:val="5"/>
                <w:szCs w:val="5"/>
                <w:color w:val="auto"/>
              </w:rPr>
            </w:pPr>
          </w:p>
        </w:tc>
      </w:tr>
      <w:tr>
        <w:trPr>
          <w:trHeight w:val="208"/>
        </w:trPr>
        <w:tc>
          <w:tcPr>
            <w:tcW w:w="6020" w:type="dxa"/>
            <w:vAlign w:val="bottom"/>
          </w:tcPr>
          <w:p>
            <w:pPr>
              <w:ind w:left="20"/>
              <w:spacing w:after="0" w:line="195" w:lineRule="exact"/>
              <w:rPr>
                <w:sz w:val="20"/>
                <w:szCs w:val="20"/>
                <w:color w:val="auto"/>
              </w:rPr>
            </w:pPr>
            <w:r>
              <w:rPr>
                <w:rFonts w:ascii="Calibri" w:cs="Calibri" w:eastAsia="Calibri" w:hAnsi="Calibri"/>
                <w:sz w:val="18"/>
                <w:szCs w:val="18"/>
                <w:color w:val="auto"/>
              </w:rPr>
              <w:t>Net loss</w:t>
            </w:r>
          </w:p>
        </w:tc>
        <w:tc>
          <w:tcPr>
            <w:tcW w:w="7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08" w:lineRule="exact"/>
              <w:rPr>
                <w:sz w:val="20"/>
                <w:szCs w:val="20"/>
                <w:color w:val="auto"/>
              </w:rPr>
            </w:pPr>
            <w:r>
              <w:rPr>
                <w:rFonts w:ascii="Calibri" w:cs="Calibri" w:eastAsia="Calibri" w:hAnsi="Calibri"/>
                <w:sz w:val="18"/>
                <w:szCs w:val="18"/>
                <w:color w:val="auto"/>
              </w:rPr>
              <w:t>(29,518)</w:t>
            </w:r>
          </w:p>
        </w:tc>
        <w:tc>
          <w:tcPr>
            <w:tcW w:w="180" w:type="dxa"/>
            <w:vAlign w:val="bottom"/>
          </w:tcPr>
          <w:p>
            <w:pPr>
              <w:spacing w:after="0"/>
              <w:rPr>
                <w:sz w:val="18"/>
                <w:szCs w:val="18"/>
                <w:color w:val="auto"/>
              </w:rPr>
            </w:pPr>
          </w:p>
        </w:tc>
        <w:tc>
          <w:tcPr>
            <w:tcW w:w="7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08" w:lineRule="exact"/>
              <w:rPr>
                <w:sz w:val="20"/>
                <w:szCs w:val="20"/>
                <w:color w:val="auto"/>
              </w:rPr>
            </w:pPr>
            <w:r>
              <w:rPr>
                <w:rFonts w:ascii="Calibri" w:cs="Calibri" w:eastAsia="Calibri" w:hAnsi="Calibri"/>
                <w:sz w:val="18"/>
                <w:szCs w:val="18"/>
                <w:color w:val="auto"/>
              </w:rPr>
              <w:t>(30,815)</w:t>
            </w:r>
          </w:p>
        </w:tc>
      </w:tr>
      <w:tr>
        <w:trPr>
          <w:trHeight w:val="69"/>
        </w:trPr>
        <w:tc>
          <w:tcPr>
            <w:tcW w:w="60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0"/>
        </w:trPr>
        <w:tc>
          <w:tcPr>
            <w:tcW w:w="6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4"/>
        </w:trPr>
        <w:tc>
          <w:tcPr>
            <w:tcW w:w="6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5"/>
        </w:trPr>
        <w:tc>
          <w:tcPr>
            <w:tcW w:w="60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loss per share, basic and diluted</w:t>
            </w: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(0.58)</w:t>
            </w:r>
          </w:p>
        </w:tc>
        <w:tc>
          <w:tcPr>
            <w:tcW w:w="96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(0.63)</w:t>
            </w:r>
          </w:p>
        </w:tc>
      </w:tr>
      <w:tr>
        <w:trPr>
          <w:trHeight w:val="109"/>
        </w:trPr>
        <w:tc>
          <w:tcPr>
            <w:tcW w:w="602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auto"/>
            </w:tcBorders>
            <w:shd w:val="clear" w:color="auto" w:fill="CFF0FC"/>
          </w:tcPr>
          <w:p>
            <w:pPr>
              <w:spacing w:after="0"/>
              <w:rPr>
                <w:sz w:val="9"/>
                <w:szCs w:val="9"/>
                <w:color w:val="auto"/>
              </w:rPr>
            </w:pPr>
          </w:p>
        </w:tc>
        <w:tc>
          <w:tcPr>
            <w:tcW w:w="1160" w:type="dxa"/>
            <w:vAlign w:val="bottom"/>
            <w:tcBorders>
              <w:bottom w:val="single" w:sz="8" w:color="auto"/>
            </w:tcBorders>
            <w:shd w:val="clear" w:color="auto" w:fill="CFF0FC"/>
          </w:tcPr>
          <w:p>
            <w:pPr>
              <w:spacing w:after="0"/>
              <w:rPr>
                <w:sz w:val="9"/>
                <w:szCs w:val="9"/>
                <w:color w:val="auto"/>
              </w:rPr>
            </w:pPr>
          </w:p>
        </w:tc>
      </w:tr>
      <w:tr>
        <w:trPr>
          <w:trHeight w:val="195"/>
        </w:trPr>
        <w:tc>
          <w:tcPr>
            <w:tcW w:w="6020" w:type="dxa"/>
            <w:vAlign w:val="bottom"/>
          </w:tcPr>
          <w:p>
            <w:pPr>
              <w:ind w:left="20"/>
              <w:spacing w:after="0" w:line="196" w:lineRule="exact"/>
              <w:rPr>
                <w:sz w:val="20"/>
                <w:szCs w:val="20"/>
                <w:color w:val="auto"/>
              </w:rPr>
            </w:pPr>
            <w:r>
              <w:rPr>
                <w:rFonts w:ascii="Calibri" w:cs="Calibri" w:eastAsia="Calibri" w:hAnsi="Calibri"/>
                <w:sz w:val="18"/>
                <w:szCs w:val="18"/>
                <w:color w:val="auto"/>
              </w:rPr>
              <w:t>Weighted average shares used to compute</w:t>
            </w:r>
          </w:p>
        </w:tc>
        <w:tc>
          <w:tcPr>
            <w:tcW w:w="780" w:type="dxa"/>
            <w:vAlign w:val="bottom"/>
          </w:tcPr>
          <w:p>
            <w:pPr>
              <w:spacing w:after="0"/>
              <w:rPr>
                <w:sz w:val="16"/>
                <w:szCs w:val="16"/>
                <w:color w:val="auto"/>
              </w:rPr>
            </w:pPr>
          </w:p>
        </w:tc>
        <w:tc>
          <w:tcPr>
            <w:tcW w:w="1180" w:type="dxa"/>
            <w:vAlign w:val="bottom"/>
          </w:tcPr>
          <w:p>
            <w:pPr>
              <w:jc w:val="right"/>
              <w:spacing w:after="0" w:line="196" w:lineRule="exact"/>
              <w:rPr>
                <w:sz w:val="20"/>
                <w:szCs w:val="20"/>
                <w:color w:val="auto"/>
              </w:rPr>
            </w:pPr>
            <w:r>
              <w:rPr>
                <w:rFonts w:ascii="Calibri" w:cs="Calibri" w:eastAsia="Calibri" w:hAnsi="Calibri"/>
                <w:sz w:val="18"/>
                <w:szCs w:val="18"/>
                <w:color w:val="auto"/>
              </w:rPr>
              <w:t>50,682,469</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jc w:val="right"/>
              <w:spacing w:after="0" w:line="196" w:lineRule="exact"/>
              <w:rPr>
                <w:sz w:val="20"/>
                <w:szCs w:val="20"/>
                <w:color w:val="auto"/>
              </w:rPr>
            </w:pPr>
            <w:r>
              <w:rPr>
                <w:rFonts w:ascii="Calibri" w:cs="Calibri" w:eastAsia="Calibri" w:hAnsi="Calibri"/>
                <w:sz w:val="18"/>
                <w:szCs w:val="18"/>
                <w:color w:val="auto"/>
              </w:rPr>
              <w:t>48,921,326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-1854200</wp:posOffset>
            </wp:positionV>
            <wp:extent cx="14541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415" cy="22288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-161290</wp:posOffset>
            </wp:positionV>
            <wp:extent cx="120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-144145</wp:posOffset>
            </wp:positionV>
            <wp:extent cx="120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4300" w:type="dxa"/>
            <w:vAlign w:val="bottom"/>
          </w:tcPr>
          <w:p>
            <w:pPr>
              <w:ind w:left="140"/>
              <w:spacing w:after="0" w:line="215" w:lineRule="exact"/>
              <w:rPr>
                <w:sz w:val="20"/>
                <w:szCs w:val="20"/>
                <w:color w:val="auto"/>
              </w:rPr>
            </w:pPr>
            <w:r>
              <w:rPr>
                <w:rFonts w:ascii="Calibri" w:cs="Calibri" w:eastAsia="Calibri" w:hAnsi="Calibri"/>
                <w:sz w:val="18"/>
                <w:szCs w:val="18"/>
                <w:color w:val="auto"/>
              </w:rPr>
              <w:t>net loss per share, basic and diluted</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720"/>
        </w:trPr>
        <w:tc>
          <w:tcPr>
            <w:tcW w:w="430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7"/>
              </w:rPr>
              <w:t>Nkarta, Inc.</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2700" w:type="dxa"/>
            <w:vAlign w:val="bottom"/>
            <w:gridSpan w:val="3"/>
          </w:tcPr>
          <w:p>
            <w:pPr>
              <w:jc w:val="center"/>
              <w:spacing w:after="0" w:line="216" w:lineRule="exact"/>
              <w:rPr>
                <w:sz w:val="20"/>
                <w:szCs w:val="20"/>
                <w:color w:val="auto"/>
              </w:rPr>
            </w:pPr>
            <w:r>
              <w:rPr>
                <w:rFonts w:ascii="Calibri" w:cs="Calibri" w:eastAsia="Calibri" w:hAnsi="Calibri"/>
                <w:sz w:val="18"/>
                <w:szCs w:val="18"/>
                <w:b w:val="1"/>
                <w:bCs w:val="1"/>
                <w:color w:val="auto"/>
                <w:w w:val="97"/>
              </w:rPr>
              <w:t>Condensed Balance Sheets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2700" w:type="dxa"/>
            <w:vAlign w:val="bottom"/>
            <w:gridSpan w:val="3"/>
          </w:tcPr>
          <w:p>
            <w:pPr>
              <w:jc w:val="center"/>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2700" w:type="dxa"/>
            <w:vAlign w:val="bottom"/>
            <w:gridSpan w:val="3"/>
          </w:tcPr>
          <w:p>
            <w:pPr>
              <w:jc w:val="center"/>
              <w:spacing w:after="0" w:line="216" w:lineRule="exact"/>
              <w:rPr>
                <w:sz w:val="20"/>
                <w:szCs w:val="20"/>
                <w:color w:val="auto"/>
              </w:rPr>
            </w:pPr>
            <w:r>
              <w:rPr>
                <w:rFonts w:ascii="Calibri" w:cs="Calibri" w:eastAsia="Calibri" w:hAnsi="Calibri"/>
                <w:sz w:val="18"/>
                <w:szCs w:val="18"/>
                <w:b w:val="1"/>
                <w:bCs w:val="1"/>
                <w:color w:val="auto"/>
                <w:w w:val="97"/>
              </w:rPr>
              <w:t>(Unaudited)</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86"/>
        </w:trPr>
        <w:tc>
          <w:tcPr>
            <w:tcW w:w="4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tcPr>
          <w:p>
            <w:pPr>
              <w:ind w:left="600"/>
              <w:spacing w:after="0"/>
              <w:rPr>
                <w:sz w:val="20"/>
                <w:szCs w:val="20"/>
                <w:color w:val="auto"/>
              </w:rPr>
            </w:pPr>
            <w:r>
              <w:rPr>
                <w:rFonts w:ascii="Calibri" w:cs="Calibri" w:eastAsia="Calibri" w:hAnsi="Calibri"/>
                <w:sz w:val="18"/>
                <w:szCs w:val="18"/>
                <w:b w:val="1"/>
                <w:bCs w:val="1"/>
                <w:color w:val="auto"/>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6"/>
              </w:rPr>
              <w:t>December 31,</w:t>
            </w:r>
          </w:p>
        </w:tc>
      </w:tr>
      <w:tr>
        <w:trPr>
          <w:trHeight w:val="216"/>
        </w:trPr>
        <w:tc>
          <w:tcPr>
            <w:tcW w:w="4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jc w:val="right"/>
              <w:ind w:right="470"/>
              <w:spacing w:after="0" w:line="216" w:lineRule="exact"/>
              <w:rPr>
                <w:sz w:val="20"/>
                <w:szCs w:val="20"/>
                <w:color w:val="auto"/>
              </w:rPr>
            </w:pPr>
            <w:r>
              <w:rPr>
                <w:rFonts w:ascii="Calibri" w:cs="Calibri" w:eastAsia="Calibri" w:hAnsi="Calibri"/>
                <w:sz w:val="18"/>
                <w:szCs w:val="18"/>
                <w:b w:val="1"/>
                <w:bCs w:val="1"/>
                <w:color w:val="auto"/>
              </w:rPr>
              <w:t>2024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jc w:val="right"/>
              <w:ind w:right="450"/>
              <w:spacing w:after="0" w:line="216" w:lineRule="exact"/>
              <w:rPr>
                <w:sz w:val="20"/>
                <w:szCs w:val="20"/>
                <w:color w:val="auto"/>
              </w:rPr>
            </w:pPr>
            <w:r>
              <w:rPr>
                <w:rFonts w:ascii="Calibri" w:cs="Calibri" w:eastAsia="Calibri" w:hAnsi="Calibri"/>
                <w:sz w:val="18"/>
                <w:szCs w:val="18"/>
                <w:b w:val="1"/>
                <w:bCs w:val="1"/>
                <w:color w:val="auto"/>
                <w:w w:val="98"/>
              </w:rPr>
              <w:t>2023</w:t>
            </w:r>
          </w:p>
        </w:tc>
        <w:tc>
          <w:tcPr>
            <w:tcW w:w="240" w:type="dxa"/>
            <w:vAlign w:val="bottom"/>
          </w:tcPr>
          <w:p>
            <w:pPr>
              <w:spacing w:after="0"/>
              <w:rPr>
                <w:sz w:val="18"/>
                <w:szCs w:val="18"/>
                <w:color w:val="auto"/>
              </w:rPr>
            </w:pPr>
          </w:p>
        </w:tc>
      </w:tr>
      <w:tr>
        <w:trPr>
          <w:trHeight w:val="37"/>
        </w:trPr>
        <w:tc>
          <w:tcPr>
            <w:tcW w:w="43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08"/>
        </w:trPr>
        <w:tc>
          <w:tcPr>
            <w:tcW w:w="4300" w:type="dxa"/>
            <w:vAlign w:val="bottom"/>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69"/>
        </w:trPr>
        <w:tc>
          <w:tcPr>
            <w:tcW w:w="4300" w:type="dxa"/>
            <w:vAlign w:val="bottom"/>
            <w:shd w:val="clear" w:color="auto" w:fill="CFF0FC"/>
          </w:tcPr>
          <w:p>
            <w:pPr>
              <w:spacing w:after="0"/>
              <w:rPr>
                <w:sz w:val="5"/>
                <w:szCs w:val="5"/>
                <w:color w:val="auto"/>
              </w:rPr>
            </w:pPr>
          </w:p>
        </w:tc>
        <w:tc>
          <w:tcPr>
            <w:tcW w:w="1940" w:type="dxa"/>
            <w:vAlign w:val="bottom"/>
            <w:gridSpan w:val="2"/>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160" w:type="dxa"/>
            <w:vAlign w:val="bottom"/>
            <w:gridSpan w:val="2"/>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1160" w:type="dxa"/>
            <w:vAlign w:val="bottom"/>
            <w:gridSpan w:val="2"/>
            <w:shd w:val="clear" w:color="auto" w:fill="CFF0FC"/>
          </w:tcPr>
          <w:p>
            <w:pPr>
              <w:spacing w:after="0"/>
              <w:rPr>
                <w:sz w:val="5"/>
                <w:szCs w:val="5"/>
                <w:color w:val="auto"/>
              </w:rPr>
            </w:pPr>
          </w:p>
        </w:tc>
      </w:tr>
      <w:tr>
        <w:trPr>
          <w:trHeight w:val="215"/>
        </w:trPr>
        <w:tc>
          <w:tcPr>
            <w:tcW w:w="4300" w:type="dxa"/>
            <w:vAlign w:val="bottom"/>
          </w:tcPr>
          <w:p>
            <w:pPr>
              <w:ind w:left="20"/>
              <w:spacing w:after="0" w:line="215" w:lineRule="exact"/>
              <w:rPr>
                <w:sz w:val="20"/>
                <w:szCs w:val="20"/>
                <w:color w:val="auto"/>
              </w:rPr>
            </w:pPr>
            <w:r>
              <w:rPr>
                <w:rFonts w:ascii="Calibri" w:cs="Calibri" w:eastAsia="Calibri" w:hAnsi="Calibri"/>
                <w:sz w:val="18"/>
                <w:szCs w:val="18"/>
                <w:color w:val="auto"/>
              </w:rPr>
              <w:t>Cash, cash equivalents, restricted cash and investments</w:t>
            </w:r>
          </w:p>
        </w:tc>
        <w:tc>
          <w:tcPr>
            <w:tcW w:w="27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449,951</w:t>
            </w:r>
          </w:p>
        </w:tc>
        <w:tc>
          <w:tcPr>
            <w:tcW w:w="10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250,932</w:t>
            </w:r>
          </w:p>
        </w:tc>
      </w:tr>
      <w:tr>
        <w:trPr>
          <w:trHeight w:val="69"/>
        </w:trPr>
        <w:tc>
          <w:tcPr>
            <w:tcW w:w="4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r>
      <w:tr>
        <w:trPr>
          <w:trHeight w:val="215"/>
        </w:trPr>
        <w:tc>
          <w:tcPr>
            <w:tcW w:w="43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Property and equipment, net</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0"/>
              <w:spacing w:after="0" w:line="215" w:lineRule="exact"/>
              <w:rPr>
                <w:sz w:val="20"/>
                <w:szCs w:val="20"/>
                <w:color w:val="auto"/>
              </w:rPr>
            </w:pPr>
            <w:r>
              <w:rPr>
                <w:rFonts w:ascii="Calibri" w:cs="Calibri" w:eastAsia="Calibri" w:hAnsi="Calibri"/>
                <w:sz w:val="18"/>
                <w:szCs w:val="18"/>
                <w:color w:val="auto"/>
              </w:rPr>
              <w:t>78,522</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79,326</w:t>
            </w:r>
          </w:p>
        </w:tc>
      </w:tr>
      <w:tr>
        <w:trPr>
          <w:trHeight w:val="69"/>
        </w:trPr>
        <w:tc>
          <w:tcPr>
            <w:tcW w:w="4300" w:type="dxa"/>
            <w:vAlign w:val="bottom"/>
            <w:shd w:val="clear" w:color="auto" w:fill="CFF0FC"/>
          </w:tcPr>
          <w:p>
            <w:pPr>
              <w:spacing w:after="0"/>
              <w:rPr>
                <w:sz w:val="5"/>
                <w:szCs w:val="5"/>
                <w:color w:val="auto"/>
              </w:rPr>
            </w:pPr>
          </w:p>
        </w:tc>
        <w:tc>
          <w:tcPr>
            <w:tcW w:w="172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160" w:type="dxa"/>
            <w:vAlign w:val="bottom"/>
            <w:gridSpan w:val="2"/>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1160" w:type="dxa"/>
            <w:vAlign w:val="bottom"/>
            <w:gridSpan w:val="2"/>
            <w:shd w:val="clear" w:color="auto" w:fill="CFF0FC"/>
          </w:tcPr>
          <w:p>
            <w:pPr>
              <w:spacing w:after="0"/>
              <w:rPr>
                <w:sz w:val="5"/>
                <w:szCs w:val="5"/>
                <w:color w:val="auto"/>
              </w:rPr>
            </w:pPr>
          </w:p>
        </w:tc>
      </w:tr>
      <w:tr>
        <w:trPr>
          <w:trHeight w:val="215"/>
        </w:trPr>
        <w:tc>
          <w:tcPr>
            <w:tcW w:w="430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39,357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39,949</w:t>
            </w:r>
          </w:p>
        </w:tc>
      </w:tr>
      <w:tr>
        <w:trPr>
          <w:trHeight w:val="69"/>
        </w:trPr>
        <w:tc>
          <w:tcPr>
            <w:tcW w:w="4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r>
      <w:tr>
        <w:trPr>
          <w:trHeight w:val="215"/>
        </w:trPr>
        <w:tc>
          <w:tcPr>
            <w:tcW w:w="43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assets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9,106</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8,678</w:t>
            </w:r>
          </w:p>
        </w:tc>
      </w:tr>
      <w:tr>
        <w:trPr>
          <w:trHeight w:val="69"/>
        </w:trPr>
        <w:tc>
          <w:tcPr>
            <w:tcW w:w="4300" w:type="dxa"/>
            <w:vAlign w:val="bottom"/>
            <w:tcBorders>
              <w:bottom w:val="single" w:sz="8" w:color="CFF0FC"/>
            </w:tcBorders>
            <w:shd w:val="clear" w:color="auto" w:fill="CFF0FC"/>
          </w:tcPr>
          <w:p>
            <w:pPr>
              <w:spacing w:after="0"/>
              <w:rPr>
                <w:sz w:val="5"/>
                <w:szCs w:val="5"/>
                <w:color w:val="auto"/>
              </w:rPr>
            </w:pPr>
          </w:p>
        </w:tc>
        <w:tc>
          <w:tcPr>
            <w:tcW w:w="1940" w:type="dxa"/>
            <w:vAlign w:val="bottom"/>
            <w:tcBorders>
              <w:bottom w:val="single" w:sz="8" w:color="CFF0FC"/>
            </w:tcBorders>
            <w:gridSpan w:val="2"/>
            <w:shd w:val="clear" w:color="auto" w:fill="CFF0FC"/>
          </w:tcPr>
          <w:p>
            <w:pPr>
              <w:spacing w:after="0"/>
              <w:rPr>
                <w:sz w:val="5"/>
                <w:szCs w:val="5"/>
                <w:color w:val="auto"/>
              </w:rPr>
            </w:pPr>
          </w:p>
        </w:tc>
        <w:tc>
          <w:tcPr>
            <w:tcW w:w="760" w:type="dxa"/>
            <w:vAlign w:val="bottom"/>
            <w:tcBorders>
              <w:bottom w:val="single" w:sz="8" w:color="auto"/>
            </w:tcBorders>
            <w:shd w:val="clear" w:color="auto" w:fill="CFF0FC"/>
          </w:tcPr>
          <w:p>
            <w:pPr>
              <w:spacing w:after="0"/>
              <w:rPr>
                <w:sz w:val="5"/>
                <w:szCs w:val="5"/>
                <w:color w:val="auto"/>
              </w:rPr>
            </w:pPr>
          </w:p>
        </w:tc>
        <w:tc>
          <w:tcPr>
            <w:tcW w:w="1160" w:type="dxa"/>
            <w:vAlign w:val="bottom"/>
            <w:tcBorders>
              <w:bottom w:val="single" w:sz="8" w:color="auto"/>
            </w:tcBorders>
            <w:gridSpan w:val="2"/>
            <w:shd w:val="clear" w:color="auto" w:fill="CFF0FC"/>
          </w:tcPr>
          <w:p>
            <w:pPr>
              <w:spacing w:after="0"/>
              <w:rPr>
                <w:sz w:val="5"/>
                <w:szCs w:val="5"/>
                <w:color w:val="auto"/>
              </w:rPr>
            </w:pPr>
          </w:p>
        </w:tc>
        <w:tc>
          <w:tcPr>
            <w:tcW w:w="20" w:type="dxa"/>
            <w:vAlign w:val="bottom"/>
            <w:tcBorders>
              <w:bottom w:val="single" w:sz="8" w:color="auto"/>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800" w:type="dxa"/>
            <w:vAlign w:val="bottom"/>
            <w:tcBorders>
              <w:bottom w:val="single" w:sz="8" w:color="auto"/>
            </w:tcBorders>
            <w:shd w:val="clear" w:color="auto" w:fill="CFF0FC"/>
          </w:tcPr>
          <w:p>
            <w:pPr>
              <w:spacing w:after="0"/>
              <w:rPr>
                <w:sz w:val="5"/>
                <w:szCs w:val="5"/>
                <w:color w:val="auto"/>
              </w:rPr>
            </w:pPr>
          </w:p>
        </w:tc>
        <w:tc>
          <w:tcPr>
            <w:tcW w:w="1160" w:type="dxa"/>
            <w:vAlign w:val="bottom"/>
            <w:tcBorders>
              <w:bottom w:val="single" w:sz="8" w:color="auto"/>
            </w:tcBorders>
            <w:gridSpan w:val="2"/>
            <w:shd w:val="clear" w:color="auto" w:fill="CFF0FC"/>
          </w:tcPr>
          <w:p>
            <w:pPr>
              <w:spacing w:after="0"/>
              <w:rPr>
                <w:sz w:val="5"/>
                <w:szCs w:val="5"/>
                <w:color w:val="auto"/>
              </w:rPr>
            </w:pPr>
          </w:p>
        </w:tc>
      </w:tr>
      <w:tr>
        <w:trPr>
          <w:trHeight w:val="208"/>
        </w:trPr>
        <w:tc>
          <w:tcPr>
            <w:tcW w:w="4300" w:type="dxa"/>
            <w:vAlign w:val="bottom"/>
          </w:tcPr>
          <w:p>
            <w:pPr>
              <w:ind w:left="260"/>
              <w:spacing w:after="0" w:line="208" w:lineRule="exact"/>
              <w:rPr>
                <w:sz w:val="20"/>
                <w:szCs w:val="20"/>
                <w:color w:val="auto"/>
              </w:rPr>
            </w:pPr>
            <w:r>
              <w:rPr>
                <w:rFonts w:ascii="Calibri" w:cs="Calibri" w:eastAsia="Calibri" w:hAnsi="Calibri"/>
                <w:sz w:val="18"/>
                <w:szCs w:val="18"/>
                <w:color w:val="auto"/>
              </w:rPr>
              <w:t>Total assets</w:t>
            </w:r>
          </w:p>
        </w:tc>
        <w:tc>
          <w:tcPr>
            <w:tcW w:w="270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20"/>
              <w:spacing w:after="0" w:line="208" w:lineRule="exact"/>
              <w:rPr>
                <w:sz w:val="20"/>
                <w:szCs w:val="20"/>
                <w:color w:val="auto"/>
              </w:rPr>
            </w:pPr>
            <w:r>
              <w:rPr>
                <w:rFonts w:ascii="Calibri" w:cs="Calibri" w:eastAsia="Calibri" w:hAnsi="Calibri"/>
                <w:sz w:val="18"/>
                <w:szCs w:val="18"/>
                <w:color w:val="auto"/>
              </w:rPr>
              <w:t>576,936</w:t>
            </w:r>
          </w:p>
        </w:tc>
        <w:tc>
          <w:tcPr>
            <w:tcW w:w="1020" w:type="dxa"/>
            <w:vAlign w:val="bottom"/>
            <w:gridSpan w:val="3"/>
          </w:tcPr>
          <w:p>
            <w:pPr>
              <w:jc w:val="right"/>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60"/>
              <w:spacing w:after="0" w:line="208" w:lineRule="exact"/>
              <w:rPr>
                <w:sz w:val="20"/>
                <w:szCs w:val="20"/>
                <w:color w:val="auto"/>
              </w:rPr>
            </w:pPr>
            <w:r>
              <w:rPr>
                <w:rFonts w:ascii="Calibri" w:cs="Calibri" w:eastAsia="Calibri" w:hAnsi="Calibri"/>
                <w:sz w:val="18"/>
                <w:szCs w:val="18"/>
                <w:color w:val="auto"/>
              </w:rPr>
              <w:t>378,885</w:t>
            </w:r>
          </w:p>
        </w:tc>
      </w:tr>
      <w:tr>
        <w:trPr>
          <w:trHeight w:val="69"/>
        </w:trPr>
        <w:tc>
          <w:tcPr>
            <w:tcW w:w="4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r>
      <w:tr>
        <w:trPr>
          <w:trHeight w:val="20"/>
        </w:trPr>
        <w:tc>
          <w:tcPr>
            <w:tcW w:w="4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95"/>
        </w:trPr>
        <w:tc>
          <w:tcPr>
            <w:tcW w:w="430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Liabilites and stockholders' equity</w:t>
            </w:r>
          </w:p>
        </w:tc>
        <w:tc>
          <w:tcPr>
            <w:tcW w:w="1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69"/>
        </w:trPr>
        <w:tc>
          <w:tcPr>
            <w:tcW w:w="4300" w:type="dxa"/>
            <w:vAlign w:val="bottom"/>
            <w:shd w:val="clear" w:color="auto" w:fill="CFF0FC"/>
          </w:tcPr>
          <w:p>
            <w:pPr>
              <w:spacing w:after="0"/>
              <w:rPr>
                <w:sz w:val="5"/>
                <w:szCs w:val="5"/>
                <w:color w:val="auto"/>
              </w:rPr>
            </w:pPr>
          </w:p>
        </w:tc>
        <w:tc>
          <w:tcPr>
            <w:tcW w:w="1940" w:type="dxa"/>
            <w:vAlign w:val="bottom"/>
            <w:gridSpan w:val="2"/>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160" w:type="dxa"/>
            <w:vAlign w:val="bottom"/>
            <w:gridSpan w:val="2"/>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0" w:type="dxa"/>
            <w:vAlign w:val="bottom"/>
            <w:shd w:val="clear" w:color="auto" w:fill="CFF0FC"/>
          </w:tcPr>
          <w:p>
            <w:pPr>
              <w:spacing w:after="0"/>
              <w:rPr>
                <w:sz w:val="5"/>
                <w:szCs w:val="5"/>
                <w:color w:val="auto"/>
              </w:rPr>
            </w:pPr>
          </w:p>
        </w:tc>
        <w:tc>
          <w:tcPr>
            <w:tcW w:w="1160" w:type="dxa"/>
            <w:vAlign w:val="bottom"/>
            <w:gridSpan w:val="2"/>
            <w:shd w:val="clear" w:color="auto" w:fill="CFF0FC"/>
          </w:tcPr>
          <w:p>
            <w:pPr>
              <w:spacing w:after="0"/>
              <w:rPr>
                <w:sz w:val="5"/>
                <w:szCs w:val="5"/>
                <w:color w:val="auto"/>
              </w:rPr>
            </w:pPr>
          </w:p>
        </w:tc>
      </w:tr>
      <w:tr>
        <w:trPr>
          <w:trHeight w:val="215"/>
        </w:trPr>
        <w:tc>
          <w:tcPr>
            <w:tcW w:w="4300" w:type="dxa"/>
            <w:vAlign w:val="bottom"/>
          </w:tcPr>
          <w:p>
            <w:pPr>
              <w:ind w:left="20"/>
              <w:spacing w:after="0" w:line="215" w:lineRule="exact"/>
              <w:rPr>
                <w:sz w:val="20"/>
                <w:szCs w:val="20"/>
                <w:color w:val="auto"/>
              </w:rPr>
            </w:pPr>
            <w:r>
              <w:rPr>
                <w:rFonts w:ascii="Calibri" w:cs="Calibri" w:eastAsia="Calibri" w:hAnsi="Calibri"/>
                <w:sz w:val="18"/>
                <w:szCs w:val="18"/>
                <w:color w:val="auto"/>
              </w:rPr>
              <w:t>Accounts payable, accrued and other liabilites</w:t>
            </w:r>
          </w:p>
        </w:tc>
        <w:tc>
          <w:tcPr>
            <w:tcW w:w="2700" w:type="dxa"/>
            <w:vAlign w:val="bottom"/>
            <w:gridSpan w:val="3"/>
          </w:tcPr>
          <w:p>
            <w:pPr>
              <w:ind w:left="254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16,111</w:t>
            </w:r>
          </w:p>
        </w:tc>
        <w:tc>
          <w:tcPr>
            <w:tcW w:w="1020" w:type="dxa"/>
            <w:vAlign w:val="bottom"/>
            <w:gridSpan w:val="3"/>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17,261</w:t>
            </w:r>
          </w:p>
        </w:tc>
      </w:tr>
      <w:tr>
        <w:trPr>
          <w:trHeight w:val="69"/>
        </w:trPr>
        <w:tc>
          <w:tcPr>
            <w:tcW w:w="4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r>
      <w:tr>
        <w:trPr>
          <w:trHeight w:val="215"/>
        </w:trPr>
        <w:tc>
          <w:tcPr>
            <w:tcW w:w="43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Operatng lease liabilites</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87,174</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88,339</w:t>
            </w:r>
          </w:p>
        </w:tc>
      </w:tr>
      <w:tr>
        <w:trPr>
          <w:trHeight w:val="69"/>
        </w:trPr>
        <w:tc>
          <w:tcPr>
            <w:tcW w:w="4300" w:type="dxa"/>
            <w:vAlign w:val="bottom"/>
            <w:tcBorders>
              <w:bottom w:val="single" w:sz="8" w:color="CFF0FC"/>
            </w:tcBorders>
            <w:shd w:val="clear" w:color="auto" w:fill="CFF0FC"/>
          </w:tcPr>
          <w:p>
            <w:pPr>
              <w:spacing w:after="0"/>
              <w:rPr>
                <w:sz w:val="5"/>
                <w:szCs w:val="5"/>
                <w:color w:val="auto"/>
              </w:rPr>
            </w:pPr>
          </w:p>
        </w:tc>
        <w:tc>
          <w:tcPr>
            <w:tcW w:w="1720" w:type="dxa"/>
            <w:vAlign w:val="bottom"/>
            <w:tcBorders>
              <w:bottom w:val="single" w:sz="8" w:color="CFF0FC"/>
            </w:tcBorders>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760" w:type="dxa"/>
            <w:vAlign w:val="bottom"/>
            <w:tcBorders>
              <w:bottom w:val="single" w:sz="8" w:color="auto"/>
            </w:tcBorders>
            <w:shd w:val="clear" w:color="auto" w:fill="CFF0FC"/>
          </w:tcPr>
          <w:p>
            <w:pPr>
              <w:spacing w:after="0"/>
              <w:rPr>
                <w:sz w:val="5"/>
                <w:szCs w:val="5"/>
                <w:color w:val="auto"/>
              </w:rPr>
            </w:pPr>
          </w:p>
        </w:tc>
        <w:tc>
          <w:tcPr>
            <w:tcW w:w="1160" w:type="dxa"/>
            <w:vAlign w:val="bottom"/>
            <w:tcBorders>
              <w:bottom w:val="single" w:sz="8" w:color="auto"/>
            </w:tcBorders>
            <w:gridSpan w:val="2"/>
            <w:shd w:val="clear" w:color="auto" w:fill="CFF0FC"/>
          </w:tcPr>
          <w:p>
            <w:pPr>
              <w:spacing w:after="0"/>
              <w:rPr>
                <w:sz w:val="5"/>
                <w:szCs w:val="5"/>
                <w:color w:val="auto"/>
              </w:rPr>
            </w:pPr>
          </w:p>
        </w:tc>
        <w:tc>
          <w:tcPr>
            <w:tcW w:w="20" w:type="dxa"/>
            <w:vAlign w:val="bottom"/>
            <w:tcBorders>
              <w:bottom w:val="single" w:sz="8" w:color="auto"/>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800" w:type="dxa"/>
            <w:vAlign w:val="bottom"/>
            <w:tcBorders>
              <w:bottom w:val="single" w:sz="8" w:color="auto"/>
            </w:tcBorders>
            <w:shd w:val="clear" w:color="auto" w:fill="CFF0FC"/>
          </w:tcPr>
          <w:p>
            <w:pPr>
              <w:spacing w:after="0"/>
              <w:rPr>
                <w:sz w:val="5"/>
                <w:szCs w:val="5"/>
                <w:color w:val="auto"/>
              </w:rPr>
            </w:pPr>
          </w:p>
        </w:tc>
        <w:tc>
          <w:tcPr>
            <w:tcW w:w="1160" w:type="dxa"/>
            <w:vAlign w:val="bottom"/>
            <w:tcBorders>
              <w:bottom w:val="single" w:sz="8" w:color="auto"/>
            </w:tcBorders>
            <w:gridSpan w:val="2"/>
            <w:shd w:val="clear" w:color="auto" w:fill="CFF0FC"/>
          </w:tcPr>
          <w:p>
            <w:pPr>
              <w:spacing w:after="0"/>
              <w:rPr>
                <w:sz w:val="5"/>
                <w:szCs w:val="5"/>
                <w:color w:val="auto"/>
              </w:rPr>
            </w:pPr>
          </w:p>
        </w:tc>
      </w:tr>
      <w:tr>
        <w:trPr>
          <w:trHeight w:val="208"/>
        </w:trPr>
        <w:tc>
          <w:tcPr>
            <w:tcW w:w="4300" w:type="dxa"/>
            <w:vAlign w:val="bottom"/>
          </w:tcPr>
          <w:p>
            <w:pPr>
              <w:ind w:left="260"/>
              <w:spacing w:after="0" w:line="208" w:lineRule="exact"/>
              <w:rPr>
                <w:sz w:val="20"/>
                <w:szCs w:val="20"/>
                <w:color w:val="auto"/>
              </w:rPr>
            </w:pPr>
            <w:r>
              <w:rPr>
                <w:rFonts w:ascii="Calibri" w:cs="Calibri" w:eastAsia="Calibri" w:hAnsi="Calibri"/>
                <w:sz w:val="18"/>
                <w:szCs w:val="18"/>
                <w:color w:val="auto"/>
              </w:rPr>
              <w:t>Total liabilites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2"/>
          </w:tcPr>
          <w:p>
            <w:pPr>
              <w:jc w:val="right"/>
              <w:ind w:right="20"/>
              <w:spacing w:after="0" w:line="208" w:lineRule="exact"/>
              <w:rPr>
                <w:sz w:val="20"/>
                <w:szCs w:val="20"/>
                <w:color w:val="auto"/>
              </w:rPr>
            </w:pPr>
            <w:r>
              <w:rPr>
                <w:rFonts w:ascii="Calibri" w:cs="Calibri" w:eastAsia="Calibri" w:hAnsi="Calibri"/>
                <w:sz w:val="18"/>
                <w:szCs w:val="18"/>
                <w:color w:val="auto"/>
              </w:rPr>
              <w:t>103,285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ind w:right="60"/>
              <w:spacing w:after="0" w:line="208" w:lineRule="exact"/>
              <w:rPr>
                <w:sz w:val="20"/>
                <w:szCs w:val="20"/>
                <w:color w:val="auto"/>
              </w:rPr>
            </w:pPr>
            <w:r>
              <w:rPr>
                <w:rFonts w:ascii="Calibri" w:cs="Calibri" w:eastAsia="Calibri" w:hAnsi="Calibri"/>
                <w:sz w:val="18"/>
                <w:szCs w:val="18"/>
                <w:color w:val="auto"/>
              </w:rPr>
              <w:t>105,600</w:t>
            </w:r>
          </w:p>
        </w:tc>
      </w:tr>
      <w:tr>
        <w:trPr>
          <w:trHeight w:val="69"/>
        </w:trPr>
        <w:tc>
          <w:tcPr>
            <w:tcW w:w="4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r>
      <w:tr>
        <w:trPr>
          <w:trHeight w:val="215"/>
        </w:trPr>
        <w:tc>
          <w:tcPr>
            <w:tcW w:w="43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473,651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273,285</w:t>
            </w:r>
          </w:p>
        </w:tc>
      </w:tr>
      <w:tr>
        <w:trPr>
          <w:trHeight w:val="69"/>
        </w:trPr>
        <w:tc>
          <w:tcPr>
            <w:tcW w:w="4300" w:type="dxa"/>
            <w:vAlign w:val="bottom"/>
            <w:shd w:val="clear" w:color="auto" w:fill="CFF0FC"/>
          </w:tcPr>
          <w:p>
            <w:pPr>
              <w:spacing w:after="0"/>
              <w:rPr>
                <w:sz w:val="5"/>
                <w:szCs w:val="5"/>
                <w:color w:val="auto"/>
              </w:rPr>
            </w:pPr>
          </w:p>
        </w:tc>
        <w:tc>
          <w:tcPr>
            <w:tcW w:w="1940" w:type="dxa"/>
            <w:vAlign w:val="bottom"/>
            <w:gridSpan w:val="2"/>
            <w:shd w:val="clear" w:color="auto" w:fill="CFF0FC"/>
          </w:tcPr>
          <w:p>
            <w:pPr>
              <w:spacing w:after="0"/>
              <w:rPr>
                <w:sz w:val="5"/>
                <w:szCs w:val="5"/>
                <w:color w:val="auto"/>
              </w:rPr>
            </w:pPr>
          </w:p>
        </w:tc>
        <w:tc>
          <w:tcPr>
            <w:tcW w:w="760" w:type="dxa"/>
            <w:vAlign w:val="bottom"/>
            <w:tcBorders>
              <w:bottom w:val="single" w:sz="8" w:color="auto"/>
            </w:tcBorders>
            <w:shd w:val="clear" w:color="auto" w:fill="CFF0FC"/>
          </w:tcPr>
          <w:p>
            <w:pPr>
              <w:spacing w:after="0"/>
              <w:rPr>
                <w:sz w:val="5"/>
                <w:szCs w:val="5"/>
                <w:color w:val="auto"/>
              </w:rPr>
            </w:pPr>
          </w:p>
        </w:tc>
        <w:tc>
          <w:tcPr>
            <w:tcW w:w="1160" w:type="dxa"/>
            <w:vAlign w:val="bottom"/>
            <w:tcBorders>
              <w:bottom w:val="single" w:sz="8" w:color="auto"/>
            </w:tcBorders>
            <w:gridSpan w:val="2"/>
            <w:shd w:val="clear" w:color="auto" w:fill="CFF0FC"/>
          </w:tcPr>
          <w:p>
            <w:pPr>
              <w:spacing w:after="0"/>
              <w:rPr>
                <w:sz w:val="5"/>
                <w:szCs w:val="5"/>
                <w:color w:val="auto"/>
              </w:rPr>
            </w:pPr>
          </w:p>
        </w:tc>
        <w:tc>
          <w:tcPr>
            <w:tcW w:w="20" w:type="dxa"/>
            <w:vAlign w:val="bottom"/>
            <w:tcBorders>
              <w:bottom w:val="single" w:sz="8" w:color="auto"/>
            </w:tcBorders>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0" w:type="dxa"/>
            <w:vAlign w:val="bottom"/>
            <w:tcBorders>
              <w:bottom w:val="single" w:sz="8" w:color="auto"/>
            </w:tcBorders>
            <w:shd w:val="clear" w:color="auto" w:fill="CFF0FC"/>
          </w:tcPr>
          <w:p>
            <w:pPr>
              <w:spacing w:after="0"/>
              <w:rPr>
                <w:sz w:val="5"/>
                <w:szCs w:val="5"/>
                <w:color w:val="auto"/>
              </w:rPr>
            </w:pPr>
          </w:p>
        </w:tc>
        <w:tc>
          <w:tcPr>
            <w:tcW w:w="1160" w:type="dxa"/>
            <w:vAlign w:val="bottom"/>
            <w:tcBorders>
              <w:bottom w:val="single" w:sz="8" w:color="auto"/>
            </w:tcBorders>
            <w:gridSpan w:val="2"/>
            <w:shd w:val="clear" w:color="auto" w:fill="CFF0FC"/>
          </w:tcPr>
          <w:p>
            <w:pPr>
              <w:spacing w:after="0"/>
              <w:rPr>
                <w:sz w:val="5"/>
                <w:szCs w:val="5"/>
                <w:color w:val="auto"/>
              </w:rPr>
            </w:pPr>
          </w:p>
        </w:tc>
      </w:tr>
      <w:tr>
        <w:trPr>
          <w:trHeight w:val="208"/>
        </w:trPr>
        <w:tc>
          <w:tcPr>
            <w:tcW w:w="4300" w:type="dxa"/>
            <w:vAlign w:val="bottom"/>
          </w:tcPr>
          <w:p>
            <w:pPr>
              <w:ind w:left="260"/>
              <w:spacing w:after="0" w:line="195" w:lineRule="exact"/>
              <w:rPr>
                <w:sz w:val="20"/>
                <w:szCs w:val="20"/>
                <w:color w:val="auto"/>
              </w:rPr>
            </w:pPr>
            <w:r>
              <w:rPr>
                <w:rFonts w:ascii="Calibri" w:cs="Calibri" w:eastAsia="Calibri" w:hAnsi="Calibri"/>
                <w:sz w:val="18"/>
                <w:szCs w:val="18"/>
                <w:color w:val="auto"/>
              </w:rPr>
              <w:t>Total liabilites and stockholders’ equity</w:t>
            </w:r>
          </w:p>
        </w:tc>
        <w:tc>
          <w:tcPr>
            <w:tcW w:w="1940" w:type="dxa"/>
            <w:vAlign w:val="bottom"/>
            <w:gridSpan w:val="2"/>
          </w:tcPr>
          <w:p>
            <w:pPr>
              <w:spacing w:after="0"/>
              <w:rPr>
                <w:sz w:val="18"/>
                <w:szCs w:val="18"/>
                <w:color w:val="auto"/>
              </w:rPr>
            </w:pPr>
          </w:p>
        </w:tc>
        <w:tc>
          <w:tcPr>
            <w:tcW w:w="76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20"/>
              <w:spacing w:after="0" w:line="208" w:lineRule="exact"/>
              <w:rPr>
                <w:sz w:val="20"/>
                <w:szCs w:val="20"/>
                <w:color w:val="auto"/>
              </w:rPr>
            </w:pPr>
            <w:r>
              <w:rPr>
                <w:rFonts w:ascii="Calibri" w:cs="Calibri" w:eastAsia="Calibri" w:hAnsi="Calibri"/>
                <w:sz w:val="18"/>
                <w:szCs w:val="18"/>
                <w:color w:val="auto"/>
              </w:rPr>
              <w:t>576,936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gridSpan w:val="2"/>
          </w:tcPr>
          <w:p>
            <w:pPr>
              <w:jc w:val="right"/>
              <w:ind w:right="20"/>
              <w:spacing w:after="0" w:line="208" w:lineRule="exact"/>
              <w:rPr>
                <w:sz w:val="20"/>
                <w:szCs w:val="20"/>
                <w:color w:val="auto"/>
              </w:rPr>
            </w:pPr>
            <w:r>
              <w:rPr>
                <w:rFonts w:ascii="Calibri" w:cs="Calibri" w:eastAsia="Calibri" w:hAnsi="Calibri"/>
                <w:sz w:val="18"/>
                <w:szCs w:val="18"/>
                <w:color w:val="auto"/>
              </w:rPr>
              <w:t>378,885</w:t>
            </w:r>
          </w:p>
        </w:tc>
      </w:tr>
      <w:tr>
        <w:trPr>
          <w:trHeight w:val="69"/>
        </w:trPr>
        <w:tc>
          <w:tcPr>
            <w:tcW w:w="4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r>
      <w:tr>
        <w:trPr>
          <w:trHeight w:val="20"/>
        </w:trPr>
        <w:tc>
          <w:tcPr>
            <w:tcW w:w="4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-1336675</wp:posOffset>
            </wp:positionV>
            <wp:extent cx="120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-582295</wp:posOffset>
            </wp:positionV>
            <wp:extent cx="12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spacing w:after="0"/>
        <w:rPr>
          <w:sz w:val="20"/>
          <w:szCs w:val="20"/>
          <w:color w:val="auto"/>
        </w:rPr>
      </w:pPr>
      <w:r>
        <w:rPr>
          <w:rFonts w:ascii="Calibri" w:cs="Calibri" w:eastAsia="Calibri" w:hAnsi="Calibri"/>
          <w:sz w:val="22"/>
          <w:szCs w:val="22"/>
          <w:b w:val="1"/>
          <w:bCs w:val="1"/>
          <w:color w:val="auto"/>
        </w:rPr>
        <w:t>Nkarta Media/Investor Contact:</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Greg Mann</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Nkarta, Inc.</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gmann@nkartatx.com</w:t>
      </w:r>
    </w:p>
    <w:p>
      <w:pPr>
        <w:spacing w:after="0" w:line="379"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2024-05-09T15:17:26Z</dcterms:created>
  <dcterms:modified xsi:type="dcterms:W3CDTF">2024-05-09T15:17:26Z</dcterms:modified>
</cp:coreProperties>
</file>