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97" w:lineRule="exact"/>
        <w:rPr>
          <w:sz w:val="24"/>
          <w:szCs w:val="24"/>
          <w:color w:val="auto"/>
        </w:rPr>
      </w:pPr>
    </w:p>
    <w:p>
      <w:pPr>
        <w:ind w:left="4180" w:right="3300" w:hanging="4159"/>
        <w:spacing w:after="0" w:line="319" w:lineRule="auto"/>
        <w:tabs>
          <w:tab w:leader="none" w:pos="48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2023</w:t>
      </w: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30" w:lineRule="exact"/>
        <w:rPr>
          <w:sz w:val="24"/>
          <w:szCs w:val="24"/>
          <w:color w:val="auto"/>
        </w:rPr>
      </w:pPr>
    </w:p>
    <w:p>
      <w:pPr>
        <w:ind w:left="480" w:right="100" w:hanging="459"/>
        <w:spacing w:after="0" w:line="266" w:lineRule="auto"/>
        <w:tabs>
          <w:tab w:leader="none" w:pos="48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TO</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Nkarta, Inc.</w:t>
      </w:r>
    </w:p>
    <w:p>
      <w:pPr>
        <w:sectPr>
          <w:pgSz w:w="11900" w:h="16838" w:orient="portrait"/>
          <w:cols w:equalWidth="0" w:num="1">
            <w:col w:w="11240"/>
          </w:cols>
          <w:pgMar w:left="320" w:top="1283" w:right="339" w:bottom="1440" w:gutter="0" w:footer="0" w:header="0"/>
        </w:sectPr>
      </w:pPr>
    </w:p>
    <w:p>
      <w:pPr>
        <w:spacing w:after="0" w:line="45" w:lineRule="exact"/>
        <w:rPr>
          <w:sz w:val="24"/>
          <w:szCs w:val="24"/>
          <w:color w:val="auto"/>
        </w:rPr>
      </w:pPr>
    </w:p>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0"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3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1"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3"/>
          <w:szCs w:val="13"/>
          <w:b w:val="1"/>
          <w:bCs w:val="1"/>
          <w:color w:val="auto"/>
        </w:rPr>
        <w:t>47-4515206</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4" w:lineRule="exact"/>
        <w:rPr>
          <w:sz w:val="24"/>
          <w:szCs w:val="24"/>
          <w:color w:val="auto"/>
        </w:rPr>
      </w:pPr>
    </w:p>
    <w:p>
      <w:pPr>
        <w:sectPr>
          <w:pgSz w:w="11900" w:h="16838" w:orient="portrait"/>
          <w:cols w:equalWidth="0" w:num="2">
            <w:col w:w="7260" w:space="720"/>
            <w:col w:w="3260"/>
          </w:cols>
          <w:pgMar w:left="320" w:top="1283" w:right="339" w:bottom="1440" w:gutter="0" w:footer="0" w:header="0"/>
          <w:type w:val="continuous"/>
        </w:sectPr>
      </w:pPr>
    </w:p>
    <w:tbl>
      <w:tblPr>
        <w:tblLayout w:type="fixed"/>
        <w:tblInd w:w="1860" w:type="dxa"/>
        <w:tblCellMar>
          <w:top w:w="0" w:type="dxa"/>
          <w:left w:w="0" w:type="dxa"/>
          <w:bottom w:w="0" w:type="dxa"/>
          <w:right w:w="0" w:type="dxa"/>
        </w:tblCellMar>
      </w:tblPr>
      <w:tr>
        <w:trPr>
          <w:trHeight w:val="149"/>
        </w:trPr>
        <w:tc>
          <w:tcPr>
            <w:tcW w:w="4120" w:type="dxa"/>
            <w:vAlign w:val="bottom"/>
          </w:tcPr>
          <w:p>
            <w:pPr>
              <w:jc w:val="center"/>
              <w:ind w:right="2136"/>
              <w:spacing w:after="0"/>
              <w:rPr>
                <w:sz w:val="20"/>
                <w:szCs w:val="20"/>
                <w:color w:val="auto"/>
              </w:rPr>
            </w:pPr>
            <w:r>
              <w:rPr>
                <w:rFonts w:ascii="Times New Roman" w:cs="Times New Roman" w:eastAsia="Times New Roman" w:hAnsi="Times New Roman"/>
                <w:sz w:val="13"/>
                <w:szCs w:val="13"/>
                <w:b w:val="1"/>
                <w:bCs w:val="1"/>
                <w:color w:val="auto"/>
              </w:rPr>
              <w:t>1150 Veterans Boulevard</w:t>
            </w:r>
          </w:p>
        </w:tc>
        <w:tc>
          <w:tcPr>
            <w:tcW w:w="2720" w:type="dxa"/>
            <w:vAlign w:val="bottom"/>
          </w:tcPr>
          <w:p>
            <w:pPr>
              <w:spacing w:after="0"/>
              <w:rPr>
                <w:sz w:val="12"/>
                <w:szCs w:val="12"/>
                <w:color w:val="auto"/>
              </w:rPr>
            </w:pPr>
          </w:p>
        </w:tc>
      </w:tr>
      <w:tr>
        <w:trPr>
          <w:trHeight w:val="192"/>
        </w:trPr>
        <w:tc>
          <w:tcPr>
            <w:tcW w:w="41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South San Francisco, CA</w:t>
            </w:r>
          </w:p>
        </w:tc>
        <w:tc>
          <w:tcPr>
            <w:tcW w:w="27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94080</w:t>
            </w:r>
          </w:p>
        </w:tc>
      </w:tr>
      <w:tr>
        <w:trPr>
          <w:trHeight w:val="156"/>
        </w:trPr>
        <w:tc>
          <w:tcPr>
            <w:tcW w:w="4120" w:type="dxa"/>
            <w:vAlign w:val="bottom"/>
          </w:tcPr>
          <w:p>
            <w:pPr>
              <w:jc w:val="center"/>
              <w:ind w:right="2136"/>
              <w:spacing w:after="0"/>
              <w:rPr>
                <w:sz w:val="20"/>
                <w:szCs w:val="20"/>
                <w:color w:val="auto"/>
              </w:rPr>
            </w:pPr>
            <w:r>
              <w:rPr>
                <w:rFonts w:ascii="Times New Roman" w:cs="Times New Roman" w:eastAsia="Times New Roman" w:hAnsi="Times New Roman"/>
                <w:sz w:val="12"/>
                <w:szCs w:val="12"/>
                <w:b w:val="1"/>
                <w:bCs w:val="1"/>
                <w:color w:val="auto"/>
                <w:w w:val="96"/>
              </w:rPr>
              <w:t>(Address of principal executive offices)</w:t>
            </w:r>
          </w:p>
        </w:tc>
        <w:tc>
          <w:tcPr>
            <w:tcW w:w="2720" w:type="dxa"/>
            <w:vAlign w:val="bottom"/>
          </w:tcPr>
          <w:p>
            <w:pPr>
              <w:jc w:val="center"/>
              <w:ind w:left="2117"/>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(925) 407-1049</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120" w:type="dxa"/>
            <w:vAlign w:val="bottom"/>
          </w:tcPr>
          <w:p>
            <w:pPr>
              <w:spacing w:after="0"/>
              <w:rPr>
                <w:sz w:val="12"/>
                <w:szCs w:val="12"/>
                <w:color w:val="auto"/>
              </w:rPr>
            </w:pPr>
          </w:p>
        </w:tc>
        <w:tc>
          <w:tcPr>
            <w:tcW w:w="4340" w:type="dxa"/>
            <w:vAlign w:val="bottom"/>
          </w:tcPr>
          <w:p>
            <w:pPr>
              <w:spacing w:after="0"/>
              <w:rPr>
                <w:sz w:val="12"/>
                <w:szCs w:val="12"/>
                <w:color w:val="auto"/>
              </w:rPr>
            </w:pPr>
          </w:p>
        </w:tc>
      </w:tr>
      <w:tr>
        <w:trPr>
          <w:trHeight w:val="155"/>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Title of each class</w:t>
            </w:r>
          </w:p>
        </w:tc>
        <w:tc>
          <w:tcPr>
            <w:tcW w:w="120" w:type="dxa"/>
            <w:vAlign w:val="bottom"/>
          </w:tcPr>
          <w:p>
            <w:pPr>
              <w:spacing w:after="0"/>
              <w:rPr>
                <w:sz w:val="13"/>
                <w:szCs w:val="13"/>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120" w:type="dxa"/>
            <w:vAlign w:val="bottom"/>
          </w:tcPr>
          <w:p>
            <w:pPr>
              <w:spacing w:after="0"/>
              <w:rPr>
                <w:sz w:val="13"/>
                <w:szCs w:val="13"/>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Name of each exchange on which registered</w:t>
            </w:r>
          </w:p>
        </w:tc>
      </w:tr>
      <w:tr>
        <w:trPr>
          <w:trHeight w:val="172"/>
        </w:trPr>
        <w:tc>
          <w:tcPr>
            <w:tcW w:w="4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Stock, $0.0001 par value per share</w:t>
            </w:r>
          </w:p>
        </w:tc>
        <w:tc>
          <w:tcPr>
            <w:tcW w:w="1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NKTX</w:t>
            </w:r>
          </w:p>
        </w:tc>
        <w:tc>
          <w:tcPr>
            <w:tcW w:w="120" w:type="dxa"/>
            <w:vAlign w:val="bottom"/>
          </w:tcPr>
          <w:p>
            <w:pPr>
              <w:spacing w:after="0"/>
              <w:rPr>
                <w:sz w:val="14"/>
                <w:szCs w:val="1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3"/>
                <w:szCs w:val="13"/>
                <w:color w:val="212529"/>
              </w:rPr>
              <w:t>Nasdaq Global Select Market</w:t>
            </w:r>
          </w:p>
        </w:tc>
      </w:tr>
    </w:tbl>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6" w:lineRule="exact"/>
        <w:rPr>
          <w:sz w:val="24"/>
          <w:szCs w:val="24"/>
          <w:color w:val="auto"/>
        </w:rPr>
      </w:pPr>
    </w:p>
    <w:p>
      <w:pPr>
        <w:ind w:right="456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right="1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Accelerated filer</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38"/>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10"/>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5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59"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6" w:lineRule="exact"/>
        <w:rPr>
          <w:sz w:val="24"/>
          <w:szCs w:val="24"/>
          <w:color w:val="auto"/>
        </w:rPr>
      </w:pPr>
    </w:p>
    <w:p>
      <w:pPr>
        <w:ind w:right="2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3"/>
          <w:szCs w:val="13"/>
          <w:color w:val="auto"/>
        </w:rPr>
        <w:t>☐</w:t>
      </w:r>
    </w:p>
    <w:p>
      <w:pPr>
        <w:spacing w:after="0" w:line="86" w:lineRule="exact"/>
        <w:rPr>
          <w:sz w:val="24"/>
          <w:szCs w:val="24"/>
          <w:color w:val="auto"/>
        </w:rPr>
      </w:pPr>
    </w:p>
    <w:p>
      <w:pPr>
        <w:ind w:right="120"/>
        <w:spacing w:after="0" w:line="180"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6"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3"/>
          <w:szCs w:val="13"/>
          <w:color w:val="auto"/>
        </w:rPr>
        <w:t>The aggregate market value of the voting and non-voting equity held by non-affiliates of the registrant, based on the closing price of a share of common stock on June 30, 2023 as reported by The Nasdaq Stock Market on such date was approximately $38.4 million. This calculation does not reflect a determination that certain persons are affiliates of the registrant for any other purpose.</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18, 2024, the number of outstanding shares of the registrant’s common stock, par value $0.0001 per share, was 49,416,186.</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2" w:lineRule="exact"/>
        <w:rPr>
          <w:sz w:val="24"/>
          <w:szCs w:val="24"/>
          <w:color w:val="auto"/>
        </w:rPr>
      </w:pPr>
    </w:p>
    <w:p>
      <w:pPr>
        <w:ind w:right="6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the 2023 Annual Meeting of Stockholders to be filed with the U.S. Securities and Exchange Commission pursuant to Regulation 14A within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22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0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2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7"/>
          </w:tcPr>
          <w:p>
            <w:pPr>
              <w:spacing w:after="0"/>
              <w:rPr>
                <w:sz w:val="18"/>
                <w:szCs w:val="18"/>
                <w:color w:val="auto"/>
              </w:rPr>
            </w:pPr>
          </w:p>
        </w:tc>
        <w:tc>
          <w:tcPr>
            <w:tcW w:w="7220" w:type="dxa"/>
            <w:vAlign w:val="bottom"/>
            <w:gridSpan w:val="13"/>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500" w:type="dxa"/>
            <w:vAlign w:val="bottom"/>
            <w:gridSpan w:val="24"/>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8"/>
                <w:szCs w:val="18"/>
                <w:color w:val="auto"/>
              </w:rPr>
            </w:pPr>
          </w:p>
        </w:tc>
        <w:tc>
          <w:tcPr>
            <w:tcW w:w="7900" w:type="dxa"/>
            <w:vAlign w:val="bottom"/>
            <w:gridSpan w:val="17"/>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75"/>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0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6"/>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8"/>
                <w:szCs w:val="18"/>
                <w:color w:val="auto"/>
              </w:rPr>
            </w:pPr>
          </w:p>
        </w:tc>
        <w:tc>
          <w:tcPr>
            <w:tcW w:w="8440" w:type="dxa"/>
            <w:vAlign w:val="bottom"/>
            <w:gridSpan w:val="22"/>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gridSpan w:val="4"/>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2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900" w:type="dxa"/>
            <w:vAlign w:val="bottom"/>
            <w:gridSpan w:val="7"/>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4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480" w:type="dxa"/>
            <w:vAlign w:val="bottom"/>
            <w:gridSpan w:val="15"/>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8"/>
                <w:szCs w:val="18"/>
                <w:color w:val="auto"/>
              </w:rPr>
            </w:pPr>
          </w:p>
        </w:tc>
        <w:tc>
          <w:tcPr>
            <w:tcW w:w="7920" w:type="dxa"/>
            <w:vAlign w:val="bottom"/>
            <w:gridSpan w:val="18"/>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2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475"/>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0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60" w:type="dxa"/>
            <w:vAlign w:val="bottom"/>
            <w:gridSpan w:val="8"/>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2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11"/>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60" w:type="dxa"/>
            <w:vAlign w:val="bottom"/>
            <w:gridSpan w:val="2"/>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00" w:type="dxa"/>
            <w:vAlign w:val="bottom"/>
            <w:gridSpan w:val="5"/>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2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475"/>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0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100" w:type="dxa"/>
            <w:vAlign w:val="bottom"/>
            <w:gridSpan w:val="11"/>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and the information incorporated herein by reference, particularly in the sections captioned “Business” under Part I, Item 1, “Risk Factors” under Part I, Item 1A, and “Management’s Discussion and Analysis of Financial Condition and Results of Operations” under Part II, Item 7, contains forward-looking statements within the meaning of Section 27A of the Securities Act of 1933, as amended (the "Securities Act"), and Section 21E of the Securities Exchange Act of 1934, as amended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Annual Report on Form 10-K.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 Item 1A of this Annual Report on Form 10-K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 (the "SEC"). As a result of these factors, we cannot assure you that the forward-looking statements in this Annual Report on Form 10-K will prove to be accurate.</w:t>
      </w:r>
    </w:p>
    <w:p>
      <w:pPr>
        <w:spacing w:after="0" w:line="19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 All of our forward-looking statements in this report are made only as of the date of this Annual Report on Form 10-K. Except as required by applicable law, we do not plan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You should read this Annual Report on Form 10-K,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Part I, Item 1A, “Risk Factors” in this Annual Report on Form 10-K. The below summary is qualified in its entirety by those more complete discussions of such risks and uncertainties. You should consider carefully the risks and uncertainties described under Part I, Item 1A, “Risk Factors” in this Annual Report on Form 10-K as part of your evaluation of an investment in our common stock.</w:t>
      </w:r>
    </w:p>
    <w:p>
      <w:pPr>
        <w:spacing w:after="0" w:line="7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a limited operating history and do not have any products approved for sale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losses since our inception and we expect to continue to incur significant losses for the foreseeable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never generated revenue from product sales and may never achieve or maintain profitability.</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will require additional capital, which, if available, may cause dilution to our stockholders, restrict our operations or require us to relinquish rights to our product candidates.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depends upon the success of our CAR NK cell technology platform.</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Utilizing CAR NK cells represents a novel therapeutic approach, and we must overcome significant challenges in order to develop, commercialize and manufacture our product candidates.</w:t>
      </w:r>
    </w:p>
    <w:p>
      <w:pPr>
        <w:spacing w:after="0" w:line="50" w:lineRule="exact"/>
        <w:rPr>
          <w:rFonts w:ascii="Times New Roman" w:cs="Times New Roman" w:eastAsia="Times New Roman" w:hAnsi="Times New Roman"/>
          <w:sz w:val="18"/>
          <w:szCs w:val="18"/>
          <w:color w:val="auto"/>
        </w:rPr>
      </w:pPr>
    </w:p>
    <w:p>
      <w:pPr>
        <w:ind w:left="1020" w:right="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development involves a lengthy and expensive process with an uncertain outcome, and we may encounter substantial delays due to a variety of reasons outside our control.</w:t>
      </w:r>
    </w:p>
    <w:p>
      <w:pPr>
        <w:spacing w:after="0" w:line="50" w:lineRule="exact"/>
        <w:rPr>
          <w:rFonts w:ascii="Times New Roman" w:cs="Times New Roman" w:eastAsia="Times New Roman" w:hAnsi="Times New Roman"/>
          <w:sz w:val="18"/>
          <w:szCs w:val="18"/>
          <w:color w:val="auto"/>
        </w:rPr>
      </w:pPr>
    </w:p>
    <w:p>
      <w:pPr>
        <w:ind w:left="1020" w:right="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spacing w:after="0" w:line="50"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data supporting the effectiveness of CD19-targeted cell therapies against autoimmune disease are limited, and CD19-targeted CAR NK cell therapies, such as NKX019, may not provide the same, or any, therapeutic benefit against lupus nephritis or other autoimmune diseases, or be competitive with respect to other CD19-targeted therapies for the treatment of autoimmune disease.</w:t>
      </w:r>
    </w:p>
    <w:p>
      <w:pPr>
        <w:spacing w:after="0" w:line="65"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50"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50" w:lineRule="exact"/>
        <w:rPr>
          <w:rFonts w:ascii="Times New Roman" w:cs="Times New Roman" w:eastAsia="Times New Roman" w:hAnsi="Times New Roman"/>
          <w:sz w:val="18"/>
          <w:szCs w:val="18"/>
          <w:color w:val="auto"/>
        </w:rPr>
      </w:pPr>
    </w:p>
    <w:p>
      <w:pPr>
        <w:jc w:val="both"/>
        <w:ind w:left="1020" w:right="32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of our product candidates, or any competing product candidates, demonstrate relevant, serious adverse events, we may be required to halt or delay further clinical development.</w:t>
      </w:r>
    </w:p>
    <w:p>
      <w:pPr>
        <w:spacing w:after="0" w:line="50" w:lineRule="exact"/>
        <w:rPr>
          <w:rFonts w:ascii="Times New Roman" w:cs="Times New Roman" w:eastAsia="Times New Roman" w:hAnsi="Times New Roman"/>
          <w:sz w:val="18"/>
          <w:szCs w:val="18"/>
          <w:color w:val="auto"/>
        </w:rPr>
      </w:pPr>
    </w:p>
    <w:p>
      <w:pPr>
        <w:ind w:left="1020" w:right="50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84" w:lineRule="exact"/>
        <w:rPr>
          <w:sz w:val="20"/>
          <w:szCs w:val="20"/>
          <w:color w:val="auto"/>
        </w:rPr>
      </w:pPr>
    </w:p>
    <w:p>
      <w:pPr>
        <w:ind w:left="1020" w:right="280" w:hanging="503"/>
        <w:spacing w:after="0" w:line="26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65"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reliant on a sole supplier for certain steps of our manufacturing process.</w:t>
      </w:r>
    </w:p>
    <w:p>
      <w:pPr>
        <w:spacing w:after="0" w:line="11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50"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50" w:lineRule="exact"/>
        <w:rPr>
          <w:rFonts w:ascii="Times New Roman" w:cs="Times New Roman" w:eastAsia="Times New Roman" w:hAnsi="Times New Roman"/>
          <w:sz w:val="18"/>
          <w:szCs w:val="18"/>
          <w:color w:val="auto"/>
        </w:rPr>
      </w:pPr>
    </w:p>
    <w:p>
      <w:pPr>
        <w:ind w:left="1020" w:right="44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patent protection we obtain is not sufficiently robust, our competitors could develop and commercialize products and technology similar or identical to ours.</w:t>
      </w:r>
    </w:p>
    <w:p>
      <w:pPr>
        <w:spacing w:after="0" w:line="50" w:lineRule="exact"/>
        <w:rPr>
          <w:rFonts w:ascii="Times New Roman" w:cs="Times New Roman" w:eastAsia="Times New Roman" w:hAnsi="Times New Roman"/>
          <w:sz w:val="18"/>
          <w:szCs w:val="18"/>
          <w:color w:val="auto"/>
        </w:rPr>
      </w:pPr>
    </w:p>
    <w:p>
      <w:pPr>
        <w:jc w:val="both"/>
        <w:ind w:left="1020" w:right="100" w:hanging="503"/>
        <w:spacing w:after="0" w:line="26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65" w:lineRule="exact"/>
        <w:rPr>
          <w:rFonts w:ascii="Times New Roman" w:cs="Times New Roman" w:eastAsia="Times New Roman" w:hAnsi="Times New Roman"/>
          <w:sz w:val="18"/>
          <w:szCs w:val="18"/>
          <w:color w:val="auto"/>
        </w:rPr>
      </w:pPr>
    </w:p>
    <w:p>
      <w:pPr>
        <w:ind w:left="1020" w:right="38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product candidates, including NKX019, could be subject to regulatory limitations following approval, if and when such approval is granted.</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market price for our common stock may be volatile, which could contribute to the loss of all or part of your investment.</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50" w:lineRule="exact"/>
        <w:rPr>
          <w:rFonts w:ascii="Times New Roman" w:cs="Times New Roman" w:eastAsia="Times New Roman" w:hAnsi="Times New Roman"/>
          <w:sz w:val="18"/>
          <w:szCs w:val="18"/>
          <w:color w:val="auto"/>
        </w:rPr>
      </w:pPr>
    </w:p>
    <w:p>
      <w:pPr>
        <w:ind w:left="1020" w:right="66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Computer system interruptions or security breaches of our information systems could significantly disrupt our product development programs and our ability to operate our business.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WEBSITE REFERENCES</w:t>
      </w:r>
    </w:p>
    <w:p>
      <w:pPr>
        <w:spacing w:after="0" w:line="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this Annual Report on Form 10-K, we make references to our website at www.nkartatx.com. References to our website through this Annual Report on Form 10-K are provided for convenience only and the content on our website does not constitute a part of, and shall not be deemed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advancing the development of allogeneic, off-the-shelf engineered natural killer ("NK") cell therapies for the treatment of patients with autoimmune diseases or hematologic malignancies. Our company was founded on the belief that engineered NK cell therapies can transform the lives of patients by offering therapies that are clinically meaningful, broadly accessible and unencumbered by the safety concerns often associated with other cell therapy approaches. We are currently developing NKX019, a chimeric antigen receptor-natural killer ("CAR NK") product candidate targeting the CD19 antigen and NKX101, a CAR NK product candidate targeting cells that display NKG2D ligands. Both product candidates enable an on-demand, off-the-shelf approach involving scaled manufacturing to broaden patient access. NKX019 and NKX101 incorporate proprietary technologies that enable us to generate an abundant supply of NK cells, increase NK cell recognition of target antigens, enhance NK cell fitness, and freeze, store and thaw our engineered NK cells for off-the-shelf administration. Our product candidates are allogeneic, which means they are produced using cells from a different person than the patient(s) being treated, and they are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cancer, be well tolerated, and avoid some of the toxicities observed with other cell therapies. NKX019 is currently being studied in an ongoing Phase 1 clinical trial for certain B-cell malignancies, and preparations for a planned Phase 1 clinical trial of NKX019 for lupus nephritis ("LN") are underway. NKX101 has been studied in a Phase 1 clinical trial for certain hematologic malignancies, although we have closed patient enrollment and deprioritized the program as part of a pipeline realignment to direct primary resources to our lead pipeline program, NKX019, for the treatment of autoimmune disease.</w:t>
      </w:r>
    </w:p>
    <w:p>
      <w:pPr>
        <w:spacing w:after="0" w:line="19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modular engineering platform builds on the distinctive biology of NK cells and their role in eradicating aberrant and pathologically transformed cells. Our process starts with differentiated, mature NK cells derived from healthy donors. We build on the intrinsic ability of these immune cells to identify and kill transformed cells with cell engineering to further enhance their activity. This engineering involves a chimeric antigen receptor ("CAR") on the surface of an NK cell to enable the cell to recognize specific proteins or antigens that are present on the surface of tumor cells. Our engineered CAR NK cells generally consist of an NK cell engineered with a targeting receptor, OX40 costimulatory domain, CD3ζ(zeta) signaling moiety, and a membrane-bound form of the cytokine IL(interleukin)-15 ("mbIL-15").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Our NKX019 autoimmune program is based on the potential to eliminate the pathologic B cells that produce autoantibodies believed to underpin multiple autoimmune diseases via CD19 targeting. These autoantibodies, the immunologic hallmark of many autoimmune diseases, inappropriately recognize antigens expressed in healthy cells, causing various clinical syndromes from the resultant damage to normal tissues. Abnormal B cells are also the cause of multiple hematologic malignancies, including B-cell lymphoma. Approved CD19-directed cell therapies can eliminate these cancerous B cells, resulting in the possibility of durable complete responses in patients that are refractory to other therapies. Targeted depletion of cells from the B-cell lineage as a therapeutic mechanism is common to both autoimmune disease and B-cell malignancies. This observation, in addition to recent reported studies of patients with autoimmune diseases who had considerable clinical benefit following treatment with CD19-directed cell therapies, support our belief that NKX019 has the potential to be a disease-modifying therapy for autoimmune disease. In October 2023, we announced the clearance of an investigational new drug (“IND”) application by the United States Food and Drug Administration (“FDA”) to evaluate NKX019 for the treatment of LN. The multi-center dose escalation clinical trial will assess the safety, pharmacology, and preliminary clinical activity of NKX019 in patients with refractory LN.</w:t>
      </w:r>
    </w:p>
    <w:p>
      <w:pPr>
        <w:spacing w:after="0" w:line="6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therapeutic benefit of targeting CD19-positive B cells in patients with systemic lupus erythematosus ("SLE") has been reported in a recent academic study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in September 2022 (Mackensen et al. (2022) Nat. Med. 28:2124-2132). Five patients with severe refractory SLE with LN received an autologous CD19 CAR T-cell therapy following lymphodepleting conditioning ("LD") with fludarabine ("Flu")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cyclophosphamide ("Cy"). All patients showed significant clinical improvement in symptoms, including drug-free remissions after approximately three months. The CAR T cells expanded in all patients, with peak levels occurring around day 9, followed by a rapid decline. There was no high-grade cytokine release syndrome ("CRS"), no neurotoxicity, and no substantial elevation of serum IL-6 levels. Depletion of circulating B cells was rapid yet transient, with B cell numbers returning to normal within two to four months. This contrasts sharply with the CD19 CAR T-cell experience in B-cell malignancies, where B-cell suppression typically exceeds 18 months. Despite the limited persistence of CAR T cells and short-term B-cell suppression, all patients had seroconversion of anti-double-stranded DNA antibodies and ongoing disease control, even after B-cell recovery. A subsequent publication expanded this dataset to eight patients with SLE, all of whom had seroconversion and disease remission (Müller et al. (2024) N Engl J Med 390: 687-700). Median follow up in the group was 15 months with some patients having up to 29 months of remission.</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NKX019 oncology program is based on the potential to treat a variety of B-cell malignancies by targeting the CD19 antigen that is reliably expressed on these types of cancerous cells. Further, CD19-targeted engineered NK cells, T cells, and monoclonal antibodies have all demonstrated clinical activity. NKX019 is currently being studied in a Phase 1 clinical trial for the treatment of certain B-cell malignancies. This ongoing, first-in-human study evaluates the safety, pharmacology, and preliminary anti-tumor activity of NKX019, at multiple centers in the United States and Australia. The clinical trial consists of dose-finding followed by dose-expansion and is designed to identify the recommended Phase 2 dose.</w:t>
      </w:r>
    </w:p>
    <w:p>
      <w:pPr>
        <w:spacing w:after="0" w:line="18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NKX101 program is designed to enhance the power of innate NK cell biology to detect and kill cancerous cells. Many cancers lack a biologically dispensable antigen like CD19, making development of targeted cellular therapies or immunotherapies challenging. However, the primary activating receptor for NK cells, which is known as NKG2D, detects a group of stress ligands that are expressed on a variety of cancer subtypes. NKX101 has been in a multi-center Phase 1 clinical trial in the United States for the treatment of relapsed or refractory acute myeloid leukemia ("r/r AML") or higher risk myelodysplastic syndromes ("MDS"). This first-in-human study evaluated the safety, pharmacology, and preliminary anti-tumor activity of NKX101. The clinical trial consists of dose-finding followed by dose-expansion and is designed to identify the recommended Phase 2 dose. We have deprioritized the development of NKX101 while we explore options for implementing certain changes in that program.</w:t>
      </w:r>
    </w:p>
    <w:p>
      <w:pPr>
        <w:spacing w:after="0" w:line="18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As we pursue our goal of developing innovative and broadly accessible cell therapies, manufacturing capabilities and technology are a significant focus of our efforts. We are manufacturing clinical supply at one of our good manufacturing practice ("cGMP") facilities located in South San Francisco, California. We also recently completed construction of a new facility in South San Francisco to support pivotal clinical trials and potential commercial supply of our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are developing novel engineered, allogeneic, off-the-shelf cell therapies to improve the lives of autoimmune and cancer patients. Key elements of our strategy to achieve this include: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platform enlists natural, healthy human donor NK cells for optimal product candidates.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cell engineering platform utilizes healthy donors as our source for NK cells. By enlisting this natural source of NK cells, we start with bona fide NK cells endowed with inherent cytotoxic and tumor-recognizing capabilities. This contrasts with other more complex cell sources where these basic therapeutic features must be painstakingly designed and synthetically added to the cells. Donor-derived NK cells are also available in abundance, providing a large quantity of cells with which to begin each manufacturing run. Finally, healthy donor-derived adult cells consist of a diverse repertoire of NK cells. By utilizing a cell source that contains the full range of naturally occurring NK cells, we believe we can capitalize on the inherent diversity of the innate immune system and potentially select for different NK cell sub-populations with desired characteristics.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Prioritize development of NKX019 for lupus nephritis and evaluate other autoimmune indications.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NKX019 is designed to target CD19, which is expressed through certain stages of B-cell development. When aberrantly activated, B cells can produce autoantibodies that inappropriately recognize cell surface antigens on normal cells. These antibodies and resultant immune complexes can damage normal tissues and lead to autoimmune diseases, such as LN. Due to the broad expression of CD19 on B cells, the targeting and depletion of CD19-positive B cells has been proposed as a mechanism by which long-term drug-free remissions may be achieved in LN and other autoimmune diseases.</w:t>
      </w:r>
    </w:p>
    <w:p>
      <w:pPr>
        <w:spacing w:after="0" w:line="72" w:lineRule="exact"/>
        <w:rPr>
          <w:sz w:val="20"/>
          <w:szCs w:val="20"/>
          <w:color w:val="auto"/>
        </w:rPr>
      </w:pPr>
    </w:p>
    <w:p>
      <w:pPr>
        <w:jc w:val="both"/>
        <w:ind w:right="40" w:firstLine="509"/>
        <w:spacing w:after="0" w:line="255" w:lineRule="auto"/>
        <w:rPr>
          <w:sz w:val="20"/>
          <w:szCs w:val="20"/>
          <w:color w:val="auto"/>
        </w:rPr>
      </w:pPr>
      <w:r>
        <w:rPr>
          <w:rFonts w:ascii="Times New Roman" w:cs="Times New Roman" w:eastAsia="Times New Roman" w:hAnsi="Times New Roman"/>
          <w:sz w:val="18"/>
          <w:szCs w:val="18"/>
          <w:color w:val="auto"/>
        </w:rPr>
        <w:t>Autologous CAR T cell therapies have transformed the treatment landscape for certain blood cancers by targeting cancerous B cells via CD19. This approach also kills normal B cells in large numbers via an on-target, off-tumor effect. In those patients who respond to CD19-directed CAR T cell therapy, normal B cells are also depleted beyond detection in the blood. Recent academic studies have applied this approach of B-cell depletion to the treatment of patients with LN and other autoimmune diseases. In one published report, five patients with highly refractory LN had remarkable improvements in clinical symptoms and normalization of autoantibodies following a course of treatment with CD19 CAR T cells. Because the targeting of CD19 has demonstrated clinical activity with CAR T and CAR NK cell therapies, we believe that NKX019 presents an opportunity to treat a variety of autoimmune diseases while addressing the limitations of CAR T cell therapies.</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received FDA clearance for a dose-escalation Phase 1 clinical trial to study NKX019 for the treatment of refractory LN. We expect to dose the first patient in the clinical trial in the first half of 2024. We have shown that NKX019 is highly active in vitro against B cells from patients with different autoimmune diseases and are evaluating multiple potential autoimmune indications in addition to LN for potential clinical investigation.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Develop NKX019 for B-cell malignancies.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NKX019 is designed to target the clinically and commercially validated CD19 antigen that is found in different B-cell malignancies. Because the targeting of CD19 has demonstrated clinical activity with both CAR T and CAR NK cell therapies as well as monoclonal antibodies, we believe that NKX019 presents a potential opportunity to treat a variety of B-cell malignancies while addressing the limitations of existing autologous CAR T cell therapies. NKX019 is currently being investigated in a dose-expansion cohort of the ongoing Phase 1 clinical trial in patients with large B-cell lymphoma ("LBCL") following administration of LD. This cohort is proceeding with a compressed dosing schedule and enrolls patients who have failed autologous CD19 CAR T therapy.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Apply our NK cell engineering platform to build a broad pipeline of product candidates incorporating engineered NK cells.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proprietary NK cell engineering platform is based on a modular and generalizable approach that we believe enables us to generate new product candidates in a rapid and cost-efficient manner. Our engineered CAR NK cells generally consist of an NK cell engineered with a targeting receptor, OX40 costimulatory domain, CD3ζ(zeta) signaling moiety, and mbIL-15. We believe that the modular nature of our platform and the proprietary technologies we use for the multiplex engineering of NK cells are advantages that can support the rapid generation of new INDs for product candidates with enhanced properties and/or new targeting receptors for additional disease indications. With these attributes, we plan to continue to build out a pipeline with product candidates focused on novel targets as well as clinically and commercially validated targets.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 to build proprietary manufacturing capabilities to enable speed, control, flexibility, scalability, and cost efficiency.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believe that internal cGMP manufacturing capabilities will facilitate clinical product supply, lower the risk of manufacturing disruptions, and enable more cost-effective manufacturing for clinical and commercial supply of our product candidates. We currently manufacture our clinical drug supply at one of our clinical cGMP facilities in South San Francisco, California and recently completed construction on a new manufacturing facility designed for manufacture of our product candidates for pivotal clinical trials and potential commercial supply. In the future, we also intend to manufacture our proprietary, engineered K562 stimulatory cells ("NKSTIM") in house. We believe our current facilities will supply our anticipated non-pivotal and pivotal clinical trial needs, as well as our potential commercial launch needs.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298" w:lineRule="exact"/>
        <w:rPr>
          <w:sz w:val="20"/>
          <w:szCs w:val="20"/>
          <w:color w:val="auto"/>
        </w:rPr>
      </w:pPr>
    </w:p>
    <w:p>
      <w:pPr>
        <w:ind w:left="5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 to opportunistically evaluate enabling, adjacent or potential competing technologies, and where advantageous, seek licenses or collaborations regarding those technologies, to advance our platform.</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been engaged in discovery and preclinical stage activities directed at expanding our pipeline of product candidates. As part of our collaboration with CRISPR Therapeutics AG ("CRISPR"), we are developing an allogeneic, off-the-shelf CAR NK product candidate targeting the CD70 tumor antigen ("NKX070") for the treatment of solid and liquid tumors, and conducting discovery efforts for an allogeneic, off-the-shelf product candidate that comprises both engineered NK cells and engineered T cells ("NK+T") to take advantage of both the innate and adaptive immune systems. This NK+T program is designed to harness multiple aspects of human immunology to treat a variety of cancers. Additionally, our agreement with CRISPR includes licenses for additional gene editing targets and an additional co-development product.</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will continue to evaluate technologies that may enable or enhance our various product candidates, and we will maintain awareness of those that may provide a broader cell therapy engineering or manufacturing platform for us. To facilitate the advancement of our engineering and manufacturing platforms, we routinely engage in partnering and licensing discussions with a range of biotechnology or pharmaceutical companies and academic institutions.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Immune System, Cancer and Autoimmune Diseases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recent decades there has been a significant level of innovation and improvement in the treatment of different cancers with the introduction of new therapeutic approaches and the approval of new therapies. Despite these advances, many of the most common cancers remain burdened with substantial unmet medical need. Immuno-oncology therapies seek to stimulate or supplement a person’s own immune system to attack cancer cells selectively without affecting normal cells, or deliver certain immune system components in order to inhibit the spread of cancer. Immuno-oncology therapy has emerged as an important mode of cancer treatment, alongside more established options such as surgery, chemotherapy, targeted therapy and radiation therapy.</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immune system to recognize and destroy tumors has been known for decades. More recently, a growing understanding of molecular mechanisms underlying recognition of cancer cells by the immune system and their evasion of detection has allowed scientists to develop new classes of immuno-oncology therapies. These therapies either undermine the tumor’s ability to resist immune attack or enhance immune targeting and killing of cancer cells.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enhancement and engineering of immune effector cells to selectively target and kill pathologic cells has had a profound impact on the treatment of hematologic malignancies. This approach is now being investigated for its potential to “reset” the immune system in the context of autoimmune diseases. Several autoimmune diseases are associated with the production of autoantibodies that act against healthy cells and tissue. The use of immune effector cells to target the source of these autoantibodies is being explored as a potential disease modifying therapy for autoimmune disease.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Cellular Immunotherapies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Cellular immunotherapy involves engineering human cells to recognize and destroy diseased cells in a targeted manner. Most cellular immunotherapies are focused on modulating or enhancing the activity of different lymphocytes, a subtype of white blood cell that are responsible for defending the body against pathogens and other foreign material, as well as killing cancerous cells within the body. There are different classes of lymphocytes which differ in function. T cells are a type of lymphocyte that primarily serves to protect from infections such as bacteria, viruses, fungi, and parasites. Every T cell recognizes a specific antigen, or substances found on pathogens or other foreign material. This type of lymphocyte is activated and divides rapidly when it detects its specific antigen. Accordingly, T cells are the foundation of the adaptive immune system, selectively responding to different threats.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NK cells are the foundation of the innate immune system. While T cells are activated by unique antigens specific to each T cell, the activity of NK cells is tightly regulated by a common set of activating receptors on these cells that serve to improve recognition and killing of cancerous or virally infected cells, as well as a set of inhibitory receptors that help identify healthy cells. This balance of inhibition and activation spares healthy cells from the surveillance and killing effects of the innate immune system. The primary activating receptor for NK cells is known as NKG2D and functions by detecting eight known stress ligands, or signals that cancerous or virally infected cells typically produce in higher numbers. The detection of these stress ligands by NKG2D on the surface of the NK cells is the primary basis for tumor surveillance by NK cells and is the basis of the mechanism of action for our product candidate NKX101.</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 frequently used approach for cellular immunotherapy involves engineering CARs on the surface of a lymphocyte that enable the cell to recognize specific proteins or antigens that are present on the surface of diseased cells. The concept of a CAR builds upon and enhances the normal biology of T cells and NK cells, whereby naturally occurring receptors serve to activate these cells when a foreign pathogen or transformed cell is detected. The key components of CARs used today often include the following elements:</w:t>
      </w:r>
    </w:p>
    <w:p>
      <w:pPr>
        <w:spacing w:after="0" w:line="68" w:lineRule="exact"/>
        <w:rPr>
          <w:sz w:val="20"/>
          <w:szCs w:val="20"/>
          <w:color w:val="auto"/>
        </w:rPr>
      </w:pPr>
    </w:p>
    <w:p>
      <w:pPr>
        <w:ind w:left="1020" w:right="200" w:hanging="503"/>
        <w:spacing w:after="0" w:line="26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binding domain. </w:t>
      </w:r>
      <w:r>
        <w:rPr>
          <w:rFonts w:ascii="Times New Roman" w:cs="Times New Roman" w:eastAsia="Times New Roman" w:hAnsi="Times New Roman"/>
          <w:sz w:val="18"/>
          <w:szCs w:val="18"/>
          <w:color w:val="auto"/>
        </w:rPr>
        <w:t>At one end of the CAR is a binding domain that is specific to a target antigen or protein. This domain extends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surface of the engineered lymphocyte, where it can recognize the target antigen or antigens. The target binding domain may be based upon a binder derived from a monoclonal antibody against a target antigen, such as the CD19 binder for NKX019, or a naturally occurring receptor, such as the NKG2D receptor for NKX101.</w:t>
      </w:r>
    </w:p>
    <w:p>
      <w:pPr>
        <w:spacing w:after="0" w:line="68"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Transmembrane domain and hinge. </w:t>
      </w:r>
      <w:r>
        <w:rPr>
          <w:rFonts w:ascii="Times New Roman" w:cs="Times New Roman" w:eastAsia="Times New Roman" w:hAnsi="Times New Roman"/>
          <w:sz w:val="18"/>
          <w:szCs w:val="18"/>
          <w:color w:val="auto"/>
        </w:rPr>
        <w:t>This middle portion of the CAR links the target binding domain to the activating elements inside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This transmembrane domain anchors the CAR in the cell’s membrane. In addition, the transmembrane domain may also interact with other transmembrane proteins that enhance CAR function. The hinge domain, which extends to the exterior of the cell, connects the transmembrane domain to the receptor and provides structural flexibility to facilitate binding to the target antigen on the surface of the cancer cell.</w:t>
      </w:r>
    </w:p>
    <w:p>
      <w:pPr>
        <w:spacing w:after="0" w:line="71" w:lineRule="exact"/>
        <w:rPr>
          <w:rFonts w:ascii="Times New Roman" w:cs="Times New Roman" w:eastAsia="Times New Roman" w:hAnsi="Times New Roman"/>
          <w:sz w:val="18"/>
          <w:szCs w:val="18"/>
          <w:color w:val="auto"/>
        </w:rPr>
      </w:pPr>
    </w:p>
    <w:p>
      <w:pPr>
        <w:ind w:left="1020" w:right="60" w:hanging="503"/>
        <w:spacing w:after="0" w:line="25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Activating domains. </w:t>
      </w:r>
      <w:r>
        <w:rPr>
          <w:rFonts w:ascii="Times New Roman" w:cs="Times New Roman" w:eastAsia="Times New Roman" w:hAnsi="Times New Roman"/>
          <w:sz w:val="18"/>
          <w:szCs w:val="18"/>
          <w:color w:val="auto"/>
        </w:rPr>
        <w:t>The other end of the CAR, inside the lymphocyte, includes domains responsible for activating the lymphocyte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CAR binds to its target antigen. The first, found in almost all CAR constructs, is called CD3ζ(zeta) and is the natural basis for lymphocyte activation. The second, called a costimulatory domain, is found in the most recent generation of CARs under development today and provides an additional activating signal. Together, these signals trigger lymphocyte activation, resulting in proliferation of the CAR cells and killing of the diseased cells. In addition, activated CAR cells stimulate the secretion of cytokines and other molecules that can thereby recruit and activate additional immune cells to increase killing of the diseased cells.</w:t>
      </w:r>
    </w:p>
    <w:p>
      <w:pPr>
        <w:spacing w:after="0" w:line="1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has approved six CAR-based T-cell therapies for the treatment of certain types of cancer affecting B cells. Each of these therapies is an autologous therapy, or derived from a patient’s own cells, which necessitates a complex, individualized manufacturing process for every patient treated. The approvals of these patient-specific cell therapies were a landmark event for many reasons, including the ability to treat and provide long-term remission for otherwise deadly disease; achieving the run-to-run product consistency required by the FDA despite the complex manufacturing required; and achieving successful reimbursement in the United States and other countries of several hundred thousand dollars per treatment.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Current CAR T Therapies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Despite the ability of the approved autologous CAR T therapies to achieve anti-tumor responses and extend the survival of patients with advanced B-cell malignancies, the accessibility of these cell therapies remains limited. Only a minority of eligible patients who might benefit from currently approved cell therapies are able to receive them. These therapies have certain features that are believed to limit their accessibility and broader adoption. These features include:</w:t>
      </w:r>
    </w:p>
    <w:p>
      <w:pPr>
        <w:spacing w:after="0" w:line="68" w:lineRule="exact"/>
        <w:rPr>
          <w:sz w:val="20"/>
          <w:szCs w:val="20"/>
          <w:color w:val="auto"/>
        </w:rPr>
      </w:pPr>
    </w:p>
    <w:p>
      <w:pPr>
        <w:ind w:left="1020" w:right="28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Adverse events. </w:t>
      </w:r>
      <w:r>
        <w:rPr>
          <w:rFonts w:ascii="Times New Roman" w:cs="Times New Roman" w:eastAsia="Times New Roman" w:hAnsi="Times New Roman"/>
          <w:sz w:val="18"/>
          <w:szCs w:val="18"/>
          <w:color w:val="auto"/>
        </w:rPr>
        <w:t>According to the product labels for the three CAR T therapies approved for non-Hodgkin lymphoma ("NHL"), CRS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in 46% to 94% of patients treated in the respective pivotal clinical trials. In addition, neurotoxicity was seen in 35% to 87% of patients treated in such trials. Because of the frequency and severity of these adverse events, patients treated with the approved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jc w:val="both"/>
        <w:ind w:left="1020" w:right="140"/>
        <w:spacing w:after="0" w:line="282" w:lineRule="auto"/>
        <w:rPr>
          <w:sz w:val="20"/>
          <w:szCs w:val="20"/>
          <w:color w:val="auto"/>
        </w:rPr>
      </w:pPr>
      <w:r>
        <w:rPr>
          <w:rFonts w:ascii="Times New Roman" w:cs="Times New Roman" w:eastAsia="Times New Roman" w:hAnsi="Times New Roman"/>
          <w:sz w:val="18"/>
          <w:szCs w:val="18"/>
          <w:color w:val="auto"/>
        </w:rPr>
        <w:t>CAR T therapies can require lengthy hospitalization and costly ancillary care. In 2024, the FDA required that a boxed warning be added on all approved CAR T therapies for B-cell malignances to reflect the risk of secondary T-cell malignancies occurring after CAR T treatment.</w:t>
      </w:r>
    </w:p>
    <w:p>
      <w:pPr>
        <w:spacing w:after="0" w:line="50" w:lineRule="exact"/>
        <w:rPr>
          <w:sz w:val="20"/>
          <w:szCs w:val="20"/>
          <w:color w:val="auto"/>
        </w:rPr>
      </w:pPr>
    </w:p>
    <w:p>
      <w:pPr>
        <w:ind w:left="1020" w:right="1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Availability restricted to select centers. </w:t>
      </w:r>
      <w:r>
        <w:rPr>
          <w:rFonts w:ascii="Times New Roman" w:cs="Times New Roman" w:eastAsia="Times New Roman" w:hAnsi="Times New Roman"/>
          <w:sz w:val="18"/>
          <w:szCs w:val="18"/>
          <w:color w:val="auto"/>
        </w:rPr>
        <w:t>As a condition of FDA approval, treatment with approved CAR T therapies is currently limited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 centers due to safety, logistical and regulatory reasons under a Risk Evaluation and Mitigation Strategy ("REMS") Program.</w:t>
      </w:r>
    </w:p>
    <w:p>
      <w:pPr>
        <w:spacing w:after="0" w:line="46" w:lineRule="exact"/>
        <w:rPr>
          <w:rFonts w:ascii="Times New Roman" w:cs="Times New Roman" w:eastAsia="Times New Roman" w:hAnsi="Times New Roman"/>
          <w:sz w:val="18"/>
          <w:szCs w:val="18"/>
          <w:color w:val="auto"/>
        </w:rPr>
      </w:pPr>
    </w:p>
    <w:p>
      <w:pPr>
        <w:ind w:left="1020" w:right="10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Accessibility further compromised by lengthy manufacturing time. </w:t>
      </w:r>
      <w:r>
        <w:rPr>
          <w:rFonts w:ascii="Times New Roman" w:cs="Times New Roman" w:eastAsia="Times New Roman" w:hAnsi="Times New Roman"/>
          <w:sz w:val="18"/>
          <w:szCs w:val="18"/>
          <w:color w:val="auto"/>
        </w:rPr>
        <w:t>Due to the individualized manufacturing process, patients must wait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two to four weeks to be treated with their engineered cells. In the registrational trials for the first four approved CAR T therapies, 7% to 34% of enrolled patients did not receive CAR T cells, for reasons including manufacturing failure as well as patient progression or death while waiting for manufacturing.</w:t>
      </w:r>
    </w:p>
    <w:p>
      <w:pPr>
        <w:spacing w:after="0" w:line="68" w:lineRule="exact"/>
        <w:rPr>
          <w:rFonts w:ascii="Times New Roman" w:cs="Times New Roman" w:eastAsia="Times New Roman" w:hAnsi="Times New Roman"/>
          <w:sz w:val="18"/>
          <w:szCs w:val="18"/>
          <w:color w:val="auto"/>
        </w:rPr>
      </w:pPr>
    </w:p>
    <w:p>
      <w:pPr>
        <w:ind w:left="1020" w:right="40" w:hanging="503"/>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manufacturing complexity and cost. </w:t>
      </w:r>
      <w:r>
        <w:rPr>
          <w:rFonts w:ascii="Times New Roman" w:cs="Times New Roman" w:eastAsia="Times New Roman" w:hAnsi="Times New Roman"/>
          <w:sz w:val="18"/>
          <w:szCs w:val="18"/>
          <w:color w:val="auto"/>
        </w:rPr>
        <w:t>The manufacture of autologous T cell therapy is individualized and labor-intensive.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of T cells through leukapheresis from each individual patient is a time-consuming and costly step in the autologous manufacturing process. In contrast to traditional pharmaceutical manufacturing where a single manufacturing run generates product for hundreds or thousands of patients, a full manufacturing run of autologous T cell therapy generates product for a single patient. In addition, autologous T cell therapy requires specialized infrastructure to maintain a strict chain of custody and identity of patient cells throughout collection, manufacturing and delivery, adding significant cost to the process and limiting the ability to scale.</w:t>
      </w:r>
    </w:p>
    <w:p>
      <w:pPr>
        <w:spacing w:after="0" w:line="18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These limitations are difficult to address as many are inherent to fundamental aspects of T cell biology. CRS, which accounts for many of the adverse events which in part limit availability, is believed to be a consequence of the exponential expansion of T cells upon detection of a target antigen. Manufacturing time, product variability, and cost are due in great part to the autologous nature of approved CAR-T therapies.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Allogeneic NK Cell Therapies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development of allogeneic, off-the-shelf cell therapies addresses certain limitations of autologous CAR T cells by offering these potential advantages:</w:t>
      </w:r>
    </w:p>
    <w:p>
      <w:pPr>
        <w:spacing w:after="0" w:line="50" w:lineRule="exact"/>
        <w:rPr>
          <w:sz w:val="20"/>
          <w:szCs w:val="20"/>
          <w:color w:val="auto"/>
        </w:rPr>
      </w:pPr>
    </w:p>
    <w:p>
      <w:pPr>
        <w:ind w:left="102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Tolerability. </w:t>
      </w:r>
      <w:r>
        <w:rPr>
          <w:rFonts w:ascii="Times New Roman" w:cs="Times New Roman" w:eastAsia="Times New Roman" w:hAnsi="Times New Roman"/>
          <w:sz w:val="18"/>
          <w:szCs w:val="18"/>
          <w:color w:val="auto"/>
        </w:rPr>
        <w:t>In initial clinical data reported by us and others, patients who received allogeneic NK cell therapies did not experience the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severe adverse events that are commonly associated with approved autologous CAR T cell therapies. This emerging safety profile of allogeneic NK cell therapies may enable their use in outpatient settings and broader access to treatment.</w:t>
      </w:r>
    </w:p>
    <w:p>
      <w:pPr>
        <w:spacing w:after="0" w:line="62" w:lineRule="exact"/>
        <w:rPr>
          <w:rFonts w:ascii="Times New Roman" w:cs="Times New Roman" w:eastAsia="Times New Roman" w:hAnsi="Times New Roman"/>
          <w:sz w:val="18"/>
          <w:szCs w:val="18"/>
          <w:color w:val="auto"/>
        </w:rPr>
      </w:pPr>
    </w:p>
    <w:p>
      <w:pPr>
        <w:ind w:left="1020" w:right="80" w:hanging="503"/>
        <w:spacing w:after="0" w:line="28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Availability. </w:t>
      </w:r>
      <w:r>
        <w:rPr>
          <w:rFonts w:ascii="Times New Roman" w:cs="Times New Roman" w:eastAsia="Times New Roman" w:hAnsi="Times New Roman"/>
          <w:sz w:val="18"/>
          <w:szCs w:val="18"/>
          <w:color w:val="auto"/>
        </w:rPr>
        <w:t>Because an allogeneic NK cell therapy is produced in quantity then frozen in advance of patient need, it would be available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on-demand administration to patients in an outpatient setting.</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Consistency. </w:t>
      </w:r>
      <w:r>
        <w:rPr>
          <w:rFonts w:ascii="Times New Roman" w:cs="Times New Roman" w:eastAsia="Times New Roman" w:hAnsi="Times New Roman"/>
          <w:sz w:val="18"/>
          <w:szCs w:val="18"/>
          <w:color w:val="auto"/>
        </w:rPr>
        <w:t>By using true NK cells from a healthy donor as starting material, and producing large numbers of doses per manufacturing run,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allogeneic NK cell therapy provides the opportunity for more rigorous quality control and release of consistent engineered cells.</w:t>
      </w:r>
    </w:p>
    <w:p>
      <w:pPr>
        <w:spacing w:after="0" w:line="46" w:lineRule="exact"/>
        <w:rPr>
          <w:rFonts w:ascii="Times New Roman" w:cs="Times New Roman" w:eastAsia="Times New Roman" w:hAnsi="Times New Roman"/>
          <w:sz w:val="18"/>
          <w:szCs w:val="18"/>
          <w:color w:val="auto"/>
        </w:rPr>
      </w:pPr>
    </w:p>
    <w:p>
      <w:pPr>
        <w:ind w:left="1020" w:right="380" w:hanging="503"/>
        <w:spacing w:after="0" w:line="28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manufacturing. </w:t>
      </w:r>
      <w:r>
        <w:rPr>
          <w:rFonts w:ascii="Times New Roman" w:cs="Times New Roman" w:eastAsia="Times New Roman" w:hAnsi="Times New Roman"/>
          <w:sz w:val="18"/>
          <w:szCs w:val="18"/>
          <w:color w:val="auto"/>
        </w:rPr>
        <w:t>An allogeneic NK cell therapy provides an opportunity to spread manufacturing costs across a large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doses, thereby significantly lowering the cost per dose produced.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 for Engineered NK Cells in Treating Autoimmune Disease</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Early studies using CD19-directed CAR T-cell therapies provide important proof of concept for disease modification in autoimmune diseases. In addition, some features of NK cells are potentially advantageous, as compared to T cells.</w:t>
      </w:r>
    </w:p>
    <w:p>
      <w:pPr>
        <w:spacing w:after="0" w:line="50" w:lineRule="exact"/>
        <w:rPr>
          <w:sz w:val="20"/>
          <w:szCs w:val="20"/>
          <w:color w:val="auto"/>
        </w:rPr>
      </w:pPr>
    </w:p>
    <w:p>
      <w:pPr>
        <w:ind w:left="1020" w:right="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Well-defined target. </w:t>
      </w:r>
      <w:r>
        <w:rPr>
          <w:rFonts w:ascii="Times New Roman" w:cs="Times New Roman" w:eastAsia="Times New Roman" w:hAnsi="Times New Roman"/>
          <w:sz w:val="18"/>
          <w:szCs w:val="18"/>
          <w:color w:val="auto"/>
        </w:rPr>
        <w:t>Targeting CD19 cells can lead to a deep suppression of the B cells that produce pathogenic autoantibodies. Despite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transient suppression afforded by cell therapy thus far, some patients have shown sustained drug-free remissions that persist after recovery. This has potential applicability to multiple autoimmune diseases that are similarly driven by autoantibodies.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82" w:lineRule="exact"/>
        <w:rPr>
          <w:sz w:val="20"/>
          <w:szCs w:val="20"/>
          <w:color w:val="auto"/>
        </w:rPr>
      </w:pPr>
    </w:p>
    <w:p>
      <w:pPr>
        <w:ind w:left="1020" w:right="260" w:hanging="503"/>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Supportive data. </w:t>
      </w:r>
      <w:r>
        <w:rPr>
          <w:rFonts w:ascii="Times New Roman" w:cs="Times New Roman" w:eastAsia="Times New Roman" w:hAnsi="Times New Roman"/>
          <w:sz w:val="18"/>
          <w:szCs w:val="18"/>
          <w:color w:val="auto"/>
        </w:rPr>
        <w:t>NKX019 has been extensively evaluated in clinical and pre-clinical settings. In our NKX019 clinical trial in oncology,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NKX019 drove responses in patients with various refractory B-cell malignancies. Further,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reveal consistent sensitivity to B cells collected from patients with various autoimmune diseases.</w:t>
      </w:r>
    </w:p>
    <w:p>
      <w:pPr>
        <w:spacing w:after="0" w:line="62" w:lineRule="exact"/>
        <w:rPr>
          <w:rFonts w:ascii="Times New Roman" w:cs="Times New Roman" w:eastAsia="Times New Roman" w:hAnsi="Times New Roman"/>
          <w:sz w:val="18"/>
          <w:szCs w:val="18"/>
          <w:color w:val="auto"/>
        </w:rPr>
      </w:pPr>
    </w:p>
    <w:p>
      <w:pPr>
        <w:ind w:left="1020" w:right="4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 cell susceptibility. </w:t>
      </w:r>
      <w:r>
        <w:rPr>
          <w:rFonts w:ascii="Times New Roman" w:cs="Times New Roman" w:eastAsia="Times New Roman" w:hAnsi="Times New Roman"/>
          <w:sz w:val="18"/>
          <w:szCs w:val="18"/>
          <w:color w:val="auto"/>
        </w:rPr>
        <w:t>Pathogenic B cells that secret autoantibody may be more susceptible to NK-mediated killing than cancer cells.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Malignant B cells have multiple pathways for evading killing, including antigen escape via downregulation or loss of CD19 expression and growth in a tumor cluster which offers a relatively immunosuppressive and inaccessible tumor microenvironment, none of which is expected in non-malignant B cells, although NKX019 can target cells expressing low levels of CD19. Further, the cell burden of target cells is generally much lower at the time of treatment in autoimmune disease than in B-cell malignancies, thereby increasing the expected effector to target ratio of NKX019 in contrast to the antigen-dependent activation and expansion required by CD19-directed CAR T therapies.</w:t>
      </w:r>
    </w:p>
    <w:p>
      <w:pPr>
        <w:spacing w:after="0" w:line="74" w:lineRule="exact"/>
        <w:rPr>
          <w:rFonts w:ascii="Times New Roman" w:cs="Times New Roman" w:eastAsia="Times New Roman" w:hAnsi="Times New Roman"/>
          <w:sz w:val="18"/>
          <w:szCs w:val="18"/>
          <w:color w:val="auto"/>
        </w:rPr>
      </w:pPr>
    </w:p>
    <w:p>
      <w:pPr>
        <w:ind w:left="1020" w:right="40" w:hanging="503"/>
        <w:spacing w:after="0" w:line="26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Tissue trafficking and penetration. </w:t>
      </w:r>
      <w:r>
        <w:rPr>
          <w:rFonts w:ascii="Times New Roman" w:cs="Times New Roman" w:eastAsia="Times New Roman" w:hAnsi="Times New Roman"/>
          <w:sz w:val="18"/>
          <w:szCs w:val="18"/>
          <w:color w:val="auto"/>
        </w:rPr>
        <w:t>NK cells traffic to nearly every tissue in the body, including immune-privileged sites that are known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isolated from the rest of the body’s immune system. In addition, malignant B cells provide a proxy for trafficking of B cells, and NKX019 has driven complete responses in patients with NHL despite widespread malignant B cell (blood, bone marrow, lymph nodes, secondary lymphoid tissue, extra-nodal sites).</w:t>
      </w:r>
    </w:p>
    <w:p>
      <w:pPr>
        <w:spacing w:after="0" w:line="68" w:lineRule="exact"/>
        <w:rPr>
          <w:rFonts w:ascii="Times New Roman" w:cs="Times New Roman" w:eastAsia="Times New Roman" w:hAnsi="Times New Roman"/>
          <w:sz w:val="18"/>
          <w:szCs w:val="18"/>
          <w:color w:val="auto"/>
        </w:rPr>
      </w:pPr>
    </w:p>
    <w:p>
      <w:pPr>
        <w:ind w:left="1020" w:right="600" w:hanging="503"/>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Immediate activity. </w:t>
      </w:r>
      <w:r>
        <w:rPr>
          <w:rFonts w:ascii="Times New Roman" w:cs="Times New Roman" w:eastAsia="Times New Roman" w:hAnsi="Times New Roman"/>
          <w:sz w:val="18"/>
          <w:szCs w:val="18"/>
          <w:color w:val="auto"/>
        </w:rPr>
        <w:t>NK cells do not require expansion for maximal activity and peak exposure occurs near the time of infusion.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explosive growth of T cells is believed to be the basis of both their activity and the risk of CRS and immune effector cell-associated neurotoxicity syndrome ("ICANS") associated with CAR T cell therapy.</w:t>
      </w:r>
    </w:p>
    <w:p>
      <w:pPr>
        <w:spacing w:after="0" w:line="62"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Disease tailored LD</w:t>
      </w:r>
      <w:r>
        <w:rPr>
          <w:rFonts w:ascii="Times New Roman" w:cs="Times New Roman" w:eastAsia="Times New Roman" w:hAnsi="Times New Roman"/>
          <w:sz w:val="18"/>
          <w:szCs w:val="18"/>
          <w:color w:val="auto"/>
        </w:rPr>
        <w:t>. Adoptive cell therapy typically requires LD, which is preparative chemotherapy often with Cy and Flu, to provide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optimal cytokine milieu and suppress the host immune response. However, the pharmacokinetics of NK cells and T cells differ, enabling alternative LD approaches to address these differences. Specifically, the early peak exposure and mbIL-15 engineering of NKX019 allow evaluation of single agent LD with Cy. A Flu-sparing LD regimen would eliminate potential toxicities of this agent, including cytopenias and MDS. Further, Cy is already used by specialist providers for various autoimmune conditions and may provide an opportunity for expanding this potentially disease-modifying to multiple other areas of high unmet need beyond SLE.</w:t>
      </w:r>
    </w:p>
    <w:p>
      <w:pPr>
        <w:spacing w:after="0" w:line="74" w:lineRule="exact"/>
        <w:rPr>
          <w:rFonts w:ascii="Times New Roman" w:cs="Times New Roman" w:eastAsia="Times New Roman" w:hAnsi="Times New Roman"/>
          <w:sz w:val="18"/>
          <w:szCs w:val="18"/>
          <w:color w:val="auto"/>
        </w:rPr>
      </w:pPr>
    </w:p>
    <w:p>
      <w:pPr>
        <w:ind w:left="1020" w:hanging="503"/>
        <w:spacing w:after="0" w:line="26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On-demand availability. </w:t>
      </w:r>
      <w:r>
        <w:rPr>
          <w:rFonts w:ascii="Times New Roman" w:cs="Times New Roman" w:eastAsia="Times New Roman" w:hAnsi="Times New Roman"/>
          <w:sz w:val="18"/>
          <w:szCs w:val="18"/>
          <w:color w:val="auto"/>
        </w:rPr>
        <w:t>Because an allogeneic NK cell therapy is produced in quantity then frozen in advance of patient need, it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on-demand administration to patients, potentially in an outpatient setting, where patients with autoimmune diseases are typically treated. This approach also eliminates the need for infrastructure to support apheresis and other facets of bespoke manufacturing, lowering the burden for providers and facilities to deliver therapy.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 for Engineered NK Cells in Treating Cancer</w:t>
      </w:r>
    </w:p>
    <w:p>
      <w:pPr>
        <w:spacing w:after="0" w:line="12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The development of CAR NK therapies can capitalize on the knowledge and experience gained from decades of CAR T research. Furthermore, the biology of NK cells offers potential advantages as the starting cell type for allogeneic, off-the-shelf engineered cell therapy. These advantages include:</w:t>
      </w:r>
    </w:p>
    <w:p>
      <w:pPr>
        <w:spacing w:after="0" w:line="28" w:lineRule="exact"/>
        <w:rPr>
          <w:sz w:val="20"/>
          <w:szCs w:val="20"/>
          <w:color w:val="auto"/>
        </w:rPr>
      </w:pPr>
    </w:p>
    <w:p>
      <w:pPr>
        <w:ind w:left="1020" w:right="40" w:hanging="503"/>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Inherent anticancer activity. </w:t>
      </w:r>
      <w:r>
        <w:rPr>
          <w:rFonts w:ascii="Times New Roman" w:cs="Times New Roman" w:eastAsia="Times New Roman" w:hAnsi="Times New Roman"/>
          <w:sz w:val="18"/>
          <w:szCs w:val="18"/>
          <w:color w:val="auto"/>
        </w:rPr>
        <w:t>We conducted a systematic literature review of published clinical trial results of allogeneic NK cells in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identified a 34% composite response rate ("Aggregate CR Rate") among 103 patients with r/r AML who were treated with non-engineered NK cells across six academic clinical studies. The Aggregate CR Rate includes complete remission with hematologic recovery ("CR"), complete remission with incomplete count (hematologic) recovery (“CRi”), and morphologic leukemia free state. These data demonstrate the anticancer activity of endogenous NK cells and support the opportunity for increasing the activity of NK cells through engineering.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2" w:lineRule="exact"/>
        <w:rPr>
          <w:sz w:val="20"/>
          <w:szCs w:val="20"/>
          <w:color w:val="auto"/>
        </w:rPr>
      </w:pPr>
    </w:p>
    <w:p>
      <w:pPr>
        <w:ind w:left="1020" w:right="140" w:hanging="503"/>
        <w:spacing w:after="0" w:line="26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Allogeneic and off-the-shelf without genome editing or other modifications. </w:t>
      </w:r>
      <w:r>
        <w:rPr>
          <w:rFonts w:ascii="Times New Roman" w:cs="Times New Roman" w:eastAsia="Times New Roman" w:hAnsi="Times New Roman"/>
          <w:sz w:val="18"/>
          <w:szCs w:val="18"/>
          <w:color w:val="auto"/>
        </w:rPr>
        <w:t>Because NK cells are not generally activated by “non-self”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cells, further modification of NK cells is not necessary to avoid the risk of Graft-versus-host disease ("GvHD") and thereby produce an allogeneic, off-the-shelf engineered NK cell therapy.</w:t>
      </w:r>
    </w:p>
    <w:p>
      <w:pPr>
        <w:spacing w:after="0" w:line="62" w:lineRule="exact"/>
        <w:rPr>
          <w:rFonts w:ascii="Times New Roman" w:cs="Times New Roman" w:eastAsia="Times New Roman" w:hAnsi="Times New Roman"/>
          <w:sz w:val="18"/>
          <w:szCs w:val="18"/>
          <w:color w:val="auto"/>
        </w:rPr>
      </w:pPr>
    </w:p>
    <w:p>
      <w:pPr>
        <w:ind w:left="1020" w:hanging="503"/>
        <w:spacing w:after="0" w:line="26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Modest clonal expansion and therefore potential for reduced CRS risk. </w:t>
      </w:r>
      <w:r>
        <w:rPr>
          <w:rFonts w:ascii="Times New Roman" w:cs="Times New Roman" w:eastAsia="Times New Roman" w:hAnsi="Times New Roman"/>
          <w:sz w:val="18"/>
          <w:szCs w:val="18"/>
          <w:color w:val="auto"/>
        </w:rPr>
        <w:t>While T cells experience exponential growth when activated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antigen, NK cells expand only modestly upon activation. The explosive growth of T cells is believed to be the basis of the risk of CRS when CAR T cells are administered to patients. However, a significant incidence of CRS has not been reported in medical literature for NK cell therapy or by us in initial clinical data reported in 2022.</w:t>
      </w:r>
    </w:p>
    <w:p>
      <w:pPr>
        <w:spacing w:after="0" w:line="68" w:lineRule="exact"/>
        <w:rPr>
          <w:rFonts w:ascii="Times New Roman" w:cs="Times New Roman" w:eastAsia="Times New Roman" w:hAnsi="Times New Roman"/>
          <w:sz w:val="18"/>
          <w:szCs w:val="18"/>
          <w:color w:val="auto"/>
        </w:rPr>
      </w:pPr>
    </w:p>
    <w:p>
      <w:pPr>
        <w:ind w:left="1020" w:right="380" w:hanging="503"/>
        <w:spacing w:after="0" w:line="26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of activation and inhibition. </w:t>
      </w:r>
      <w:r>
        <w:rPr>
          <w:rFonts w:ascii="Times New Roman" w:cs="Times New Roman" w:eastAsia="Times New Roman" w:hAnsi="Times New Roman"/>
          <w:sz w:val="18"/>
          <w:szCs w:val="18"/>
          <w:color w:val="auto"/>
        </w:rPr>
        <w:t>The activity of NK cells is tightly regulated by a common set of activating receptors that serve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 and kill cancerous or virally infected cells, as well as a set of inhibitory receptors that identify healthy cells from the same individual. This balance of inhibition and activation spares healthy cells from the surveillance and killing effects of the innate immune system. Therefore, the fundamental biology of CAR NK cells drives their ability to discriminate between healthy and tumor cells.</w:t>
      </w:r>
    </w:p>
    <w:p>
      <w:pPr>
        <w:spacing w:after="0" w:line="68"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overcome tumor evasion of the immune system. </w:t>
      </w:r>
      <w:r>
        <w:rPr>
          <w:rFonts w:ascii="Times New Roman" w:cs="Times New Roman" w:eastAsia="Times New Roman" w:hAnsi="Times New Roman"/>
          <w:sz w:val="18"/>
          <w:szCs w:val="18"/>
          <w:color w:val="auto"/>
        </w:rPr>
        <w:t>Many solid tumors are able to evade the immune system by creating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immunosuppressive environment around the cancerous cells, which can dramatically reduce the normal tumor-killing ability of the immune system. This tumor microenvironment involves down-regulators of immune response, including regulatory T cells and myeloid-derived suppressor cells. However, these cell types also display NKG2D ligands, and preclinical models show that clearance of these cells can reduce immune suppression from the tumor microenvironment. Therefore, by acting through NKG2D, CAR NK cells may be able to reduce the immune suppression of the tumor microenvironment, and therefore uncover a broader opportunity for immuno-oncology cell therapy development for the treatment of solid tumors.</w:t>
      </w:r>
    </w:p>
    <w:p>
      <w:pPr>
        <w:spacing w:after="0" w:line="74"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re-dose to deepen or consolidate patient responses. </w:t>
      </w:r>
      <w:r>
        <w:rPr>
          <w:rFonts w:ascii="Times New Roman" w:cs="Times New Roman" w:eastAsia="Times New Roman" w:hAnsi="Times New Roman"/>
          <w:sz w:val="18"/>
          <w:szCs w:val="18"/>
          <w:color w:val="auto"/>
        </w:rPr>
        <w:t>NK cells provide a unique opportunity to optimize responses and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toxicities through re-dosing and retreatment. The favorable safety profile of NK cells observed to date combined with their off-the-shelf availability allows patients who achieve a partial response to be treated again to potentially deepen their response, and for those patients who achieve a complete response, additional doses of cells can be administered to consolidate their response. Retreatment is also possible in patients who progress after clinical benefit.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Challenges with Developing NK Cell Therapies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emerging data from our clinical trials of NK cell products along with the prior academic experience with NK cells validate the opportunity for NK cells for the treatment of different cancers. To achieve a commercially viable engineered NK cell therapy, we believe that a number of challenges inherent with NK cells must be addressed. These include the following:</w:t>
      </w:r>
    </w:p>
    <w:p>
      <w:pPr>
        <w:spacing w:after="0" w:line="64" w:lineRule="exact"/>
        <w:rPr>
          <w:sz w:val="20"/>
          <w:szCs w:val="20"/>
          <w:color w:val="auto"/>
        </w:rPr>
      </w:pPr>
    </w:p>
    <w:p>
      <w:pPr>
        <w:jc w:val="both"/>
        <w:ind w:left="1020" w:right="200" w:hanging="503"/>
        <w:spacing w:after="0" w:line="26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Expansion. </w:t>
      </w:r>
      <w:r>
        <w:rPr>
          <w:rFonts w:ascii="Times New Roman" w:cs="Times New Roman" w:eastAsia="Times New Roman" w:hAnsi="Times New Roman"/>
          <w:sz w:val="18"/>
          <w:szCs w:val="18"/>
          <w:color w:val="auto"/>
        </w:rPr>
        <w:t>One of the historical challenges in treating patients with NK cells has been the lack of robust techniques to grow these cells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large numbers without causing exhaustion, or the inability of the expanded NK cells to kill target cells with the same potency as native NK cells.</w:t>
      </w:r>
    </w:p>
    <w:p>
      <w:pPr>
        <w:spacing w:after="0" w:line="62" w:lineRule="exact"/>
        <w:rPr>
          <w:rFonts w:ascii="Times New Roman" w:cs="Times New Roman" w:eastAsia="Times New Roman" w:hAnsi="Times New Roman"/>
          <w:sz w:val="18"/>
          <w:szCs w:val="18"/>
          <w:color w:val="auto"/>
        </w:rPr>
      </w:pPr>
    </w:p>
    <w:p>
      <w:pPr>
        <w:ind w:left="1020" w:right="38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Engineering. </w:t>
      </w:r>
      <w:r>
        <w:rPr>
          <w:rFonts w:ascii="Times New Roman" w:cs="Times New Roman" w:eastAsia="Times New Roman" w:hAnsi="Times New Roman"/>
          <w:sz w:val="18"/>
          <w:szCs w:val="18"/>
          <w:color w:val="auto"/>
        </w:rPr>
        <w:t>Primary NK cells have been reported to be difficult to engineer efficiently. Poor efficiency of engineering could limit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potency and consistency of engineered NK cell therapies.</w:t>
      </w:r>
    </w:p>
    <w:p>
      <w:pPr>
        <w:spacing w:after="0" w:line="46" w:lineRule="exact"/>
        <w:rPr>
          <w:rFonts w:ascii="Times New Roman" w:cs="Times New Roman" w:eastAsia="Times New Roman" w:hAnsi="Times New Roman"/>
          <w:sz w:val="18"/>
          <w:szCs w:val="18"/>
          <w:color w:val="auto"/>
        </w:rPr>
      </w:pPr>
    </w:p>
    <w:p>
      <w:pPr>
        <w:ind w:left="1020" w:right="32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Persistence. </w:t>
      </w:r>
      <w:r>
        <w:rPr>
          <w:rFonts w:ascii="Times New Roman" w:cs="Times New Roman" w:eastAsia="Times New Roman" w:hAnsi="Times New Roman"/>
          <w:sz w:val="18"/>
          <w:szCs w:val="18"/>
          <w:color w:val="auto"/>
        </w:rPr>
        <w:t>Non-engineered human NK cells turn over rapidly, with a half-life of seven to 10 days in the body. This short lifetime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 the cytotoxicity of these NK cells.</w:t>
      </w:r>
    </w:p>
    <w:p>
      <w:pPr>
        <w:spacing w:after="0" w:line="46" w:lineRule="exact"/>
        <w:rPr>
          <w:rFonts w:ascii="Times New Roman" w:cs="Times New Roman" w:eastAsia="Times New Roman" w:hAnsi="Times New Roman"/>
          <w:sz w:val="18"/>
          <w:szCs w:val="18"/>
          <w:color w:val="auto"/>
        </w:rPr>
      </w:pPr>
    </w:p>
    <w:p>
      <w:pPr>
        <w:ind w:left="1020" w:right="460" w:hanging="503"/>
        <w:spacing w:after="0" w:line="26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Cryopreservation. </w:t>
      </w:r>
      <w:r>
        <w:rPr>
          <w:rFonts w:ascii="Times New Roman" w:cs="Times New Roman" w:eastAsia="Times New Roman" w:hAnsi="Times New Roman"/>
          <w:sz w:val="18"/>
          <w:szCs w:val="18"/>
          <w:color w:val="auto"/>
        </w:rPr>
        <w:t>Without cryopreservation, a truly off-the-shelf engineered NK cell therapy would be challenging to commercialize.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freezing then thawing NK cells while maintaining cytotoxicity is difficult to achieve using standard techniques for T cell cryopreservation.</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NK Cell Engineering Platform</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cell engineering platform is designed to operationalize the full therapeutic potential of NK cells and address the limitations and challenges of current technologies for engineering T cells and NK cells. The platform is a result of our internal expertise and deep understanding of NK cell biology. It includes proprietary technologies for NK cell expansion, persistence, targeting, genome editing, and cryopreservation. This enables us to generate an abundant supply of NK cells, engineer enhanced NK cell recognition of tumor targets, improve the persistence of these cells for sustained activity in the body, and freeze, transport and store our engineered NK cells for off-the-shelf use for the treatment of cancer.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chosen to use healthy donors as our source for NK cells. We believe this offers a number of advantages including:</w:t>
      </w:r>
    </w:p>
    <w:p>
      <w:pPr>
        <w:spacing w:after="0" w:line="117" w:lineRule="exact"/>
        <w:rPr>
          <w:sz w:val="20"/>
          <w:szCs w:val="20"/>
          <w:color w:val="auto"/>
        </w:rPr>
      </w:pPr>
    </w:p>
    <w:p>
      <w:pPr>
        <w:ind w:left="1020" w:right="3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with differentiated, natural, and mature NK cells with inherent cell-targeting and cytotoxic capabilities, as compared to other cell sources such as stem cells, which must be artificially manipulated in an in vitro setting to reproduce these fundamental features;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number of NK cells as starting material for each manufacturing run, as compared to other potential sources of NK cells;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select donors with consistent and favorable NK cell characteristics, thereby avoiding challenges with patient-derived or other cell sources;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diverse repertoire of NK cells. Different NK cell sub-populations have different characteristics, and by utilizing the entire natural gamut of NK cells as our cell source, we can capitalize on the inherent diversity of the innate immune system.</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Below are the five core technologies that comprise our proprietary platform. Each of these technologies is part of an integrated approach to develop potent, scalable, and consistent NK cell products:</w:t>
      </w:r>
    </w:p>
    <w:p>
      <w:pPr>
        <w:spacing w:after="0" w:line="15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Expansion. </w:t>
      </w:r>
      <w:r>
        <w:rPr>
          <w:rFonts w:ascii="Times New Roman" w:cs="Times New Roman" w:eastAsia="Times New Roman" w:hAnsi="Times New Roman"/>
          <w:sz w:val="18"/>
          <w:szCs w:val="18"/>
          <w:color w:val="auto"/>
        </w:rPr>
        <w:t>The first pillar of our technology platform enables NK cell expansion without causing cell exhaustion. Our NKSTIM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engineered with mbIL-15 as well as a protein named 4-1BB ligand ("4-1BBL"). IL-15 is a naturally occurring growth protein that induces cell proliferation in NK cells. 4-1BBL binds to 4-1BB, a receptor normally found on NK cells that stimulates NK cell division and expansion. Therefore, NKSTIM is selectively able to stimulate the expansion of NK cells as compared to other leukocytes, and thereby provide large numbers of NK cells. Based on our current process and early cGMP manufacturing experience, we believe that we can produce many hundreds of doses from a single manufacturing run. At the 2022 Annual Meeting of the Society for Immunotherapy of Cancer ("SITC"), we presented data demonstrating further optimization of our core process could allow the production of several thousand doses from a single manufacturing run.</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Persistence. </w:t>
      </w:r>
      <w:r>
        <w:rPr>
          <w:rFonts w:ascii="Times New Roman" w:cs="Times New Roman" w:eastAsia="Times New Roman" w:hAnsi="Times New Roman"/>
          <w:sz w:val="18"/>
          <w:szCs w:val="18"/>
          <w:color w:val="auto"/>
        </w:rPr>
        <w:t>Pharmacokinetics of allogeneic NK cells will be limited by both immune suppression of allogeneic cells following LD, and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intrinsic half-life of the administered cells. In addition to immune suppression, LD enhances the bioavailability of host cytokines, especially IL-15, which is associated with improved persistence of CAR T cell therapies. The second component of our technology platform is engineering NK cells with mbIL-15 to enhance their persistence without dependence on LD-mediated cytokines, facilitating a disease-tailored approach to LD. Because IL-15 is a selective driver of NK activation and expansion, tethering IL-15 to the surface of our engineered NK cells serves to stimulate the naturally occurring IL-15 receptor on these NKs, and thereby provide weeks of persistence in immune-deficient animal models. Because mbIL-15 selectively stimulates NK cells without elevating soluble IL-15 concentration, we believe that mbIL-15 provides meaningful advantages as compared to secreted IL-15 or the systemic administration of other cytokines such as IL-2 or IL-21. The first graph below shows data from a cell culture experiment which demonstrates the increase of the number and persistence of NK cells engineered with mbIL-15, as compared to unmodified NK cells or NK cells expressing soluble IL-15. The second graph below shows the increased number and persistence in mice of NK cells engineered with mbIL-15, as compared to unmodified NK cells, as a percentage of total peripheral blood mononuclear cells ("PBMCs").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23205" cy="3574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23205"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Imamura et al., Blood. 2014 Aug 14;124(7):1081-8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154305</wp:posOffset>
            </wp:positionV>
            <wp:extent cx="5040630" cy="3522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4063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 w:name="page16"/>
    <w:bookmarkEnd w:id="15"/>
    <w:p>
      <w:pPr>
        <w:spacing w:after="0" w:line="14"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Targeting and Signaling. </w:t>
      </w:r>
      <w:r>
        <w:rPr>
          <w:rFonts w:ascii="Times New Roman" w:cs="Times New Roman" w:eastAsia="Times New Roman" w:hAnsi="Times New Roman"/>
          <w:sz w:val="18"/>
          <w:szCs w:val="18"/>
          <w:color w:val="auto"/>
        </w:rPr>
        <w:t>The third element of our technology platform is CARs optimized for NK cells, based on extensive preclinical evaluation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different possible constructs. We have performed extensive optimization of the CARs that serve to direct our engineered NK cells to target-cells as well as provide signals that engage the inherent ability of NK cells to target and kill transformed cells. For both NKX019 and NKX101, we have found that using the OX40 costimulatory domain enhances the ability of the engineered NK cells to kill cancerous cells repeatedly in several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models, as compared to CAR NK cells that include other costimulatory domains commonly used for CAR T cells. We confirmed these findings in animal models for both product candidates.</w:t>
      </w:r>
    </w:p>
    <w:p>
      <w:pPr>
        <w:spacing w:after="0" w:line="250"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Genome Editing. </w:t>
      </w:r>
      <w:r>
        <w:rPr>
          <w:rFonts w:ascii="Times New Roman" w:cs="Times New Roman" w:eastAsia="Times New Roman" w:hAnsi="Times New Roman"/>
          <w:sz w:val="18"/>
          <w:szCs w:val="18"/>
          <w:color w:val="auto"/>
        </w:rPr>
        <w:t>The fourth component of our platform is the ability to edit our NK cells using CRISPR-Cas9 technology. Through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with CRISPR, we have identified a number of genomic modifications that serve to further enhance the cytotoxicity and resistance to tumor-mediated immune suppression. We have shown that knocking out certain genes can prolong the persistence and activity of CAR NK cells, and improve their resistance to suppression by the tumor microenvironment.</w:t>
      </w:r>
    </w:p>
    <w:p>
      <w:pPr>
        <w:spacing w:after="0" w:line="24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Immune Clocking. </w:t>
      </w:r>
      <w:r>
        <w:rPr>
          <w:rFonts w:ascii="Times New Roman" w:cs="Times New Roman" w:eastAsia="Times New Roman" w:hAnsi="Times New Roman"/>
          <w:sz w:val="18"/>
          <w:szCs w:val="18"/>
          <w:color w:val="auto"/>
        </w:rPr>
        <w:t>Through a combination of ectopic expression and genome editing, we have identified a number of strategies that could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NK cells to resist allogeneic suppression.</w:t>
      </w:r>
    </w:p>
    <w:p>
      <w:pPr>
        <w:spacing w:after="0" w:line="15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Cryopreservation. </w:t>
      </w:r>
      <w:r>
        <w:rPr>
          <w:rFonts w:ascii="Times New Roman" w:cs="Times New Roman" w:eastAsia="Times New Roman" w:hAnsi="Times New Roman"/>
          <w:sz w:val="18"/>
          <w:szCs w:val="18"/>
          <w:color w:val="auto"/>
        </w:rPr>
        <w:t>The fifth constituent of our technology platform is cryopreservation of our engineered NK cells, the ability to freeze and store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cells for an extended time. The development of robust cryopreservation techniques is a result of our insight into the biology of engineered NK cells as well as extensive experimental optimization. Based on our preclinical data, we are able to freeze and subsequently thaw individual doses of engineered NK cells without significant loss of cancer cell killing potency of our engineered NK cells as shown in the graph below. Cryopreservation of our allogeneic CAR NK cells will enable their off-the-shelf use in medical centers around the world, for administration to a patient at any time. Therefore, we believe that our cryopreservation of CAR NK cells will enable us to achieve the attractive commercial profile of an off-the-shelf, allogeneic cell therapy.</w:t>
      </w:r>
    </w:p>
    <w:p>
      <w:pPr>
        <w:spacing w:after="0" w:line="2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key elements of our technology platform have the potential to grant us a key competitive advantage if our product candidates are approved.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of Product Candidates and Discovery Programs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pipeline of product candidates and discovery programs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49240" cy="2340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NKX019</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NKX019 for Lupus Nephritis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 NKX019 consists of allogeneic, donor-derived and expanded NK cells that have been genetically engineered to express mbIL-15 along with a CAR containing a CD19 binder, an OX40 costimulatory domain and a CD3ζ(zeta) signaling moiety. CD19 is expressed on B cells through various stages of development, including on plasmablasts, which are associated with autoantibody production in SLE. NKX019 is active against B cells, supported by our clinical data from patients in our clinical protocols, as well as in vitro studies using cell collected from patients with various autoimmune disease, including SLE.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-8255</wp:posOffset>
            </wp:positionV>
            <wp:extent cx="4869180" cy="3111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6918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7" w:name="page18"/>
    <w:bookmarkEnd w:id="17"/>
    <w:p>
      <w:pPr>
        <w:spacing w:after="0" w:line="200" w:lineRule="exact"/>
        <w:rPr>
          <w:sz w:val="20"/>
          <w:szCs w:val="20"/>
          <w:color w:val="auto"/>
        </w:rPr>
      </w:pPr>
    </w:p>
    <w:p>
      <w:pPr>
        <w:spacing w:after="0" w:line="21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October 2023, we announced the clearance of an IND application by the FDA to evaluate NKX019 for the treatment of LN. The multi-center, open-label, Phase 1 clinical trial will assess the safety and clinical activity of NKX019 in patients with refractory LN. The clinical trial consists of dose-finding followed by dose-expansion and is designed to identify the recommended Phase 2 dose. Patients will receive a three-dose cycle of NKX019 at 1 billion or 1.5 billion cells per dose on Days 0, 7 and 14 following LD with single agent cyclophosphamide, an agent with an established safety profile in SLE and LN. The study is designed to enroll up to 12 patients, with the first patient expected to be enrolled in the first half of 2024. The dosing schema for the clinical trial is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267970</wp:posOffset>
            </wp:positionV>
            <wp:extent cx="4852035" cy="1268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5203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NKX019 for Blood Cancers</w:t>
      </w:r>
    </w:p>
    <w:p>
      <w:pPr>
        <w:spacing w:after="0" w:line="119"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NKX019 is also being investigated for the treatment of various B-cell malignancies, including LBCL, ALL, and several other subtypes of NHL. We chose to target CD19 based on the clinical validation provided by Kymriah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Yescarta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Tecartus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Breyanzi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which have all shown to improve remission rates and overall survival in patients with various B-cell malignancies, as well as the significant unmet medical need that remains for treating B-cell malignancies despite these recent approvals.</w:t>
      </w:r>
    </w:p>
    <w:p>
      <w:pPr>
        <w:spacing w:after="0" w:line="34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ongoing NKX019 Phase 1 oncology clinical trial evaluates the safety, pharmacology, and preliminary anti-tumor activity of NKX019, administered in a cycle of three weekly infusions following LD in multiple centers in the United States and Australia. Based on tumor response and tolerability, multiple treatment cycles can be administered. The clinical trial consists of dose-finding followed by dose-expansion and is designed to identify the recommended Phase 2 dose.</w:t>
      </w:r>
    </w:p>
    <w:p>
      <w:pPr>
        <w:spacing w:after="0" w:line="24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April 2022, we announced preliminary data from the NKX019 oncology clinical trial in relapse/refractory B cell malignancies, in which three of six patients treated at the higher dose level in a three-dose regimen had a complete response (50% CR), including one patient with aggressive LBCL and one patient with mantle cell lymphoma ("MCL"). No dose limiting toxicity was observed and there were no CAR T-like adverse events of any grade.</w:t>
      </w:r>
    </w:p>
    <w:p>
      <w:pPr>
        <w:spacing w:after="0" w:line="243"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presented updated data from the ongoing NKX019 oncology clinical trial in December 2022. In this update, seven of ten patients treated at the higher dose levels in a three-dose regimen had a complete response (70% CR), including two patients with aggressive LBCL, one patient with MCL, and one patient with marginal zone lymphoma. No dose limiting toxicity, neurotoxicity / ICANS, GvHD, or &gt;Gr3 CRS were observed in the study.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we announced the opening of a new cohort in the NKX019 oncology trial, introducing a compressed dosing schedule, where patients receive NKX019 doses on Days 0, 3 and 7 following LD. This schedule is designed to intensify NKX019 exposure in the first week after LD, when pharmacokinetic data suggested NKX019 exposure is highest. NKX019 is given after either standard LD with Flu and Cy, although LD with cy alone may be used in patients with protocol-defined cytopenias. There is no requirement for inpatient admission in this cohort, including NKX019 administration and monitoring. The cohort targets patients (n=6) with LBCL who have received prior CD19-directed CAR-T cell therapy. We also announced that data from this cohort may inform future dosing strategies across our platform.</w:t>
      </w:r>
    </w:p>
    <w:p>
      <w:pPr>
        <w:spacing w:after="0" w:line="25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patients in the NKX019 oncology clinical trial have been treated with off-the-shelf material that has been manufactured at our in-house clinical cGMP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2540</wp:posOffset>
            </wp:positionV>
            <wp:extent cx="5349240" cy="2339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420" w:firstLine="8"/>
        <w:spacing w:after="0" w:line="261" w:lineRule="auto"/>
        <w:tabs>
          <w:tab w:leader="none" w:pos="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based on: Lugano criteria for NHL; 2018 iwCLL guidelines for CLL; NCCN v1.2020 for B-ALL CAR: chimeric antigen receptor; CR: complete response; ECOG PS: Eastern Cooperative Oncology Group performance status; EOT: end of therapy; r/r: relapsed/refractory; iwCLL: International Workshop on Chronic Lymphocytic Leukemia; NCCN: National Comprehensive Cancer Network.</w:t>
      </w: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NKX101</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 NKX101 consists of allogeneic, donor-derived and expanded NK cells that have been genetically engineered to express mbIL-15 along with a CAR containing an NKG2D activating receptor, an OX40 costimulatory domain and a CD3ζ(zeta) signaling moiety. We have designed NKX101 to increase longevity, potency and activity as compared to non-engineered NK cells. NKG2D is a primary activating receptor for NK cells, triggered through binding to any of eight known stress ligands frequently expressed on cancerous or virally infected cells. The detection of these ligands by NKG2D is a primary basis for tumor surveillance by NK cells and contributes to the mechanism of action for NKX101. We believe that the activity of non-engineered NK cells in treating cancer, previously described by others, validates targeting NKG2D ligands through the NKG2D receptor as the mechanism of action for NKX101.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980440</wp:posOffset>
            </wp:positionV>
            <wp:extent cx="5297805" cy="3505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29780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engineered NKX101 based on our understanding of NK cell biology, including extensive comparison and optimization of different ways to enhance natural NKG2D signaling and targeting of cells which display NKG2D ligands. Based on our preclinical studies, we believe that levels of NKG2D are increased significantly in NKX101 as compared to non-engineered NK cells. Because NKG2D is the primary activating receptor for NK cells, through its detection of stress ligands displayed by cancerous cells, NKX101 is thereby designed to increase the natural cancer cell killing ability of NK cells. Although some cancer cells are able to evade detection and killing by NK cells through shedding of NKG2D ligands, thereby reducing ligand display on the cell surface, NKX101 can recognize tumor cells expressing even low levels of NKG2D ligands, and maintains the ability of NK cells to recognize tumor cells through an array of other activating receptors that are broadly expressed in NK cells. Furthermore, we found in preclinical studies that the addition of mbIL-15 and the OX40 costimulatory domain each increase the activity of engineered NK cells. Because NKG2D is the primary activating receptor responsible for innate immune surveillance of cancerous cells, we believe that NKX101 presents a broad opportunity to treat a variety of blood cancers, as well as, potentially, solid tumors, which collectively represent approximately 90% of all cancer incidences in the United States.</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NKX101 for Blood Cancers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were evaluating NKX101 in a multi-center Phase 1 clinical trial for the treatment of r/r AML, but we have deprioritized development of NKX101 and closed patient enrollment in the Phase 1 study. In a review of updated preliminary safety and response data from patients with r/r AML that received NKX101 after LD comprising of fludarabine and cytarabine ("flu/Ara-C"), the aggregate CR/CRi rate (5 of 20 patients) was lower than what had been observed in the first 6 patients in the cohort. The safety profile of NKX101 was consistent with previously reported data. We plan no further spending on clinical development of NKX101.</w:t>
      </w:r>
    </w:p>
    <w:p>
      <w:pPr>
        <w:spacing w:after="0" w:line="75"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This clinical trial of NKX101 was designed to evaluate safety, pharmacology, and preliminary anti-tumor activity of NKX101. According to the federal Surveillance, Epidemiology, and End Results Program database ("SEER"), the incidence of AML in the United States is approximately 20,000 cases per year, and newly-diagnosed patients have a five-year survival rate of approximately 30%.</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NKX101 clinical trial comprised standard dose-finding and dose-expansion phases. Patients received LD prior to administration of NKX101 in order to allow our engineered NK cells the opportunity to kill cancerous cells without first being cleared by the patient’s immune system. The LD regimen used in the current dose-expansion cohort was based upon clinical experience with Flu, cytarabine and anthracycline, a frequently used salvage regimen for patients with r/r AML.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dosing schema of the flu/Ara-C dose-expansion cohort is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5349240" cy="3008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342"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In June 2023, we reported updated data from our Phase 1 clinical trial evaluating NKX101. As of data cut-off on June 10, 2023, in the cohort of patients with relapsed or refractory (r/r) AML that received treatment cycles with a three-dose regimen of NKX101 at 1.5 billion cells per dose after LD with flu/Ara-C, four of six patients achieved complete response (CR/CRi); three responses were measurable residual disease ("MRD") negative. In patients that received the highest doses of NKX101 (3 weekly doses at 1 billion or 1.5 billion cells per dose) after LD with Flu and Cy, 4 of 18 achieved CR/CRi and 3 of 18 achieved a complete response with hematologic recovery CR. There were no CRS at the lower doses of NKX101. NKX101 was well tolerated across dose-levels and LD regimens. There were no dose-limiting toxicities observed across all cohorts. No CRS, GvHD, or ICANS was observed. The most common higher-grade adverse events were myelosuppression and infection, which are common in this patient population following LD.</w:t>
      </w:r>
    </w:p>
    <w:p>
      <w:pPr>
        <w:spacing w:after="0" w:line="63" w:lineRule="exact"/>
        <w:rPr>
          <w:sz w:val="20"/>
          <w:szCs w:val="20"/>
          <w:color w:val="auto"/>
        </w:rPr>
      </w:pPr>
    </w:p>
    <w:p>
      <w:pPr>
        <w:ind w:right="380" w:firstLine="509"/>
        <w:spacing w:after="0" w:line="256" w:lineRule="auto"/>
        <w:rPr>
          <w:sz w:val="20"/>
          <w:szCs w:val="20"/>
          <w:color w:val="auto"/>
        </w:rPr>
      </w:pPr>
      <w:r>
        <w:rPr>
          <w:rFonts w:ascii="Times New Roman" w:cs="Times New Roman" w:eastAsia="Times New Roman" w:hAnsi="Times New Roman"/>
          <w:sz w:val="18"/>
          <w:szCs w:val="18"/>
          <w:color w:val="auto"/>
        </w:rPr>
        <w:t>In 2023, the NKX101 clinical protocol was amended to enable patients that respond to NKX101 to receive retreatment or consolidation with an additional cycle of treatment with NKX101. As part of ongoing scale-up and optimization of manufacturing across its platform, Nkarta also filed a manufacturing process change amendment with the FDA. The focus of the process change was to enhance product yield to meet anticipated clinical demand and prepare for potential commercial scale manufacturing. In October 2023, we announced that patient enrollment was paused for inventory buildup and resumed with material generated with the amended manufacturing process. Subsequently, as noted above, following a recent review of the updated preliminary response data for the cohort, we closed further enrollment in the trial.</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NKX101 for Solid Tumors</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part of a realignment of our pipeline, we have suspended further development of NKX101, including plans for future investigation of NKX101 in solid tumors. Should we later reprioritize development of NKX101 and achieve proof of concept in hematologic malignancies, we may opt to file an IND amendment for this clinical program.</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Partnership with CRISPR Therapeutics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May 5, 2021, we entered into a Research Collaboration Agreement with CRISPR (the "CRISPR Agreement"). Pursuant to the CRISPR Agreement, CRISPR and Nkarta will establish research plans for the purpose of collaboratively designing and advancing up to two allogeneic, gene-edited NK cell therapies, including NKX070, and one allogeneic, gene-edited NK+T cell therapy for use in the treatment of oncology, autoimmune disease, or infectious disease up to the filing of an application to a regulatory authority to request the ability to start a clinical trial. The first allogeneic, gene-edited NK cell therapy being developed in partnership with CRISPR is NKX070, and together with CRISPR, we may advance NKX070 for the treatment of solid tumors and blood cancers. The NK+T program combines CAR NK cells and CAR T cells, bringing together the advantages of the innate and adaptive immune systems.</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Additionally, under the CRISPR Agreement, we have received licenses from CRISPR for four CRISPR-Cas9 gene editing targets and will receive a license from CRISPR for up to one more CRISPR-Cas9 gene editing target that can be engineered into an unlimited number of its own NK cell products. CRISPR also has an option to co-develop and co-commercialize a future Nkarta CAR NK cell program. On May 4, 2022, we amended the CRISPR Agreement to revise the transfer of materials and nomination provisions. On March 8, 2023, the CRISPR Agreement was further amended to permit our advancement of CRISPR-licensed product candidates targeting a specified tumor antigen and incorporate associated development and regulatory approval milestones and sales-based royalties.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process for the generation of an allogeneic, off-the-shelf NK cell therapy requires multiple steps. To achieve a commercially viable product, we believe that each of these steps must be scalable, reproducible and cost-effective and must provide consistent cancer cell killing potency of our CAR NK cells once these cells are frozen and then thawed. Therefore, we have focused on developing a manufacturing process that incorporates the following elements: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left="1020" w:right="3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material consisting of differentiated, mature NK cells with inherent cytotoxic and tumor-recognizing capabilities, as compared to other cell sources such as stem cells, where these fundamental features must be engineered into the cells which must be artificially manipulated in an in vitro setting to reproduce these fundamental features;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cell source which provides high numbers of easily characterized NK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technology which increases the number of NK cells by orders of magnitude, without inducing exhaustion;</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for genetic engineering of NK cells which are cost-effective and which introduce a controlled and specified range of the number of copies of the gene into each cell;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for genome editing of NK cells to selectively knock-out or knock-in genetic targets in each cell;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cryopreservation techniques that permit bulk CAR NK cells to be frozen in individual doses;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for thawing the frozen NK cell product that are easy to adopt in different clinical settings, and that provide consistent CAR NK cell recovery, viability and potency.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overall manufacturing scheme is shown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5349240" cy="1619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source material for production of our off-the-shelf NK cell therapy product candidates is NK cells collected from healthy donors by leukapheresis, the selective collection of white blood cells from plasma. We then isolate the NK cells from the other cells in the leukapheresis product. Next, we selectively activate the NK cells by co-culture with NKSTIM. After initial expansion, we engineer the expanded NK cells using a gamma-retrovirus to express mbIL-15 and the CAR. We further expand the NK cells, followed by harvesting and cryopreservation to form the final cell product. For off-the-shelf administration, clinical sites will thaw the CAR NK product candidate for administration to patients at the clinical site.</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establishing our own internal cGMP manufacturing capabilities will facilitate clinical product supply, lower the risk of manufacturing disruptions, and enable more cost-effective manufacturing for clinical and commercial supply of our product candidates. We have a 2,700-square foot clinical cGMP facility at our original corporate location in South San Francisco, California, which we have used to produce clinical supply. We recently completed construction and validation of a new facility in South San Francisco to support research and development and future manufacturing of Nkarta’s cell therapy products and product candidates, including potential needs for pivotal clinical trials and commercial launch. In addition to housing the new manufacturing facilities, the new site also serves as our headquarters with office space and research facilities. We currently manufacture clinical supply of NKSTIM and the gamma-retrovirus at third-party contract manufacturing sites. We intend to manufacture NKSTIM in house in the future.</w:t>
      </w:r>
    </w:p>
    <w:p>
      <w:pPr>
        <w:spacing w:after="0" w:line="18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on our current process and early cGMP manufacturing experience, we believe that we will be able to produce hundreds of doses from a single manufacturing run. At the 2022 Annual Meeting of the SITC, we presented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demonstrating that further optimization of our core process could allow the production of several thousand doses from a single manufacturing run.</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Compliance with government regulations related to the manufacture of our product candidates may require significant effort and financial resources. The design, construction, qualification and regulatory approvals for our cGMP manufacturing facilities require substantial capital and technical expertise. The facilities will be subject to inspection by the FDA and other regulatory agencies to ensure compliance with cGMP. Any delays in receiving regulatory approvals for our manufacturing facilities or any failure by us to comply with applicable regulations at our manufacturing facilities could delay our development and commercialization activities. In addition, if our product candidates fail to meet the required specifications after manufacture or if we change the manufacturing process, we may need to obtain additional regulatory approvals. If we are not able to obtain the necessary additional regulatory approvals, we may need to perform additional clinical trials or manufacturing runs or further refine our manufacturing processes, which could delay development and commercialization of our product candidates and cost substantial additional capital. Any delays in our development and commercialization activities could have a material effect on our business, financial position, results of operations and competitive position.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Proprietary Technology</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Our patent portfolio consists of a combination of issued patents and pending patent applications licensed from third parties, jointly owned by us with third parties, and owned solely by us. The patents and patent applications in our portfolio can be categorized as related to our NK cell engineering platform (e.g., NK cell expansion and/or persistence), NKX019, NKX101, NKX070, or future pipeline product candidates and alternative technologies. Some of our issued patents and patent applications are exclusively licensed to us in therapeutic fields of use from the National University of Singapore ("NUS"), St. Jude Children’s Research Hospital, Inc., or both (collectively, "Licensors"). As of December 31, 2023, our patent portfolio includes at least 30 issued utility patents and at least 170 pending utility patent applications, which are solely owned by us, jointly owned with others, or licensed to us.</w:t>
      </w:r>
    </w:p>
    <w:p>
      <w:pPr>
        <w:spacing w:after="0" w:line="30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least 20 of the issued utility patents and at least 55 of the pending utility patent applications in our portfolio are related to our NKX019 product candidate, and include composition-of-matter, manufacturing process, and method-of-use claims (e.g., targeting CD19-expressing cells, including monotherapies and combination therapies). These issued utility patents include patents in the United States, Europe, Japan, and other jurisdictions outside the United States and are solely owned by us or licensed from Licensors. These pending utility patent applications include applications in the United States, Europe, Japan, the Patent Cooperation Treaty ("PCT"), and other jurisdictions outside the United States. Of these pending patent applications, at least 45 are solely owned by us, with the remaining licensed from Licensors. The estimated expiration dates of the issued utility patents are between approximately 2024 and 2040 (with certain commercially relevant patents extending through approximately 2040), and the estimated expiration dates of these pending utility patent applications are between approximately 2024 and 2044 (with certain commercially relevant patent applications extending through approximately 2044).</w:t>
      </w:r>
    </w:p>
    <w:p>
      <w:pPr>
        <w:spacing w:after="0" w:line="29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least 20 of the issued utility patents and at least 70 of the pending utility patent applications in our portfolio are related to our NKX101 product candidate, and include composition-of-matter, manufacturing process, and method-of-use claims (e.g., targeting NKG2D ligand-expressing cells, including monotherapies and combination therapies). These issued utility patents include patents in the United States, Europe, Japan, and other jurisdictions outside the United States that are licensed from Licensors, including one patent in the United States that is co-owned by us with NUS. These pending utility patent applications include applications in the United States, Europe, Japan, and other jurisdictions outside the United States. Of these pending patent applications, at least 60 are solely owned or co-owned by us, with the remaining patent applications (and the co-owned applications) licensed from Licensors. The estimated expiration dates of the issued utility patents are between approximately 2024 and 2038 (with certain commercially relevant patents extending through approximately 2038), and the estimated expiration dates of these pending utility patent applications are between approximately 2024 and 2044 (with certain commercially relevant patent applications extending through approximately 2044).</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least 15 of the issued utility patents and at least 60 of the pending utility patent applications in our portfolio are related to our NKX070 product candidate, and include composition-of-matter, manufacturing process, and method-of-use claims (e.g., targeting CD70-expressing tumors, including monotherapies and combination therapies). These issued utility patents include patents in the United States, Europe, Japan, and other jurisdictions outside the United States and are licensed from Licensors. These pending utility patent applications include applications in the United States, Europe, Japan, the PCT, and other jurisdictions outside the United States. Of these pending patent applications, at least 50 are solely owned by us or, in the case of two patent applications, co-owned by us with our collaboration partner on the NKX070 program, CRISPR, with the remaining licensed from Licensors. The estimated expiration dates of the issued utility patents are between approximately 2024 and 2035 (with certain commercially relevant patents extending through approximately 2035), and the estimated expiration dates of these pending utility patent applications are between approximately 2024 and 2044 (with certain commercially relevant patent applications extending through approximately 2044).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least 15 of the issued utility patents and at least 30 of the pending utility patent applications in our portfolio are related to our NK cell engineering platform, and include manufacturing process, method-of-use and composition-of-matter claims relating to NK cell expansion and/or NK cell persistence. These issued utility patents include patents in the United States, Europe, Japan, and other jurisdictions outside the United States and are licensed from Licensors. These pending utility patent applications include applications in the United States, Europe, Japan, and other jurisdictions outside the United States. Of these pending patent applications, at least 20 are solely owned by us, with the remaining licensed from Licensors. The estimated expiration dates of the issued utility patents are between approximately 2024 and 2035 (with certain commercially relevant patents extending through approximately 2035), and the estimated expiration dates of these pending utility patent applications are between approximately 2024 and 2044 (with certain commercially relevant patent applications extending through approximately 2041). Composition-of-matter claims relating to our NKSTIM are estimated to expire in Q4 2024.</w:t>
      </w:r>
    </w:p>
    <w:p>
      <w:pPr>
        <w:spacing w:after="0" w:line="2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August 2016, we entered into a license agreement with the Licensors. Pursuant to this license, the Licensors granted to us an exclusive, worldwide, royalty-bearing, sublicensable license under specified patents and patent applications related to NK cell technology in the field of therapeutics. Payments to the Licensors pursuant to the license agreement include single-digit royalty payments on commercial sales, a portion of any sublicensing revenue, patent expenses, license maintenance fees and milestone payments upon completion of certain regulatory and commercial milestones related to the clinical development and commercialization of our product candidates, in an aggregate amount of up to 5 million Singapore Dollars ("SGD"). The License Agreement also includes certain performance objectives which obligate us to meet various milestones related to the clinical development and commercialization of our product candidates over time for up to 120 months after the effective date of the License Agreement. The term of the license agreement extends until expiration of the last of the patent rights licensed to us by the Licensors, which is currently expected to occur in approximately 2039. We may terminate the license agreement at will upon 90 days’ prior written notice to the Licensors. The Licensors may terminate the license agreement for certain conditions such as uncured material breach by us, the cession of our business, or our insolvency, liquidation, or receivership.</w:t>
      </w:r>
    </w:p>
    <w:p>
      <w:pPr>
        <w:spacing w:after="0" w:line="30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U.S. government has certain rights in some of our licensed patents (including U.S. Patent Nos. 7,435,596, 8,026,097, and 11,673,937 and certain related U.S. patent applications, which relate to our NK cell engineering platform) in accordance with the Bayh-Dole Act of 1980. These rights in certain technology developed under government-funded research include, for example, a license to use those inventions for governmental purposes and the right to require us to grant exclusive licenses to such inventions to a third party under certain circumstances. In addition, the U.S. government requires that any products embodying any of these inventions or produced through the use of any of these inventions be manufactured substantially in the United States unless domestic manufacture is not feasible or the requirement is waived. For further details about risks related to the government’s rights in such inventions, see “—</w:t>
      </w:r>
      <w:r>
        <w:rPr>
          <w:rFonts w:ascii="Times New Roman" w:cs="Times New Roman" w:eastAsia="Times New Roman" w:hAnsi="Times New Roman"/>
          <w:sz w:val="18"/>
          <w:szCs w:val="18"/>
          <w:i w:val="1"/>
          <w:iCs w:val="1"/>
          <w:color w:val="auto"/>
        </w:rPr>
        <w:t>The U.S. government could choose to exercise certain rights in technology developed under government-funded research, which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eliminate our exclusive use of such technology or require us to commercialize our product candidates in a way we consider sub-optimal</w:t>
      </w:r>
      <w:r>
        <w:rPr>
          <w:rFonts w:ascii="Times New Roman" w:cs="Times New Roman" w:eastAsia="Times New Roman" w:hAnsi="Times New Roman"/>
          <w:sz w:val="18"/>
          <w:szCs w:val="18"/>
          <w:color w:val="auto"/>
        </w:rPr>
        <w:t>” in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titled “Risk Factors” in Part I, Item 1A in this Annual Report on Form 10-K.</w:t>
      </w:r>
    </w:p>
    <w:p>
      <w:pPr>
        <w:spacing w:after="0" w:line="29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spacing w:after="0" w:line="29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also protect our brand through trademark rights. As of December 31, 2023, we are the listed owner of the U.S. registered trademark, NKARTA, and 15 related foreign registered trademarks. In addition, we have a pending U.S. trademark application for NKSTIM. In order to supplement the protection of our brand, we also have a registered internet domain name.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FDA regulates investigational drugs, including biological products, under the Federal Food, Drug, and Cosmetic Act ("FDCA") and its implementing regulations. Marketing authorization of a biological product via a biologics license application ("BLA") occurs under section 351 of the Public Health Service Act ("PHSA").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("DOJ") or other governmental entities. 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and PHSA, regulates biopharmaceutical products in the United States. The steps required before a product candidate may be approved for marketing in the United States generally include:</w:t>
      </w:r>
    </w:p>
    <w:p>
      <w:pPr>
        <w:spacing w:after="0" w:line="7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and animal tests conducted under Good Laboratory Practices ("GLP");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IND for human clinical testing, which must become effective before human clinical trials commence;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for each indication and conducted in accordance with Good Clinical Practices ("GCP");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submission to the FDA of a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review and approval of the BLA, which might include an advisory committee review;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facilities at which the product, or components thereof, are made to assess compliance with cGMPs and in the case of cell-based advanced therapy, additionally, current Good Tissue Practices.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testing and approval process typically requires many years and substantial effort and financial resources, and the receipt and timing of any approval is uncertain. The actual time required may vary substantially based upon the type, complexity, and novelty of the product or disease. For example, the FDA has, at times, taken longer than its usual 30-day window to complete its review of certain first-of kind INDs. In addition, the FDA may suspend clinical trials at any time on various grounds, including a finding that the subjects or patients are being exposed to an unreasonable and significant health risk.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Preclinical and Human Clinical Trials in Support of a BLA</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Preclinical studies generally include laboratory evaluations of product chemistry, formulation, and toxicity, as well as animal studies to assess the potential safety and bioactivity of the product candidate. The conduct of preclinical trials is subject to federal regulations and requirements including GLP regulations. The results of the preclinical studies, together with manufacturing information and analytical data, among other things,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If outstanding concerns cannot be resolved, the FDA will place the clinical trial, or a portion of it, on clinical hold. A partial clinical hold could stop new patients from enrolling in a clinical trial, or a certain aspect of the study from progressing. A complete clinical hold further requires all patients currently enrolled to discontinue treatment with the product candidate being evaluated. The FDA may also initiate a full or partial clinical hold after the 30 days if, for example, significant public health risks arise during the trial, if FDA believes the study is not being conducted in accordance with FDA regulations, or if results from additional preclinical studies are required by the FDA to evaluate the potential risk and benefit to patients for such a trial. Clinical holds may be temporary or permanent.</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in accordance with federal regulations, in compliance with GCP requirements, and in accordance with a protocol submitted to FDA as part of the IND detailing the objectives of the trial, the parameters used to monitor safety, and the effectiveness criteria, if any, to be evaluated. Each clinical trial and informed consent information must also be reviewed and approved by an independent IRB at each of the sites at which the trial will be conducted. The IRB will consider, among other things, ethical factors, the safety of human subjects and the possible liability of the institution. An IRB may also require the clinical trial at the site to be halted, either temporarily or permanently, for failure to comply with the IRB’s requirements, or may impose other conditions if it believes that the patients are subject to unacceptable risk.</w:t>
      </w:r>
    </w:p>
    <w:p>
      <w:pPr>
        <w:spacing w:after="0" w:line="18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Clinical trials to support BLAs for marketing approval are typically conducted in three sequential phases prior to approval, but the phases may overlap or be combined. These phases generally include the following:</w:t>
      </w:r>
    </w:p>
    <w:p>
      <w:pPr>
        <w:spacing w:after="0" w:line="158" w:lineRule="exact"/>
        <w:rPr>
          <w:sz w:val="20"/>
          <w:szCs w:val="20"/>
          <w:color w:val="auto"/>
        </w:rPr>
      </w:pPr>
    </w:p>
    <w:p>
      <w:pPr>
        <w:ind w:left="52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Phase 1. </w:t>
      </w:r>
      <w:r>
        <w:rPr>
          <w:rFonts w:ascii="Times New Roman" w:cs="Times New Roman" w:eastAsia="Times New Roman" w:hAnsi="Times New Roman"/>
          <w:sz w:val="18"/>
          <w:szCs w:val="18"/>
          <w:color w:val="auto"/>
        </w:rPr>
        <w:t>Phase 1 clinical trials represent the initial introduction of a product candidate into human subjects. In Phase 1 trials of cellular therapies,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 candidate is tested for safety, including adverse effects.</w:t>
      </w:r>
    </w:p>
    <w:p>
      <w:pPr>
        <w:spacing w:after="0" w:line="155"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Phase 2. </w:t>
      </w:r>
      <w:r>
        <w:rPr>
          <w:rFonts w:ascii="Times New Roman" w:cs="Times New Roman" w:eastAsia="Times New Roman" w:hAnsi="Times New Roman"/>
          <w:sz w:val="18"/>
          <w:szCs w:val="18"/>
          <w:color w:val="auto"/>
        </w:rPr>
        <w:t>Phase 2 clinical trials usually involve studies in a limited patient population to (i) evaluate the efficacy of the product candidate for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indications, (ii) determine dosage tolerance and optimal dosage and (iii) identify possible adverse effects and safety risks.</w:t>
      </w:r>
    </w:p>
    <w:p>
      <w:pPr>
        <w:spacing w:after="0" w:line="155" w:lineRule="exact"/>
        <w:rPr>
          <w:sz w:val="20"/>
          <w:szCs w:val="20"/>
          <w:color w:val="auto"/>
        </w:rPr>
      </w:pPr>
    </w:p>
    <w:p>
      <w:pPr>
        <w:ind w:left="52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Phase 3. </w:t>
      </w:r>
      <w:r>
        <w:rPr>
          <w:rFonts w:ascii="Times New Roman" w:cs="Times New Roman" w:eastAsia="Times New Roman" w:hAnsi="Times New Roman"/>
          <w:sz w:val="18"/>
          <w:szCs w:val="18"/>
          <w:color w:val="auto"/>
        </w:rPr>
        <w:t>If a product candidate is found to be potentially effective and to have an acceptable safety profile in Phase 2 clinical trials, the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will be expanded to Phase 3 clinical trials to further demonstrate clinical efficacy, optimal dosage and safety within a larger number of patients, typically at geographically dispersed clinical trial sites.</w:t>
      </w:r>
    </w:p>
    <w:p>
      <w:pPr>
        <w:spacing w:after="0" w:line="171" w:lineRule="exact"/>
        <w:rPr>
          <w:sz w:val="20"/>
          <w:szCs w:val="20"/>
          <w:color w:val="auto"/>
        </w:rPr>
      </w:pPr>
    </w:p>
    <w:p>
      <w:pPr>
        <w:ind w:left="520"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Phase 4. </w:t>
      </w:r>
      <w:r>
        <w:rPr>
          <w:rFonts w:ascii="Times New Roman" w:cs="Times New Roman" w:eastAsia="Times New Roman" w:hAnsi="Times New Roman"/>
          <w:sz w:val="18"/>
          <w:szCs w:val="18"/>
          <w:color w:val="auto"/>
        </w:rPr>
        <w:t>Phase 4 clinical trials may be conducted after approval to gain additional experience from the treatment of patients in the intended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 indication and to document a clinical benefit in the case of drugs approved under accelerated approval regulations, or when otherwise requested by the FDA (post-approval commitments) or required by the FDA (post-approval requirements). Failure to promptly conduct any required Phase 4 clinical trials could result in enforcement action or withdrawal of approval.</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Phase 2/3 trial design is often used in the development of pharmaceutical and biological products. The trial includes Phase 2 elements, such as an early interim analysis of safety or activity, and Phase 3 elements, such as larger patient populations with less restrictive enrollment criteria. With appropriate statistical restrictions, an early interim analysis of clinical or physiologic activity and/or safety may provide for the trial to be stopped, changed or continued before a large number of patients have been enrolled, while still allowing all data from enrolled patients to count in the analysis used to support approval.</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9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 pivotal trial is a clinical trial that is designed to meet regulatory requirements to demonstrate a product candidate’s safety and efficacy to support the approval of the drug or biologic. Generally, pivotal trials are Phase 3 trials, but the FDA may accept results from any phase clinical trial if the design provides a well-controlled and reliable assessment of clinical benefit, particularly in situations in which there is an unmet medical need and the results are sufficiently robust.</w:t>
      </w:r>
    </w:p>
    <w:p>
      <w:pPr>
        <w:spacing w:after="0" w:line="180"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FDA, the IRB or the clinical trial sponsor may suspend or terminate a clinical trial at any time on various grounds, including a finding that the research subjects are being exposed to an unacceptable health risk. Additionally, an independent group of qualified experts organized by the clinical trial sponsor, often known as a Data Safety Monitoring Board ("DSMB") or committee, may oversee some clinical studies. Depending on the trial design, this group may provide authorization for whether or not a trial may move forward at designated check points based on access to certain data from the trial. We may also suspend or terminate a clinical trial based on evolving business objectives and the competitive climate.</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Clinical trials require substantial time, effort and financial resources. The costs associated with running clinical trials typically increase as a product candidate advances to later stage clinical trials, since the later stage clinical trials typically involve a larger number of patients than the early-stage clinical trials. If a clinical trial for one of our product candidates is put on clinical hold by the FDA (or another regulatory authority in a foreign country), further development and any eventual commercialization of that product candidate would be delayed or may not be possible at all. Any delays in our clinical trials or termination of a program due to a clinical hold could materially adversely affect our business, financial conditions, results of operations, growth prospects and competitive position.</w:t>
      </w:r>
    </w:p>
    <w:p>
      <w:pPr>
        <w:spacing w:after="0" w:line="2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Submission and Review of a BLA</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detailed information on the product’s manufacture, composition, quality, controls and proposed labeling, among other things, are submitted to the FDA in the form of a BLA, requesting approval to market the product. The cost of preparing and submitting a BLA is substantial. The application must also be accompanied by a significant user fee payment, which typically increases annually, although waivers may be granted in limited cases. Under an approved BLA, the applicant is also subject to an annual program fee. The FDA has 60 days from its receipt of a BLA to determine whether the application will be accepted for filing based on the Agency’s determination that it is adequately organized and sufficiently complete to permit substantive review. Once the submission is accepted for filing, the FDA begins an in-depth review. The FDA has substantial discretion in the approval process and may refuse to accept an application or decide that the data are insufficient for approval and require additional preclinical, clinical or other studies.</w:t>
      </w:r>
    </w:p>
    <w:p>
      <w:pPr>
        <w:spacing w:after="0" w:line="19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Once a BLA has been accepted for filing, the FDA sets a user fee goal date that informs the applicant of the specific date by which the FDA intends to complete its review. The FDA has agreed to certain performance goals to complete the review of BLAs. This is typically ten months from the date that the FDA accepts the BLA for filing for standard review BLAs. Applications classified as Priority Review are reviewed within six months of the date the FDA accepts the BLA for filing. A BLA can be classified for Priority Review when the FDA determines the biologic product has the potential to treat a serious or life-threatening condition and, if approved, would be a significant improvement in safety or effectiveness compared to available therapies. The review process can be extended by FDA requests for additional information or clarification. The FDA reviews BLAs to determine, among other things, whether the proposed product is safe and effective for its intended use, and whether the product is being manufactured in accordance with cGMP to assure and preserve the product’s identity, strength, quality and purity. The FDA may also refer applications for novel biologic products, or biologic products that present difficult questions of safety or efficacy, to be reviewed by an advisory committee—typically a panel that includes clinicians, statisticians and other experts—for review, evaluation, and a recommendation as to whether the BLA should be approved. The FDA is not bound by the recommendation of an advisory committee, but generally follows such recommendations.</w:t>
      </w:r>
    </w:p>
    <w:p>
      <w:pPr>
        <w:spacing w:after="0" w:line="19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facilities at which the product is manufactured and will not approve the product unless the manufacturing facilities comply with cGMP. Additionally, the FDA will typically inspect the sponsor and one or more clinical trial sites for compliance with GCP and integrity of the data supporting safety and efficacy.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will provide a preliminary determination as to whether a REMS is necessary to assure the safe use of the product prior to the BLA, but a final decision will be made during the approval process. If the FDA concludes a REMS is needed, the sponsor of the application must submit a proposed REMS, and the FDA will not approve the application without an approved REMS, if required.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A REMS can substantially increase the costs of obtaining approval. The FDA could also require a special warning, known as a boxed warning, to be included in the product labeling in order to highlight a particular safety risk. The FDA may delay approval of a BLA if applicable regulatory criteria are not satisfied and/or the FDA requires additional testing or information. The FDA may require substantial post-marketing testing and surveillance to monitor safety or efficacy of a product.</w:t>
      </w:r>
    </w:p>
    <w:p>
      <w:pPr>
        <w:spacing w:after="0" w:line="18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BLA and accompanying information, including the results of the inspection of the manufacturing facilities, the FDA will issue either an approval of the BLA or a Complete Response Letter, detailing the deficiencies in the submission and the additional testing or information required for reconsideration of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and distribution of the biologic with specific prescribing information for specific indications. Even with submission of this additional information, the FDA may ultimately decide that the application does not satisfy the regulatory criteria for approval.</w:t>
      </w:r>
    </w:p>
    <w:p>
      <w:pPr>
        <w:spacing w:after="0" w:line="18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Once granted, product approvals may need be withdrawn if compliance with regulatory standards is not maintained or problems are identified following initial marketing. Changes to some of the conditions established in an approved BLA, including changes in indications, product labeling,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BLA supplement review timelines are typically ten months from the date of submission to the FDA for standard review and six months from the date of submission to the FDA for Priority Review.</w:t>
      </w:r>
    </w:p>
    <w:p>
      <w:pPr>
        <w:spacing w:after="0" w:line="18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a BLA for a product candidate accepted or approved, commercialization of that product candidate will be delayed or we may not be able to commercialize that product candidate at all. This would have a material effect on our business, financial conditions, results of operations, growth prospects and competitive position.</w:t>
      </w:r>
    </w:p>
    <w:p>
      <w:pPr>
        <w:spacing w:after="0" w:line="282" w:lineRule="exact"/>
        <w:rPr>
          <w:sz w:val="20"/>
          <w:szCs w:val="20"/>
          <w:color w:val="auto"/>
        </w:rPr>
      </w:pPr>
    </w:p>
    <w:p>
      <w:pPr>
        <w:ind w:left="760"/>
        <w:spacing w:after="0" w:line="284" w:lineRule="auto"/>
        <w:rPr>
          <w:sz w:val="20"/>
          <w:szCs w:val="20"/>
          <w:color w:val="auto"/>
        </w:rPr>
      </w:pPr>
      <w:r>
        <w:rPr>
          <w:rFonts w:ascii="Times New Roman" w:cs="Times New Roman" w:eastAsia="Times New Roman" w:hAnsi="Times New Roman"/>
          <w:sz w:val="18"/>
          <w:szCs w:val="18"/>
          <w:i w:val="1"/>
          <w:iCs w:val="1"/>
          <w:color w:val="auto"/>
        </w:rPr>
        <w:t>Expedited Programs, Accelerated Approval Programs, Breakthrough Therapy Designation, and Regenerative Medicine Advanced Therapies and Priority Medicine Designation</w:t>
      </w:r>
    </w:p>
    <w:p>
      <w:pPr>
        <w:spacing w:after="0" w:line="16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 sponsor may seek approval of its drug candidate under programs designed to accelerate FDA’s review of INDs and BLA. For example, the FDA may grant Fast Track Designation to a drug intended for treatment of a serious or life-threatening disease or condition that has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the application meets relevant criteria. 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requires post-marketing studies or completion of ongoing studies after marketing authorization to verify the drug’s clinical benefit in relationship to the surrogate endpoint or ultimate outcome in relationship to the clinical benefit to convert the accelerated approved to a full approval.</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9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Based on results of the Phase 3 clinical trials or trials submitted in a BLA, upon the request of an applicant, the FDA may grant the BLA a priority review designation, which sets the target date for FDA action on the application at six months after the FDA accepts the application for filing. The FDA grants priority review where there is evidence that the proposed drug would be a significant improvement in the safety or effectiveness of the treatment, diagnosis or prevention of a serious condition. If the criteria for priority review are not met,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a sponsor may seek a FDA IND designation of its drug candidate as a breakthrough therapy if the drug can, alone or in combination with one or more other drugs,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breakthrough therapy designation ("BTD") allows companies to work earlier, more closely, and frequently with the FDA, and they may be eligible for priority review and accelerated approval. The sponsor of a new biologic product candidate may request that the FDA designate the candidate for a specific indication as a Breakthrough Therapy concurrent with, or after, the submission of the IND for the biologic product candidate. The FDA must determine if the biological product qualifies for BTD within 60 days of receipt of the sponsor’s request.</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Cell-based advanced therapies intended to treat, modify, reverse or cure a serious medical condition can receive Regenerative Medicine Advanced Therapy ("RMAT") designation from the FDA once preliminary clinical evidence has been obtained demonstrating the therapy has the potential to address unmet medical needs for the condition. Similar to BTD, the RMAT allows companies developing regenerative medicine therapies to work earlier, more closely, and frequently with the FDA, and RMAT designated products may be eligible for priority review and accelerated approval. Interaction and communication between the FDA and the sponsor of the trial can help to identify the most efficient path for clinical development while minimizing the number of patients placed in ineffective control regimens. The timing of a sponsor’s request for designation and FDA response are the same as for the breakthrough therapy designation program. Like the other expedited development programs previously mentioned, RMAT designation does not change the scientific or medical standard for approval or the quality of evidence necessary to support approval. In Europe, the European Medicines Agency ("EMA") can grant PRIority MEdicine ("PRIME"), designation to support development of product candidates that may address unmet needs and improve quality of life, based on the potential to benefit patients from early clinical data.</w:t>
      </w:r>
    </w:p>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Special Protocol Assessment</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company may reach an agreement with the FDA under the Special Protocol Assessment ("SPA") process as to the required design and size of clinical trials intended to form the primary basis of an efficacy claim. Under the FDCA and FDA guidance implementing the statutory requirement, an SPA is generally binding upon the FDA except in limited circumstances, such as if the FDA identifies a substantial scientific issue essential to determining safety or efficacy after the clinical trial begins, public health concerns emerge that were unrecognized at the time of the protocol assessment, the sponsor and the FDA agree to the change in writing, or if the clinical trial sponsor fails to follow the protocol that was agreed upon with the FDA.</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2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biological products, are required to register and disclose certain clinical trial information on the website www.clintrials.gov.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 Failure to timely register a covered clinical study or to submit study results as provided for in the law can give rise to civil monetary penalties and also prevent the non-compliant party from receiving future grant funds from the federal government. The U.S. National Institutes of Health’s ("NIH") Final Rule on ClinicalTrials.gov registration and reporting requirements became effective in 2017, and both NIH and FDA have signaled the government’s willingness to begin enforcing those requirements against non-compliant clinical trial sponsors.</w:t>
      </w: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Orphan Drugs</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affecting fewer than 200,000 individuals in the United States, or in other limited cases. Orphan drug designation must be requested before submitting a BLA. If the FDA grants orphan drug designation, the identity of the biological product and its potential orphan disease use are disclosed publicly by the FDA. Orphan drug designation does not convey any advantage in or shorten the duration of the regulatory review and approval process, though companies developing orphan drugs may be eligible for certain incentives, including tax credits for qualified clinical testing. In addition, a BLA for a product that has received orphan drug designation is not subject to a prescription drug user fee unless the application includes an indication other than the rare disease or condition for which the drug was designated. In December 2021, we announced that the FDA granted orphan drug designation to our product candidate NKX101 for treatment of AML.</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A product can be considered clinically superior if it is safer, more effective or makes a major contribution to patient care. Competitors, however, may receive approval of different active moieties for the same indication or obtain approval for the same active moiety for a different indication. In some cases, orphan drug status is contingent on a product with an orphan drug designation demonstrating that it is clinically superior to a previously approved product or products.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Pediatric Information</w:t>
      </w:r>
    </w:p>
    <w:p>
      <w:pPr>
        <w:spacing w:after="0" w:line="22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("PREA"), new drug applications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with orphan product designation except a product with a new active ingredient that is a molecularly targeted cancer product intended for the treatment of an adult cancer and directed at a molecular target determined by the FDA to be substantially relevant to the growth or progression of a pediatric cancer that is subject to an NDA or BLA submitted on or before August 18, 2020. If a BLA is submitted after August 18, 2020, the sponsor is subject to the requirements of Sections 504(a) and (b) of the FDA Reauthorization Act of 2017 ("FDARA") which will require pediatric studies regardless of orphan designation.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Additional Controls for Biologics</w:t>
      </w:r>
    </w:p>
    <w:p>
      <w:pPr>
        <w:spacing w:after="0" w:line="227"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Biosimilars</w:t>
      </w:r>
    </w:p>
    <w:p>
      <w:pPr>
        <w:spacing w:after="0" w:line="2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small number of biosimilar products and no interchangeable products have been approved under the BPCIA. Complexities associated with the larger, and often more complex, structures of biological products, as well as the process by which such products are manufactured, pose significant hurdles to biosimilar product implementation, which is still being evaluated by the FDA.</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or BLA approval, of the reference product, and no application for a biosimilar can be submitted for four years from the date of licensure of the reference product. The first biologic product submitted under the biosimilar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Post-Approval Requirements or Commitments</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Approved drugs and biologics that are manufactured or distributed in the United States pursuant to FDA approvals are subject to pervasive and continuing regulation by the FDA, including, among other things, requirements relating to recordkeeping, periodic reporting, adverse event reporting, product sampling and distribution, advertising and promotion including standards and regulations for direct-to-consumer advertising, off label promotion, industry-sponsored scientific and educational activities and promotional activities involving the Internet. Biologics may be marketed only for the approved indications and in a manner consistent with the provisions of the approved labeling and reporting of adverse experiences with the product.</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FDA may impose a number of post-approval requirements or commitments as a condition of approval of a BLA. For example, the FDA may require post-marketing testing, including Phase 4 clinical trials, and surveillance programs to further assess and monitor the product’s safety and effectiveness after commercialization or the FDA may place conditions on an approval that could restrict the distribution or use of the product. The FDA may also require a REMS, which could involve requirements for, among other things, medication guides, special trainings for prescribers and dispensers, patient registries and elements to assure safe use.</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entities involved in the manufacture and distribution of approved drugs are required to register their establishments with the FDA and state agencies and are subject to periodic unannounced inspections by the FDA and these state agencies for compliance with cGMP requirements. The FDA has promulgated specific requirements for drug cGMP.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 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issue enforcement letters or product approvals may need to be withdrawn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9" w:lineRule="exact"/>
        <w:rPr>
          <w:sz w:val="20"/>
          <w:szCs w:val="20"/>
          <w:color w:val="auto"/>
        </w:rPr>
      </w:pPr>
    </w:p>
    <w:p>
      <w:pPr>
        <w:ind w:left="1020" w:right="4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suspension of the approval, complete withdrawal of the product from the market or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Coverage, Reimbursement and Pricing</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United States and foreign markets, sales of any products for which we receive regulatory approval for commercial sale will depend, in part, on the availability of coverage and the adequacy of reimbursement from third-party payors. Third-party payors include government authorities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third-party payor’s decision to provide coverage for a product does not imply that an adequate reimbursement rate will be approved. For example, the payor’s reimbursement payment rate may not be adequate or may require co-payments that patients find unacceptably high. Additionally, coverage and reimbursement for products can differ significantly from payor to payor. Adequate third-party reimbursement may not be available to enable us to maintain price levels sufficient to realize an appropriate return on our investment in product development. Further, some third-party payors may require pre-approval of coverage for new or innovative devices or drug therapies before they provide reimbursement for use of such therapies.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medical necessity and cost-effectiveness of products and services, in addition to their safety and efficacy. To obtain coverage and reimbursement for any product that might be approved for sale,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U.S. and foreign governments regularly consider reform measures that affect healthcare coverage and costs. For example, the U.S.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products. The Patient Protection and Affordable Care Act, as amended by the Health Care and Education Reconciliation Act (collectively, the "ACA") contains provisions that may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 Centers for Medicare and Medicaid Services ("CMS") may develop new payment and delivery models, such as bundled payment models. Adoption of government controls and measures, and tightening of restrictive policies in jurisdictions with existing controls and measures, could limit payments for our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marketability of any products for which we receive regulatory approval for commercial sale may suffer if the government and third-party payors fail to provide adequate coverage and reimbursement. In addition, the focus on cost containment measures, particularly in the United States, has increased and we expect will continue to increase the pressure on pharmaceutical pricing. Coverage policies and third-party reimbursement rates may change at any time. Even if we attain favorable coverage and reimbursement status for one or more products for which we receive regulatory approval, less favorable coverage policies and reimbursement rates may be implemented in the future.</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Coverage Reimbursement and Pricing</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 effectiveness of a particular drug candidate to currently available therapies, or so called health technology assessments, in order to obtain reimbursement or pricing approval.</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Laws and Regulations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Physicians, other healthcare providers, and third-party payors will play a primary role in the recommendation and prescription of any product candidates for which we obtain marketing approval. Our arrangements with healthcare professionals, principal investigators, consultants, customers and third-party payors are and will be subject to various federal, state and foreign fraud and abuse laws and other healthcare laws and regulations. These laws and regulations may impact, among other things, our arrangements with third-party payors, healthcare professionals who participate in our clinical research programs, healthcare professionals and others who purchase, recommend or prescribe our approved products, and our proposed sales, marketing, distribution and education programs. The U.S. federal and state healthcare laws and regulations that may affect our ability to operate include, without limitation, the following:</w:t>
      </w:r>
    </w:p>
    <w:p>
      <w:pPr>
        <w:spacing w:after="0" w:line="81" w:lineRule="exact"/>
        <w:rPr>
          <w:sz w:val="20"/>
          <w:szCs w:val="20"/>
          <w:color w:val="auto"/>
        </w:rPr>
      </w:pPr>
    </w:p>
    <w:p>
      <w:pPr>
        <w:ind w:left="1020" w:right="6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persons from, among other things, knowingly and willfully soliciting, receiving, offering or paying remuneration, directly or indirectly, in cash or in kind, to induce or reward either the referral of an individual for, or the purchase, order or recommendation of, any good or service, for which payment may be made under federally funded healthcare programs, such as Medicare and Medicaid. The term “remuneration” has been broadly interpreted to include anything of value;</w:t>
      </w:r>
    </w:p>
    <w:p>
      <w:pPr>
        <w:spacing w:after="0" w:line="71"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without limitation, the federal civil monetary penalties law and the civil False Claims Act (which can be enforced by private citizens through qui tam actions),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creates federal criminal laws that prohibit, among other things, executing or attempting to execute a scheme to defraud any healthcare benefit program knowingly and willfully falsifying, concealing or covering up a material fact or making any materially false statement in connection with the delivery of or payment for healthcare benefits, items or services;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6" w:lineRule="exact"/>
        <w:rPr>
          <w:sz w:val="20"/>
          <w:szCs w:val="20"/>
          <w:color w:val="auto"/>
        </w:rPr>
      </w:pPr>
    </w:p>
    <w:p>
      <w:pPr>
        <w:ind w:left="10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certain healthcare providers, health plans and healthcare clearinghouses and their respective business associates who use, disclose, store or otherwise process HIPAA-protected health information on their behalf;</w:t>
      </w:r>
    </w:p>
    <w:p>
      <w:pPr>
        <w:spacing w:after="0" w:line="75"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created under the ACA, which requires certain manufacturers of drugs, devices, biologics and medical supplies reimbursed under Medicare, Medicaid or the Children’s Health Insurance Program ("CHIP") to report to the Department of Health and Human Services ("HHS") information related to payments and other transfers of value provided to physicians and teaching hospitals and physician ownership and investment interests;</w:t>
      </w:r>
    </w:p>
    <w:p>
      <w:pPr>
        <w:spacing w:after="0" w:line="71"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impose similar restrictions and may apply to items or services reimbursed by non-governmental third-party payors, including private insurers;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laws requiring the registration of pharmaceutical sales representatives;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health information privacy and data breach notification laws, which govern the collection, use, disclosure and protection of health-related and other personal information, many of which differ from each other in significant ways and often are not pre-empted by HIPAA, thus complicating compliance efforts; and</w:t>
      </w:r>
    </w:p>
    <w:p>
      <w:pPr>
        <w:spacing w:after="0" w:line="6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unfair and deceptive trade practices statutes, pursuant to which significant statutory fines and penalties can be imposed against pharmaceutical companies alleged to have engaged in consumer fraud.</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will be required to spend substantial time and money to ensure that our business arrangements with third parties comply with applicable healthcare laws and regulations. Recent healthcare reform legislation has strengthened these federal and state healthcare laws. For example, the ACA amends the intent requirement of the federal Anti-Kickback Statute and criminal healthcare fraud statutes to clarify that liability under these statutes does not require a person or entity to have actual knowledge of the statutes or a specific intent to violate them. Moreover, the ACA provides that the government may assert that a claim that includes items or services resulting from a violation of the federal Anti-Kickback Statute constitutes a false or fraudulent claim for purposes of the civil False Claims Act. Government regulators have been very active in the last several years in revising existing regulations and promulgating new regulations. Government enforcement regulators have also become increasingly active in bringing enforcement actions based on these laws. Because of the breadth of these laws and the narrowness of the statutory exceptions and safe harbors available, it is possible that some of our business activities could be subject to challenge under one or more of such laws.</w:t>
      </w:r>
    </w:p>
    <w:p>
      <w:pPr>
        <w:spacing w:after="0" w:line="18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we are found to be in violation of these laws, we may be subject to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reputational harm, in which case we may be required to curtail or restructure our operations. Moreover, we expect that there will continue to be federal and state laws and regulations, proposed and implemented, that could impact our future operations and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spacing w:after="0" w:line="75" w:lineRule="exact"/>
        <w:rPr>
          <w:sz w:val="20"/>
          <w:szCs w:val="20"/>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rebates a manufacturer must pay under the Medicaid Drug Rebate Program to 23.1% and 13% of the average manufacturer price for branded and generic drugs, respectively;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70% point-of-sale discounts to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 unless the drug is subject to discounts under the 340B drug discount program;</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under the federal Physician Payments Sunshine Act for drug manufacturers to report information related to payments and other transfers of value made to physicians and teaching hospitals as well as ownership or investment interests held by physicians and their immediate family members;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the Independent Payment Advisory Board, which, if and when impaneled, will have authority to recommend certain changes to the Medicare program that could result in reduced payments for prescription drugs;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 is unclear how other efforts, if any, to challenge, repeal or replace the ACA, and other healthcare reform measures, will impact our business.</w:t>
      </w:r>
    </w:p>
    <w:p>
      <w:pPr>
        <w:spacing w:after="0" w:line="22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product pricing, review the relationship between pricing and manufacturer patient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93"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what initiatives may be adopted in the future. Further federal, state, and regional developments are likely, and we expect ongoing initiatives to increase pressure on drug pricing. These changes may adversely impact the prices we or our future collaborators may charge for our products candidates, if commercialized.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229"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foreign countries that impose similar obligations.</w:t>
      </w: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Anti-Corruption Laws</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Foreign Corrupt Practices Act (the "FCPA") the U.S. domestic bribery statute contained in 18 U.S.C. §201, the U.S. Travel Act, the USA PATRIOT Act, and possibly other state and national anti-bribery and anti-money laundering laws in countries in which we conduct activities. These anti-corruption laws prohibit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This could become relevant in the conduct of international clinical trials where the sites for such trials may be a government-owned hospital.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a variety of foreign regulations governing clinical trials and commercial sales and distribution of our products to the extent we choose to develop or sell any products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biopharmaceutical industry in general, and the cell therapy field in particular, is characterized by rapidly advancing and changing technologies, intense competition and a strong emphasis on intellectual property. Our product candidates, if approved, may address multiple diseases, including B-cell driven autoimmune diseases, B-cell lymphomas and acute myeloid leukemia. We face substantial and increasing competition from many different sources, including large and specialty biopharmaceutical companies, academic research institutions, governmental agencies and public and private research institutions. Competitors may compete with us in hiring scientific and management personnel, establishing clinical study sites, recruiting patients to participate in clinical trials and acquiring technologies complementary to, or necessary for, our programs.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autologous CAR T cell therapies directed at CD19, tisagenlecleucel, axicabtagene ciloleucel, brexucabtagene autoleucel, and lisocabtagene maraleucel, have been commercialized by Novartis, Kite/Gilead and Bristol-Meyers Squibb Company, and are direct competitors to our product candidate NKX019 in the setting of B cell lymphomas. These approved products are witnessing increased adoption in the market place. Bispecific CD20-directed CD3 T-cell engaging antibodies approved for the treatment of B-cell lymphomas are also competitors to our product candidate NKX019, including but not limited to mosunetuzumab-axgb commercialized by Genentech/Roche, epcoritamab-bysp commercialized by AbbVie, glofitamab-gxbm commercialized by Roche, and odronextamab commercialized by Regeneron.</w:t>
      </w:r>
    </w:p>
    <w:p>
      <w:pPr>
        <w:spacing w:after="0" w:line="187"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A large number of cell therapy companies with expertise in oncology intend to apply their technology and development capabilities to the field of autoimmune disease. Companies developing autologous cell therapies for autoimmune diseases which compete directly with NKX019 include but are not limited to AstraZeneca, Autolus, Bristol-Myers Squibb Company, Cabaletta, Cartesian, Immpact Bio, Kyverna, Nanjing Enricnk Biotech, Novartis, and Synthekine. Companies developing allogeneic cell therapies intended to treat autoimmune diseases which compete directly with NKX019 include but are not limited to Adicet, Allogene, Artiva, Atara, Caribou, Century, CRISPR Therapeutics, Fate Therapeutics, Precision Biosciences, and Sana Biotechnology.</w:t>
      </w:r>
    </w:p>
    <w:p>
      <w:pPr>
        <w:spacing w:after="0" w:line="1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Autologous and allogeneic cell therapies intended to treat B cell lymphomas are being developed by a number of additional companies, including but not limited to Astellas Pharma, Arsenal Biosciences, Artiva Biosciences, Capstan Therapeutics, Caribou, Cellectis, Century Therapeutics, CRISPR Therapeutics, CytoImmune, Cytovia, Editas, Galapagos, Gamida Cell, Glycostem, Gracell, ImmunityBio, Indapta, Intellia, MaxCyte, NKGen, ONK Therapeutics, Poseida Therapeutics, Precigen, Regeneron, Sanofi, Senti Bio, Shoreline Biosciences, Surface Oncology, Takeda, TScan Therapeutics, and WuGen. Autologous and allogeneic cell therapies intended to treat acute myeloid leukemia are being developed by additional companies, including but not limited to Affimed, Arcellx, Autolus, Celyad Oncology, Vor Biopharma. Furthermore, a number of companies are seeking to harness NK or T cell biology through engagers which seek to direct a patient’s own NK or T cells to the site of a tumor. Such competitors include Affimed, Amgen, Dragonfly Therapeutics, GT Biopharma, Innate Pharma, and Servier. Several companies are investigating other types of immune cells, such as gamma/delta T cells, natural killer T cells, and macrophages which may offer some of the same advantages as engineered NK cells. These companies include Acepodia, Adicet, Appia Bio, Athenex, Carisma Therapeutics, and In8Bio. In addition, numerous academic institutions are conducting preclinical and clinical research in these areas.</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Many of our current or potential competitors have significantly greater financial, technical and human resources, as well as more expertise in research and development, manufacturing, preclinical testing, conducting clinical studies and trials and commercializing and marketing approved products, than us. Mergers and acquisitions in the biopharmaceutical industry may result in even greater resource concentration among a smaller number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competitors. Smaller or early-stage companies may also prove to be significant competitors, either alone or through collaborative arrangements with large and established companies.</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price and degree of reimbursement.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believe that our values – patient first, data driven, intellectually honest, transparent, diverse, inclusive, work/life balance, respectful, humble, creative, and ethical – are the foundations for our team and our behaviors for promoting creativity, innovation and productivity. As of December 31, 2023, we had 150 full-time employees, 36 of whom have Ph.D., M.D. or J.D. degrees. Of these full-time employees, 122 employees are engaged in research and development activities and 28 employees are engaged in finance, business development, human resources, operations and other general and administrative functions. We have no collective bargaining agreements with our employees and we have not experienced any work stoppages. We consider our relations with our employees to be good.</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a diverse and inclusive work environment is critical for driving innovation, workforce productivity and the development of new cell therapies. We embrace the principles of workplace development, diversity and inclusion set forth by the Biotechnology Innovation Organization. As part of comprehensive approach to diversity, equity and inclusion at Nkarta, we rely on data to identify gaps, set priorities and enable ongoing measurement of our progress. We publish these quarterly data on our website in the spirit of shared responsibility and accountability. Nothing on our website shall be deemed incorporated by reference into this Annual Report on Form 10-K.</w:t>
      </w: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Compensation, Benefits and Well-being</w:t>
      </w:r>
    </w:p>
    <w:p>
      <w:pPr>
        <w:spacing w:after="0" w:line="2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strive to offer fair, market-competitive compensation and benefits that support our employees’ overall well-being. To ensure alignment with our short- and long-term objectives, our compensation programs for all employees include base pay, short-term incentives, and opportunities for long-term incentives. Our well-being and benefit programs focus on four key pillars: physical, emotional, financial and community. We offer a wide array of benefits including comprehensive health insurance, generous time-off and leave, and retirement and financial support.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risk factors, as well as all of the other information contained in this Annual Report on Form 10-K,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Annual Report on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do not have any products approved for sale.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we expect to continue to incur significant losses for the foreseeable future.</w:t>
      </w:r>
    </w:p>
    <w:p>
      <w:pPr>
        <w:spacing w:after="0" w:line="22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2015, we have incurred significant operating losses. Our net losses were $117.5 million and $113.8 million for the years ended December 31, 2023 and 2022, respectively. Our accumulated deficit was $435.4 million as of December 31, 2023. We expect to continue to incur increasing operating losses for the foreseeable future as we continue to develop our product candidates. In addition, we anticipate that our expenses will increase substantially if, and as, we:</w:t>
      </w:r>
    </w:p>
    <w:p>
      <w:pPr>
        <w:spacing w:after="0" w:line="7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NKX019 and our other product candidates, including in new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scale up and optimization of manufacturing process and prepare for commercial manufacturing;</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additional product candidates to clinical trials, including product candidates under the collaboration with CRISPR Therapeutics AG ("CRISPR");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current product candidates for additional disease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qualify our own clinical- and commercial-scale current good manufacturing practice ("cGMP") facilities;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biologics license application ("BLA") or marketing authorization application ("MAA") for NKX019 and/or our other product candidates and/or seek marketing approvals for any of our other product candidates that successfully complete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product candidates in various jurisdictions for commercial sale;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spacing w:after="0" w:line="86"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secure marketing, sales and distribution capabilities, either internally or with third parties, to support commercialization;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employee headcount and related expenses to support the foregoing activities.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may never succeed in any or all of these activities and, even if we do, we may never generate revenues that are significant or large enough to achieve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achieve or maintain profitability.</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continue to incur significant research and development and other expenses related to ongoing operations and the development of our product candidates, including NKX019. All of our product candidates will require substantial additional development time and resources before we are be able to apply for or receive regulatory approvals and begin generating revenue from product sales. Neither the United States Food and Drug Administration ("FDA") nor any other regulatory authority has approved NKX019, NKX101 or any of our other product candidates, and we do not anticipate generating revenues from product sales unless and until such time as NKX019, NKX101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81"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for product candidates for which we successfully complete positive clinical trials, if any;</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by establishing a commercial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adequate coverage and reimbursement by government and third-party payors for our product candidates;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maintaining and enhancing a sustainable, scalable, reproducible and transferable manufacturing process for each of our cell therapy product candidates;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a viable clinical 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know-how, and trademarks;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third-party interference or infringement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4" w:name="page45"/>
    <w:bookmarkEnd w:id="44"/>
    <w:p>
      <w:pPr>
        <w:spacing w:after="0" w:line="19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private placements of our preferred stock, proceeds from our previous collaboration with GlaxoSmithKline, proceeds from our initial public offering ("IPO") completed in July 2020, proceeds from our underwritten public offering of our common stock completed in April 2022 (the "Secondary Offering"), and our "at the market" equity offering program (the "ATM Offering Program"). We estimate that we used the proceeds of our IPO primarily to advance our product candidates through preclinical studies and clinical trial programs, the construction of our manufacturing facility, and for working capital and general corporate purposes. We intend to continue to use the proceeds from our Secondary Offering and ATM Offering Program to, among other uses, advance NKX019 further in clinical development. However, developing pharmaceutical products and conducting preclinical studies and clinical trials is expensive. Advancing NKX019 or any product candidate into pivotal trials will require us to raise additional capital. As of December 31, 2023, we had cash, cash equivalents, restricted cash, and investments of $250.9 million. Our research and development expenses increased from $90.9 million for the year ended December 31, 2022 to $96.8 million for the year ended December 31, 2023.</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Until and unless we can generate substantial product revenue, we expect to finance our cash needs through the proceeds from our Secondary Offering, a combination of equity offerings and debt financings, including pursuant to our ATM Offering Program, and potentially through additional license and development agreements or strategic partnerships with third parties. Financing may not be available in sufficient amounts or on reasonable terms. In addition, market volatility resulting from the ongoing conflicts in the Middle East and Ukraine, rising inflation, rising interest rates,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due to health epidemics or other causes,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the success of our CAR NK cell technology platform.</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A Phase 1 clinical trial to evaluate our lead CAR NK cell product candidate, NKX019, in humans with certain hematological malignancies is ongoing, and preparations for an additional Phase 1 clinical trial for NKX019 in patients with lupus nephritis ("LN") are underway. Although NKX101 has also been in a Phase 1 clinical trial for certain hematologic malignancies, we have stopped enrolling new patients in that clinical trial. Although we may explore our options for implementing certain changes in that program, we cannot guarantee that we will pursue any further development of NKX101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 cell engineering technology.</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Utilizing CAR NK cells represents a novel therapeutic approach, and we must overcome significant challenges in order to develop, commercialize and manufacture our product candidates.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utilizing CAR NK cells as an immunotherapy for the treatment of certain diseases, specifically cancers and, most recently, autoimmune diseases. To date, the FDA has approved only a limited number of cell-based therapies for commercialization as treatments for cancer, no cell-based therapies have been approved for commercial use for the treatment of an autoimmune disease,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 cell platform product candidates are novel, and cell-based therapies are relatively new, especially as potential treatments for autoimmune diseases, regulatory agencies may lack precedents for evaluating product candidates like our CAR NK 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 cell platform product candidates.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Use of CAR NK cell therapies may not gain the acceptance of the public or the medical community, especially for the treatment of autoimmune diseases. The patients with autoimmune disease that we will target with NKX019 are typically not at risk of near-term death, even if they may suffer life-threatening symptoms, so the patients will need to deem the benefits of cell therapy to be worth the risk of unknown potential adverse side effects.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advancing novel immunotherapies creates significant challenges for us, including:</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sufficient numbers of patients in clinical trials;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 sufficient number of medical personnel on how to properly thaw and administer our cells, especially in any solid tumor trial wherein the cells are given through a procedure by trained medical doctors;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 sufficient number of medical and clinical laboratory personnel in the proper collection and handling of clinical samples in our clinical trials to enable a sufficient understanding of CAR NK cell pharmacokinetics and pharmacodynamics for the design of an optimal dosing regimen;</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side-effect profile of our cells and, as the clinical program progresses, on observed side effects with the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reliable and safe and an effective means of genetically modifying our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cryopreservation our cells on a large scale and in a cost-effective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starting material suitable for clinical and commercial manufacturing; and</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as well as developing a manufacturing process and distribution network to support the commercialization of any approved products.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must be able to overcome these challenges in order for us to develop, commercialize and manufacture our product candidates utilizing CAR 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cells.</w:t>
      </w:r>
    </w:p>
    <w:p>
      <w:pPr>
        <w:spacing w:after="0" w:line="31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CAR NK cell therapy is a relatively new field. To date, no CAR NK cell therapies have been licensed in the United States or elsewhere to treat cancer, and no cell therapies of any type have been licensed for the treatment of autoimmune diseases. The history of manufacturing CAR NK cells for clinical use is limited. Our understanding of NK cell biology is continuously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 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Prior clinical experience with NK cell therapy has been predominantly based on cells from haplomatched donors, i.e., at least half of the major Human Leukocyte Antigen ("HLA") types matched between donor and recipient. Our Phase 1 clinical trials, however, are currently evaluating product candidates manufactured from completely unrelated donors (i.e. used "off-the-shelf"). There is a risk that our early clinical results from our Phase 1 clinical trials using off-the-shelf NKX019 and NKX101 may not be reflective of future clinical trial results which may require us to re-evaluate HLA matching. If it becomes apparent through future preclinical testing or clinical trials that such matching is required, the production of NKX019, NKX101, and our other product candidates as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standardized, off-the-shelf products for all patients will not be achievable. Instead, we would need to establish an alternative approach for each of our product candidates to achieve coverage of the addressable patient population.</w:t>
      </w:r>
    </w:p>
    <w:p>
      <w:pPr>
        <w:spacing w:after="0" w:line="16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Furthermore, the killer immunoglobulin-like receptor ("KIR") is found on the surface of NK cells and recognizes certain HLA types. If there is a match between KIR and the HLA type, KIR acts as a natural inhibitor of NK activity, thereby serving to prevent immune reactions against an individual’s own cells. In our Phase 1 clinical trials, the product candidate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products in the clinic.</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with respect to the development of NKX101 for the treatment of malignancies,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reengineering of our product candidates or change to the processes we use to manufacture our product candidates could require the redesign of our clinical protocols and clinical trials for our product candidates,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we may encounter substantial delays due to a variety of reasons outside our control.</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2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p>
    <w:p>
      <w:pPr>
        <w:spacing w:after="0" w:line="68"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approval to commence a clinical trial;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clinical trial sites or CROs, the terms of which can be subject to extensive negotiation and may vary significantly among different trial sites and CROs;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sufficient patients for our clinical trials in a timely manner or at all;</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achieving a sufficient number of clinical trial sites or obtaining the required institutional review board ("IRB"), approval at each clinical trial site;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us or by the FDA or other regulatory agencies based on emerging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long-term follow-up data due to patient drop out or in cases where patients elect to receive post-protocol treatment for their disease before it progresses;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 clinical trial by the IRB of the institutions in which such trials are being conducted or by the Data Safety Monitoring Board ("DSMB") (where applicable);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scaling up, optimizing or controlling a manufacturing process suitable for clinical trials, or production delays, shutdowns or setbacks at any of our contract manufacturers;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additional regulatory, site and clinical trial participant approvals required if a product candidate, especially a product candidate custom manufactured for a specific patient, does not meet the required specifications;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that may require us to amend or submit new clinical protocols, or such requirements may not be as we anticipate;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or treatment landscape on which a clinical development plan was based, which may require new or additional trials;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For example, following a recent interim evaluation of response data in our NKX101 clinical trial for the treatment of relapsed or refractory acute myeloid leukemia ("r/r AML") or higher risk myelodysplastic syndromes ("MDS"), we decided to prioritize our planned NKX019 Phase 1 trial for the treatment of LN and deprioritize our NKX101 program. Enrollment in our NKX101 clinical trial has been closed. We plan to evaluate the design of the clinical trial, dosing schedule, and manufacturing processes before pursuing any further development of NKX101, although we cannot guarantee that we will pursue any further development of NKX101 in the near future or at all.</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9" w:name="page50"/>
    <w:bookmarkEnd w:id="49"/>
    <w:p>
      <w:pPr>
        <w:spacing w:after="0" w:line="1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Disruptions caused by or related to pandemics, epidemics, or outbreaks of infectious disease, including future outbreaks of COVID-19 variants,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including future outbreaks of COVID-19 variants, then we may experience delays in obtaining periodic advice which may affect our ability to move our clinical programs forward into the next phase of development.</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spacing w:after="0" w:line="18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such as for our planned NKX019 clinical trial for the treatment of LN, establish partnerships in relation to our clinical trials, receiving advisory services and other support from third parties. For example, we have partnered with Lupus Therapeutics, the clinical research affiliate of the Lupus Research Alliance, to accelerate development of NKX019 through select sites of the Lupus Clinical Investigators Network ("LuCIN"). Although we believe that these partnerships will enable us to accelerate the development of our product candidates and clinical trials, we cannot guarantee that such collaborations will be successful and, in the event they are not, we may lose our competitive advantage and/or incur additional costs.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regulatory expectations regarding the genome editing of cellular therapies continue to evolve with data emerging on chromosomal abnormalities from CAR T therapies or other sources, our pipeline programs that involve gene-edited cells, including an allogeneic, off-the-shelf CAR NK cell product candidate targeting the CD70 tumor antigen ("NKX070") and an allogeneic, off-the-shelf product candidate that comprises both engineered NK cells and engineered T cells ("NK+T"), on which we are collaborating with CRISPR, could be impacted. For example, the FDA may require additional or new release assays for manufactured lots of any product candidates that have been gene edited, which, as a result, could slow development of our gene-edited product candidates and increase expenses.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9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cannot guarantee that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we have limited prior experience in developing treatments for autoimmune diseases and our resources and processes have historically been focused on the development of NK cell therapies for cancer. The FDA, and other comparable global regulatory authorities can delay, limit or deny approval of a product candidate for many reasons. For further details about such reasons, see “—</w:t>
      </w:r>
      <w:r>
        <w:rPr>
          <w:rFonts w:ascii="Times New Roman" w:cs="Times New Roman" w:eastAsia="Times New Roman" w:hAnsi="Times New Roman"/>
          <w:sz w:val="18"/>
          <w:szCs w:val="18"/>
          <w:i w:val="1"/>
          <w:iCs w:val="1"/>
          <w:color w:val="auto"/>
        </w:rPr>
        <w:t>Clinical development involves a lengthy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expensive process with an uncertain outcome, and we may encounter substantial delays due to a variety of reasons outside our control.</w:t>
      </w:r>
      <w:r>
        <w:rPr>
          <w:rFonts w:ascii="Times New Roman" w:cs="Times New Roman" w:eastAsia="Times New Roman" w:hAnsi="Times New Roman"/>
          <w:sz w:val="18"/>
          <w:szCs w:val="18"/>
          <w:color w:val="auto"/>
        </w:rPr>
        <w:t>” Any delay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obtaining, or inability to obtain, applicable regulatory approval will delay or harm our ability to successfully commercialize NKX019 or any of our other product candidates, especially and could materially adversely affect our business, financial condition, results of operations and growth prospects.</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NKX019 is in Phase I clinical development and subject to the risks inherent in drug development. In December 2022, we announced the opening of three dose-expansion cohorts in our Phase I clinical trial to evaluate NKX019 monotherapy and NKX019 in combination with rituximab in patients with large B-cell lymphoma ("LBCL"). Preliminary results from these cohorts did not meet our expectations, based on the clinical experience of NKX019 in the dose finding portion of the Phase 1 study. As a result, we are no longer enrolling patients in those dose-expansion cohorts. In October 2023, we announced the opening of a new cohort in our clinical trial of NKX019 for the treatment of B-cell malignancies. The new cohort introduces a compressed dosing schedule, where patients receive NKX019 doses on Days 0, 3, and 7 following standard lymphodepleting conditioning ("LD"), rather than Days 0, 7 and 14 following LD in prior cohorts. The new cohort schedule is designed to intensify exposure to NKX019 in the first week after LD, when internal data suggest that NKX019 exposure is highest. We may also use data from this new cohort to inform future dosing strategies across our platform.</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Due to the commercial availability of multiple therapeutic agents that target CD19, as well as others that are in various stages of development, we have had significant difficulty, and may continue to have significant difficulty, enrolling subjects who have not previously been exposed to a CD19-directed cellular therapy into our Phase 1 clinical trial of NKX019 for the treatment of B-cell malignancies, which has impacted our ability to obtain data about NKX019 activity in certain patient populations and slowed enrollment. If we are unable to enroll sufficient numbers of patients who have not previously received CD19 CAR T-cell therapy in our current or future NKX019 clinical trials in a timely manner, the clinical development and subsequent commercialization of NKX019 for treatment of those patient populations may be delayed or may not be possible at all.</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October 2023, we announced that we had received clearance of an Investigational New Drug ("IND") application by the FDA to evaluate NKX019 for the treatment of LN. The planned multi-center, open label, dose escalation Phase 1 clinical trial will evaluate the safety and clinical activity of NKX019 in patients with refractory LN. There are no cell therapies licensed to date in the United States or elsewhere to treat autoimmune diseases and we have no prior experience in developing treatments for autoimmune diseases. We cannot guarantee that our development of NKX019 for the treatment of LN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or any additional indications, NKX019 for any of these indications may not be successfully commercialized, widely accepted in the marketplace or more effective than other commercially available alternatives. If we are unable to successfully develop and commercialize NKX019 for LN or these additional autoimmune indications, our commercial opportunity will be limited, and our business, financial condition and growth prospects will be materially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spacing w:after="0" w:line="176"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NKX101, our other clinical-stage product candidate, is also subject to the risks inherent in drug development. NKX101 has been studied in dose-expansion cohort in a Phase 1 clinical trial for the treatment of blood cancers including r/r AML or MDS. Following a recent interim evaluation of the clinical response data, we decided to deprioritize the clinical development of NKX101. Further enrollment in the trial has been closed. We do not plan to pursue any further development of NKX101 without first evaluating our options for the trial design, dosing regimen, and manufacturing process for the program. We cannot guarantee that we will pursue any further development of NKX101 in the near future or at all. Even if we do decide in the future to further develop NKX101 for the treatment of r/r AML or MDS, we may not be successful in doing so. If clinical development of NKX101 is restarted in the future and the Phase 1 or clinical trials of NKX101 for the treatment of AML or MDS encounter concerning safety signals, efficacy concerns,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p>
    <w:p>
      <w:pPr>
        <w:spacing w:after="0" w:line="18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If we restart development of NKX101 at a later point and are able to obtain clinical proof-of-concept from our NKX101 Phase 1 trial for blood cancers including r/r AML and MDS, we may also develop NKX101 for additional indications. We may not be able to advance any of these indications through the development process. The potential development of NKX101 for treating solid tumors, for example, would be subject to a number of risks including a hostile tumor microenvironment and trafficking to tumor site. The development of treatments to treat solid tumors often requires larger and more expensive clinical trials than for treating blood cancers.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may be limited.</w:t>
      </w:r>
    </w:p>
    <w:p>
      <w:pPr>
        <w:spacing w:after="0" w:line="192"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NKX019 and NKX101 are our most advanced product candidates, and because our other product candidates are based on similar technology, if our clinical trials of NKX019 or NKX101 experience any of the foregoing issues, our development plans for our other product candidates in our pipeline could also be significantly impaired, which could materially adversely affect our business, financial condition, results of operations and growth prospects.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9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data supporting the effectiveness of CD19-targeted cell therapies against autoimmune disease are limited, and CD19-targeted CAR NK cell therapies, such as NKX019, may not provide the same, or any, therapeutic benefit against LN or other autoimmune diseases, or be competitive with respect to other CD19-targeted therapies for the treatment of autoimmune disease.</w:t>
      </w:r>
    </w:p>
    <w:p>
      <w:pPr>
        <w:spacing w:after="0" w:line="17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Although we believe that our allogeneic CD19-targeting CAR NK cell product candidate NKX019 may have disease-modifying potential in autoimmune disease, such as LN, the use of CD19-targeted CAR cell therapies, and, in particular, allogeneic CD19 CAR NK cell therapies, represents a novel approach for the treatment of autoimmune disease, and is supported by limited clinical data. To date, no cell therapies have been approved by the FDA for the treatment of autoimmune disease. We cannot guarantee that our planned clinical trial for NKX019 in LN and any other future clinical development of NKX019 for the treatment of autoimmune diseases will be successful. Our belief that NKX019 may be effective as a treatment for autoimmune disease is based largely on our understanding of the mechanism behind the positive clinical data reported by certain academic groups for the use of a CD19 CAR T-cell therapy in a limited number of patients with autoimmune disease, as well as on our own in vitro studies showing that NKX019 can kill B-cells in peripheral blood mononuclear cells ("PBMCs") obtained from patients with autoimmune diseases and observations regarding the effect of NKX019 on B-cells from our ongoing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cannot know with any certainty whether NKX019 will be effective against LN, other forms of systemic lupus erythematosus ("SLE"), or any other autoimmune disease, or whether NKX019 will be competitive as a treatment for such indications against CD19 CAR T cell therapies. We also face competition from a large number of cell therapy companies with capabilities and expertise in oncology who are also advancing development programs in autoimmune diseases, which may impact our ability to successfully develop and commercialize NXK019. For further details about such reasons, see “—</w:t>
      </w:r>
      <w:r>
        <w:rPr>
          <w:rFonts w:ascii="Times New Roman" w:cs="Times New Roman" w:eastAsia="Times New Roman" w:hAnsi="Times New Roman"/>
          <w:sz w:val="18"/>
          <w:szCs w:val="18"/>
          <w:i w:val="1"/>
          <w:iCs w:val="1"/>
          <w:color w:val="auto"/>
        </w:rPr>
        <w:t>Enrollment and retention of patients in clinical trials is an expensive and time-consuming process and could be delayed,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made more difficult or rendered impossible by multiple factors outside our control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cs="Times New Roman" w:eastAsia="Times New Roman" w:hAnsi="Times New Roman"/>
          <w:sz w:val="18"/>
          <w:szCs w:val="18"/>
          <w:color w:val="auto"/>
        </w:rPr>
        <w:t>.” If NKX019 is shown to not be sufficiently effective against LN or other autoimmune diseases in clinical trials, we experience delays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ability to advance NKX019 through clinical development for LN or other autoimmune diseases, or we are unable to successfully compete against other companies in the development and commercialization of NKX019, the commercial prospects of NKX019, as well as our business, financial condition and growth prospects, would be materially adversely affected.</w:t>
      </w:r>
    </w:p>
    <w:p>
      <w:pPr>
        <w:spacing w:after="0" w:line="31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5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eligibility criteria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subjects to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 including as a result of their assessment of the clinical trial parameters;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medical practice patterns or guidelines related to the indications we are investigating;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8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or approved therapies which present an attractive alternative to patients and their physicians;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 including as a result of adverse effects observed in similar or competing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due to various reasons;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subjects will drop out or die before completion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a clinical trial or returning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the requisite supply of our product candidates for our clinical trials;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have had significant difficulty in our Phase 1 NKX019 clinical trial for the treatment of B-cell malignancies and may continue to have significant difficulty in our current or future NKX019 clinical trials for certain indications, including B-cell malignancies, enrolling subjects who have not previously been exposed to a CD19-directed cellular therapy. Additionally, for our ongoing NKX019 clinical trial for the treatment of cancer, our planned NKX019 clinical trial for the treatment of LN, and any future NKX019 clinical trials of ours for the treatment of other autoimmune diseases, the number of qualified clinical investigators is limited, so we may conduct some of our clinical trials at the same clinical trial sites that some of our competitors use, which will reduce the number of patients who are available for our clinical trials at such clinical trial site. A number of cell therapy companies have recently announced plans for clinical trials for the treatment of LN and/or other autoimmune diseases, which may increase competition in the future for investigators and/or patients for our planned NKX019 clinical trial for the treatment of LN and any other NKX019 clinical trials that we may initiate in the future for the treatment of other autoimmune diseases. Furthermore, we intend to use Cy as the LD prior to treatment with NKX019 in our planned NKX019 clinical trial for the treatment of LN. If this is ineffective or we decide to change the protocol to use a combination of Flu and Cy, as the LD, physicians may choose to refer patients to other clinical trials conducted by one of our competitors.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development of our product candidates also depends on the availability of a sufficient supply of certain other materials and agents used in our clinical trials. For example, certain of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enroll a sufficient number of patients in our clinical trials in a timely manner, our completion of clinical trials may be delayed or may not be achieved, which would prevent us from further developing or commercializing our product candidates.</w:t>
      </w:r>
    </w:p>
    <w:p>
      <w:pPr>
        <w:spacing w:after="0" w:line="26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order to obtain FDA or other regulatory authority approval to market a new biological product we must demonstrate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Other than NKX019 and NKX101, all of our programs, including NKX070,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or other in vivo or in vitro data to support the initiation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acceptable clinical trial design or manufacturing process;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not allowing us to rely on previous findings of safety and efficacy for other similar but approved products and published scientific literature.</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report,may differ from, and may not be indicative of, future results of the same clinical trials, or different conclusions or considerations may qualify such topline results once additional data have been received and fully evaluated. For example, the preliminary results from the three dose expansion cohorts we announced opening in December 2022 as part of our Phase 1 NKX019 clinical trial for the treatment of B-cell malignancies did not meet expectations. We are now no longer enrolling patients in those dose expansion cohorts and in October 2023, we announced the opening of a new cohort with a compressed dosing schedule. We will now evaluate the results of this new cohort before committing additional resources to the program. Also, an interim evaluation of the data from the most recent dose-expansion cohort of our NKX101 Phase 1 clinical trial indicated that the aggregate clinical response rate for the 20 patients in the cohort was meaningfully lower than it had been for the first six patients in the cohort. As a result, we have now deprioritized further development of NKX101.</w:t>
      </w:r>
    </w:p>
    <w:p>
      <w:pPr>
        <w:spacing w:after="0" w:line="190"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spacing w:after="0" w:line="15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disagree with the conclusions reached, our ability to obtain approval for, and commercialize, our product candidates may be harmed.</w:t>
      </w:r>
    </w:p>
    <w:p>
      <w:pPr>
        <w:spacing w:after="0" w:line="3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59"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spacing w:after="0" w:line="15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Updated data from the dose-escalation portion of our NKX019 Phase 1 clinical trial in B-cell malignancies were reported in December 2022, and updated interim data from our NKX101 Phase 1 clinical trial were reported in June 2023.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 cell therapies. The most common higher-grade (Grade ≥3) adverse events in the interim data reported in June 2023 for patients with r/r AML in the NKX101 Phase 1 clinical trial were myelosuppression – a condition resulting in fewer red blood cells, white blood cells and platelets, as well as infections such as sepsis and pneumonia, occasionally requiring supplementary oxygen, which are common in the treated patient population after LD. The interim data from the NKX101 clinical trial indicated that adverse events experienced by certain patients with r/r AML included infusion reactions, CRS, and one case of immune effector cell-associated neurotoxicity (in each case, ≤grade 2). A more recent review of the data from additional patients enrolled in a dose-expansion cohort in our NKX101 clinical trial has indicated that the safety profile of NKX101 is consistent with the data reported in June 2023.</w:t>
      </w:r>
    </w:p>
    <w:p>
      <w:pPr>
        <w:spacing w:after="0" w:line="19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While the interim data reported to date from our NKX019 and NKX101 Phase 1 clinical trials indicate that NK cell-based therapies may be better-tolerated as compared to T cell-based therapies due to biologic differences between these cell types, there can be no assurance that patients will not experience CRS, neurotoxicity, Graft-versus-host disease ("GvHD"), or other serious adverse events associated with our specific product candidates NKX019 and NKX101. For instance, NKX101 targets NKG2D ligands, which is not yet a well-characterized modality. NKG2D targets multiple ligands, and the extent and impact of ligand expression is currently not fully characterized. For example, there are risks that ligands may be expressed on either known or an as-yet-underappreciated population of healthy cells. Therefore, such cells may also be targeted by NKX101 and lead to adverse events of unknown frequency and severity as well as potentially decreased efficacy. Such adverse events may cause delays in completion of our clinical programs.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oncology programs or the oncology programs of others.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9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tisagenlecleucel, axicabtagene ciloleucel, brexucabtagene autoleucel, and lisocabtagene maraleucel, which have been commercially approved, are direct competitors to our product candidate NKX019 in hematology. A large number of cell therapy companies with capabilities and expertise in oncology are advancing development programs in autoimmune diseases. In addition, other competitors, including biopharmaceutical companies, have clinical-stage or earlier stage cell therapy product candidates for hematologic malignancies and/or autoimmune diseases, and a number of other companies are seeking to harness NK biology through engagers that seek to direct a patient’s own NK cells to the site of a tumor or are investigating other types of immune cells. Other biopharmaceutical companies are developing bispecific antibodies, which are also direct competitors to NKX019 for hematologic malignancies. Numerous academic institutions are also conducting preclinical and clinical research in these areas, as well as with other white blood cell types including NKT cells and gamma-delta T cells.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297"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1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May 2021, we entered into a Research Collaboration Agreement with CRISPR (as amended, the "CRISPR Agreement") to establish research plans for the purpose of collaboratively designing and advancing up to two allogeneic, gene-edited NK cell therapies and one allogeneic, gene-edited NK+T cell therapy for use in the treatment of oncology, autoimmune disease, or infectious disease up to the filing of an application to a regulatory authority to request the ability to start a clinical trial. The first product candidate being developed in partnership with CRISPR is NKX070, and together with CRISPR, we may advance NKX070 for the treatment of solid tumors and blood cancers. The second product candidate being developed in partnership with CRISPR is NK+T. In May 2022, we amended the CRISPR Agreement to revise the transfer of materials and nomination provisions. On March 8, 2023, the CRISPR Agreement was further amended to permit Nkarta's advancement of CRISPR-licensed product candidates targeting a specified tumor antigen and incorporate associated development and regulatory approval milestones and sales based royalties. In addition, under the CRISPR Agreement, we have received licenses from CRISPR for four CRISPR-Cas9 gene editing targets and will receive a license from CRISPR for up to one more CRISPR-Cas9 gene editing target that can be engineered into an unlimited number of its own NK cell products. CRISPR also has an option to co-develop and co-commercialize a future CAR NK cell program.</w:t>
      </w:r>
    </w:p>
    <w:p>
      <w:pPr>
        <w:spacing w:after="0" w:line="19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Whenever we enter into collaborations with third parties, we could face the following risks:</w:t>
      </w:r>
    </w:p>
    <w:p>
      <w:pPr>
        <w:spacing w:after="0" w:line="11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and processes that compete directly or indirectly with our products or product candidates;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restrict our right to independently pursue new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21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280"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5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w:t>
      </w:r>
    </w:p>
    <w:p>
      <w:pPr>
        <w:spacing w:after="0" w:line="19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seek approval from the FDA or comparable regulatory authorities through the use of other expedited approval program, such as Regenerative Medicine Advanced Therapy ("RMAT") designation, Breakthrough Therapy designation, Fast Track designation,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Fast Track designation or Breakthrough Therapy designation),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to file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19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and obtain orphan drug designation for our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9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w:t>
      </w:r>
    </w:p>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cell-based immunotherapies may impact public perception of our company and product candidates, or impair our ability to conduct our business.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 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p>
      <w:pPr>
        <w:spacing w:after="0" w:line="29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8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or technology platform used may not be successful in identifying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cease development if we determine that clinical results do not show promise;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we must choose to pursue and fund the development of specific types of treatment, or treatment for a specific type of cancer or autoimmune disease,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contract laboratories, and other third parties, such as CROs to advise on, conduct, or otherwise support clinical trials for our product candidates, including conducting our NKX019 clinical trial for the treatment of LN, a disease area in which we have no prior experience.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9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5"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some instances, our product candidates may be evaluated in clinical trials conducted by certain clinical investigators who are our collaborators. We may have limited or no control over the design and administration of these investigator-sponsored trials and will have no control over the submission or approval of any IND or foreign equivalent required to conduct these trials.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investigator-sponsored trials are inconsistent with, or different from, the results of our current or future company-sponsored trials or raise concerns regarding our product candidates, the FDA or a foreign regulatory authority may question the results of our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9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spacing w:after="0" w:line="1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including future outbreaks of COVID-19 variants, Respiratory Syncytial Virus ("RSV"), or the flu, could result in similar disruptions.</w:t>
      </w:r>
    </w:p>
    <w:p>
      <w:pPr>
        <w:spacing w:after="0" w:line="13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operations, as well as the operations of some of our contract research organizations ("CROs"), contract development and manufacturing organizations ("CDMOs"), and clinical trial sites, were impacted by the COVID-19 pandemic and may in the future be similarly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w:t>
      </w:r>
    </w:p>
    <w:p>
      <w:pPr>
        <w:spacing w:after="0" w:line="16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cannot predict the potential future impacts of the emergence of another pandemic, epidemic, or outbreak of infectious disease on us, our research partners, including CRISPR, and other third parties with whom we conduct business. We may experience disruptions as a result of a pandemic, epidemic, or outbreak of infectious disease that could severely impact our business, preclinical studies and clinical trials, including:</w:t>
      </w:r>
    </w:p>
    <w:p>
      <w:pPr>
        <w:spacing w:after="0" w:line="68" w:lineRule="exact"/>
        <w:rPr>
          <w:sz w:val="20"/>
          <w:szCs w:val="20"/>
          <w:color w:val="auto"/>
        </w:rPr>
      </w:pPr>
    </w:p>
    <w:p>
      <w:pPr>
        <w:ind w:left="1020" w:right="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 including our ongoing NKX019 clinical trial for cancer and planned NKX019 clinical trial for LN;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and training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recruitment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86" w:lineRule="exact"/>
        <w:rPr>
          <w:sz w:val="20"/>
          <w:szCs w:val="20"/>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6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 including the review of IND or other regulatory submissions for our product candidates;</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the qualification of our cGMP facility for commercial-scale manufacture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receiving supplies and materials necessary for our business operations, and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services or supplies necessary for our research and development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discovery and clinical activities.</w:t>
      </w:r>
    </w:p>
    <w:p>
      <w:pPr>
        <w:spacing w:after="0" w:line="22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59"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6" w:name="page67"/>
    <w:bookmarkEnd w:id="66"/>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increase the size of our organization, and we may experience difficulties in managing growth.</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we had 150 full-time employees. In October 2023, we announced a reduction in headcount of 18 positions, as well as a cap on future headcount growth. As part of these measures we also reallocated existing headcount among our functions. However, in the future, our operation may require us to expand our managerial, operational, clinical, quality, human resources, legal, manufacturing, supply chain, finance, commercial and/or other resources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the reduction in force may have on potential employees’ perception of our company and culture. Our need to effectively execute our growth strategy requires that we:</w:t>
      </w:r>
    </w:p>
    <w:p>
      <w:pPr>
        <w:spacing w:after="0" w:line="84" w:lineRule="exact"/>
        <w:rPr>
          <w:sz w:val="20"/>
          <w:szCs w:val="20"/>
          <w:color w:val="auto"/>
        </w:rPr>
      </w:pPr>
    </w:p>
    <w:p>
      <w:pPr>
        <w:jc w:val="both"/>
        <w:ind w:left="1020" w:right="8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retain, incentivize and integrate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additional office and laboratory space if we grow our employee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in-house clinical cGMP manufacturing facility and establish and validate our commercial cGMP manufacturing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reports systems and procedures.</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attract skilled employees or manage our future growth effectively, it will impair our ability to execute our business strategy and our business, financial condition, results of operations and growth prospects will be materially adversely affected.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29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Competition for qualified personnel in the biotechnology and pharmaceuticals field is intense due to the limited number of individuals who possess the skills and experience required by our industry. In October 2023, we announced implementation of certain cost containment measures and a reduction in force of approximately 10%. This reduction in force, as well as any others we may need to implement in the future, may have a detrimental impact on company culture and employee morale, which may hurt our ability to retain employees. We will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5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insurance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that we may develop;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such outcomes could materially adversely affect our business, financial condition, results of operations and growth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8" w:name="page69"/>
    <w:bookmarkEnd w:id="68"/>
    <w:p>
      <w:pPr>
        <w:spacing w:after="0" w:line="19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be inadequate, may not cover all of our potential liabilities and may potentially expose us to unrecoverable risks.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92"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26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the failure to address emerging environmental, social, and corporate governance matters.</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We may also be required to increase our disclosure of ESG-related matters in the coming years as a result of regulatory changes that have been adopted or may be adopted in the future. For example, the SEC has recently adopted certain mandated ESG reporting requirements designed to enhance and standardize climate-related disclosures and the State of California has also enacted its own climate-disclosure requirements. Compliance with these disclosure requirements may require us to significantly increase our compliance and reporting costs and may also result in disclosures that could have a negative impact on investor perception.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17"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3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and viral vector is generally higher than traditional small-molecule chemical compounds or biologics, and the manufacturing process is presently less reliable and more difficult to reproduce.</w:t>
      </w:r>
    </w:p>
    <w:p>
      <w:pPr>
        <w:spacing w:after="0" w:line="189"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We previously filed a manufacturing process change amendment with the FDA for our NKX101 Phase 1 clinical trial for the treatment of AML as part of ongoing scale up and optimization of manufacturing across our platform. In October 2023, we announced that, in the dose-expansion cohort in the NKX101 clinical trial in which fludarabine and cytarabine (“flu/ara-C”) was being used as LD, we had begun dosing patients with NKX101 product that had been generated with the amended manufacturing process. However, a subsequent interim review of the clinical response data from the cohort indicated that the aggregate response rate for the 20 patients in total in the cohort was meaningfully lower than what had been observed and previously reported for the first 6 patients in the cohort. We have closed enrollment in the clinical trial and deprioritized the NKX101 program.</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9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are manufacturing in our own internal manufacturing facility to supply drug product for our Phase 1 clinical trials. We have in the past, and may again in the future, encounter problems or delays with the internal production of our product candidates. We believe our current clinical cGMP manufacturing facility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300"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certain materials for use in the production of our product candidates, or may rely on third parties to manufacture certain of our product candidates in the future, which increases the risk</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that we will not have sufficient quantities of such materials or product candidates, or such quantities at an acceptable cost, which could delay, prevent or impair our development or commercialization efforts.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Also, although we currently manufacture our clinical supply at our own cGMP facility, we currently outsource manufacturing of certain critical materials necessary for production of our product candidates, including NKSTIM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spacing w:after="0" w:line="18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spacing w:after="0" w:line="72"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third-party at a time that is costly or inconvenient for us.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w:t>
      </w:r>
    </w:p>
    <w:p>
      <w:pPr>
        <w:spacing w:after="0" w:line="19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reliant on a sole supplier for certain steps of our manufacturing process.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manufacturing process for NKX019 and for NKX101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spacing w:after="0" w:line="18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Any disruption in supply of these instruments and reagents could also result in delays in our clinical trials, which would materially adversely affect our business, financial condition, results of operations and growth prospects.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are working to qualify, a facility which may be used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may encounter problems with the following:</w:t>
      </w:r>
    </w:p>
    <w:p>
      <w:pPr>
        <w:spacing w:after="0" w:line="117" w:lineRule="exact"/>
        <w:rPr>
          <w:sz w:val="20"/>
          <w:szCs w:val="20"/>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regulations regarding evolving donor infectious disease testing, traceability, manufacturing, release of product candidates and other requirements from regulatory authorities outside the United States;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or clinical-grade materials that meet regulatory agency standards or specifications with consistent and acceptable production yield and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bacterial, fungal or viral contamination in our manufacturing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due to natural disasters or supply chain interruptions;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raw materials or key contractors.</w:t>
      </w:r>
    </w:p>
    <w:p>
      <w:pPr>
        <w:spacing w:after="0" w:line="22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for our current, planned, or future clinical trials, the clinical development and potential eventual commercialization of may be delayed, and we may be materially harmed as a result.</w:t>
      </w:r>
    </w:p>
    <w:p>
      <w:pPr>
        <w:spacing w:after="0" w:line="2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store our CAR NK cells, viral vector, master and working cell banks of NKSTIM, and any damage or loss would cause delays in replacement, and our business could suffer.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CAR NK cells, the viral vector, and the master and working cell banks of NKSTIM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developed a validated methodology for freezing and thawing commercial-scale quantities of CAR NK cells, which we believe will be required for the storage and distribution of our CAR NK cell product candidates.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 cell technology in the field of therapeutics. We are reliant upon certain rights and proprietary technology provided to us under this license for the production and development of certain of our product candidates, such as NKX019, NKX101 and NKX070.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including NKX019, NKX101 and NKX070, which could impede or prevent our successful commercialization of such product candidates and materially adversely affect our business, financial condition, results of operations and growth prospects.</w:t>
      </w:r>
    </w:p>
    <w:p>
      <w:pPr>
        <w:spacing w:after="0" w:line="19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29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patent protection we obtain is not sufficiently robust, our competitors could develop and commercialize products and technology similar or identical to ours.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284"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75" w:lineRule="exact"/>
        <w:rPr>
          <w:sz w:val="20"/>
          <w:szCs w:val="20"/>
          <w:color w:val="auto"/>
        </w:rPr>
      </w:pPr>
    </w:p>
    <w:p>
      <w:pPr>
        <w:jc w:val="both"/>
        <w:ind w:right="52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aware of third-party patents and patent applications that may relate to the areas in which we are developing product candidates. For example, under the CRISPR Agreement, we are collaboratively designing and advancing certain gene-edited NK cell therapies and have received licenses from CRISPR for certain CRISPR-Cas9 gene editing targets that can be engineered into our own NK 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 cell therapies.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ind w:right="180" w:firstLine="554"/>
        <w:spacing w:after="0" w:line="253" w:lineRule="auto"/>
        <w:rPr>
          <w:sz w:val="20"/>
          <w:szCs w:val="20"/>
          <w:color w:val="auto"/>
        </w:rPr>
      </w:pPr>
      <w:r>
        <w:rPr>
          <w:rFonts w:ascii="Times New Roman" w:cs="Times New Roman" w:eastAsia="Times New Roman" w:hAnsi="Times New Roman"/>
          <w:sz w:val="18"/>
          <w:szCs w:val="18"/>
          <w:color w:val="auto"/>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spacing w:after="0" w:line="19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w:t>
      </w:r>
    </w:p>
    <w:p>
      <w:pPr>
        <w:spacing w:after="0" w:line="176"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29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59" w:lineRule="exact"/>
        <w:rPr>
          <w:sz w:val="20"/>
          <w:szCs w:val="20"/>
          <w:color w:val="auto"/>
        </w:rPr>
      </w:pPr>
    </w:p>
    <w:p>
      <w:pPr>
        <w:jc w:val="both"/>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NKX101 and NKX070.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our licensors may have relied on third-party consultants or collaborators or on funds from third parties such that our licensors are not the sole and exclusive owners of the patents we in-licensed. For example, CRISPR has licensed certain rights to a worldwide patent portfolio that covers various aspects of the CRISPR-Cas9 editing platform technology including, compositions of matter and methods of use, including their use in targeting or cutting DNA, from Dr. Emmanuelle Charpentier. In addition to Dr. Charpentier, this patent portfolio has named inventors who assigned their rights to the Regents of the University of California or the University of Vienna, to whom we refer together with Dr. Charpentier, as the CVC Group. Accordingly, CRISPR has non-exclusive or co-exclusive rights to the patent rights that protect the core CRISPR-Cas9 gene-editing technology.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NKX019, NKX101 and NKX070 patent families. Our portfolio of issued patents, excluding pending patent applications, has estimated expiration dates between 2024 and 2040. Our portfolio, including issued patents, and including pending applications if they issue, has estimated expiration dates between 2024 and 2044. For instance, composition-of-matter claims in our licensed patent portfolio that relate to our NKSTIM are estimated to expire in Q4 2024. We plan to file additional patent applications that could potentially allow for further increase of the exclusive market protection for certain uses of NKX019, NKX101 and NKX070 product candidates. However, we can provide no assurance that we will be able to file or receive additional patent protection for these or other product candidates.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p>
    <w:p>
      <w:pPr>
        <w:spacing w:after="0" w:line="30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after issuance, our owned and in-licensed patents may be subject to challenge, which if successful could result in a partial or complete loss of patent rights, which could materially adversely affect our ability to protect our competitive position.</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9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Even if our patents are determined to be valid and enforceable, they may not be interpreted sufficiently broadly to prevent others from marketing products similar to ours or designing around our patents.</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Post-grant proceedings such as inter partes review, post-grant review, and ex parte reexaminations in the United States, or comparable proceedings (e.g., oppositions)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Ex parte reexaminations were previously filed by one or more third parties against certain licensed patents in our portfolio and concluded with the claims of each reexamined patent being maintained in amended form.</w:t>
      </w:r>
    </w:p>
    <w:p>
      <w:pPr>
        <w:spacing w:after="0" w:line="2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15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187"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("SPCs")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obtain or enforce assignments of intellectual property rights from our employees and contractors.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2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 candidates could be materially diminished.</w:t>
      </w:r>
    </w:p>
    <w:p>
      <w:pPr>
        <w:spacing w:after="0" w:line="15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2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U.S. government has certain rights in some of our licensed patents (including U.S. Patent Nos. 7,435,596, 8,026,097,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w:t>
      </w:r>
    </w:p>
    <w:p>
      <w:pPr>
        <w:spacing w:after="0" w:line="180"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including NKX019, could be subject to regulatory limitations following approval, if and when such approval is granted.</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product label;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requirements for prescribers;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requirements prior to product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or Warning Letters from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spacing w:after="0" w:line="1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initial clinical trials have been evaluating NKX019 and NKX101 in relapsed/refractory patients who have been previously treated with other anti-cancer therapies. We are developing a clinical trial to evaluate NKX019 in patients with refractory LN. We do not know at this time whether either NKX019 or NKX101 or any of our product candidates will be safe for use in humans or whether they will demonstrate any anti-cancer or autoimmune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5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79"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 and the availability of coverage or reimbursements by government and private payors to enable patients to afford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refer patients and prescribe new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6" w:name="page87"/>
    <w:bookmarkEnd w:id="86"/>
    <w:p>
      <w:pPr>
        <w:spacing w:after="0" w:line="86"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imposed by the FDA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concerning our product candidates or favorable publicity about competing products and treatments;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payor coverage, any limitations in terms of center or personnel training requirement imposed by third parties and adequate reimbursement;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FDA-approved labeling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FDA requirement to undertake a REMS;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and distribution efforts;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59" w:lineRule="exact"/>
        <w:rPr>
          <w:sz w:val="20"/>
          <w:szCs w:val="20"/>
          <w:color w:val="auto"/>
        </w:rPr>
      </w:pPr>
    </w:p>
    <w:p>
      <w:pPr>
        <w:ind w:right="180" w:firstLine="509"/>
        <w:spacing w:after="0" w:line="273" w:lineRule="auto"/>
        <w:rPr>
          <w:sz w:val="20"/>
          <w:szCs w:val="20"/>
          <w:color w:val="auto"/>
        </w:rPr>
      </w:pPr>
      <w:r>
        <w:rPr>
          <w:rFonts w:ascii="Times New Roman" w:cs="Times New Roman" w:eastAsia="Times New Roman" w:hAnsi="Times New Roman"/>
          <w:sz w:val="17"/>
          <w:szCs w:val="17"/>
          <w:color w:val="auto"/>
        </w:rPr>
        <w:t>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17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initiatives and other administrative and legislative proposals may harm our business.</w:t>
      </w:r>
    </w:p>
    <w:p>
      <w:pPr>
        <w:spacing w:after="0" w:line="22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spacing w:after="0" w:line="79" w:lineRule="exact"/>
        <w:rPr>
          <w:sz w:val="20"/>
          <w:szCs w:val="20"/>
          <w:color w:val="auto"/>
        </w:rPr>
      </w:pPr>
    </w:p>
    <w:p>
      <w:pPr>
        <w:ind w:left="1020" w:right="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demonstration projects and waiver programs that include work requirements, and policies that create unnecessary barriers to obtaining access to health insurance coverage through Medicaid or the ACA.</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w:t>
      </w:r>
    </w:p>
    <w:p>
      <w:pPr>
        <w:spacing w:after="0" w:line="194"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0" w:name="page91"/>
    <w:bookmarkEnd w:id="90"/>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could render our product candidates, if approved, commercially unviable and materially adversely affect our ability to raise additional capital on acceptable terms.</w:t>
      </w:r>
    </w:p>
    <w:p>
      <w:pPr>
        <w:spacing w:after="0" w:line="26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5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market approved products outside the United States, we expect that we will be subject to additional risks in commercialization, including:</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therapies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including earthquakes, typhoons, floods and fires, and other public health crises, illnesses, epidemics or pandemics.</w:t>
      </w:r>
    </w:p>
    <w:p>
      <w:pPr>
        <w:spacing w:after="0" w:line="16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29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19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comply with evolving global privacy laws.</w:t>
      </w:r>
    </w:p>
    <w:p>
      <w:pPr>
        <w:spacing w:after="0" w:line="229"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w:t>
      </w:r>
    </w:p>
    <w:p>
      <w:pPr>
        <w:spacing w:after="0" w:line="19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which became operative on January 1, 2023, expanded the CCPA, including by expanding consumers’ rights with respect to certain sensitive personal data. The CPRA also created the new California Privacy Protection Agency to implement and enforce the CCPA and the CPRA, which could increase compliance costs.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9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 which could contribute to the loss of all or part of your investment.</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are beyond our control.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affecting the trading price of our common stock may include, but are not limited to:</w:t>
      </w:r>
    </w:p>
    <w:p>
      <w:pPr>
        <w:spacing w:after="0" w:line="11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study, not to initiate a clinical study or to terminate an existing clinical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announcement of initial data or clinical results from our clinical trials or expectations that such delays may occur;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clinical results from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competitive products, immunotherapy drugs or cellular therapies more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strategic partnerships;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conflicts in the Middle East and Ukraine;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inflationary pressures, interest rates, fuel prices, elections, drug pricing policies, international currency fluctuations, acts of war or terrorism, and other public health crises, illnesses, epidemics or pandemics;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these risk factors.</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March 18, 2024, our directors and executive officers, and entities affiliated with them, as well as holders of more than 5% of our outstanding shares of common stock, in the aggregate beneficially own 78%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80" w:lineRule="exact"/>
        <w:rPr>
          <w:sz w:val="20"/>
          <w:szCs w:val="20"/>
          <w:color w:val="auto"/>
        </w:rPr>
      </w:pPr>
    </w:p>
    <w:p>
      <w:pPr>
        <w:jc w:val="both"/>
        <w:ind w:right="160" w:firstLine="509"/>
        <w:spacing w:after="0" w:line="289" w:lineRule="auto"/>
        <w:rPr>
          <w:sz w:val="20"/>
          <w:szCs w:val="20"/>
          <w:color w:val="auto"/>
        </w:rPr>
      </w:pPr>
      <w:r>
        <w:rPr>
          <w:rFonts w:ascii="Times New Roman" w:cs="Times New Roman" w:eastAsia="Times New Roman" w:hAnsi="Times New Roman"/>
          <w:sz w:val="17"/>
          <w:szCs w:val="17"/>
          <w:color w:val="auto"/>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262"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15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March 18, 2024, we had 49,416,186 shares of common stock outstanding.</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9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5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carryovers and certain other tax attributes may be limited.</w:t>
      </w:r>
    </w:p>
    <w:p>
      <w:pPr>
        <w:spacing w:after="0" w:line="22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described above under “</w:t>
      </w:r>
      <w:r>
        <w:rPr>
          <w:rFonts w:ascii="Times New Roman" w:cs="Times New Roman" w:eastAsia="Times New Roman" w:hAnsi="Times New Roman"/>
          <w:sz w:val="18"/>
          <w:szCs w:val="18"/>
          <w:i w:val="1"/>
          <w:iCs w:val="1"/>
          <w:color w:val="auto"/>
        </w:rPr>
        <w:t>We have incurred significant losses since our inception, and we expect to continue to incur significant losses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foreseeable future</w:t>
      </w:r>
      <w:r>
        <w:rPr>
          <w:rFonts w:ascii="Times New Roman" w:cs="Times New Roman" w:eastAsia="Times New Roman" w:hAnsi="Times New Roman"/>
          <w:sz w:val="18"/>
          <w:szCs w:val="18"/>
          <w:color w:val="auto"/>
        </w:rPr>
        <w:t>,” we have incurred net losses since our inception and anticipate that we will continue to incur significant losses for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Tax Act’s amendment to Section 174 of the Code, beginning with tax years that start after December 31, 2021, research and development expenses must be capitalized and amortized over five or fifteen years, as applicable. This tax law change has increased our effective tax rate and our cash tax payable in the taxable year 2022. If the requirement to capitalize Section 174 expenditures is not repealed or otherwise modified, it may also impact our effective tax rate and our cash tax liability in future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to the holders of our common stock for the foreseeable future.</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2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54" w:lineRule="exact"/>
        <w:rPr>
          <w:sz w:val="20"/>
          <w:szCs w:val="20"/>
          <w:color w:val="auto"/>
        </w:rPr>
      </w:pPr>
    </w:p>
    <w:p>
      <w:pPr>
        <w:ind w:left="1020" w:right="4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6" w:lineRule="exact"/>
        <w:rPr>
          <w:sz w:val="20"/>
          <w:szCs w:val="20"/>
          <w:color w:val="auto"/>
        </w:rPr>
      </w:pPr>
    </w:p>
    <w:p>
      <w:pPr>
        <w:ind w:left="1020" w:right="3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 which may delay the ability of our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only our board of directors, the Chairperson of our board of directors, our Chief Executive Officer or the President, or holders of greater than 10% of our common stock can call special meetings of our stockholders;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majority of directors then in office, even though less than a quorum, may fill vacancies on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votes of the holders of our common stock to amend specified provisions of our Certificate of Incorporation and bylaws.</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540" w:firstLine="509"/>
        <w:spacing w:after="0" w:line="312" w:lineRule="auto"/>
        <w:rPr>
          <w:sz w:val="20"/>
          <w:szCs w:val="20"/>
          <w:color w:val="auto"/>
        </w:rPr>
      </w:pPr>
      <w:r>
        <w:rPr>
          <w:rFonts w:ascii="Times New Roman" w:cs="Times New Roman" w:eastAsia="Times New Roman" w:hAnsi="Times New Roman"/>
          <w:sz w:val="17"/>
          <w:szCs w:val="17"/>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4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15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54"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any of our directors, officers or other employees to us or our stockholders;</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arising pursuant to any provision of the Delaware General Corporation Law,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that is governed by the internal affairs doctrine.</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Computer system interruptions or security breaches of our information systems could significantly disrupt our product development programs and our ability to operate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While we have taken steps to protect the security of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For instance,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w:t>
      </w:r>
    </w:p>
    <w:p>
      <w:pPr>
        <w:spacing w:after="0" w:line="29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5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68" w:lineRule="exact"/>
        <w:rPr>
          <w:sz w:val="20"/>
          <w:szCs w:val="20"/>
          <w:color w:val="auto"/>
        </w:rPr>
      </w:pPr>
    </w:p>
    <w:p>
      <w:pPr>
        <w:ind w:left="1020" w:right="1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by the Federal Trade Commission ("FTC") and the Department of Justice ("DOJ"), including the potential challenge of a proposed merger or acquisition by the FTC or DOJ;</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or unknown liabilities;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drugs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prosecuting and maintaining protection of any acquired intellectual property rights;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drug programs and initiatives in pursuing such a strategic partnership, merger or acquisition;</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0" w:name="page101"/>
    <w:bookmarkEnd w:id="100"/>
    <w:p>
      <w:pPr>
        <w:spacing w:after="0" w:line="86"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about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drugs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29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1" w:name="page102"/>
    <w:bookmarkEnd w:id="101"/>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9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2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or interpretations of, financial accounting standards may affect our results of operations and could cause us to change our business practices.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3" w:name="page104"/>
    <w:bookmarkEnd w:id="10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continuously monitor our information systems to assess, identify, and manage risks from vulnerabilities and assess cybersecurity threats. Our process for identifying and assessing material risks from cybersecurity threats operates alongside our broader overall risk assessment process. We monitor risks through routine security assessments and implementation of enhancements to security measures used to protect our systems and data. We address system alerts on an ongoing basis. We maintain an Incident Response Plan Policy ("IRP"), which sets forth processes we will follow to address incidents as defined in the IRP, which include an actual or reasonably suspected cyber incident. Our information technology team promptly responds to system alerts and reported incidents that indicate the suspected presence of an incident and escalates in accordance with the IRP. The IRP, among other things, provides for a cross-functional team consisting of representatives from informational technology, risk management, legal, and communications, an Incident Response Team ("IRT"), that collaborates to quickly assess the impact, mitigate risks to information systems, and resolve incidents while improving information systems. Depending on the incident, we may utilize third-parties for assistance in investigating and addressing cybersecurity incidents.i</w:t>
      </w:r>
    </w:p>
    <w:p>
      <w:pPr>
        <w:spacing w:after="0" w:line="188"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also utilize certain third-party service providers to perform a variety of critical business functions and recognize that we are exposed to cybersecurity threats associated with our use of third-party service providers. We have certain vendor management processes designed to help manage cybersecurity risks associated with our use of certain of these providers. Additionally, we strive to minimize cybersecurity risks when we first select or renew a vendor by including cybersecurity risk as part of our overall vendor evaluation and due diligence process.</w:t>
      </w:r>
    </w:p>
    <w:p>
      <w:pPr>
        <w:spacing w:after="0" w:line="180"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 xml:space="preserve">We have not had cyber incidents that have materially affected our business or financial condition. For details about our risks associated with cybersecurity threats, see “— </w:t>
      </w:r>
      <w:r>
        <w:rPr>
          <w:rFonts w:ascii="Times New Roman" w:cs="Times New Roman" w:eastAsia="Times New Roman" w:hAnsi="Times New Roman"/>
          <w:sz w:val="17"/>
          <w:szCs w:val="17"/>
          <w:i w:val="1"/>
          <w:iCs w:val="1"/>
          <w:color w:val="auto"/>
        </w:rPr>
        <w:t>Computer system interruptions or security breaches of our information systems could significantly disrupt our product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development programs and our ability to operate our business.</w:t>
      </w:r>
      <w:r>
        <w:rPr>
          <w:rFonts w:ascii="Times New Roman" w:cs="Times New Roman" w:eastAsia="Times New Roman" w:hAnsi="Times New Roman"/>
          <w:sz w:val="17"/>
          <w:szCs w:val="17"/>
          <w:color w:val="auto"/>
        </w:rPr>
        <w:t>” in the section titled “Risk Factors” in Part I, Item 1A in this Annual Report on Form 10-K.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Management is responsible for identifying and assessing material risks for the business on an ongoing basis, including in relation to cybersecurity. As part of this process, our IRT is tasked with implementing and maintaining our cybersecurity programs, including establishing processes to ensure that potential cybersecurity risk exposures are monitored and putting in place appropriate mitigation measures. Our Chief Financial and Business Officer oversees our information technology department which monitors the prevention, detection, mitigation, and remediation of cyber incidents, if any, and reports all potential incidents and an initial assessment of such incident to the IRT. Our Chief Financial and Business Officer has over 6 years of experience with overseeing risk, compliance, and information technology functions.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(the "Board") oversees our risk management program as part of its general oversight function. The Board’s Audit Committee is delegated the responsibility for reviewing and discussing with management our program to identify, assess, manage, and monitor significant business risks, including financial, operational, privacy, business continuity, legal and regulatory, reputation risks, and security, including cybersecurity. The Audit Committee receives quarterly updates from management regarding investigated incidents and periodic updates from management regarding cybersecurity matters (including the current threat landscape and cybersecurity risks). The Audit Committee may provide updates to the Board on the substance of these reports and any recommendations for improvements that the Audit Committee deems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facilities are located at three leased sites. The first site, located at 6000 Shoreline Court, South San Francisco, California, consists of approximately 42,145 square feet of office and laboratory space and is primarily used for manufacturing activities. Our lease covering multiple suites at this site expires in July 2030, with certain suites expiring in March 2024. The second site, located at 7000 Shoreline Court, South San Francisco, California, consists of 340 square feet of vivarium space and an additional 215 square feet of shared laboratory space, and is primarily used for preclinical research. Our agreement that provides for our use of these vivarium and laboratory spaces expires in June 2024. The third site, located at 1150 Veterans Boulevard, South San Francisco, California, consists of 88,000 square feet of office and laboratory space and is primarily used for research, clinical, manufacturing and corporate activities. This lease expires in 2034. As a result of moving our main offices and research activities to the Veterans location last year, we vacated certain suites at the 6000 Shoreline Court location. We are seeking to sublease these certain suites while still maintaining sufficient office and laboratory space to allow our team to continue to develop our proprietary programs. We believe that these facilities are sufficient to meet our current needs.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“NKTX” and has been publicly traded since July 10, 2020. Prior to that date, there was no public trading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18, 2024, there were approximately 17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July 14, 2020, we completed our IPO. Our registration statement on Form S-1 (File No. 333-239301) relating to the IPO was declared effective by the SEC on July 9, 2020.</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on July 13, 2020 pursuant to Rule 424(b)(4) under the Securities Act. As of December 31, 2023, we have used all of the $265.1 million net proceeds from the IPO primarily to advance our product candidates through preclinical studies and clinical trial programs, the construction of our manufacturing facility, and for working capital and general corporate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incorporated by reference to the information set forth in Part III, Item 12 of this Annual Report on Form 10-K.</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6" w:name="page107"/>
    <w:bookmarkEnd w:id="10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10-K.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on Form 10-K. See “Cautionary Note Regarding Forward-Looking Statements” in this Annual Report on Form 10-K.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pioneering the development of allogeneic, off-the-shelf engineered NK cell therapies for the treatment of patients with autoimmune diseases or hematologic malignancies. We are currently developing NKX019, a CAR NK cell product candidate targeting the CD19 antigen, as our lead product candidate. We have also been developing NKX101, a CAR NK cell product candidate targeting cells that display NKG2D ligands. Both product candidates enable an on-demand, off-the-shelf approach involving scaled manufacturing to broaden patient access. NKX019 and NKX101 incorporate proprietary technologies that enable us to generate an abundant supply of NK cells, increase NK cell recognition of target antigens, enhance NK cell fitness and freeze, store, and thaw our engineered NK cells for off-the-shelf administration. Our product candidates are allogeneic, which means they are produced using cells from a different person than the patient(s) being treated, and they are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cancer, be well tolerated, and avoid some of the toxicities observed with other cell therapies. NKX019 is currently being studied in an ongoing Phase 1 clinical trial for certain B-cell malignancies, and preparations for a planned Phase 1 clinical trial of NKX019 for LN are underway. NKX101 has been studied in a Phase 1 clinical trial for certain hematologic malignancies, although we have closed patient enrollment and deprioritized the program as part of a pipeline realignment to direct primary resources to our lead pipeline program, NKX019, for the treatment of autoimmune disease.</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modular engineering platform builds on the distinctive biology of NK cells and their role in eradicating aberrant and pathologically transformed cells. Our process starts with differentiated, mature NK cells derived from healthy donors. We build on the intrinsic ability of these immune cells to identify and kill transformed cells with cell engineering to further enhance their activity. This engineering involves a chimeric antigen receptor ("CAR") on the surface of an NK cell to enable the cell to recognize specific proteins or antigens that are present on the surface of tumor cells. Our engineered CAR NK cells generally consist of an NK cell engineered with a targeting receptor, OX40 costimulatory domain, CD3ζ(zeta) signaling moiety, and a membrane-bound form of the cytokine IL(interleukin)-15 ("mbIL-15").</w:t>
      </w:r>
    </w:p>
    <w:p>
      <w:pPr>
        <w:spacing w:after="0" w:line="18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October 2023, we announced that we had received clearance of an IND application by the United States FDA to evaluate NKX019 for the treatment of LN. The planned multi-center, open label, dose escalation Phase 1 clinical trial will evaluate the safety and clinical activity of NKX019 in patients with refractory LN. We are on track to dose the first patient in the first half of 2024. We also plan to evaluate additional autoimmune diseases for potential clinical investigation with NKX019.</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NKX019 is currently being studied in a multi-center Phase 1 clinical trial for the treatment of a variety of B-cell malignancies. This ongoing first-in-human study evaluates the safety, pharmacology, and preliminary anti-tumor activity of NKX019, at multiple centers in the United States and Australia.</w:t>
      </w:r>
    </w:p>
    <w:p>
      <w:pPr>
        <w:spacing w:after="0" w:line="16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NKX101 has been evaluated in a multi-center Phase 1 clinical trial in the U.S. for the treatment of r/r AML and MDS. This first-in-human study evaluates the safety, pharmacology, and preliminary anti-tumor activity of NKX101. We have deprioritized the development of NKX101 as part of a realignment of our pipeline to direct primary resources to our lead pipeline program, NKX019, for the treatment of autoimmune disease.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8" w:name="page109"/>
    <w:bookmarkEnd w:id="108"/>
    <w:p>
      <w:pPr>
        <w:spacing w:after="0" w:line="19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Under the CRISPR Agreement entered into in May 2021, we agreed with CRISPR to collaboratively design and advance (a) up to two allogeneic, gene-edited NK cell therapies, one of which is the engineered CAR NK product candidate targeting the CD70 tumor antigen, and (b) one allogeneic, gene-edited NK+T cell therapy.</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we announced cost containment measures designed to create a more streamlined organization to support our operations through multiple clinical data updates during 2024 and extend our projected cash runway into 2026. These cost containment measures included a reduction in and re-allocation of headcount combined with a cap on future headcount growth, as well as planned centralization of operations to a single location. We plan to continue to carefully manage our discretionary expenses and headcount growth in the near term to ensure we have sufficient capital to achieve these milestones. We have prioritized the development of NKX019, including hiring personnel with the requisite education and experience, to support our expansion into autoimmune disease.</w:t>
      </w:r>
    </w:p>
    <w:p>
      <w:pPr>
        <w:spacing w:after="0" w:line="187"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product candidates, maintain and expand our intellectual property portfolio, maintain and expand our product manufacturing 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our ATM Offering Program, other equity or debt financing or collaborations or partnerships with other companies. The amount and timing of our future funding requirements will 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further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w:t>
      </w:r>
      <w:r>
        <w:rPr>
          <w:rFonts w:ascii="Times New Roman" w:cs="Times New Roman" w:eastAsia="Times New Roman" w:hAnsi="Times New Roman"/>
          <w:sz w:val="17"/>
          <w:szCs w:val="17"/>
          <w:i w:val="1"/>
          <w:iCs w:val="1"/>
          <w:color w:val="auto"/>
        </w:rPr>
        <w:t>“—JOBS Act”</w:t>
      </w:r>
      <w:r>
        <w:rPr>
          <w:rFonts w:ascii="Times New Roman" w:cs="Times New Roman" w:eastAsia="Times New Roman" w:hAnsi="Times New Roman"/>
          <w:sz w:val="17"/>
          <w:szCs w:val="17"/>
          <w:color w:val="auto"/>
        </w:rPr>
        <w:t xml:space="preserve"> below. Our net losses may fluctuate significantly from quarter-to-quarter and year-to-year.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costs incurred for the discovery and clinical development of our drug candidates, which include:</w:t>
      </w:r>
    </w:p>
    <w:p>
      <w:pPr>
        <w:spacing w:after="0" w:line="54" w:lineRule="exact"/>
        <w:rPr>
          <w:sz w:val="20"/>
          <w:szCs w:val="20"/>
          <w:color w:val="auto"/>
        </w:rPr>
      </w:pPr>
    </w:p>
    <w:p>
      <w:pPr>
        <w:ind w:left="1020" w:right="30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share-based compensation expenses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laboratory consumables, sponsored research, and preclinical studies;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conducting clinical trials including investigator grants, site payments for time and pass-through expenses and expenses incurred under agreements with CROs, other vendors, central laboratories and service providers engaged to conduct our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engaged in research and development related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drug product candidates for use in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insurance and supplies;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9" w:name="page110"/>
    <w:bookmarkEnd w:id="109"/>
    <w:p>
      <w:pPr>
        <w:spacing w:after="0" w:line="8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regulatory compliance;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annual license fees under our third-party licensing agreements.</w:t>
      </w:r>
    </w:p>
    <w:p>
      <w:pPr>
        <w:spacing w:after="0" w:line="225"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typically have various early-stage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our October 2023 announcement of cost containment measures, early discovery and preclinical programs have been deprioritized with less personnel and funding allocated to advancing these programs.</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76"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2023 and 2022.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The partner cost sharing represents reimbursable research and development expenses from the CRISPR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development program expenses:</w:t>
            </w:r>
          </w:p>
        </w:tc>
        <w:tc>
          <w:tcPr>
            <w:tcW w:w="1000" w:type="dxa"/>
            <w:vAlign w:val="bottom"/>
            <w:shd w:val="clear" w:color="auto" w:fill="CFF0FC"/>
          </w:tcPr>
          <w:p>
            <w:pPr>
              <w:spacing w:after="0"/>
              <w:rPr>
                <w:sz w:val="20"/>
                <w:szCs w:val="20"/>
                <w:color w:val="auto"/>
              </w:rPr>
            </w:pPr>
          </w:p>
        </w:tc>
        <w:tc>
          <w:tcPr>
            <w:tcW w:w="1840" w:type="dxa"/>
            <w:vAlign w:val="bottom"/>
            <w:gridSpan w:val="3"/>
            <w:shd w:val="clear" w:color="auto" w:fill="CFF0FC"/>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NKX101</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28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NKX019</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NKX070</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NK+T</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 5</w:t>
            </w:r>
          </w:p>
        </w:tc>
        <w:tc>
          <w:tcPr>
            <w:tcW w:w="10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internal research and development costs: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40,052</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27,203</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cost sharing</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(1,555 )</w:t>
            </w:r>
          </w:p>
        </w:tc>
        <w:tc>
          <w:tcPr>
            <w:tcW w:w="9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(4,163 )</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100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96,773</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our planned clinical trial of NKX019 for the treatment of LN.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 Item 1A, “Risk Factors” in this Annual Report on Form 10-K. We may never succeed in obtaining regulatory approval for any of our drug candidates.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share-based compensation, for personnel in executive, finance, human resources, and other administrative functions. Other significant costs include legal fees relating to intellectual property and corporate matters, professional fees for accounting, tax and consulting services and facility-related costs.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While we continue to pursue cost containment measures, we still expect our general and administrative expenses will increase in the future in support of any increased research and development activities and to reflect increased costs associated with operating as a public company. These increased costs will include increased expenses related to audit, legal, regulatory and tax-related services associated with maintaining compliance with exchange listing and SEC requirements, insurance premiums and investor relations costs.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short-term and long-term investments and adjustments related to amortization of purchase premiums and accretion of discounts of short-term and long-term investments.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corporate U.S. federal and state income taxation. We estimate our income tax provision, including deferred tax assets and liabilities, based on management’s judgment. We record a valuation allowance to reduce our deferred tax assets to the amounts that are more likely than not to be realized. We consider future taxable income, ongoing tax planning strategies and our historical financial performance in assessing the need for a valuation allowance. If we expect to realize deferred tax assets for which we have previously recorded a valuation allowance, we will reduce the valuation allowance in the period in which such determination is first made.</w:t>
      </w:r>
    </w:p>
    <w:p>
      <w:pPr>
        <w:spacing w:after="0" w:line="183"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record liabilities related to uncertain tax positions in accordance with the guidance that clarifies the accounting for uncertainty in income taxes recognized in an enterprise’s financial statements by prescribing a minimum recognition threshold and measurement attribute for the financial statement recognition and measurement of a tax position taken or expected to be taken in a tax return.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1" w:name="page112"/>
    <w:bookmarkEnd w:id="1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80" w:type="dxa"/>
            <w:vAlign w:val="bottom"/>
            <w:gridSpan w:val="6"/>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0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131,650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118,955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(131,650 )</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(118,955 )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(12,695 )</w:t>
            </w:r>
          </w:p>
        </w:tc>
        <w:tc>
          <w:tcPr>
            <w:tcW w:w="0" w:type="dxa"/>
            <w:vAlign w:val="bottom"/>
          </w:tcPr>
          <w:p>
            <w:pPr>
              <w:spacing w:after="0"/>
              <w:rPr>
                <w:sz w:val="1"/>
                <w:szCs w:val="1"/>
                <w:color w:val="auto"/>
              </w:rPr>
            </w:pPr>
          </w:p>
        </w:tc>
      </w:tr>
      <w:tr>
        <w:trPr>
          <w:trHeight w:val="23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(470 )</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(117,501 )   $</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(113,837 )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(3,664 )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-1122045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-1122045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$96.8 million and $90.9 million for the years ended December 31, 2023 and 2022, respectively. The increase of $5.9 million was attributable primarily to the following:</w:t>
      </w:r>
    </w:p>
    <w:p>
      <w:pPr>
        <w:spacing w:after="0" w:line="54"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$5.4 million increase in personnel related expense, including a $0.7 million increase in share-based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increase in other internal research costs, primarily consisting of research and laboratory supplies and facilities expenses;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decrease in partner cost sharing reimbursable expenses related to activities performed under our collaboration with CRISPR; and</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$4.7 million decrease in external program expenses primarily related to a $4.5 million decrease in manufacturing expense and a $1.0 million decrease in preclinical program expense, which was offset by a $0.8 million increase in clinical trial related expense.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$34.9 million and $28.1 million for the years ended December 31, 2023 and 2022, respectively. The increase of $6.8 million was primarily due to the following:</w:t>
      </w:r>
    </w:p>
    <w:p>
      <w:pPr>
        <w:spacing w:after="0" w:line="54"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$0.6 million increase in personnel related expense, including a $0.4 million decrease in share-based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increase due to severance and other termination expenses related to the reduction in force completed in October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 million increase due to an impairment of right-of-use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increase in insurance, rent, depreciation and other facilities expense;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decrease in professional services related to accounting services, corporate legal fees, other consulting and patent legal fees.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Interest income was $14.1 million and $5.6 million for the years ended December 31, 2023 and 2022, respectively. Interest income consisted of interest earned on cash and cash equivalents and interest income from investments (including the amortization of discounts and premiums) and increased primarily due to increases in market interest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cash, cash equivalents, restricted cash and short-term investments of $250.9 million. As of December 31, 2023, we estimate that we have used all of the $265.1 million net proceeds received from our IPO.</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Registration Statement on Form S-3, which became effective in September 2021 (the "2021 Shelf Registration Statement") included a prospectus covering the offer and sale from time to time of up to $150.0 million of our common stock through an “at-the-market” equity offering program with Cowen and Company, LLC, as sales agent (the "ATM Offering Program"). In 2022, we issued and sold 113,213 shares of our common stock pursuant to the ATM Offering Program, resulting in net proceeds of approximately $1.6 million, after deducting offering expenses. In 2023, we did not sell any shares under the ATM Offering Program.</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28, 2022, we issued and sold 15,333,334 shares of our common stock in an underwritten public offering, including 2,000,000 shares associated with the full exercise of the underwriters’ option to purchase additional shares, at a price to the public of $15.00 per share. The total net proceeds from the offering were approximately $215.3 million, after deducting underwriting discounts, commissions and offering expenses. See Note 10 to our financial statements included in Part II, Item 8 of this Annual Report on Form 10-K for additional detail.</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As of December 31, 2023, we had an accumulated deficit of $435.4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planned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spacing w:after="0" w:line="18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May 2023, our Registration Statement on Form S-3 became effective (the "2023 Shelf Registration Statement"), covering the offer and sale from time to time of up to $350.0 million in aggregate offering price of securities, including shares of our common stock, shares of our preferred stock, debt securities, warrants, rights and/or units (including up to $120.0 million in securities registered on the 2021 Shelf Registration Statement). The specifics of any future offerings, along with the use of proceeds of any securities offered, will be described in detail in a prospectus supplement, or other offering materials, at the time of any offering.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cash equivalents, restricted cash and short-term investments as of December 31, 2023 will be sufficient to meet our cash needs for at least 12 months following the issuance date of this Annual Report on Form 10-K.</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52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(86,160 )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(57,000 )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(184,689 )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(6,454 )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(22,677 )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2023 of $86.2 million was primarily due to our net loss of $117.5 million, adjusted for net non-cash charges of $20.4 million and a change in operating assets and liabilities of $10.9 million. The net non-cash charges of $20.4 million consisted primarily of share-based compensation of $17.2 million, depreciation and amortization of $5.9 million, impairment of right-of-use assets of $4.1 million, and non-cash lease expense of $2.2 million, offset by investment accretion and amortization of $8.9 million. The net change in operating assets and liabilities of $10.9 million was related to the decrease in prepaid and other current assets of $1.7 million, an increase in accounts payable and accrued and other liabilities of $4.2 million as we continued to increase our research and development related activities and an increase in operating lease liabilities of $5.0 million.</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2022 of $57.0 million was primarily due to our net loss of $113.8 million, adjusted for net non-cash charges of $23.1 million and a change in operating assets and liabilities of $33.7 million. The net non-cash charges of $23.1 million consisted primarily of share-based compensation of $16.9 million, depreciation and amortization of $2.6 million, investment accretion and amortization of $0.8 million and non-cash lease expense of $3.9 million. The net change in operating assets and liabilities of $33.7 million was related to the increase in prepaid and other current assets of $1.5 million, offset by an increase in accounts payable and accrued and other liabilities of $2.8 million as we continued to increase our research and development related activities and an increase in operating lease liabilities of $32.5 million.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$79.0 million for the year ended December 31, 2023 comprised of proceeds from sales and maturities of investments of $367.4 million, offset by purchases of investments of $260.2 million and purchases of property and equipment of $28.1 million, primarily related to the construction of our manufacturing facility.</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$184.7 million for the year ended December 31, 2022 comprised of purchases of property and equipment of $47.1 million primarily related to the construction of our manufacturing facility and purchases of investments of $385.9 million, partially offset by proceeds from sales and maturities of investments of $248.3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$0.7 million for the year ended December 31, 2023 was mainly due to the proceeds from ESPP purchases of $0.5 million and exercise of stock options of $0.2 million.</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$219.0 million for the year ended December 31, 2022 was mainly due to the net proceeds of $215.6 million from the secondary offering, after deducting underwriting discounts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commissions and other offering costs, net proceeds of $1.6 million from the ATM Offering Program after deducting issuance costs, proceeds from ESPP purchases of $0.4 million, and proceeds of $1.4 million from the exercise of stock options.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Based upon our current operating plans, we believe that our existing cash, cash equivalents, restricted cash and investments will be sufficient to fund our operations for at least the next 12 months from the date of issuing this Annual Report on Form 10-K.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780" w:hanging="503"/>
        <w:spacing w:after="0" w:line="312" w:lineRule="auto"/>
        <w:tabs>
          <w:tab w:leader="none" w:pos="10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product candidates, including commercial manufacturing;</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product candidate is approved;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or ability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including payments required for meeting regulatory and commercial milestones or sales based royalties;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 and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candidates, products or technologies that we may in-license or acquire; and</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cost containment measures, including subleasing portions of our leased corporate office space in South San Francisco.</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sales of our therapeutic product candidates, if ever, we expect to finance our cash needs through public or private equity, including pursuant to the ATM Offering Program, or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lease certain office, laboratory and manufacturing space under non-cancelable operating leases. In addition to rent, our leases are subject to additional variable charges for common area maintenance, property taxes, property insurance and other variable costs. See Note 6 to our financial statements included in Part II, Item 8 of this Annual Report on Form 10-K for additional detail.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undiscounted aggregate future operating lease obligations under all of our operating leases as of December 31, 2023 are $140.5 million.</w:t>
      </w:r>
    </w:p>
    <w:p>
      <w:pPr>
        <w:spacing w:after="0" w:line="22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for clinical trials, preclinical studies, manufacturing and other services and products for operating purposes. These contracts generally provide for termination following a certain period after notice and therefore we believe that non-cancelable obligations under these agreements are not 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preclinical studies and clinical trial accruals, share-based compensation, impairment of long-live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See Note 2 to our financial statements included in Part II, Item 8 of this Annual Report on Form 10-K for a summary of significant accounting policies and the effect on our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Recent Accounting Pronouncements in Note 2 to our financial statements included in Part II, Item 8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permitted under Delaware law and in accordance with our bylaws, we indemnify our officers and directors for certain events or occurrences while the officer or director is or was serving in such capacity. We are also a party to indemnification agreements with our officers and directors. We believe the fair value of the indemnification rights and agreements is minimal. Accordingly, we have not recorded any liabilities for these indemnification rights and agreements as of December 31, 2023 and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one business activity and operate in one reportable segment.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December 31, 2023, this change would not have had a material effect on the fair value of our investment portfolio as of that date.</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 Inflation generally affects us by increasing our cost of labor and research and development contract costs. We do not believe inflation has had a material effect on our results of operations during the periods presented.</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interest rate changes, or exchange rate fluctuations had a significant impact on our results of operations for any periods presented herein.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7" w:name="page118"/>
    <w:bookmarkEnd w:id="11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vMerge w:val="restart"/>
          </w:tcPr>
          <w:p>
            <w:pPr>
              <w:spacing w:after="0"/>
              <w:rPr>
                <w:sz w:val="16"/>
                <w:szCs w:val="16"/>
                <w:color w:val="auto"/>
              </w:rPr>
            </w:pPr>
          </w:p>
        </w:tc>
        <w:tc>
          <w:tcPr>
            <w:tcW w:w="55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600" w:type="dxa"/>
            <w:vAlign w:val="bottom"/>
            <w:vMerge w:val="restart"/>
          </w:tcPr>
          <w:p>
            <w:pPr>
              <w:spacing w:after="0"/>
              <w:rPr>
                <w:sz w:val="16"/>
                <w:szCs w:val="16"/>
                <w:color w:val="auto"/>
              </w:rPr>
            </w:pPr>
          </w:p>
        </w:tc>
        <w:tc>
          <w:tcPr>
            <w:tcW w:w="11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5500" w:type="dxa"/>
            <w:vAlign w:val="bottom"/>
            <w:tcBorders>
              <w:bottom w:val="single" w:sz="8" w:color="0000FF"/>
            </w:tcBorders>
            <w:gridSpan w:val="7"/>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5"/>
        </w:trPr>
        <w:tc>
          <w:tcPr>
            <w:tcW w:w="101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CC"/>
              </w:rPr>
              <w:t>Balance Sheets</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CC"/>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0000CC"/>
              </w:rPr>
              <w:t>Statements of Operations and Comprehensive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380" w:type="dxa"/>
            <w:vAlign w:val="bottom"/>
            <w:shd w:val="clear" w:color="auto" w:fill="0000CC"/>
          </w:tcPr>
          <w:p>
            <w:pPr>
              <w:spacing w:after="0" w:line="20" w:lineRule="exact"/>
              <w:rPr>
                <w:sz w:val="1"/>
                <w:szCs w:val="1"/>
                <w:color w:val="auto"/>
              </w:rPr>
            </w:pPr>
          </w:p>
        </w:tc>
        <w:tc>
          <w:tcPr>
            <w:tcW w:w="1140" w:type="dxa"/>
            <w:vAlign w:val="bottom"/>
            <w:shd w:val="clear" w:color="auto" w:fill="0000CC"/>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0000CC"/>
              </w:rPr>
              <w:t>Statements of Stockholders' Equity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380" w:type="dxa"/>
            <w:vAlign w:val="bottom"/>
            <w:shd w:val="clear" w:color="auto" w:fill="0000CC"/>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0000CC"/>
              </w:rPr>
              <w:t>Statements of Cash Flows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0000CC"/>
              </w:rPr>
              <w:t>Notes to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898"/>
        </w:trPr>
        <w:tc>
          <w:tcPr>
            <w:tcW w:w="360" w:type="dxa"/>
            <w:vAlign w:val="bottom"/>
            <w:gridSpan w:val="2"/>
          </w:tcPr>
          <w:p>
            <w:pPr>
              <w:spacing w:after="0"/>
              <w:rPr>
                <w:sz w:val="24"/>
                <w:szCs w:val="24"/>
                <w:color w:val="auto"/>
              </w:rPr>
            </w:pPr>
          </w:p>
        </w:tc>
        <w:tc>
          <w:tcPr>
            <w:tcW w:w="2140" w:type="dxa"/>
            <w:vAlign w:val="bottom"/>
            <w:tcBorders>
              <w:top w:val="single" w:sz="8" w:color="0000CC"/>
            </w:tcBorders>
            <w:gridSpan w:val="3"/>
          </w:tcPr>
          <w:p>
            <w:pPr>
              <w:spacing w:after="0"/>
              <w:rPr>
                <w:sz w:val="24"/>
                <w:szCs w:val="24"/>
                <w:color w:val="auto"/>
              </w:rPr>
            </w:pPr>
          </w:p>
        </w:tc>
        <w:tc>
          <w:tcPr>
            <w:tcW w:w="7620" w:type="dxa"/>
            <w:vAlign w:val="bottom"/>
            <w:gridSpan w:val="4"/>
          </w:tcPr>
          <w:p>
            <w:pPr>
              <w:jc w:val="right"/>
              <w:ind w:right="4360"/>
              <w:spacing w:after="0"/>
              <w:rPr>
                <w:sz w:val="20"/>
                <w:szCs w:val="20"/>
                <w:color w:val="auto"/>
              </w:rPr>
            </w:pPr>
            <w:r>
              <w:rPr>
                <w:rFonts w:ascii="Times New Roman" w:cs="Times New Roman" w:eastAsia="Times New Roman" w:hAnsi="Times New Roman"/>
                <w:sz w:val="18"/>
                <w:szCs w:val="18"/>
                <w:color w:val="auto"/>
              </w:rPr>
              <w:t>113</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Nkarta,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Nkarta, Inc. (the Company) as of December 31, 2023 and 2022, the related statements of operations and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 and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314,649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253,071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360,688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378,885</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78,685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105,600</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100,731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54,350,179 shares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no shares issued and outstanding</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December 31, 2023 and 2022</w:t>
            </w:r>
          </w:p>
        </w:tc>
        <w:tc>
          <w:tcPr>
            <w:tcW w:w="3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100,000,000 shares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authorized; 49,181,295 and 48,877,806 shares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 at December 31, 2023</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2022, 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708,706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690,814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(435,434 )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(317,933 )</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273,285</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378,885</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472,938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-4337050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-3394075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-3376930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96,773</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34,877</w:t>
            </w:r>
          </w:p>
        </w:tc>
        <w:tc>
          <w:tcPr>
            <w:tcW w:w="3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131,650</w:t>
            </w: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(131,650 )</w:t>
            </w:r>
          </w:p>
        </w:tc>
        <w:tc>
          <w:tcPr>
            <w:tcW w:w="7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(118,955 )</w:t>
            </w: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(470 )</w:t>
            </w:r>
          </w:p>
        </w:tc>
        <w:tc>
          <w:tcPr>
            <w:tcW w:w="0" w:type="dxa"/>
            <w:vAlign w:val="bottom"/>
          </w:tcPr>
          <w:p>
            <w:pPr>
              <w:spacing w:after="0"/>
              <w:rPr>
                <w:sz w:val="1"/>
                <w:szCs w:val="1"/>
                <w:color w:val="auto"/>
              </w:rPr>
            </w:pPr>
          </w:p>
        </w:tc>
      </w:tr>
      <w:tr>
        <w:trPr>
          <w:trHeight w:val="236"/>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3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(117,501 )</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(113,837 )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(117,501 )</w:t>
            </w:r>
          </w:p>
        </w:tc>
        <w:tc>
          <w:tcPr>
            <w:tcW w:w="7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(113,837 )</w:t>
            </w: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unrealized gain (loss) on investments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(116,814 )</w:t>
            </w:r>
          </w:p>
        </w:tc>
        <w:tc>
          <w:tcPr>
            <w:tcW w:w="7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(114,366 )</w:t>
            </w: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(2.40 )</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4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in</w:t>
            </w:r>
          </w:p>
        </w:tc>
        <w:tc>
          <w:tcPr>
            <w:tcW w:w="440" w:type="dxa"/>
            <w:vAlign w:val="bottom"/>
            <w:shd w:val="clear" w:color="auto" w:fill="CFF0FC"/>
          </w:tcPr>
          <w:p>
            <w:pPr>
              <w:spacing w:after="0"/>
              <w:rPr>
                <w:sz w:val="16"/>
                <w:szCs w:val="16"/>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49,014,300</w:t>
            </w: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43,631,722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1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computing basic and diluted net loss per share</w:t>
            </w:r>
          </w:p>
        </w:tc>
        <w:tc>
          <w:tcPr>
            <w:tcW w:w="4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-2416810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-1464945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-496570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-479425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2280" w:type="dxa"/>
            <w:vAlign w:val="bottom"/>
            <w:gridSpan w:val="3"/>
            <w:vMerge w:val="restart"/>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228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3"/>
        </w:trPr>
        <w:tc>
          <w:tcPr>
            <w:tcW w:w="3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right"/>
              <w:ind w:right="306"/>
              <w:spacing w:after="0" w:line="113" w:lineRule="exact"/>
              <w:rPr>
                <w:sz w:val="20"/>
                <w:szCs w:val="20"/>
                <w:color w:val="auto"/>
              </w:rPr>
            </w:pPr>
            <w:r>
              <w:rPr>
                <w:rFonts w:ascii="Times New Roman" w:cs="Times New Roman" w:eastAsia="Times New Roman" w:hAnsi="Times New Roman"/>
                <w:sz w:val="11"/>
                <w:szCs w:val="11"/>
                <w:b w:val="1"/>
                <w:bCs w:val="1"/>
                <w:color w:val="auto"/>
              </w:rPr>
              <w:t>Paid-In</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tcPr>
          <w:p>
            <w:pPr>
              <w:jc w:val="right"/>
              <w:ind w:right="460"/>
              <w:spacing w:after="0" w:line="11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9"/>
                <w:szCs w:val="9"/>
                <w:color w:val="auto"/>
              </w:rPr>
            </w:pPr>
          </w:p>
        </w:tc>
        <w:tc>
          <w:tcPr>
            <w:tcW w:w="1200" w:type="dxa"/>
            <w:vAlign w:val="bottom"/>
            <w:gridSpan w:val="2"/>
          </w:tcPr>
          <w:p>
            <w:pPr>
              <w:jc w:val="center"/>
              <w:ind w:right="380"/>
              <w:spacing w:after="0" w:line="113"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40" w:type="dxa"/>
            <w:vAlign w:val="bottom"/>
          </w:tcPr>
          <w:p>
            <w:pPr>
              <w:spacing w:after="0"/>
              <w:rPr>
                <w:sz w:val="9"/>
                <w:szCs w:val="9"/>
                <w:color w:val="auto"/>
              </w:rPr>
            </w:pPr>
          </w:p>
        </w:tc>
        <w:tc>
          <w:tcPr>
            <w:tcW w:w="104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December 31, 2021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32,971,107</w:t>
            </w:r>
          </w:p>
        </w:tc>
        <w:tc>
          <w:tcPr>
            <w:tcW w:w="1140" w:type="dxa"/>
            <w:vAlign w:val="bottom"/>
            <w:gridSpan w:val="2"/>
            <w:shd w:val="clear" w:color="auto" w:fill="CFF0FC"/>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6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455,210</w:t>
            </w:r>
          </w:p>
        </w:tc>
        <w:tc>
          <w:tcPr>
            <w:tcW w:w="40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(204,096 )</w:t>
            </w: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(150 )</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250,967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280" w:type="dxa"/>
            <w:vAlign w:val="bottom"/>
            <w:tcBorders>
              <w:top w:val="single" w:sz="8" w:color="CFF0FC"/>
            </w:tcBorders>
          </w:tcPr>
          <w:p>
            <w:pPr>
              <w:ind w:left="20"/>
              <w:spacing w:after="0" w:line="106" w:lineRule="exact"/>
              <w:rPr>
                <w:sz w:val="20"/>
                <w:szCs w:val="20"/>
                <w:color w:val="auto"/>
              </w:rPr>
            </w:pPr>
            <w:r>
              <w:rPr>
                <w:rFonts w:ascii="Times New Roman" w:cs="Times New Roman" w:eastAsia="Times New Roman" w:hAnsi="Times New Roman"/>
                <w:sz w:val="11"/>
                <w:szCs w:val="11"/>
                <w:color w:val="auto"/>
              </w:rPr>
              <w:t>Vesting of shares of common stock</w:t>
            </w:r>
          </w:p>
        </w:tc>
        <w:tc>
          <w:tcPr>
            <w:tcW w:w="114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subject to repurchase</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15,278</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upon exercise of stock option, net of repurchase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383,120</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1,397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upon employee stock 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61,754</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upon secondary offering, net of issuance costs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15,333,334</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215,332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215,334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upon at-the-market offering, net of issuance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113,213</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16,856</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Unrealized loss on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(529 )</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(529 )</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(113,837 )</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(113,837 )</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48,877,806</w:t>
            </w:r>
          </w:p>
        </w:tc>
        <w:tc>
          <w:tcPr>
            <w:tcW w:w="280" w:type="dxa"/>
            <w:vAlign w:val="bottom"/>
          </w:tcPr>
          <w:p>
            <w:pPr>
              <w:spacing w:after="0"/>
              <w:rPr>
                <w:sz w:val="12"/>
                <w:szCs w:val="12"/>
                <w:color w:val="auto"/>
              </w:rPr>
            </w:pP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6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690,814</w:t>
            </w:r>
          </w:p>
        </w:tc>
        <w:tc>
          <w:tcPr>
            <w:tcW w:w="24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(317,933 )</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(679 )</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372,207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280" w:type="dxa"/>
            <w:vAlign w:val="bottom"/>
            <w:shd w:val="clear" w:color="auto" w:fill="CFF0FC"/>
          </w:tcPr>
          <w:p>
            <w:pPr>
              <w:ind w:left="20"/>
              <w:spacing w:after="0" w:line="106" w:lineRule="exact"/>
              <w:rPr>
                <w:sz w:val="20"/>
                <w:szCs w:val="20"/>
                <w:color w:val="auto"/>
              </w:rPr>
            </w:pPr>
            <w:r>
              <w:rPr>
                <w:rFonts w:ascii="Times New Roman" w:cs="Times New Roman" w:eastAsia="Times New Roman" w:hAnsi="Times New Roman"/>
                <w:sz w:val="11"/>
                <w:szCs w:val="11"/>
                <w:color w:val="auto"/>
              </w:rPr>
              <w:t>Vesting of shares of common stock</w:t>
            </w:r>
          </w:p>
        </w:tc>
        <w:tc>
          <w:tcPr>
            <w:tcW w:w="11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subject to repurchase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upon exercise of stock option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49,871</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upon vesting of restricted stock units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88,543</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upon employee stock 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164,567</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17,199</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Unrealized gain on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(117,501 )</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(117,501 )</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49,181,295</w:t>
            </w:r>
          </w:p>
        </w:tc>
        <w:tc>
          <w:tcPr>
            <w:tcW w:w="280" w:type="dxa"/>
            <w:vAlign w:val="bottom"/>
          </w:tcPr>
          <w:p>
            <w:pPr>
              <w:spacing w:after="0"/>
              <w:rPr>
                <w:sz w:val="12"/>
                <w:szCs w:val="12"/>
                <w:color w:val="auto"/>
              </w:rPr>
            </w:pP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6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708,706</w:t>
            </w:r>
          </w:p>
        </w:tc>
        <w:tc>
          <w:tcPr>
            <w:tcW w:w="24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(435,434 )</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6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273,285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-2390775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-2374265</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-2390775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-2374265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-2390775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-2374265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-2390775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-2374265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-2390775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-2374265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-1224915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-1224915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-1224915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-1224915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-1224915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-127635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-127635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-127635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-127635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-127635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(117,501 )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(113,837 )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discount and amortization of premium on investments, net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(gain) loss on investments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(1,489 )</w:t>
            </w: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(86,160 )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(57,000 )</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(260,233 )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(385,887 )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367,395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(28,147 )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(47,111 )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(184,689 )</w:t>
            </w:r>
          </w:p>
        </w:tc>
        <w:tc>
          <w:tcPr>
            <w:tcW w:w="0" w:type="dxa"/>
            <w:vAlign w:val="bottom"/>
          </w:tcPr>
          <w:p>
            <w:pPr>
              <w:spacing w:after="0"/>
              <w:rPr>
                <w:sz w:val="1"/>
                <w:szCs w:val="1"/>
                <w:color w:val="auto"/>
              </w:rPr>
            </w:pPr>
          </w:p>
        </w:tc>
      </w:tr>
      <w:tr>
        <w:trPr>
          <w:trHeight w:val="23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secondary offering, net of issuance costs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ATM offering, net of issuance costs</w:t>
            </w:r>
          </w:p>
        </w:tc>
        <w:tc>
          <w:tcPr>
            <w:tcW w:w="3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ESPP purchases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219,012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(22,677 )</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the balance sheets: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property and equipment recorded in accounts payable and accrued and other current</w:t>
            </w: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Pr>
          <w:p>
            <w:pPr>
              <w:spacing w:after="0"/>
              <w:rPr>
                <w:sz w:val="18"/>
                <w:szCs w:val="18"/>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-3634105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-2682240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-1915160</wp:posOffset>
            </wp:positionV>
            <wp:extent cx="93980" cy="196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-1915160</wp:posOffset>
            </wp:positionV>
            <wp:extent cx="93980" cy="196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-633730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Nkarta, Inc. ("Nkarta" or the "Company") was incorporated in the State of Delaware in July 2015. The Company is a biopharmaceutical company developing engineered natural killer ("NK") cells to treat cancer and autoimmune disease.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therapeutic targets, and improve persistence for sustained activity in the body. Nkarta’s goal is to develop off-the-shelf NK cell therapy product candidates to improve outcomes for patients. The Company’s operations are based in South San Francisco, California, and it operates in one segment.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December 31, 2023, the Company had an accumulated deficit of $435.4 million and cash, cash equivalents, restricted cash and short-term investments of $250.9 million.</w:t>
      </w:r>
    </w:p>
    <w:p>
      <w:pPr>
        <w:spacing w:after="0" w:line="187"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Management plans to continue to incur substantial costs in order to conduct research and development activities for which additional capital will be needed. The Company intends to raise such capital through debt or equity financings or other arrangements to fund operations. Management believes that the Company’s current cash, cash equivalents, restricted cash and investments will provide sufficient funds to enable the Company to meet its obligations for at least twelve months from the filing date of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 ("U.S. GAAP").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and clinical trial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cash equivalents and investments. The Company maintains cash, cash equivalents and investments with various high credit quality and are invested through banks and other financial institutions in the United States. Such deposits may be in excess of federally insured limits. Management believes that the Company is not exposed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significant credit risk due to the financial position of the depository institutions in which those deposits are held. The Company has not experienced any losses on deposits since inception.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consists of net loss and unrealized gains or losses on investments. The Company displays comprehensive loss and its components as part of the statements of operations and comprehensive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Observable inputs such as quoted prices in active markets;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the quoted prices in active markets, that are observable either directly or indirectly; and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in which there is little or no market data, which require the reporting entity to develop its own assumptions.</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prepaid expenses and other current assets, accounts payable, accrued liabilities and other current liabilities are reasonable estimates of their fair value due to the short-term nature of these accounts.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Short-term Investments and Restricted Cash</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Company considers all highly liquid investments with insignificant interest rate risk and an original maturity of three months or less at the date of purchase to be cash equivalents. Cash includes demand deposits held in readily available checking accounts at a federally insured financial institution. Cash equivalents consist of money market funds.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Short-term investments consist of corporate debt securities, commercial paper and Government securities, classified as available-for-sale securities and have maturities of greater than three months but less than one year. The Company has classified its available-for-sale investment securities as current assets on the balance sheets because these are considered highly liquid securities and are available for use in current operations. The Company carries these securities at fair value, and reports unrealized gains and losses as a separate component of accumulated other comprehensive income (loss). The cost of debt securities is adjusted for amortization of purchase premiums and accretion of discounts to maturity. Such amortization and accretion is included in interest income in the statements of operations and comprehensive loss. Realized gains and losses on sales of securities are determined using the specific identification method and recorded in other income, net in the statement of operations and comprehensive loss. We review our portfolio of available-for-sale securities, using both quantitative and qualitative factors, to determine if declines in fair value below amortized cost have resulted from a credit-related loss or other factors. If the decline in fair value is due to credit-related factors, we recognize a loss in the statement of operations, whereas if the decline in fair value is not due to credit-related factors, we recognize the loss in comprehensive loss.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is required to maintain letters of credit related to its office and lab space leases in South San Francisco. This cash is the collateral for those letters of credit and per the terms of the leases, must remain in place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8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until one to two months after the termination of the leases. As the remaining terms of the leases as of December 31, 2023 is greater than one year, the related restricted cash has been classified as non-current.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which consist of leasehold improvements, furniture and fixtures, research equipment, computers and software and construction-in-progress are stated at cost less accumulated depreciation. Depreciation and amortization is calculated using the straight-line method over the estimated useful lives of the assets, which ranges from three to five years. Leasehold improvements are amortized over the remaining life of the lease at the time the asset is placed into service.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See Note 6 for additional information on the long-lived asset impairment expense recognized for the year ended December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Accounting Standards Codification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Revenue from Contracts with Customers ("ASC 606"). If it is concluded that some or all aspects of the arrangement represent a transaction with a customer, the Company will account for those aspects of the arrangement within the scope of ASC 606.</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primarily of salaries and other benefits of research and development personnel, including associated share-based compensation, costs related to research activities, preclinical studies, clinical trial, drug manufacturing and allocated overhead and facility-related expenses.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There have been no such liabilities recorded by the Company as of December 31, 2023 and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the commencement date of a lease, the Company recognizes lease liabilities which represent its obligation to make lease payments, and right-of-use assets ("ROU assets") which represent its right to use the underlying asset during the lease term. The lease liability is measured at the present value of lease payments over the lease term. As the Company’s leases typically do not provide an implicit rate, the Company uses an incremental borrowing rate based on the information available at the lease commencement date. The ROU asset is measured at cost, which includes the initial measurement of the lease liability and initial direct costs incurred by the Company and excludes lease incentives. ROU assets are recorded in operating lease ROU assets and lease liabilities are recorded in operating lease liabilities, current and noncurrent in the balance sheets. We have elected the practical expedient to account for the lease and non-lease components, such as common area maintenance charges, as a single lease component for our facilities leases, and elected the short-term lease recognition exemption for our short-term leases, under which we do not recognize lease liabilities and right-of-use assets for leases with an original term of twelve months or less.</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that option. Operating lease expense is recognized on a straight-line basis over the lease term. The Company does not recognize lease liabilities and ROU assets for short-term leases with terms of twelve months or less.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Share-based compensation expense represents the cost of the grant-date fair value of employee, officer, director, and non-employee stock option, employee stock purchase plan, and restricted stock unit grants, estimated in accordance with the applicable accounting guidance, recognized using the straight-line method over the vesting period for service-based options, employee stock purchase plan rights and restricted stock units and using the graded vesting method for performance-based options. The vesting period generally approximates the expected service period of the awards. Forfeitures are recognized and accounted for as they occur.</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fair value of stock options and employee stock purchase plan rights are estimated using a Black-Scholes option pricing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Options granted during the year have a maximum contractual term of ten years. The Company has limited historical stock option activity and therefore estimates the expected term of stock options granted using the simplified method, which represents the average of the contractual term of the stock option and its weighted-average vesting period. The expected term of the employee stock purchase plan rights equals the six-month look-back period. Since inception and prior to 2023, the expected volatility was based upon the historical volatility of a number of publicly traded companies in similar stages of clinical development. For grants during 2023, the expected volatility was determined by using a blended approach of the Company's historical stock price volatility and the historical stock price volatility for a select group of other publicly traded companies in the same industry. The Company has historically not declared or paid any dividends and does not currently expect to do so in the foreseeable future. The risk-free interest rates used are based on the U.S. Department of Treasury ("U.S. Treasury") yield in effect at the time of grant for zero-coupon U.S. Treasury notes with maturities approximately equal to the expected term of the stock options. The fair value of restricted stock units is based on the closing price of the Company's common stock as reported on The Nasdaq Global Select Market on the date of grant.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its President and Chief Executive Officer, manages its operations and business as one operating segment for the purposes of allocating resources, makes operating decisions and evaluates financial performance. No product revenue has been generated since inception and all assets are held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unvested restricted stock options, and outstanding stock options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No. 2023-07, Segment Reporting (Topic 280): Improvements to Reportable Segment Disclosures, which requires disclosure of incremental segment information on an interim and annual basis. This ASU is effective for fiscal years beginning after December 15, 2023, and interim periods within fiscal periods beginning after December 15, 2024, and requires retrospective application to all prior periods presented in the financial statements. The Company is currently evaluating the impact of the guidance on the financial statements and disclosures.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its financial statements.</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computation of the basic and diluted net loss per share (in thousands except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(117,501 )</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(113,837 )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49,014,357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43,635,044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weighted average unvested common stock</w:t>
            </w:r>
          </w:p>
        </w:tc>
        <w:tc>
          <w:tcPr>
            <w:tcW w:w="440" w:type="dxa"/>
            <w:vAlign w:val="bottom"/>
            <w:shd w:val="clear" w:color="auto" w:fill="CFF0FC"/>
          </w:tcPr>
          <w:p>
            <w:pPr>
              <w:spacing w:after="0"/>
              <w:rPr>
                <w:sz w:val="18"/>
                <w:szCs w:val="18"/>
                <w:color w:val="auto"/>
              </w:rPr>
            </w:pPr>
          </w:p>
        </w:tc>
        <w:tc>
          <w:tcPr>
            <w:tcW w:w="17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(57 )</w:t>
            </w:r>
          </w:p>
        </w:tc>
        <w:tc>
          <w:tcPr>
            <w:tcW w:w="70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(3,322 )</w:t>
            </w:r>
          </w:p>
        </w:tc>
        <w:tc>
          <w:tcPr>
            <w:tcW w:w="0" w:type="dxa"/>
            <w:vAlign w:val="bottom"/>
          </w:tcPr>
          <w:p>
            <w:pPr>
              <w:spacing w:after="0"/>
              <w:rPr>
                <w:sz w:val="1"/>
                <w:szCs w:val="1"/>
                <w:color w:val="auto"/>
              </w:rPr>
            </w:pPr>
          </w:p>
        </w:tc>
      </w:tr>
      <w:tr>
        <w:trPr>
          <w:trHeight w:val="234"/>
        </w:trPr>
        <w:tc>
          <w:tcPr>
            <w:tcW w:w="7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upon early exercise of common stock options</w:t>
            </w:r>
          </w:p>
        </w:tc>
        <w:tc>
          <w:tcPr>
            <w:tcW w:w="440" w:type="dxa"/>
            <w:vAlign w:val="bottom"/>
            <w:shd w:val="clear" w:color="auto" w:fill="CFF0FC"/>
          </w:tcPr>
          <w:p>
            <w:pPr>
              <w:spacing w:after="0"/>
              <w:rPr>
                <w:sz w:val="20"/>
                <w:szCs w:val="20"/>
                <w:color w:val="auto"/>
              </w:rPr>
            </w:pPr>
          </w:p>
        </w:tc>
        <w:tc>
          <w:tcPr>
            <w:tcW w:w="1720" w:type="dxa"/>
            <w:vAlign w:val="bottom"/>
            <w:gridSpan w:val="2"/>
            <w:vMerge w:val="continue"/>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14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 average shares used to compute net loss</w:t>
            </w: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49,014,300</w:t>
            </w:r>
          </w:p>
        </w:tc>
        <w:tc>
          <w:tcPr>
            <w:tcW w:w="3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43,631,722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share, basic and diluted</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(2.40 )</w:t>
            </w:r>
          </w:p>
        </w:tc>
        <w:tc>
          <w:tcPr>
            <w:tcW w:w="7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-479425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have been excluded in the calculation of diluted net loss per share because their inclusion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6,716,526</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5,519,275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594,768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common stock upon early exercise of common stock options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24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1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7,311,294</w:t>
            </w: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5,876,511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4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w w:val="99"/>
              </w:rPr>
              <w:t>The following tables summarize the fair value of the Company’s financial instruments (in thousands):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Government securities</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138,343</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138,343</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40" w:type="dxa"/>
            <w:vAlign w:val="bottom"/>
          </w:tcPr>
          <w:p>
            <w:pPr>
              <w:spacing w:after="0"/>
              <w:rPr>
                <w:sz w:val="20"/>
                <w:szCs w:val="20"/>
                <w:color w:val="auto"/>
              </w:rPr>
            </w:pP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247,900</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4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49"/>
        </w:trPr>
        <w:tc>
          <w:tcPr>
            <w:tcW w:w="47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-3908425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-2030730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-2030730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-2030730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-1405255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-1405255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-1405255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-1062355</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-1045210</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-1062355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-1045210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-1062355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-1045210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88,681</w:t>
            </w:r>
          </w:p>
        </w:tc>
        <w:tc>
          <w:tcPr>
            <w:tcW w:w="4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65,409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65,409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314,649</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314,649</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351,143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314,649</w:t>
            </w:r>
          </w:p>
        </w:tc>
        <w:tc>
          <w:tcPr>
            <w:tcW w:w="4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-205105</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-187960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-205105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-205105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Short-Term Investments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consist of the Company’s cash equivalents and short-term investments. Cash equivalents consisted of money market funds and short-term investments consisted of commercial paper, corporate debt securities and Government securities. The Company obtains pricing information from its investment manager and generally determines the fair value of investment securities using standard observable inputs, including reported trades, broker/dealer quotes, and bids and/or offers.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Investments are classified as Level 1 within the fair value hierarchy if their quoted prices are available in active markets for identical securities. Investments in money market funds of $30.8 million and $36.5 million included in cash equivalents as of December 31, 2023 and 2022, respectively, were classified as Level 1 instruments.</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Investments in corporate debt securities, commercial paper and Government securities included in short-term investments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short-term investments as of December 31, 2023 and 2022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1320" w:type="dxa"/>
            <w:vAlign w:val="bottom"/>
            <w:vMerge w:val="restart"/>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tcPr>
          <w:p>
            <w:pPr>
              <w:jc w:val="center"/>
              <w:ind w:left="13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132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20" w:type="dxa"/>
            <w:vAlign w:val="bottom"/>
            <w:shd w:val="clear" w:color="auto" w:fill="CFF0FC"/>
          </w:tcPr>
          <w:p>
            <w:pPr>
              <w:jc w:val="center"/>
              <w:ind w:left="237"/>
              <w:spacing w:after="0"/>
              <w:rPr>
                <w:sz w:val="20"/>
                <w:szCs w:val="20"/>
                <w:color w:val="auto"/>
              </w:rPr>
            </w:pPr>
            <w:r>
              <w:rPr>
                <w:rFonts w:ascii="Times New Roman" w:cs="Times New Roman" w:eastAsia="Times New Roman" w:hAnsi="Times New Roman"/>
                <w:sz w:val="18"/>
                <w:szCs w:val="18"/>
                <w:color w:val="auto"/>
              </w:rPr>
              <w:t>1 year or less</w:t>
            </w: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Pr>
          <w:p>
            <w:pPr>
              <w:jc w:val="center"/>
              <w:ind w:left="237"/>
              <w:spacing w:after="0"/>
              <w:rPr>
                <w:sz w:val="20"/>
                <w:szCs w:val="20"/>
                <w:color w:val="auto"/>
              </w:rPr>
            </w:pPr>
            <w:r>
              <w:rPr>
                <w:rFonts w:ascii="Times New Roman" w:cs="Times New Roman" w:eastAsia="Times New Roman" w:hAnsi="Times New Roman"/>
                <w:sz w:val="18"/>
                <w:szCs w:val="18"/>
                <w:color w:val="auto"/>
              </w:rPr>
              <w:t>1 year or less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320" w:type="dxa"/>
            <w:vAlign w:val="bottom"/>
            <w:shd w:val="clear" w:color="auto" w:fill="CFF0FC"/>
          </w:tcPr>
          <w:p>
            <w:pPr>
              <w:jc w:val="center"/>
              <w:ind w:left="237"/>
              <w:spacing w:after="0"/>
              <w:rPr>
                <w:sz w:val="20"/>
                <w:szCs w:val="20"/>
                <w:color w:val="auto"/>
              </w:rPr>
            </w:pPr>
            <w:r>
              <w:rPr>
                <w:rFonts w:ascii="Times New Roman" w:cs="Times New Roman" w:eastAsia="Times New Roman" w:hAnsi="Times New Roman"/>
                <w:sz w:val="18"/>
                <w:szCs w:val="18"/>
                <w:color w:val="auto"/>
              </w:rPr>
              <w:t>1 year or less</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(56 )</w:t>
            </w: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(69 )</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140" w:type="dxa"/>
            <w:vAlign w:val="bottom"/>
          </w:tcPr>
          <w:p>
            <w:pPr>
              <w:spacing w:after="0"/>
              <w:rPr>
                <w:sz w:val="24"/>
                <w:szCs w:val="24"/>
                <w:color w:val="auto"/>
              </w:rPr>
            </w:pPr>
          </w:p>
        </w:tc>
        <w:tc>
          <w:tcPr>
            <w:tcW w:w="1320" w:type="dxa"/>
            <w:vAlign w:val="bottom"/>
            <w:vMerge w:val="restart"/>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tcPr>
          <w:p>
            <w:pPr>
              <w:jc w:val="center"/>
              <w:ind w:left="13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132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20" w:type="dxa"/>
            <w:vAlign w:val="bottom"/>
            <w:shd w:val="clear" w:color="auto" w:fill="CFF0FC"/>
          </w:tcPr>
          <w:p>
            <w:pPr>
              <w:jc w:val="center"/>
              <w:ind w:left="237"/>
              <w:spacing w:after="0"/>
              <w:rPr>
                <w:sz w:val="20"/>
                <w:szCs w:val="20"/>
                <w:color w:val="auto"/>
              </w:rPr>
            </w:pPr>
            <w:r>
              <w:rPr>
                <w:rFonts w:ascii="Times New Roman" w:cs="Times New Roman" w:eastAsia="Times New Roman" w:hAnsi="Times New Roman"/>
                <w:sz w:val="18"/>
                <w:szCs w:val="18"/>
                <w:color w:val="auto"/>
              </w:rPr>
              <w:t>1 year or less</w:t>
            </w: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(320 )</w:t>
            </w:r>
          </w:p>
        </w:tc>
        <w:tc>
          <w:tcPr>
            <w:tcW w:w="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Pr>
          <w:p>
            <w:pPr>
              <w:jc w:val="center"/>
              <w:ind w:left="237"/>
              <w:spacing w:after="0"/>
              <w:rPr>
                <w:sz w:val="20"/>
                <w:szCs w:val="20"/>
                <w:color w:val="auto"/>
              </w:rPr>
            </w:pPr>
            <w:r>
              <w:rPr>
                <w:rFonts w:ascii="Times New Roman" w:cs="Times New Roman" w:eastAsia="Times New Roman" w:hAnsi="Times New Roman"/>
                <w:sz w:val="18"/>
                <w:szCs w:val="18"/>
                <w:color w:val="auto"/>
              </w:rPr>
              <w:t>1 year or less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(123 )</w:t>
            </w: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320" w:type="dxa"/>
            <w:vAlign w:val="bottom"/>
            <w:shd w:val="clear" w:color="auto" w:fill="CFF0FC"/>
          </w:tcPr>
          <w:p>
            <w:pPr>
              <w:jc w:val="center"/>
              <w:ind w:left="237"/>
              <w:spacing w:after="0"/>
              <w:rPr>
                <w:sz w:val="20"/>
                <w:szCs w:val="20"/>
                <w:color w:val="auto"/>
              </w:rPr>
            </w:pPr>
            <w:r>
              <w:rPr>
                <w:rFonts w:ascii="Times New Roman" w:cs="Times New Roman" w:eastAsia="Times New Roman" w:hAnsi="Times New Roman"/>
                <w:sz w:val="18"/>
                <w:szCs w:val="18"/>
                <w:color w:val="auto"/>
              </w:rPr>
              <w:t>1 year or less</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160,801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(319 )</w:t>
            </w: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315,328</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(762 )</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-2348230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-2348230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-2348230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-1224915</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-1224915</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-1224915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 considers whether unrealized losses have resulted from a credit loss or other factors. The unrealized losses on the Company’s available-for-sale securities as of December 31, 2023 and 2022 were caused by fluctuations in market value and interest rates as a result of the economic environment and not credit risk. The Company concluded that an allowance for credit losses was unnecessary as of December 31, 2023 and 2022. It is neither management’s intention to sell nor is it more likely than not that the Company will be required to sell these investments prior to recovery of their cost basis or recovery of fair value, except for investments totaling $27.0 million that were sold with a realized loss of $0.2 million in December 2022 and $67.6 million that were sold with a realized loss of $0.3 million in January 2023. The Company recorded this $0.3 million as an impairment loss for the year ended December 31, 2022. Unrealized gains and losses are included in accumulated other comprehensive income (loss). Realized gains and losses on sales of available-for-sale investments are computed based upon specific identification of the initial cost adjusted for any other-than-temporary declines in fair value that were recorded in earnings.</w:t>
      </w:r>
    </w:p>
    <w:p>
      <w:pPr>
        <w:spacing w:after="0" w:line="18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excludes accrued interest from both the fair value and the amortized cost basis of the available-for-sale debt securities for the purposes of identifying and measuring an impairment and to not measure an allowance for expected credit losses for accrued interest receivables. Accrued interest receivable is written off through net realized investment gains (losses) at the time the issuer of the bond defaults or is expected to default on payment. It is the Company's policy to present the accrued interest receivable balance as part of prepaid expenses and other current assets in the balance sheets. Accrued interest receivable related to short-term investments was $1.2 million and $0.8 million as of December 31, 2023 and 2022,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are comprised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5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is comprised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66,618</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equipment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91,019</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67,732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(11,693 )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(5,824 )</w:t>
            </w: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8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-2245360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-2228215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were $5.9 million and $2.6 million for the years ended December 31, 2023 and 2022,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are comprised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its current corporate offices, laboratory space, manufacturing facility, and dedicated space in a vivarium in South San Francisco, California.</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12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4"/>
                <w:szCs w:val="24"/>
                <w:color w:val="auto"/>
                <w:vertAlign w:val="superscript"/>
              </w:rPr>
              <w:t>(1)</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r>
      <w:tr>
        <w:trPr>
          <w:trHeight w:val="23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12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right="3560" w:hanging="511"/>
        <w:spacing w:after="0" w:line="277" w:lineRule="auto"/>
        <w:tabs>
          <w:tab w:leader="none" w:pos="243"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Variable lease expense for the periods presented primarily included common area maintenance charges. Supplemental information related to operating leases were as follows (in thousands):</w:t>
      </w:r>
    </w:p>
    <w:p>
      <w:pPr>
        <w:spacing w:after="0" w:line="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9525</wp:posOffset>
            </wp:positionV>
            <wp:extent cx="21602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836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15875</wp:posOffset>
            </wp:positionV>
            <wp:extent cx="21602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p>
      <w:pPr>
        <w:spacing w:after="0" w:line="40" w:lineRule="exact"/>
        <w:rPr>
          <w:sz w:val="20"/>
          <w:szCs w:val="20"/>
          <w:color w:val="auto"/>
        </w:rPr>
      </w:pPr>
    </w:p>
    <w:p>
      <w:pPr>
        <w:ind w:left="20"/>
        <w:spacing w:after="0"/>
        <w:tabs>
          <w:tab w:leader="none" w:pos="7720" w:val="left"/>
          <w:tab w:leader="none" w:pos="8780" w:val="left"/>
          <w:tab w:leader="none" w:pos="9580" w:val="left"/>
          <w:tab w:leader="none" w:pos="10700" w:val="left"/>
        </w:tabs>
        <w:rPr>
          <w:sz w:val="20"/>
          <w:szCs w:val="20"/>
          <w:color w:val="auto"/>
        </w:rPr>
      </w:pPr>
      <w:r>
        <w:rPr>
          <w:rFonts w:ascii="Times New Roman" w:cs="Times New Roman" w:eastAsia="Times New Roman" w:hAnsi="Times New Roman"/>
          <w:sz w:val="18"/>
          <w:szCs w:val="18"/>
          <w:color w:val="auto"/>
        </w:rPr>
        <w:t>Operating cash flows used for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11,540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03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5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The weighted-average remaining lease term was 9.8 years for the corporate office and laboratory space leases as of December 31, 2023. The corporate office lease includes an option to renew for an additional seven years. However, the renewal option was not included in the lease term for calculating the lease liability, as the renewal option allows the Company to maintain operational flexibility, and the Company was not reasonably certain that it would exercise the renewal option at the time of the lease commencement. The weighted-average discount rate was 9.8% as of December 31, 2023.</w:t>
      </w:r>
    </w:p>
    <w:p>
      <w:pPr>
        <w:spacing w:after="0" w:line="56"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There were none and $0.4 million in ROU assets obtained in exchange for operating lease liabilities resulting from new leases and from modifications of existing leases, respectively, for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operating lease liabilities under existing operating leases as of December 31, 2023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100" w:type="dxa"/>
            <w:vAlign w:val="bottom"/>
            <w:shd w:val="clear" w:color="auto" w:fill="CFF0FC"/>
          </w:tcPr>
          <w:p>
            <w:pPr>
              <w:spacing w:after="0"/>
              <w:rPr>
                <w:sz w:val="20"/>
                <w:szCs w:val="20"/>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72,876</w:t>
            </w:r>
          </w:p>
        </w:tc>
        <w:tc>
          <w:tcPr>
            <w:tcW w:w="100" w:type="dxa"/>
            <w:vAlign w:val="bottom"/>
          </w:tcPr>
          <w:p>
            <w:pPr>
              <w:spacing w:after="0"/>
              <w:rPr>
                <w:sz w:val="20"/>
                <w:szCs w:val="20"/>
                <w:color w:val="auto"/>
              </w:rPr>
            </w:pPr>
          </w:p>
        </w:tc>
      </w:tr>
      <w:tr>
        <w:trPr>
          <w:trHeight w:val="241"/>
        </w:trPr>
        <w:tc>
          <w:tcPr>
            <w:tcW w:w="9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140,473</w:t>
            </w:r>
          </w:p>
        </w:tc>
        <w:tc>
          <w:tcPr>
            <w:tcW w:w="100" w:type="dxa"/>
            <w:vAlign w:val="bottom"/>
            <w:shd w:val="clear" w:color="auto" w:fill="CFF0FC"/>
          </w:tcPr>
          <w:p>
            <w:pPr>
              <w:spacing w:after="0"/>
              <w:rPr>
                <w:sz w:val="20"/>
                <w:szCs w:val="20"/>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(52,134 )</w:t>
            </w:r>
          </w:p>
        </w:tc>
      </w:tr>
      <w:tr>
        <w:trPr>
          <w:trHeight w:val="276"/>
        </w:trPr>
        <w:tc>
          <w:tcPr>
            <w:tcW w:w="902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88,339</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9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82,270</w:t>
            </w:r>
          </w:p>
        </w:tc>
        <w:tc>
          <w:tcPr>
            <w:tcW w:w="100" w:type="dxa"/>
            <w:vAlign w:val="bottom"/>
          </w:tcPr>
          <w:p>
            <w:pPr>
              <w:spacing w:after="0"/>
              <w:rPr>
                <w:sz w:val="20"/>
                <w:szCs w:val="20"/>
                <w:color w:val="auto"/>
              </w:rPr>
            </w:pPr>
          </w:p>
        </w:tc>
      </w:tr>
      <w:tr>
        <w:trPr>
          <w:trHeight w:val="276"/>
        </w:trPr>
        <w:tc>
          <w:tcPr>
            <w:tcW w:w="90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lease liability</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May 2018, the Company entered into a lease agreement for its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and an extension to the lease term through April 2026.</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May 2020, the Company signed a second amendment to the Initial Lease Agreement. The amended lease provides for an eight-year non-cancelable lease of additional office and laboratory space in the same building. The lease amendment for additional office and laboratory space provided for abatement of rent during the first three months of the lease and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amendment to the Initial Lease Agreement also includes an option to extend the lease for an additional seven-year term.</w:t>
      </w:r>
    </w:p>
    <w:p>
      <w:pPr>
        <w:spacing w:after="0" w:line="1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January 2021, the Company signed a third amendment to the Initial Lease Agreement which provides for the lease of additional space in the same building. The lease amendment for this additional space commenced in April 2021 and expires in March 2024.</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2021, the Company signed a fourth amendment to the Initial Lease Agreement which provides for the lease of additional space in the same building. The lease for additional office and laboratory space provides for abatement of rent during the first two months of the lease and contains rent escalations during the term of the lease. The lease amendment of this additional space commenced in April 2022 and expires in January 2029. The lease amendment also includes this additional space in the Company’s option to extend the amended Initial Lease Agreement for an additional seven-year term. The other terms of the Initial Lease Agreement, as amended, remain unchanged.</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corporate office, manufacturing and laboratory space located in South San Francisco, California with an expiration date approximately twelve years after the lease's legal commencement date (the "Additional Lease Agreement"). The lease for this additional space and the Company's obligation to pay rent commenced in January 2022. In addition to base rent, the Company is responsible for payment of direct expenses, which include operating, insurance and tax expenses. The lease also provides for certain tenant improvement allowances ("TIA") of up to approximately $25.2 million for tenant improvements and certain infrastructure upgrades in connection with the initial buildout of the premises, approximately $4.4 million ("Optional TIA") of which, if utilized, would need to be repaid by the Company over the lease term. In 2021, the Company delivered a security deposit in the form of a letter of credit of $1.6 million to the Landlord in connection with the Additional Lease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November 2021, the Company entered into an amendment to the Additional Lease Agreement. The lease amendment expressly includes manufacturing as a permitted use at the facility, clarifies that Silicon Valley Bank ("SVB") is an acceptable bank for purposes of issuing a letter of credit under the lease, revises the letter of credit transferability terms and replaces the form of letter of credit attached to the lease.</w:t>
      </w:r>
    </w:p>
    <w:p>
      <w:pPr>
        <w:spacing w:after="0" w:line="17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August 2022, the Company entered into fifth amendment to the Initial Lease Agreement and a second amendment to the Additional Lease Agreement for its existing facilities in South San Francisco, California. The fifth amendment to the Initial Lease Agreement includes an extension of the lease term for certain of the Company's existing facilities through July 31, 2030. The second amendment to the Additional Lease Agreement provides for approximately $15.0 million of additional tenant improvement allowances, in addition to the tenant improvement allowances of $25.2 million included in the original Additional Lease Agreement, and increases the base rent payments over the existing term of the lease.</w:t>
      </w:r>
    </w:p>
    <w:p>
      <w:pPr>
        <w:spacing w:after="0" w:line="18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March 2023, the Company held $2.7 million in collateral money market accounts supporting letters of credit issued by SVB to the landlord in connection with the Initial Lease Agreement and Additional Lease Agreement. In April 2023, the Company replaced the $2.7 million in letters of credit issued by SVB with letters of credit in the same amount from a different financial institution, and the Company entered into a third amendment to the Additional Lease Agreement. The lease amendment clarifies the form of letter of credit.</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June 2023, the Company entered into a fourth amendment to the Additional Lease Agreement. The lease amendment confirms that the Company utilized the $4.4 million Optional TIA and began repaying the Optional TIA in July 2023. The other terms of the Additional Lease Agreement, as amended, remain unchanged.</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tests long-lived assets for recoverability whenever events or changes in circumstances suggest that the carrying value of an asset or group of assets may not be recoverable. Beginning in the second quarter of 2023, the Company started to market for sublease portions of the Company's leased corporate office space in South San Francisco. As a result of these plans, the Company reviewed these spaces for impairment. As part of the impairment evaluation of the spaces being marketed for sublease, the Company compared the estimated undiscounted income for the marketed sublease spaces to the net book value of the related long-term assets, which include ROU assets and certain property, plant and equipment, primarily for leasehold improvements (collectively, "Sublease Asset Group"). The Company estimated potential sublease income using market participant assumptions, which the Company evaluated based on current real estate trends and market conditions. For the Sublease Asset Group, the Company determined that the respective ROU assets had net carrying values that exceeded their estimated undiscounted future cash flows. Accordingly, the Company then estimated the fair value of the Sublease Asset Group based on its discounted cash flows using the estimated borrowing rate of a market participant subtenant which we estimated to be 8%. The carrying value of the Sublease Asset Group exceeded its fair values and, as a result, the Company recorded an ROU asset impairment of $4.1 million for the year ended December 31, 2023. The impairment is recorded within general and administrative expenses in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 Agreement</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December 31, 2023 and 2022.</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Collaboration and License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CRISPR Collaboration Agreement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May 5, 2021, the Company entered into the CRISPR Agreement with CRISPR to co-develop and co-commercialize an allogeneic, off-the-shelf CAR NK product candidate targeting the CD70 tumor antigen and an allogeneic, off-the-shelf product candidate that comprises both engineered NK cells and engineered T cells. In May 2022, the CRISPR Agreement was amended to revise the transfer of materials and nomination provisions. In March 2023, the CRISPR Agreement was further amended to permit Nkarta's advancement of CRISPR-licensed product candidates targeting a specified tumor antigen (the "Specified TA") and incorporate associated development and regulatory approval milestones and sales based royalties. In addition, the Company has received licenses from CRISPR for four CRISPR-Cas9 gene editing targets and will receive a license from CRISPR for up to one more CRISPR-Cas9 gene editing target that can be engineered into an unlimited number of its own NK cell products. CRISPR also has an option to co-develop and co-commercialize a future CAR NK program.</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CRISPR Agreement, the Company and CRISPR share equally in all research and development costs and potential profits worldwide related to the NKX070 product candidate, NK+T product candidate, and the potential future CAR NK program. For the NK+T program, CRISPR is responsible for gene-editing activities and T cell related activities, and Nkarta is responsible for NK cell related activities. The related impact of the cost sharing associated with the research and development activities is included in research and development expense on the statements of operations and comprehensive loss. Expenses related to services performed by the Company are classified as research and development expense. Payments received from CRISPR for partial reimbursement of expenses are recorded as a reduction of research and development expense. Reduction of research and development expense resulting from partial reimbursement from CRISPR was $1.6 million and $4.2 million for the years ended December 31, 2023 and 2022, respectively. As of December 31, 2023 and 2022, the Company had a $0.2 million receivable and $1.3 million receivable, respectively, under the research cost sharing provision, which is included as part of prepaid expenses and other current assets in the balance sheet.</w:t>
      </w:r>
    </w:p>
    <w:p>
      <w:pPr>
        <w:spacing w:after="0" w:line="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December 31, 2023, the Company has not paid any amounts nor are any amounts owed by the Company under the CRISPR Agreement, and no milestones have been achieved.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5" w:name="page136"/>
    <w:bookmarkEnd w:id="13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MaxCyte License Agreement</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October 26, 2021, the Company entered into a license agreement (the "MaxCyte Agreement") with MaxCyte, Inc. ("MaxCyte") to obtain non-exclusive clinical and commercial rights to use MaxCyte's cell loading technology to develop and commercialize in up to ten licensed products.</w:t>
      </w:r>
    </w:p>
    <w:p>
      <w:pPr>
        <w:spacing w:after="0" w:line="5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MaxCyte Agreement, the Company must pay to MaxCyte annual research license fees and commercialization license fees, ranging from $0.1 million to $0.3 million, for each instrument licensed by the Company. Further, the Company could be required to make milestone payments to MaxCyte upon completion of certain regulatory and commercial milestones related to the clinical development and commercialization of certain of the Company’s licensed products. The aggregate potential milestone payments range from $10 million to $13 million per licensed product. Additionally, the Company may be required to make net sales milestone payments totaling between $61.9 million to $116.8 million per licensed product. As of December 31, 2023, no milestones have been achieved.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of Singapore and St. Jude Children’s License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August 2016, the National University of Singapore ("NUS") and St. Jude Children’s Research Hospital ("St. Jude") and the Company entered into a license agreement under which NUS and St. Jude (the "Licensors") granted the Company an exclusive, royalty-bearing, worldwide license to its patent rights related to a method for expanding natural killer cells; a chimeric receptor with NKG2D specificity; and a method for supporting autonomous natural killer cell function ("NUS and St. Jude License Agreement"). The NUS and St. Jude License Agreement provides the Company with the rights to grant and authorize sublicenses to make, have made, use, sell, offer for sale and import products and otherwise exploit the patent rights.</w:t>
      </w:r>
    </w:p>
    <w:p>
      <w:pPr>
        <w:spacing w:after="0" w:line="183"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As consideration for the license, the Company made an upfront payment of $31,800 and issued NUS 250,000 shares of the Company’s common stock. The Company determined that the upfront payment (SGD 42,750) and value of the common stock issued ($2,500 based on fair value at time of issuance) as part of the license agreement would be expensed upon execution of the contract as the license was acquired for research and development purposes which does not have alternative future uses, and the underlying technology has not reached technological feasibility, hence the Company expensed these costs during 2016.</w:t>
      </w:r>
    </w:p>
    <w:p>
      <w:pPr>
        <w:spacing w:after="0" w:line="183"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the Company is required to pay an annual license maintenance fee of SGD 25,000, increasing to SGD 50,000 after year two of the agreement. Further, the Company could be required to make milestone payments to the Licensors upon completion of certain regulatory and commercial milestones related to the clinical development and commercialization of certain of the Company’s product candidates. The aggregate potential milestone payments are approximately SGD 5 million. The Company has also agreed to pay the Licensors royalties of 2.5% of net sales of products sold by the Company or through a sublicense. Additionally, the Company agreed to pay the Licensors a tiered percentage of sublicensing income (ranging from 7.5% to 20%) based on the timing of capital raised and stage of clinical trials. The NUS and St. Jude License Agreement also includes certain performance objectives which obligate the Company to meet various milestones related to the clinical development and commercialization of certain of the Company’s product candidates over time for up to 120 months after the effective date of the NUS and St. Jude License Agreement.</w:t>
      </w:r>
    </w:p>
    <w:p>
      <w:pPr>
        <w:spacing w:after="0" w:line="19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$37,000 license maintenance fees included as part of research and development expenses for each of the years ended December 31, 2023 and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Benefits</w:t>
      </w:r>
    </w:p>
    <w:p>
      <w:pPr>
        <w:spacing w:after="0" w:line="121"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On January 1, 2018, the Company adopted a defined contribution 401(k) plan that is available to eligible employees. Under the terms of the plan, employees may make voluntary contributions as a percent of compensation, limited to the maximum amount allowable under federal tax regulations. As part of the plan, the Company elected to make non-matching contributions via mandatory 3% of compensation safe harbor nonelective contributions. The Company recognized $1.0 million and $0.8 million for expense related to the nonelective 401(k) contributions for the years ended December 31, 2023 and 2022, respectively.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Under the Amended and Restated Certificate of Incorporation dated July 14, 2020, the Company had a total of 100,000,000 authorized shares of common stock with a par value of $0.0001 per share and 54,350,179 authorized shares of preferred stock with a par value of $0.0001 per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12, 2021, the Company filed a Registration Statement on Form S-3 (the "2021 Shelf Registration Statement"), covering the offer and sale from time to time, pursuant to Rule 415 of the Securities Act of 1933, as amended (the "Securities Act"), of up to $500.0 million in aggregate offering price of shares of the Company’s common stock, shares of the Company’s preferred stock, debt securities, warrants, and rights and units. The 2021 Shelf Registration Statement was declared effective by the Securities and Exchange Commission (the "SEC") on September 2, 2021 and included a prospectus covering the offer and sale from time to time of up to $150.0 million in aggregate offering price of shares of the Company’s common stock through an “at-the-market” equity offering program (the "ATM Offering Program") with Cowen and Company, LLC, as sales agent. As of December 31, 2022, the Company has issued and sold 113,213 shares of its common stock pursuant to the ATM Offering Program, resulting in net proceeds of approximately $1.6 million, after deducting offering expenses.</w:t>
      </w:r>
    </w:p>
    <w:p>
      <w:pPr>
        <w:spacing w:after="0" w:line="19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April 28, 2022, the Company issued and sold 15,333,334 shares of its common stock in an underwritten public offering, including 2,000,000 shares associated with the full exercise of the underwriters’ option to purchase additional shares, at a price to the public of $15.00 per share. The total net proceeds to the Company from the offering were approximately $215.3 million, after deducting underwriting discounts and commissions and offering expenses. The shares were issued pursuant to the Company’s 2021 Shelf Registration Statement.</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March 17, 2023, the Company filed the Registration Statement on Form S-3, as amended by the Form S-3/A filed on April 24, 2023 (the "2023 Shelf Registration Statement"), covering the offer and sale from time to time, pursuant to Rule 415 of the Securities Act, of up to $350.0 million in aggregate offering price of shares of the Company's common stock, shares of the Company's preferred stock, debt securities, warrants, rights and/or units (including up to $120.0 million in aggregate offering price of shares of its common stock, shares of its preferred stock, debt securities, warrants, rights and/or units registered on the 2021 Registration Statement that have not yet been sold). The 2023 Shelf Registration Statement was declared effective by the SEC on May 5,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121"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The Company granted options under its 2015 Equity Incentive Plan (the "2015 Plan"). The 2015 Plan allowed for the grant of incentive stock options, non-statutory stock options, stock appreciation rights, restricted stock unit awards and other stock awards, although only stock options were awarded under the 2015 Plan. Awards could be made to officers, directors, employees, non-employee directors, and consultants of the Company. In connection with the Board of Directors’ and stockholders’ approval of the 2020 Plan, the 2015 Plan was terminated as to future awards and any options then outstanding under the 2015 Plan remained outstanding and effective. As of December 31, 2023, there were an aggregate of 1,177,232 shares of common stock issuable upon the exercise of outstanding options issued under the 2015 Plan.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Performance Incentive Plan</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Company’s 2020 Performance Incentive Plan (the "2020 Plan") which was adopted by the Company’s board of directors in June 2020 and approved by the Company’s stockholders in July 2020, became effective upon the consummation of the IPO in July 2020. The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a total of 8,388,917 shares of the Company’s common stock were authorized for issuance with respect to awards granted under the 2020 Plan (this number of shares gives effect to the annual increases in the 2020 Plan share limit, as described in the next sentence).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2,645,312 shares was available for issuance under the 2020 Plan as of December 31, 2023.</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during the year ended December 31, 2023 (in thousands, except number of shares, exercise prices and contractual term):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4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5,519,275</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2,412,028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(49,871 )</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(1,164,906 )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6,716,526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3,550,191</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6,716,526</w:t>
            </w:r>
          </w:p>
        </w:tc>
        <w:tc>
          <w:tcPr>
            <w:tcW w:w="28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0" w:type="dxa"/>
            <w:vAlign w:val="bottom"/>
            <w:vMerge w:val="restart"/>
            <w:shd w:val="clear" w:color="auto" w:fill="CFF0FC"/>
          </w:tcPr>
          <w:p>
            <w:pPr>
              <w:spacing w:after="0"/>
              <w:rPr>
                <w:sz w:val="17"/>
                <w:szCs w:val="17"/>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vMerge w:val="restart"/>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142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14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-496570</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-479425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-496570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-479425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-496570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-479425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closing market price of the Company’s common stock on the applicable date for all in-the-money stock options.</w:t>
      </w:r>
    </w:p>
    <w:p>
      <w:pPr>
        <w:ind w:left="520"/>
        <w:spacing w:after="0"/>
        <w:rPr>
          <w:sz w:val="20"/>
          <w:szCs w:val="20"/>
          <w:color w:val="auto"/>
        </w:rPr>
      </w:pPr>
      <w:r>
        <w:rPr>
          <w:rFonts w:ascii="Times New Roman" w:cs="Times New Roman" w:eastAsia="Times New Roman" w:hAnsi="Times New Roman"/>
          <w:sz w:val="18"/>
          <w:szCs w:val="18"/>
          <w:color w:val="auto"/>
        </w:rPr>
        <w:t>Additional information related to the Company’s stock options is summarized below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 of stock option grants per share</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FF0FC"/>
          </w:tcPr>
          <w:p>
            <w:pPr>
              <w:spacing w:after="0"/>
              <w:rPr>
                <w:sz w:val="20"/>
                <w:szCs w:val="20"/>
                <w:color w:val="auto"/>
              </w:rPr>
            </w:pP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20"/>
                <w:szCs w:val="20"/>
                <w:color w:val="auto"/>
              </w:rPr>
            </w:pPr>
          </w:p>
        </w:tc>
      </w:tr>
    </w:tbl>
    <w:p>
      <w:pPr>
        <w:spacing w:after="0" w:line="3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during the year ended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4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vMerge w:val="restart"/>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2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87"/>
        </w:trPr>
        <w:tc>
          <w:tcPr>
            <w:tcW w:w="658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356,728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503,639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(177,056 )</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(88,543 )</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594,768</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values of restricted stock units granted during the years ended December 31, 2023 and 2022 were $5.57 and $12.62, respectively. The fair value of restricted stock units that vested in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2023 totaled $0.4 million. There were no RSUs that vested in the year ended December 31,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During 2023 and 2022, 164,567 and 61,754 shares were issued under the ESPP resulting in aggregate cash proceeds of $0.5 million and $0.4 million, respectively. As of December 31, 2023, 1,214,986 shares remained available for issuance under the ESPP (after giving effect to share purchases made under the ESPP through and including the ESPP offering period that ended on November 30,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 Company had reserved the following shares of common stock for future issuance: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 and restricted stock units granted and outstanding</w:t>
            </w:r>
          </w:p>
        </w:tc>
        <w:tc>
          <w:tcPr>
            <w:tcW w:w="10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7,311,294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 for future equity award grants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Reserved for future ESPP issuances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74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Share-based compensation expense for the years ended December 31, 2023 and 2022 were as follows (in thousands):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44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2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stock options was $19.5 million, which is expected to be recognized over a weighted-average remaining service period of 2.6 years as of December 31, 2023. The total unrecognized compensation cost related to restricted stock units was $3.7 million, which is expected to be recognized over a weighted-average remaining service period of 2.8 years as of December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was estimated on the date of grant using the quoted market price for the Company’s common stock on the applicable grant date and the Black-Scholes option pricing model with the following range of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69"/>
        </w:trPr>
        <w:tc>
          <w:tcPr>
            <w:tcW w:w="74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980" w:type="dxa"/>
            <w:vAlign w:val="bottom"/>
            <w:gridSpan w:val="3"/>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1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5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3.5% - 4.9%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- 4.2%</w:t>
            </w:r>
          </w:p>
        </w:tc>
      </w:tr>
      <w:tr>
        <w:trPr>
          <w:trHeight w:val="23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90.0% - 101.8%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- 78.9%</w:t>
            </w:r>
          </w:p>
        </w:tc>
      </w:tr>
      <w:tr>
        <w:trPr>
          <w:trHeight w:val="247"/>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5.5 - 6.1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3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ESPP</w:t>
            </w:r>
          </w:p>
        </w:tc>
        <w:tc>
          <w:tcPr>
            <w:tcW w:w="1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 - 5.4%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w:t>
            </w:r>
          </w:p>
        </w:tc>
      </w:tr>
      <w:tr>
        <w:trPr>
          <w:trHeight w:val="247"/>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63.8% - 152.7%</w:t>
            </w:r>
          </w:p>
        </w:tc>
        <w:tc>
          <w:tcPr>
            <w:tcW w:w="1980" w:type="dxa"/>
            <w:vAlign w:val="bottom"/>
            <w:gridSpan w:val="3"/>
            <w:shd w:val="clear" w:color="auto" w:fill="CFF0FC"/>
          </w:tcPr>
          <w:p>
            <w:pPr>
              <w:jc w:val="center"/>
              <w:ind w:left="93"/>
              <w:spacing w:after="0"/>
              <w:rPr>
                <w:sz w:val="20"/>
                <w:szCs w:val="20"/>
                <w:color w:val="auto"/>
              </w:rPr>
            </w:pPr>
            <w:r>
              <w:rPr>
                <w:rFonts w:ascii="Times New Roman" w:cs="Times New Roman" w:eastAsia="Times New Roman" w:hAnsi="Times New Roman"/>
                <w:sz w:val="18"/>
                <w:szCs w:val="18"/>
                <w:color w:val="auto"/>
                <w:w w:val="99"/>
              </w:rPr>
              <w:t>63.8% - 151.9%</w:t>
            </w:r>
          </w:p>
        </w:tc>
      </w:tr>
      <w:tr>
        <w:trPr>
          <w:trHeight w:val="23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980" w:type="dxa"/>
            <w:vAlign w:val="bottom"/>
            <w:gridSpan w:val="3"/>
          </w:tcPr>
          <w:p>
            <w:pPr>
              <w:jc w:val="center"/>
              <w:ind w:left="73"/>
              <w:spacing w:after="0"/>
              <w:rPr>
                <w:sz w:val="20"/>
                <w:szCs w:val="20"/>
                <w:color w:val="auto"/>
              </w:rPr>
            </w:pPr>
            <w:r>
              <w:rPr>
                <w:rFonts w:ascii="Times New Roman" w:cs="Times New Roman" w:eastAsia="Times New Roman" w:hAnsi="Times New Roman"/>
                <w:sz w:val="18"/>
                <w:szCs w:val="18"/>
                <w:color w:val="auto"/>
                <w:w w:val="97"/>
              </w:rPr>
              <w:t>0.5</w:t>
            </w:r>
          </w:p>
        </w:tc>
      </w:tr>
      <w:tr>
        <w:trPr>
          <w:trHeight w:val="247"/>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3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costs related to stock options granted to employees and nonemployees based on the estimated fair value of the awards on the date of grant, net of forfeitures. The Company generally recognizes grant-date fair value of stock options granted to employees and non-employee service providers on a straight-line basis over the requisite service period, which is generally the vesting term of the respective awards. The Company determines the fair value of stock options with a service and performance condition, or performance-based options as described above. The Company accounts for the impact of forfeitures as they occur. The determination of the fair value of share-based payment awards utilizing the Black-Scholes option-pricing model is affected by the Company’s stock price and a number of assumptions, including expected volatility, expected life, risk-free interest rate and expected dividends.</w:t>
      </w:r>
    </w:p>
    <w:p>
      <w:pPr>
        <w:spacing w:after="0" w:line="187"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Company opted to use the “simplified method” for estimating the expected term of employee options, whereby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equals the average of the vesting term and the original contractual term of the option (generally 10 years). The expected term of the employee stock purchase plan rights equals the six-month look-back period.</w:t>
      </w:r>
    </w:p>
    <w:p>
      <w:pPr>
        <w:spacing w:after="0" w:line="173"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Due to the Company’s limited operating history and a lack of company specific historical and implied volatility data,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and prior to 2023, the Company based its estimate of expected volatility on an average of the historical volatilities of the common stock of comparable publicly traded biopharmaceutical companies over a period equal to the expected term of the stock option grants. For the grants during 2023, the expected volatility was determined by using a blended approach of the Company’s historical stock price volatility and the historical stock price volatility for a select group of other publicly traded companies in the same industry. The comparable companies were chosen based on their similar size, stage in the life cycle, and financial leverage to the Company.</w:t>
      </w:r>
    </w:p>
    <w:p>
      <w:pPr>
        <w:spacing w:after="0" w:line="182" w:lineRule="exact"/>
        <w:rPr>
          <w:sz w:val="20"/>
          <w:szCs w:val="20"/>
          <w:color w:val="auto"/>
        </w:rPr>
      </w:pPr>
    </w:p>
    <w:p>
      <w:pPr>
        <w:ind w:right="2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rate assumption is based on the U.S. Treasury instruments with maturities similar to the expected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w:t>
      </w:r>
    </w:p>
    <w:p>
      <w:pPr>
        <w:spacing w:after="0" w:line="158"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issued any dividends and do not expect to issue dividends over the life of the options, as a result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dividend yield is zero.</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Due to the Company’s net losses for the years ended December 31, 2023 and 2022, and since the Company has a full valuation allowance against deferred tax assets, there was no tax provision or benefit for income taxes recorded in the years presented other than minimum amounts required for state tax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on income taxes to the amount computed by applying the statutory federal income tax rate to the net loss is summarized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at statutory rates</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(24,675 )</w:t>
            </w:r>
          </w:p>
        </w:tc>
        <w:tc>
          <w:tcPr>
            <w:tcW w:w="7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(23,906 )</w:t>
            </w: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(1,438 )</w:t>
            </w:r>
          </w:p>
        </w:tc>
        <w:tc>
          <w:tcPr>
            <w:tcW w:w="7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(1,566 )</w:t>
            </w: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1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(6,170 )</w:t>
            </w:r>
          </w:p>
        </w:tc>
        <w:tc>
          <w:tcPr>
            <w:tcW w:w="7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(3,426 )</w:t>
            </w: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30,627</w:t>
            </w:r>
          </w:p>
        </w:tc>
        <w:tc>
          <w:tcPr>
            <w:tcW w:w="320" w:type="dxa"/>
            <w:vAlign w:val="bottom"/>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27,007</w:t>
            </w:r>
          </w:p>
        </w:tc>
        <w:tc>
          <w:tcPr>
            <w:tcW w:w="100" w:type="dxa"/>
            <w:vAlign w:val="bottom"/>
            <w:shd w:val="clear" w:color="auto" w:fill="CFF0FC"/>
          </w:tcPr>
          <w:p>
            <w:pPr>
              <w:spacing w:after="0"/>
              <w:rPr>
                <w:sz w:val="21"/>
                <w:szCs w:val="21"/>
                <w:color w:val="auto"/>
              </w:rPr>
            </w:pPr>
          </w:p>
        </w:tc>
      </w:tr>
      <w:tr>
        <w:trPr>
          <w:trHeight w:val="232"/>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shown below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43,491</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36,732</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11,999</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Lease liability</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r>
      <w:tr>
        <w:trPr>
          <w:trHeight w:val="243"/>
        </w:trPr>
        <w:tc>
          <w:tcPr>
            <w:tcW w:w="7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Section 174 Capitalized R&amp;D</w:t>
            </w:r>
          </w:p>
        </w:tc>
        <w:tc>
          <w:tcPr>
            <w:tcW w:w="10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118,424</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90,415</w:t>
            </w:r>
          </w:p>
        </w:tc>
        <w:tc>
          <w:tcPr>
            <w:tcW w:w="100" w:type="dxa"/>
            <w:vAlign w:val="bottom"/>
          </w:tcPr>
          <w:p>
            <w:pPr>
              <w:spacing w:after="0"/>
              <w:rPr>
                <w:sz w:val="20"/>
                <w:szCs w:val="20"/>
                <w:color w:val="auto"/>
              </w:rPr>
            </w:pPr>
          </w:p>
        </w:tc>
      </w:tr>
      <w:tr>
        <w:trPr>
          <w:trHeight w:val="243"/>
        </w:trPr>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0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8"/>
              </w:rPr>
              <w:t>(102,169 )</w:t>
            </w:r>
          </w:p>
        </w:tc>
        <w:tc>
          <w:tcPr>
            <w:tcW w:w="5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(71,368 )</w:t>
            </w:r>
          </w:p>
        </w:tc>
      </w:tr>
      <w:tr>
        <w:trPr>
          <w:trHeight w:val="236"/>
        </w:trPr>
        <w:tc>
          <w:tcPr>
            <w:tcW w:w="73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300" w:type="dxa"/>
            <w:vAlign w:val="bottom"/>
            <w:tcBorders>
              <w:top w:val="single" w:sz="8" w:color="CFF0F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100" w:type="dxa"/>
            <w:vAlign w:val="bottom"/>
            <w:tcBorders>
              <w:top w:val="single" w:sz="8" w:color="CFF0FC"/>
            </w:tcBorders>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ROU asset</w:t>
            </w:r>
          </w:p>
        </w:tc>
        <w:tc>
          <w:tcPr>
            <w:tcW w:w="10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(8,404 )</w:t>
            </w:r>
          </w:p>
        </w:tc>
        <w:tc>
          <w:tcPr>
            <w:tcW w:w="5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(18,089 )</w:t>
            </w:r>
          </w:p>
        </w:tc>
      </w:tr>
      <w:tr>
        <w:trPr>
          <w:trHeight w:val="243"/>
        </w:trPr>
        <w:tc>
          <w:tcPr>
            <w:tcW w:w="7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(7,851 )</w:t>
            </w:r>
          </w:p>
        </w:tc>
        <w:tc>
          <w:tcPr>
            <w:tcW w:w="5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(958 )</w:t>
            </w:r>
          </w:p>
        </w:tc>
      </w:tr>
      <w:tr>
        <w:trPr>
          <w:trHeight w:val="237"/>
        </w:trPr>
        <w:tc>
          <w:tcPr>
            <w:tcW w:w="7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7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-1130935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-814070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net operating loss and has provided a valuation allowance against net deferred tax assets due to uncertainties regarding the Company’s ability to realize these assets. The valuation allowance increased by $30.6 million and $27.0 million as of December 31, 2023 and 2022, respectively.</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 representing net future deductible amounts become deductible. Due to the Company’s history of losses, and lack of other positive evidence, the Company has determined that it is more likely than not that its net deferred tax assets will not be realized, and therefore, the net deferred tax assets are substantially offset by a valuation allowance as of December 31, 2023 and 2022. The deferred tax assets were primarily comprised of federal and state tax net operating losses and tax credit carryforwards.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net operating loss ("NOL") carryforwards of approximately $185.5 million and $65.1 million, available to reduce future taxable income, if any, for federal and California state income tax purposes, respectively. Of the $185.5 million federal NOL carryforwards, $0.2 million, $1.7 million, and $1.3 million will begin expiring in 2035, 2036, and 2037, respectively, if not utilized, while $182.2 million can be carried forward indefinitely. The state NOL carryforwards will begin expiring in 2036, if not utilized.</w:t>
      </w:r>
    </w:p>
    <w:p>
      <w:pPr>
        <w:spacing w:after="0" w:line="180" w:lineRule="exact"/>
        <w:rPr>
          <w:sz w:val="20"/>
          <w:szCs w:val="20"/>
          <w:color w:val="auto"/>
        </w:rPr>
      </w:pPr>
    </w:p>
    <w:p>
      <w:pPr>
        <w:ind w:right="580" w:firstLine="509"/>
        <w:spacing w:after="0" w:line="312" w:lineRule="auto"/>
        <w:rPr>
          <w:sz w:val="20"/>
          <w:szCs w:val="20"/>
          <w:color w:val="auto"/>
        </w:rPr>
      </w:pPr>
      <w:r>
        <w:rPr>
          <w:rFonts w:ascii="Times New Roman" w:cs="Times New Roman" w:eastAsia="Times New Roman" w:hAnsi="Times New Roman"/>
          <w:sz w:val="17"/>
          <w:szCs w:val="17"/>
          <w:color w:val="auto"/>
        </w:rPr>
        <w:t>The Company also had federal and state research and development credit carry forwards of approximately $17.4 million and $7.4 million, respectively, as of December 31, 2023. The federal credits will begin expiring in 2035 if not utilized. The California credits have no expiration date.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8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Utilization of the NOL and research and development credit carryforwards may be subject to a substantial annual limitation due to ownership change limitations that may have occurred or that could occur in the future, as required by Section 382 of the Internal Revenue Code of 1986, as amended (the "Code"), as well as similar state provisions. The future utilization of the Company’s NOL and tax credit carryforwards to offset future taxable income may be subject to a substantial annual limitation as a result of changes in ownership by stockholders that hold 5% or more of the Company’s common stock. An assessment of such ownership changes under Section 382 was not completed through December 31, 2019. To the extent that an assessment is completed in the future, the Company’s ability to utilize tax attributes could be restricted on a year-by-year basis and certain attributes could expire before they are utilized. The Company will examine the impact of any potential ownership changes in the future.</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not been audited by the Internal Revenue Service or any state income or franchise tax agency. As of December 31, 2023, its federal and state returns for the years ended 2015 through the current period are still open to examination. In addition, all of the net operating losses and research and development credit carryforwards that may be used in future years are still subject to inquiry given that the statute of limitation for these items would begin in the year of the utilization. The balance of gross unrecognized tax benefits as of December 31, 2023 and 2022 was approximately $3.7 million and $2.3 million, respectively, all of which would affect the Company’s income tax expense if recognized, before consideration of the Company’s valuation allowance. The Company does not expect its unrecognized tax benefits to change significantly over the next 12 months. The Company recognizes interest and penalties accrued on any unrecognized tax benefits as a component of income tax expense. There was no interest and penalties for the years ended December 31, 2023 and 2022. The Company files income tax returns in the United States federal jurisdiction and various state jurisdictions and is not currently under examination by any taxing authority for any open tax year. Due to net operating loss carryforwards, all years remain open for income tax examination. To the extent the Company has tax attribute carryforwards, the tax years in which the attribute was generated may still be adjusted upon examination by the IRS or state tax authorities to the extent utilized in a future period. No federal or state tax audits are currently in process.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gross unrecognized tax benefits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7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(decreases) related to tax positions taken in prior years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in current year</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Reduction in Force</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October 16, 2023, the Company committed to cost saving measures, including a reduction in force (the "Reduction") that resulted in a reduction of 18 positions, representing approximately 10% of the Company’s workforce. The Company undertook the Reduction to decrease its costs and create a more streamlined organization to support its operations through multiple clinical data updates.</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Reduction, the Company incurred $1.2 million in costs, consisting primarily of cash severance costs and transition support services for impacted employees, which the Company recognized in the fourth quarter of 2023 in general and administrative operating expenses in the statement of operations. As of December 31, 2023, $0.8 million was paid out and $0.4 million was recorded under other accrued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required disclosure.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and Business Officer, evaluated the effectiveness of our disclosure controls and procedures as of December 31, 2023. Based on this evaluation, our Chief Executive Officer and Chief Financial and Business Officer concluded that, as of December 31, 2023,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and Business Officer, regarding the effectiveness of our internal control over financial reporting using the criteria set forth by the Committee of Sponsoring Organizations of the Treadway Commission (COSO) in Internal Control - Integrated Framework (2013). Based on this evaluation, our management concluded that our internal control over financial reporting was effective as of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2023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and Business Officer, believes that our disclosure controls and procedures and internal control over financial reporting are designed to provide reasonable assurance of achieving their objectives and are effective at the reasonable assurance level.</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3" w:name="page144"/>
    <w:bookmarkEnd w:id="143"/>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the collusion of two or more people or by management override of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as each item is defined in Item 408(a) of Regulation S-K, during the fourth quarter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4" w:name="page145"/>
    <w:bookmarkEnd w:id="14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business ethics that applies to our Chief Executive Officer and senior financial officers and a code of business conduct and ethics that applies to directors, executive officers, and employees. A current copy of each code is posted under “Corporate Governance” on our website at https://ir.nkartatx.com/. To the extent required by rules adopted by the Securities and Exchange Commission and The Nasdaq Stock Market LLC, we intend to promptly disclose future amendments to certain provisions of the code, or waivers of such provisions granted to executive officers and directors, on our website at www.nkartatx.com/.</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5" w:name="page146"/>
    <w:bookmarkEnd w:id="145"/>
    <w:p>
      <w:pPr>
        <w:ind w:left="55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900" w:hanging="359"/>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5" w:lineRule="exact"/>
        <w:rPr>
          <w:rFonts w:ascii="Times New Roman" w:cs="Times New Roman" w:eastAsia="Times New Roman" w:hAnsi="Times New Roman"/>
          <w:sz w:val="18"/>
          <w:szCs w:val="18"/>
          <w:color w:val="auto"/>
        </w:rPr>
      </w:pPr>
    </w:p>
    <w:p>
      <w:pPr>
        <w:ind w:left="1540" w:hanging="513"/>
        <w:spacing w:after="0"/>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Index to Financial Statements in Part II Item 8 of this Annual Report on Form 10-K.</w:t>
      </w:r>
    </w:p>
    <w:p>
      <w:pPr>
        <w:spacing w:after="0" w:line="117" w:lineRule="exact"/>
        <w:rPr>
          <w:rFonts w:ascii="Times New Roman" w:cs="Times New Roman" w:eastAsia="Times New Roman" w:hAnsi="Times New Roman"/>
          <w:sz w:val="18"/>
          <w:szCs w:val="18"/>
          <w:color w:val="auto"/>
        </w:rPr>
      </w:pPr>
    </w:p>
    <w:p>
      <w:pPr>
        <w:ind w:left="1540" w:hanging="513"/>
        <w:spacing w:after="0" w:line="284"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None. All financial statement schedules are omitted because they are not applicable, not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instructions or the requested information is included in the financial statements or notes thereto.</w:t>
      </w:r>
    </w:p>
    <w:p>
      <w:pPr>
        <w:spacing w:after="0" w:line="50" w:lineRule="exact"/>
        <w:rPr>
          <w:rFonts w:ascii="Times New Roman" w:cs="Times New Roman" w:eastAsia="Times New Roman" w:hAnsi="Times New Roman"/>
          <w:sz w:val="18"/>
          <w:szCs w:val="18"/>
          <w:color w:val="auto"/>
        </w:rPr>
      </w:pPr>
    </w:p>
    <w:p>
      <w:pPr>
        <w:ind w:left="1540" w:hanging="513"/>
        <w:spacing w:after="0"/>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is a list of exhibits filed with this report or incorporated herein by reference:</w:t>
      </w:r>
    </w:p>
    <w:p>
      <w:pPr>
        <w:spacing w:after="0" w:line="200" w:lineRule="exact"/>
        <w:rPr>
          <w:sz w:val="20"/>
          <w:szCs w:val="20"/>
          <w:color w:val="auto"/>
        </w:rPr>
      </w:pPr>
    </w:p>
    <w:p>
      <w:pPr>
        <w:spacing w:after="0" w:line="24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13" w:right="759" w:bottom="1440" w:gutter="0" w:footer="0" w:header="0"/>
        </w:sectPr>
      </w:pPr>
    </w:p>
    <w:bookmarkStart w:id="146" w:name="page147"/>
    <w:bookmarkEnd w:id="146"/>
    <w:p>
      <w:pPr>
        <w:ind w:left="5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60" w:type="dxa"/>
            <w:vAlign w:val="bottom"/>
            <w:gridSpan w:val="25"/>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68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1"/>
                <w:szCs w:val="11"/>
                <w:color w:val="auto"/>
              </w:rPr>
            </w:pPr>
          </w:p>
        </w:tc>
        <w:tc>
          <w:tcPr>
            <w:tcW w:w="13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1"/>
                <w:szCs w:val="11"/>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2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3.1(A)</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1"/>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Restated Certificate of Incorporation of Nkarta, Inc.</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7/14/2020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3.1(B)</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Amendment to Restated Certificate of Incorporation of</w:t>
              </w:r>
            </w:hyperlink>
          </w:p>
        </w:tc>
        <w:tc>
          <w:tcPr>
            <w:tcW w:w="54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6/9/2023</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5"/>
              </w:rPr>
            </w:pPr>
            <w:hyperlink r:id="rId338">
              <w:r>
                <w:rPr>
                  <w:rFonts w:ascii="Times New Roman" w:cs="Times New Roman" w:eastAsia="Times New Roman" w:hAnsi="Times New Roman"/>
                  <w:sz w:val="18"/>
                  <w:szCs w:val="18"/>
                  <w:color w:val="0000FF"/>
                  <w:w w:val="95"/>
                </w:rPr>
                <w:t>Nkarta, Inc.</w:t>
              </w:r>
            </w:hyperlink>
          </w:p>
        </w:tc>
        <w:tc>
          <w:tcPr>
            <w:tcW w:w="20" w:type="dxa"/>
            <w:vAlign w:val="bottom"/>
            <w:tcBorders>
              <w:bottom w:val="single" w:sz="8" w:color="0000EE"/>
            </w:tcBorders>
          </w:tcPr>
          <w:p>
            <w:pPr>
              <w:spacing w:after="0"/>
              <w:rPr>
                <w:sz w:val="17"/>
                <w:szCs w:val="17"/>
                <w:color w:val="auto"/>
              </w:rPr>
            </w:pPr>
          </w:p>
        </w:tc>
        <w:tc>
          <w:tcPr>
            <w:tcW w:w="3660" w:type="dxa"/>
            <w:vAlign w:val="bottom"/>
            <w:gridSpan w:val="2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Amended and Restated Bylaws of Nkarta, Inc.</w:t>
              </w:r>
            </w:hyperlink>
          </w:p>
        </w:tc>
        <w:tc>
          <w:tcPr>
            <w:tcW w:w="1180" w:type="dxa"/>
            <w:vAlign w:val="bottom"/>
            <w:gridSpan w:val="1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7/14/2020</w:t>
            </w:r>
          </w:p>
        </w:tc>
        <w:tc>
          <w:tcPr>
            <w:tcW w:w="0" w:type="dxa"/>
            <w:vAlign w:val="bottom"/>
          </w:tcPr>
          <w:p>
            <w:pPr>
              <w:spacing w:after="0"/>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1"/>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Form of Common Stock Certificate.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7/2/2020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Amended and Restated Investors’ Rights Agreement, dated</w:t>
              </w:r>
            </w:hyperlink>
          </w:p>
        </w:tc>
        <w:tc>
          <w:tcPr>
            <w:tcW w:w="200" w:type="dxa"/>
            <w:vAlign w:val="bottom"/>
            <w:gridSpan w:val="3"/>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as of August 27, 2019, by and among Nkarta, Inc. and</w:t>
              </w:r>
            </w:hyperlink>
          </w:p>
        </w:tc>
        <w:tc>
          <w:tcPr>
            <w:tcW w:w="60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1"/>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certain of its stockholders.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Indemnification Agreement between Nkarta, Inc.</w:t>
              </w:r>
            </w:hyperlink>
          </w:p>
        </w:tc>
        <w:tc>
          <w:tcPr>
            <w:tcW w:w="30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7/2/2020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8"/>
              </w:rPr>
            </w:pPr>
            <w:hyperlink r:id="rId342">
              <w:r>
                <w:rPr>
                  <w:rFonts w:ascii="Times New Roman" w:cs="Times New Roman" w:eastAsia="Times New Roman" w:hAnsi="Times New Roman"/>
                  <w:sz w:val="18"/>
                  <w:szCs w:val="18"/>
                  <w:color w:val="0000FF"/>
                  <w:w w:val="98"/>
                </w:rPr>
                <w:t>and each of its directors and executive officers.</w:t>
              </w:r>
            </w:hyperlink>
          </w:p>
        </w:tc>
        <w:tc>
          <w:tcPr>
            <w:tcW w:w="114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10.2(A)</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343">
              <w:r>
                <w:rPr>
                  <w:rFonts w:ascii="Times New Roman" w:cs="Times New Roman" w:eastAsia="Times New Roman" w:hAnsi="Times New Roman"/>
                  <w:sz w:val="18"/>
                  <w:szCs w:val="18"/>
                  <w:color w:val="0000FF"/>
                  <w:w w:val="98"/>
                </w:rPr>
                <w:t>2015 Equity Incentive Plan.</w:t>
              </w:r>
            </w:hyperlink>
          </w:p>
        </w:tc>
        <w:tc>
          <w:tcPr>
            <w:tcW w:w="100" w:type="dxa"/>
            <w:vAlign w:val="bottom"/>
            <w:tcBorders>
              <w:bottom w:val="single" w:sz="8" w:color="0000EE"/>
            </w:tcBorders>
          </w:tcPr>
          <w:p>
            <w:pPr>
              <w:spacing w:after="0"/>
              <w:rPr>
                <w:sz w:val="24"/>
                <w:szCs w:val="24"/>
                <w:color w:val="auto"/>
              </w:rPr>
            </w:pPr>
          </w:p>
        </w:tc>
        <w:tc>
          <w:tcPr>
            <w:tcW w:w="2420" w:type="dxa"/>
            <w:vAlign w:val="bottom"/>
            <w:gridSpan w:val="2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10.2(B)</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Form of Stock Option Agreement for 2015 Equity</w:t>
              </w:r>
            </w:hyperlink>
          </w:p>
        </w:tc>
        <w:tc>
          <w:tcPr>
            <w:tcW w:w="880" w:type="dxa"/>
            <w:vAlign w:val="bottom"/>
            <w:gridSpan w:val="1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1"/>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Incentive Plan.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10.3(A)</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8"/>
              </w:rPr>
            </w:pPr>
            <w:hyperlink r:id="rId345">
              <w:r>
                <w:rPr>
                  <w:rFonts w:ascii="Times New Roman" w:cs="Times New Roman" w:eastAsia="Times New Roman" w:hAnsi="Times New Roman"/>
                  <w:sz w:val="18"/>
                  <w:szCs w:val="18"/>
                  <w:color w:val="0000FF"/>
                  <w:w w:val="98"/>
                </w:rPr>
                <w:t>2020 Performance Incentive Plan.</w:t>
              </w:r>
            </w:hyperlink>
          </w:p>
        </w:tc>
        <w:tc>
          <w:tcPr>
            <w:tcW w:w="20" w:type="dxa"/>
            <w:vAlign w:val="bottom"/>
            <w:tcBorders>
              <w:bottom w:val="single" w:sz="8" w:color="0000EE"/>
            </w:tcBorders>
          </w:tcPr>
          <w:p>
            <w:pPr>
              <w:spacing w:after="0"/>
              <w:rPr>
                <w:sz w:val="24"/>
                <w:szCs w:val="24"/>
                <w:color w:val="auto"/>
              </w:rPr>
            </w:pPr>
          </w:p>
        </w:tc>
        <w:tc>
          <w:tcPr>
            <w:tcW w:w="2060" w:type="dxa"/>
            <w:vAlign w:val="bottom"/>
            <w:gridSpan w:val="21"/>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10.4</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7/2/2020</w:t>
            </w:r>
          </w:p>
        </w:tc>
        <w:tc>
          <w:tcPr>
            <w:tcW w:w="0" w:type="dxa"/>
            <w:vAlign w:val="bottom"/>
          </w:tcPr>
          <w:p>
            <w:pPr>
              <w:spacing w:after="0"/>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10.3(B)</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Form of Director Option Agreement between Nkarta, Inc.</w:t>
              </w:r>
            </w:hyperlink>
          </w:p>
        </w:tc>
        <w:tc>
          <w:tcPr>
            <w:tcW w:w="32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1"/>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and certain of its directors.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10.3(C)</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Form of Director Option Agreement between Nkarta, Inc.</w:t>
              </w:r>
            </w:hyperlink>
          </w:p>
        </w:tc>
        <w:tc>
          <w:tcPr>
            <w:tcW w:w="32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10.3(C)</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3/16/2023</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1"/>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and certain of its directors.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10.3(D)</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Form of non-qualified Stock Option Agreement between</w:t>
              </w:r>
            </w:hyperlink>
          </w:p>
        </w:tc>
        <w:tc>
          <w:tcPr>
            <w:tcW w:w="400" w:type="dxa"/>
            <w:vAlign w:val="bottom"/>
            <w:gridSpan w:val="8"/>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1"/>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Nkarta, Inc. and certain of its officers and employees.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10.3(E)</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Form of non-qualified Stock Option Agreement between</w:t>
              </w:r>
            </w:hyperlink>
          </w:p>
        </w:tc>
        <w:tc>
          <w:tcPr>
            <w:tcW w:w="400" w:type="dxa"/>
            <w:vAlign w:val="bottom"/>
            <w:gridSpan w:val="8"/>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10.3(E)</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3/16/2023</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1"/>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Nkarta, Inc. and certain of its officers and employees.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10.3(F)</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Form of Restricted Stock Unit Agreement between Nkarta,</w:t>
              </w:r>
            </w:hyperlink>
          </w:p>
        </w:tc>
        <w:tc>
          <w:tcPr>
            <w:tcW w:w="240" w:type="dxa"/>
            <w:vAlign w:val="bottom"/>
            <w:gridSpan w:val="5"/>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10.3(F)</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3/16/2023</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1"/>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Inc. and certain of its officers and employees.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8"/>
                <w:szCs w:val="18"/>
                <w:color w:val="0000FF"/>
                <w:w w:val="98"/>
              </w:rPr>
            </w:pPr>
            <w:hyperlink r:id="rId351">
              <w:r>
                <w:rPr>
                  <w:rFonts w:ascii="Times New Roman" w:cs="Times New Roman" w:eastAsia="Times New Roman" w:hAnsi="Times New Roman"/>
                  <w:sz w:val="18"/>
                  <w:szCs w:val="18"/>
                  <w:color w:val="0000FF"/>
                  <w:w w:val="98"/>
                </w:rPr>
                <w:t>2020 Employee Stock Purchase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60" w:type="dxa"/>
            <w:vAlign w:val="bottom"/>
            <w:gridSpan w:val="1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7/2/2020</w:t>
            </w:r>
          </w:p>
        </w:tc>
        <w:tc>
          <w:tcPr>
            <w:tcW w:w="0" w:type="dxa"/>
            <w:vAlign w:val="bottom"/>
          </w:tcPr>
          <w:p>
            <w:pPr>
              <w:spacing w:after="0"/>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Nkarta, Inc. Non-Employee Director Compensation Policy,</w:t>
              </w:r>
            </w:hyperlink>
          </w:p>
        </w:tc>
        <w:tc>
          <w:tcPr>
            <w:tcW w:w="220" w:type="dxa"/>
            <w:vAlign w:val="bottom"/>
            <w:gridSpan w:val="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5/11/2023</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1"/>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as amended on March 22, 2023.</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10.6(A)</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7"/>
            <w:shd w:val="clear" w:color="auto" w:fill="0000FF"/>
          </w:tcPr>
          <w:p>
            <w:pPr>
              <w:spacing w:after="0" w:line="20" w:lineRule="exact"/>
              <w:rPr>
                <w:sz w:val="1"/>
                <w:szCs w:val="1"/>
                <w:color w:val="auto"/>
              </w:rPr>
            </w:pPr>
          </w:p>
        </w:tc>
        <w:tc>
          <w:tcPr>
            <w:tcW w:w="1780" w:type="dxa"/>
            <w:vAlign w:val="bottom"/>
            <w:gridSpan w:val="14"/>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Employment Offer Letter between Nkarta, Inc. and Paul</w:t>
              </w:r>
            </w:hyperlink>
          </w:p>
        </w:tc>
        <w:tc>
          <w:tcPr>
            <w:tcW w:w="440" w:type="dxa"/>
            <w:vAlign w:val="bottom"/>
            <w:gridSpan w:val="9"/>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53">
              <w:r>
                <w:rPr>
                  <w:rFonts w:ascii="Times New Roman" w:cs="Times New Roman" w:eastAsia="Times New Roman" w:hAnsi="Times New Roman"/>
                  <w:sz w:val="18"/>
                  <w:szCs w:val="18"/>
                  <w:color w:val="0000FF"/>
                  <w:w w:val="94"/>
                </w:rPr>
                <w:t>Hastings.</w:t>
              </w:r>
            </w:hyperlink>
          </w:p>
        </w:tc>
        <w:tc>
          <w:tcPr>
            <w:tcW w:w="3860" w:type="dxa"/>
            <w:vAlign w:val="bottom"/>
            <w:gridSpan w:val="3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1160" w:type="dxa"/>
            <w:vAlign w:val="bottom"/>
          </w:tcPr>
          <w:p>
            <w:pPr>
              <w:spacing w:after="0"/>
              <w:rPr>
                <w:sz w:val="24"/>
                <w:szCs w:val="24"/>
                <w:color w:val="auto"/>
              </w:rPr>
            </w:pPr>
          </w:p>
        </w:tc>
        <w:tc>
          <w:tcPr>
            <w:tcW w:w="4680" w:type="dxa"/>
            <w:vAlign w:val="bottom"/>
            <w:gridSpan w:val="33"/>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2">
            <w:col w:w="10180" w:space="300"/>
            <w:col w:w="560"/>
          </w:cols>
          <w:pgMar w:left="320" w:top="1413" w:right="5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7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10.6(B)</w:t>
            </w:r>
            <w:r>
              <w:rPr>
                <w:rFonts w:ascii="Times New Roman" w:cs="Times New Roman" w:eastAsia="Times New Roman" w:hAnsi="Times New Roman"/>
                <w:sz w:val="24"/>
                <w:szCs w:val="24"/>
                <w:color w:val="auto"/>
                <w:vertAlign w:val="superscript"/>
              </w:rPr>
              <w:t>#</w:t>
            </w:r>
          </w:p>
        </w:tc>
        <w:tc>
          <w:tcPr>
            <w:tcW w:w="40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Employment Offer Letter between Nkarta, Inc. and Dr.</w:t>
              </w:r>
            </w:hyperlink>
          </w:p>
        </w:tc>
        <w:tc>
          <w:tcPr>
            <w:tcW w:w="560" w:type="dxa"/>
            <w:vAlign w:val="bottom"/>
            <w:gridSpan w:val="12"/>
          </w:tcPr>
          <w:p>
            <w:pPr>
              <w:spacing w:after="0"/>
              <w:rPr>
                <w:sz w:val="23"/>
                <w:szCs w:val="23"/>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5/13/2021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7"/>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Alicia Hager.</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10.6(C)</w:t>
            </w:r>
            <w:r>
              <w:rPr>
                <w:rFonts w:ascii="Times New Roman" w:cs="Times New Roman" w:eastAsia="Times New Roman" w:hAnsi="Times New Roman"/>
                <w:sz w:val="24"/>
                <w:szCs w:val="24"/>
                <w:color w:val="auto"/>
                <w:vertAlign w:val="superscript"/>
              </w:rPr>
              <w:t>#</w:t>
            </w: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vMerge w:val="continue"/>
          </w:tcPr>
          <w:p>
            <w:pPr>
              <w:spacing w:after="0"/>
              <w:rPr>
                <w:sz w:val="24"/>
                <w:szCs w:val="24"/>
                <w:color w:val="auto"/>
              </w:rPr>
            </w:pPr>
          </w:p>
        </w:tc>
        <w:tc>
          <w:tcPr>
            <w:tcW w:w="42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Employment Offer Letter between Nkarta, Inc. and Alyssa</w:t>
              </w:r>
            </w:hyperlink>
          </w:p>
        </w:tc>
        <w:tc>
          <w:tcPr>
            <w:tcW w:w="300" w:type="dxa"/>
            <w:vAlign w:val="bottom"/>
            <w:gridSpan w:val="3"/>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8/10/2023</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7"/>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Levin.</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10.6(D)</w:t>
            </w:r>
            <w:r>
              <w:rPr>
                <w:rFonts w:ascii="Times New Roman" w:cs="Times New Roman" w:eastAsia="Times New Roman" w:hAnsi="Times New Roman"/>
                <w:sz w:val="24"/>
                <w:szCs w:val="24"/>
                <w:color w:val="auto"/>
                <w:vertAlign w:val="superscript"/>
              </w:rPr>
              <w:t>#</w:t>
            </w: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vMerge w:val="continue"/>
          </w:tcPr>
          <w:p>
            <w:pPr>
              <w:spacing w:after="0"/>
              <w:rPr>
                <w:sz w:val="24"/>
                <w:szCs w:val="24"/>
                <w:color w:val="auto"/>
              </w:rPr>
            </w:pPr>
          </w:p>
        </w:tc>
        <w:tc>
          <w:tcPr>
            <w:tcW w:w="42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Employment Offer Letter between Nkarta, Inc. and David</w:t>
            </w:r>
          </w:p>
        </w:tc>
        <w:tc>
          <w:tcPr>
            <w:tcW w:w="34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Shook.</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24"/>
                <w:szCs w:val="24"/>
                <w:color w:val="auto"/>
                <w:vertAlign w:val="superscript"/>
              </w:rPr>
              <w:t>#</w:t>
            </w: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00" w:type="dxa"/>
            <w:vAlign w:val="bottom"/>
            <w:vMerge w:val="continue"/>
          </w:tcPr>
          <w:p>
            <w:pPr>
              <w:spacing w:after="0"/>
              <w:rPr>
                <w:sz w:val="24"/>
                <w:szCs w:val="24"/>
                <w:color w:val="auto"/>
              </w:rPr>
            </w:pPr>
          </w:p>
        </w:tc>
        <w:tc>
          <w:tcPr>
            <w:tcW w:w="4560" w:type="dxa"/>
            <w:vAlign w:val="bottom"/>
            <w:gridSpan w:val="27"/>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Form of Severance Agreement.</w:t>
              </w:r>
            </w:hyperlink>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1/13/2021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8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Exclusive License Agreement between Nkarta, Inc.,</w:t>
              </w:r>
            </w:hyperlink>
          </w:p>
        </w:tc>
        <w:tc>
          <w:tcPr>
            <w:tcW w:w="760" w:type="dxa"/>
            <w:vAlign w:val="bottom"/>
            <w:gridSpan w:val="14"/>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0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National University of Singapore and St. Jude Research</w:t>
              </w:r>
            </w:hyperlink>
          </w:p>
        </w:tc>
        <w:tc>
          <w:tcPr>
            <w:tcW w:w="4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9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358">
              <w:r>
                <w:rPr>
                  <w:rFonts w:ascii="Times New Roman" w:cs="Times New Roman" w:eastAsia="Times New Roman" w:hAnsi="Times New Roman"/>
                  <w:sz w:val="18"/>
                  <w:szCs w:val="18"/>
                  <w:color w:val="0000FF"/>
                  <w:w w:val="98"/>
                </w:rPr>
                <w:t>Hospital, Inc.</w:t>
              </w:r>
            </w:hyperlink>
          </w:p>
        </w:tc>
        <w:tc>
          <w:tcPr>
            <w:tcW w:w="20" w:type="dxa"/>
            <w:vAlign w:val="bottom"/>
            <w:tcBorders>
              <w:bottom w:val="single" w:sz="8" w:color="0000EE"/>
            </w:tcBorders>
          </w:tcPr>
          <w:p>
            <w:pPr>
              <w:spacing w:after="0"/>
              <w:rPr>
                <w:sz w:val="17"/>
                <w:szCs w:val="17"/>
                <w:color w:val="auto"/>
              </w:rPr>
            </w:pPr>
          </w:p>
        </w:tc>
        <w:tc>
          <w:tcPr>
            <w:tcW w:w="3560" w:type="dxa"/>
            <w:vAlign w:val="bottom"/>
            <w:gridSpan w:val="20"/>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10.10(A)</w:t>
            </w:r>
          </w:p>
        </w:tc>
        <w:tc>
          <w:tcPr>
            <w:tcW w:w="40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Lease Agreement, dated May 29, 2018, by and between</w:t>
              </w:r>
            </w:hyperlink>
          </w:p>
        </w:tc>
        <w:tc>
          <w:tcPr>
            <w:tcW w:w="500" w:type="dxa"/>
            <w:vAlign w:val="bottom"/>
            <w:gridSpan w:val="10"/>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7"/>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Nkarta, Inc. and HCP Life Science REIT, Inc.</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10.10(B)</w:t>
            </w:r>
          </w:p>
        </w:tc>
        <w:tc>
          <w:tcPr>
            <w:tcW w:w="39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First Amendment to Lease Agreement, dated April 24,</w:t>
              </w:r>
            </w:hyperlink>
          </w:p>
        </w:tc>
        <w:tc>
          <w:tcPr>
            <w:tcW w:w="580" w:type="dxa"/>
            <w:vAlign w:val="bottom"/>
            <w:gridSpan w:val="13"/>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2019, by and between Nkarta, Inc. and HCP Life Science</w:t>
              </w:r>
            </w:hyperlink>
          </w:p>
        </w:tc>
        <w:tc>
          <w:tcPr>
            <w:tcW w:w="38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6"/>
              </w:rPr>
            </w:pPr>
            <w:hyperlink r:id="rId360">
              <w:r>
                <w:rPr>
                  <w:rFonts w:ascii="Times New Roman" w:cs="Times New Roman" w:eastAsia="Times New Roman" w:hAnsi="Times New Roman"/>
                  <w:sz w:val="18"/>
                  <w:szCs w:val="18"/>
                  <w:color w:val="0000FF"/>
                  <w:w w:val="96"/>
                </w:rPr>
                <w:t>REIT, Inc.</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10.10(C)</w:t>
            </w:r>
          </w:p>
        </w:tc>
        <w:tc>
          <w:tcPr>
            <w:tcW w:w="40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Second Amendment to Lease Agreement, dated May 5,</w:t>
              </w:r>
            </w:hyperlink>
          </w:p>
        </w:tc>
        <w:tc>
          <w:tcPr>
            <w:tcW w:w="520" w:type="dxa"/>
            <w:vAlign w:val="bottom"/>
            <w:gridSpan w:val="11"/>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2020, by and between Nkarta, Inc. and HCP Life Science</w:t>
              </w:r>
            </w:hyperlink>
          </w:p>
        </w:tc>
        <w:tc>
          <w:tcPr>
            <w:tcW w:w="38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6"/>
              </w:rPr>
            </w:pPr>
            <w:hyperlink r:id="rId361">
              <w:r>
                <w:rPr>
                  <w:rFonts w:ascii="Times New Roman" w:cs="Times New Roman" w:eastAsia="Times New Roman" w:hAnsi="Times New Roman"/>
                  <w:sz w:val="18"/>
                  <w:szCs w:val="18"/>
                  <w:color w:val="0000FF"/>
                  <w:w w:val="96"/>
                </w:rPr>
                <w:t>REIT, Inc.</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10.10(D)</w:t>
            </w:r>
          </w:p>
        </w:tc>
        <w:tc>
          <w:tcPr>
            <w:tcW w:w="42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Third Amendment to Lease Agreement, dated January 14,</w:t>
              </w:r>
            </w:hyperlink>
          </w:p>
        </w:tc>
        <w:tc>
          <w:tcPr>
            <w:tcW w:w="320" w:type="dxa"/>
            <w:vAlign w:val="bottom"/>
            <w:gridSpan w:val="4"/>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10.10(D)</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3/25/2021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2021, by and between Nkarta, Inc. and HCP Life Science</w:t>
              </w:r>
            </w:hyperlink>
          </w:p>
        </w:tc>
        <w:tc>
          <w:tcPr>
            <w:tcW w:w="38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6"/>
              </w:rPr>
            </w:pPr>
            <w:hyperlink r:id="rId362">
              <w:r>
                <w:rPr>
                  <w:rFonts w:ascii="Times New Roman" w:cs="Times New Roman" w:eastAsia="Times New Roman" w:hAnsi="Times New Roman"/>
                  <w:sz w:val="18"/>
                  <w:szCs w:val="18"/>
                  <w:color w:val="0000FF"/>
                  <w:w w:val="96"/>
                </w:rPr>
                <w:t>REIT, Inc.</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10.10(E)</w:t>
            </w:r>
          </w:p>
        </w:tc>
        <w:tc>
          <w:tcPr>
            <w:tcW w:w="43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Fourth Amendment to Lease Agreement, dated October 19,</w:t>
              </w:r>
            </w:hyperlink>
          </w:p>
        </w:tc>
        <w:tc>
          <w:tcPr>
            <w:tcW w:w="240" w:type="dxa"/>
            <w:vAlign w:val="bottom"/>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10/22/2021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2021, by and between Nkarta, Inc. and HCP Life Science</w:t>
              </w:r>
            </w:hyperlink>
          </w:p>
        </w:tc>
        <w:tc>
          <w:tcPr>
            <w:tcW w:w="38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6"/>
              </w:rPr>
            </w:pPr>
            <w:hyperlink r:id="rId363">
              <w:r>
                <w:rPr>
                  <w:rFonts w:ascii="Times New Roman" w:cs="Times New Roman" w:eastAsia="Times New Roman" w:hAnsi="Times New Roman"/>
                  <w:sz w:val="18"/>
                  <w:szCs w:val="18"/>
                  <w:color w:val="0000FF"/>
                  <w:w w:val="96"/>
                </w:rPr>
                <w:t>REIT, Inc.</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10.10(F)</w:t>
            </w:r>
          </w:p>
        </w:tc>
        <w:tc>
          <w:tcPr>
            <w:tcW w:w="41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Fifth Amendment to Lease Agreement, dated August 11,</w:t>
              </w:r>
            </w:hyperlink>
          </w:p>
        </w:tc>
        <w:tc>
          <w:tcPr>
            <w:tcW w:w="420" w:type="dxa"/>
            <w:vAlign w:val="bottom"/>
            <w:gridSpan w:val="7"/>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8/11/2022</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2022, by and between Nkarta, Inc. and HCP Life Science</w:t>
              </w:r>
            </w:hyperlink>
          </w:p>
        </w:tc>
        <w:tc>
          <w:tcPr>
            <w:tcW w:w="38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6"/>
              </w:rPr>
            </w:pPr>
            <w:hyperlink r:id="rId364">
              <w:r>
                <w:rPr>
                  <w:rFonts w:ascii="Times New Roman" w:cs="Times New Roman" w:eastAsia="Times New Roman" w:hAnsi="Times New Roman"/>
                  <w:sz w:val="18"/>
                  <w:szCs w:val="18"/>
                  <w:color w:val="0000FF"/>
                  <w:w w:val="96"/>
                </w:rPr>
                <w:t>REIT, Inc.</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10.11(A)</w:t>
            </w:r>
          </w:p>
        </w:tc>
        <w:tc>
          <w:tcPr>
            <w:tcW w:w="43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Lease, dated July 9, 2021, by and between Nkarta, Inc. and</w:t>
              </w:r>
            </w:hyperlink>
          </w:p>
        </w:tc>
        <w:tc>
          <w:tcPr>
            <w:tcW w:w="260" w:type="dxa"/>
            <w:vAlign w:val="bottom"/>
            <w:gridSpan w:val="2"/>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7/14/2021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7"/>
          </w:tcPr>
          <w:p>
            <w:pPr>
              <w:spacing w:after="0" w:line="19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HCP BTC, LLC.</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40" w:type="dxa"/>
            <w:vAlign w:val="bottom"/>
            <w:tcBorders>
              <w:right w:val="single" w:sz="8" w:color="0000EE"/>
            </w:tcBorders>
            <w:gridSpan w:val="8"/>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10.11(B)</w:t>
            </w:r>
          </w:p>
        </w:tc>
        <w:tc>
          <w:tcPr>
            <w:tcW w:w="41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First Amendment to Lease, dated November 5, 2021, by</w:t>
              </w:r>
            </w:hyperlink>
          </w:p>
        </w:tc>
        <w:tc>
          <w:tcPr>
            <w:tcW w:w="460" w:type="dxa"/>
            <w:vAlign w:val="bottom"/>
            <w:gridSpan w:val="8"/>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11/10/2021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3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and between Nkarta, Inc. and HCP BTC, LLC.</w:t>
              </w:r>
            </w:hyperlink>
          </w:p>
        </w:tc>
        <w:tc>
          <w:tcPr>
            <w:tcW w:w="118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10.11(C)</w:t>
            </w:r>
          </w:p>
        </w:tc>
        <w:tc>
          <w:tcPr>
            <w:tcW w:w="41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Second Amendment to Lease, dated August 11, 2022, by</w:t>
              </w:r>
            </w:hyperlink>
          </w:p>
        </w:tc>
        <w:tc>
          <w:tcPr>
            <w:tcW w:w="420" w:type="dxa"/>
            <w:vAlign w:val="bottom"/>
            <w:gridSpan w:val="7"/>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8/11/2022</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3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and between Nkarta, Inc. and HCP BTC, LLC.</w:t>
              </w:r>
            </w:hyperlink>
          </w:p>
        </w:tc>
        <w:tc>
          <w:tcPr>
            <w:tcW w:w="118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10.11(D)</w:t>
            </w:r>
          </w:p>
        </w:tc>
        <w:tc>
          <w:tcPr>
            <w:tcW w:w="41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Third Amendment to Lease, dated April 25, 2023, by and</w:t>
              </w:r>
            </w:hyperlink>
          </w:p>
        </w:tc>
        <w:tc>
          <w:tcPr>
            <w:tcW w:w="380" w:type="dxa"/>
            <w:vAlign w:val="bottom"/>
            <w:gridSpan w:val="6"/>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5/11/2023</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0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between Nkarta, Inc. and HCP BTC, LLC.</w:t>
              </w:r>
            </w:hyperlink>
          </w:p>
        </w:tc>
        <w:tc>
          <w:tcPr>
            <w:tcW w:w="148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300" w:type="dxa"/>
            <w:vAlign w:val="bottom"/>
          </w:tcPr>
          <w:p>
            <w:pPr>
              <w:spacing w:after="0"/>
              <w:rPr>
                <w:sz w:val="24"/>
                <w:szCs w:val="24"/>
                <w:color w:val="auto"/>
              </w:rPr>
            </w:pPr>
          </w:p>
        </w:tc>
        <w:tc>
          <w:tcPr>
            <w:tcW w:w="4560" w:type="dxa"/>
            <w:vAlign w:val="bottom"/>
            <w:gridSpan w:val="27"/>
          </w:tcPr>
          <w:p>
            <w:pPr>
              <w:ind w:left="4180"/>
              <w:spacing w:after="0"/>
              <w:rPr>
                <w:sz w:val="20"/>
                <w:szCs w:val="20"/>
                <w:color w:val="auto"/>
              </w:rPr>
            </w:pPr>
            <w:r>
              <w:rPr>
                <w:rFonts w:ascii="Times New Roman" w:cs="Times New Roman" w:eastAsia="Times New Roman" w:hAnsi="Times New Roman"/>
                <w:sz w:val="18"/>
                <w:szCs w:val="18"/>
                <w:color w:val="auto"/>
              </w:rPr>
              <w:t>143</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48" w:name="page149"/>
    <w:bookmarkEnd w:id="148"/>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10.11(E)</w:t>
            </w:r>
          </w:p>
        </w:tc>
        <w:tc>
          <w:tcPr>
            <w:tcW w:w="42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Fourth Amendment to Lease, dated June 14, 2023, by and</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0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between Nkarta, Inc. and HCP BTC, LLC.</w:t>
              </w:r>
            </w:hyperlink>
          </w:p>
        </w:tc>
        <w:tc>
          <w:tcPr>
            <w:tcW w:w="20" w:type="dxa"/>
            <w:vAlign w:val="bottom"/>
            <w:tcBorders>
              <w:bottom w:val="single" w:sz="8" w:color="0000EE"/>
            </w:tcBorders>
          </w:tcPr>
          <w:p>
            <w:pPr>
              <w:spacing w:after="0"/>
              <w:rPr>
                <w:sz w:val="17"/>
                <w:szCs w:val="17"/>
                <w:color w:val="auto"/>
              </w:rPr>
            </w:pPr>
          </w:p>
        </w:tc>
        <w:tc>
          <w:tcPr>
            <w:tcW w:w="12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10.12(A)**</w:t>
            </w:r>
          </w:p>
        </w:tc>
        <w:tc>
          <w:tcPr>
            <w:tcW w:w="43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Research Collaboration Agreement, dated May 5, 2021, by</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1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and between Nkarta, Inc. and CRISPR Therapeutics AG.</w:t>
              </w:r>
            </w:hyperlink>
          </w:p>
        </w:tc>
        <w:tc>
          <w:tcPr>
            <w:tcW w:w="1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35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Amendment No. 1 to the Research Collaboration</w:t>
              </w:r>
            </w:hyperlink>
          </w:p>
        </w:tc>
        <w:tc>
          <w:tcPr>
            <w:tcW w:w="7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1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Agreement, dated May 4, 2022, by and between Nkarta,</w:t>
              </w:r>
            </w:hyperlink>
          </w:p>
        </w:tc>
        <w:tc>
          <w:tcPr>
            <w:tcW w:w="2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5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Inc. and CRISPR Therapeutics AG.</w:t>
              </w:r>
            </w:hyperlink>
          </w:p>
        </w:tc>
        <w:tc>
          <w:tcPr>
            <w:tcW w:w="20" w:type="dxa"/>
            <w:vAlign w:val="bottom"/>
            <w:tcBorders>
              <w:bottom w:val="single" w:sz="8" w:color="0000EE"/>
            </w:tcBorders>
          </w:tcPr>
          <w:p>
            <w:pPr>
              <w:spacing w:after="0"/>
              <w:rPr>
                <w:sz w:val="17"/>
                <w:szCs w:val="17"/>
                <w:color w:val="auto"/>
              </w:rPr>
            </w:pPr>
          </w:p>
        </w:tc>
        <w:tc>
          <w:tcPr>
            <w:tcW w:w="17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10.12(C)**</w:t>
            </w:r>
          </w:p>
        </w:tc>
        <w:tc>
          <w:tcPr>
            <w:tcW w:w="35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Amendment No. 2 to the Research Collaboration</w:t>
              </w:r>
            </w:hyperlink>
          </w:p>
        </w:tc>
        <w:tc>
          <w:tcPr>
            <w:tcW w:w="7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2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Agreement, dated March 8, 2023, by and between Nkarta,</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5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Inc. and CRISPR Therapeutics AG.</w:t>
              </w:r>
            </w:hyperlink>
          </w:p>
        </w:tc>
        <w:tc>
          <w:tcPr>
            <w:tcW w:w="17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9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w:t>
            </w:r>
          </w:p>
        </w:tc>
        <w:tc>
          <w:tcPr>
            <w:tcW w:w="3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Firm.</w:t>
            </w:r>
          </w:p>
        </w:tc>
        <w:tc>
          <w:tcPr>
            <w:tcW w:w="20" w:type="dxa"/>
            <w:vAlign w:val="bottom"/>
            <w:tcBorders>
              <w:bottom w:val="single" w:sz="8" w:color="0000EE"/>
            </w:tcBorders>
          </w:tcPr>
          <w:p>
            <w:pPr>
              <w:spacing w:after="0"/>
              <w:rPr>
                <w:sz w:val="17"/>
                <w:szCs w:val="17"/>
                <w:color w:val="auto"/>
              </w:rPr>
            </w:pPr>
          </w:p>
        </w:tc>
        <w:tc>
          <w:tcPr>
            <w:tcW w:w="388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2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7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5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0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of 1934, as Adopted Pursuant to Section 302</w:t>
            </w:r>
          </w:p>
        </w:tc>
        <w:tc>
          <w:tcPr>
            <w:tcW w:w="20" w:type="dxa"/>
            <w:vAlign w:val="bottom"/>
            <w:tcBorders>
              <w:bottom w:val="single" w:sz="8" w:color="0000FF"/>
            </w:tcBorders>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9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3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7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5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0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of 1934, as Adopted Pursuant to Section 302</w:t>
            </w:r>
          </w:p>
        </w:tc>
        <w:tc>
          <w:tcPr>
            <w:tcW w:w="20" w:type="dxa"/>
            <w:vAlign w:val="bottom"/>
            <w:tcBorders>
              <w:bottom w:val="single" w:sz="8" w:color="0000FF"/>
            </w:tcBorders>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1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1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2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300" w:right="1220" w:hanging="1279"/>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Policy Regarding the Recoupment of Certain Compensation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-185420</wp:posOffset>
            </wp:positionV>
            <wp:extent cx="20878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5">
                      <a:extLst>
                        <a:ext uri="{28A0092B-C50C-407E-A947-70E740481C1C}"/>
                      </a:extLst>
                    </a:blip>
                    <a:srcRect/>
                    <a:stretch>
                      <a:fillRect/>
                    </a:stretch>
                  </pic:blipFill>
                  <pic:spPr bwMode="auto">
                    <a:xfrm>
                      <a:off x="0" y="0"/>
                      <a:ext cx="208788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-48260</wp:posOffset>
            </wp:positionV>
            <wp:extent cx="11614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6">
                      <a:extLst>
                        <a:ext uri="{28A0092B-C50C-407E-A947-70E740481C1C}"/>
                      </a:extLst>
                    </a:blip>
                    <a:srcRect/>
                    <a:stretch>
                      <a:fillRect/>
                    </a:stretch>
                  </pic:blipFill>
                  <pic:spPr bwMode="auto">
                    <a:xfrm>
                      <a:off x="0" y="0"/>
                      <a:ext cx="1161415" cy="8890"/>
                    </a:xfrm>
                    <a:prstGeom prst="rect">
                      <a:avLst/>
                    </a:prstGeom>
                    <a:noFill/>
                  </pic:spPr>
                </pic:pic>
              </a:graphicData>
            </a:graphic>
          </wp:anchor>
        </w:drawing>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w:t>
            </w:r>
          </w:p>
        </w:tc>
      </w:tr>
      <w:tr>
        <w:trPr>
          <w:trHeight w:val="216"/>
        </w:trPr>
        <w:tc>
          <w:tcPr>
            <w:tcW w:w="980" w:type="dxa"/>
            <w:vAlign w:val="bottom"/>
          </w:tcPr>
          <w:p>
            <w:pPr>
              <w:spacing w:after="0"/>
              <w:rPr>
                <w:sz w:val="18"/>
                <w:szCs w:val="18"/>
                <w:color w:val="auto"/>
              </w:rPr>
            </w:pPr>
          </w:p>
        </w:tc>
        <w:tc>
          <w:tcPr>
            <w:tcW w:w="4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does not appear in the Interactive Data File as its XBRL</w:t>
            </w:r>
          </w:p>
        </w:tc>
      </w:tr>
      <w:tr>
        <w:trPr>
          <w:trHeight w:val="234"/>
        </w:trPr>
        <w:tc>
          <w:tcPr>
            <w:tcW w:w="980" w:type="dxa"/>
            <w:vAlign w:val="bottom"/>
          </w:tcPr>
          <w:p>
            <w:pPr>
              <w:spacing w:after="0"/>
              <w:rPr>
                <w:sz w:val="20"/>
                <w:szCs w:val="20"/>
                <w:color w:val="auto"/>
              </w:rPr>
            </w:pPr>
          </w:p>
        </w:tc>
        <w:tc>
          <w:tcPr>
            <w:tcW w:w="4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37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r>
      <w:tr>
        <w:trPr>
          <w:trHeight w:val="234"/>
        </w:trPr>
        <w:tc>
          <w:tcPr>
            <w:tcW w:w="980" w:type="dxa"/>
            <w:vAlign w:val="bottom"/>
          </w:tcPr>
          <w:p>
            <w:pPr>
              <w:spacing w:after="0"/>
              <w:rPr>
                <w:sz w:val="20"/>
                <w:szCs w:val="20"/>
                <w:color w:val="auto"/>
              </w:rPr>
            </w:pPr>
          </w:p>
        </w:tc>
        <w:tc>
          <w:tcPr>
            <w:tcW w:w="4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Embedded Linkbase Documents</w:t>
            </w:r>
          </w:p>
        </w:tc>
      </w:tr>
    </w:tbl>
    <w:p>
      <w:pPr>
        <w:spacing w:after="0" w:line="157" w:lineRule="exact"/>
        <w:rPr>
          <w:sz w:val="20"/>
          <w:szCs w:val="20"/>
          <w:color w:val="auto"/>
        </w:rPr>
      </w:pPr>
    </w:p>
    <w:p>
      <w:pPr>
        <w:ind w:left="1300" w:right="640" w:hanging="1279"/>
        <w:spacing w:after="0" w:line="281"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10.2(B)</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8/10/2023</w:t>
            </w:r>
          </w:p>
        </w:tc>
      </w:tr>
      <w:tr>
        <w:trPr>
          <w:trHeight w:val="70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8/12/2021</w:t>
            </w:r>
          </w:p>
        </w:tc>
      </w:tr>
      <w:tr>
        <w:trPr>
          <w:trHeight w:val="60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5/12/2022</w:t>
            </w:r>
          </w:p>
        </w:tc>
      </w:tr>
      <w:tr>
        <w:trPr>
          <w:trHeight w:val="9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5/11/2023</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2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2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5760" w:space="200"/>
            <w:col w:w="4860"/>
          </w:cols>
          <w:pgMar w:left="320" w:top="1417" w:right="759" w:bottom="1440" w:gutter="0" w:footer="0" w:header="0"/>
        </w:sectPr>
      </w:pPr>
    </w:p>
    <w:bookmarkStart w:id="149" w:name="page150"/>
    <w:bookmarkEnd w:id="149"/>
    <w:p>
      <w:pPr>
        <w:spacing w:after="0" w:line="18" w:lineRule="exact"/>
        <w:rPr>
          <w:sz w:val="20"/>
          <w:szCs w:val="20"/>
          <w:color w:val="auto"/>
        </w:rPr>
      </w:pPr>
    </w:p>
    <w:p>
      <w:pPr>
        <w:ind w:firstLine="8"/>
        <w:spacing w:after="0" w:line="255" w:lineRule="auto"/>
        <w:tabs>
          <w:tab w:leader="none" w:pos="1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Annual Report on Form 10-K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 w:lineRule="exact"/>
        <w:rPr>
          <w:rFonts w:ascii="Times New Roman" w:cs="Times New Roman" w:eastAsia="Times New Roman" w:hAnsi="Times New Roman"/>
          <w:sz w:val="18"/>
          <w:szCs w:val="18"/>
          <w:color w:val="auto"/>
        </w:rPr>
      </w:pPr>
    </w:p>
    <w:p>
      <w:pPr>
        <w:ind w:right="5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in accordance with Item 601(b)(10)(iv) of Regulation S-K. The Company undertakes to provide to the Securities and Exchange Commission or its staff, if requested and on a supplemental basis, an unredacted copy of this exhibit.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0" w:name="page151"/>
    <w:bookmarkEnd w:id="150"/>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3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Nkarta, Inc.</w:t>
            </w:r>
          </w:p>
        </w:tc>
        <w:tc>
          <w:tcPr>
            <w:tcW w:w="4180" w:type="dxa"/>
            <w:vAlign w:val="bottom"/>
          </w:tcPr>
          <w:p>
            <w:pPr>
              <w:spacing w:after="0"/>
              <w:rPr>
                <w:sz w:val="20"/>
                <w:szCs w:val="20"/>
                <w:color w:val="auto"/>
              </w:rPr>
            </w:pPr>
          </w:p>
        </w:tc>
      </w:tr>
      <w:tr>
        <w:trPr>
          <w:trHeight w:val="47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2024</w:t>
            </w:r>
          </w:p>
        </w:tc>
        <w:tc>
          <w:tcPr>
            <w:tcW w:w="3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/s/ Paul J. Hastings</w:t>
            </w:r>
          </w:p>
        </w:tc>
      </w:tr>
      <w:tr>
        <w:trPr>
          <w:trHeight w:val="205"/>
        </w:trPr>
        <w:tc>
          <w:tcPr>
            <w:tcW w:w="35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180" w:type="dxa"/>
            <w:vAlign w:val="bottom"/>
            <w:tcBorders>
              <w:top w:val="single" w:sz="8" w:color="auto"/>
            </w:tcBorders>
          </w:tcPr>
          <w:p>
            <w:pPr>
              <w:jc w:val="center"/>
              <w:ind w:right="1070"/>
              <w:spacing w:after="0" w:line="205" w:lineRule="exact"/>
              <w:rPr>
                <w:sz w:val="20"/>
                <w:szCs w:val="20"/>
                <w:color w:val="auto"/>
              </w:rPr>
            </w:pPr>
            <w:r>
              <w:rPr>
                <w:rFonts w:ascii="Times New Roman" w:cs="Times New Roman" w:eastAsia="Times New Roman" w:hAnsi="Times New Roman"/>
                <w:sz w:val="18"/>
                <w:szCs w:val="18"/>
                <w:color w:val="auto"/>
                <w:w w:val="98"/>
              </w:rPr>
              <w:t>Paul J. Hastings</w:t>
            </w:r>
          </w:p>
        </w:tc>
      </w:tr>
      <w:tr>
        <w:trPr>
          <w:trHeight w:val="234"/>
        </w:trPr>
        <w:tc>
          <w:tcPr>
            <w:tcW w:w="35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5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3571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Paul J. Hastings</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Alyssa Levin</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Fouad Azzam</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Fouad Azzam,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Ali Behbahani</w:t>
      </w:r>
    </w:p>
    <w:p>
      <w:pPr>
        <w:spacing w:after="0" w:line="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Ali Behbahani,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Michael Dybbs</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Michael Dybbs,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Simeon George</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Simeon George,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Leone Patterson</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Leone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Zachary Scheiner</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Zachary Scheiner,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Angela Thedinga</w:t>
      </w:r>
    </w:p>
    <w:p>
      <w:pPr>
        <w:spacing w:after="0" w:line="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Angela Thedinga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13"/>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3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68"/>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and Business Officer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3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7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70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70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70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70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70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70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bl>
    <w:p>
      <w:pPr>
        <w:spacing w:after="0" w:line="402" w:lineRule="exact"/>
        <w:rPr>
          <w:sz w:val="20"/>
          <w:szCs w:val="20"/>
          <w:color w:val="auto"/>
        </w:rPr>
      </w:pPr>
    </w:p>
    <w:p>
      <w:pPr>
        <w:sectPr>
          <w:pgSz w:w="11900" w:h="16838" w:orient="portrait"/>
          <w:cols w:equalWidth="0" w:num="2">
            <w:col w:w="3120" w:space="720"/>
            <w:col w:w="7400"/>
          </w:cols>
          <w:pgMar w:left="320" w:top="1413"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description of the capital stock of Nkarta, Inc. (“us,” “our,” “we” or the “Company”) is a summary of the rights of our common stock and certain provisions of our amended and restated certificate of incorporation (the “Certificate of Incorporation”) and our amended and restated bylaws (the “Bylaws”) currently in effect. This summary does not purport to be complete and is qualified in its entirety by the provisions of our Certificate of Incorporation, as amended, and Bylaws, each previously filed with the Securities and Exchange Commission and incorporated by reference as an exhibit to the Annual Report on Form 10-K of which this Exhibit 4.3 is a part, as well as to the applicable provisions of the Delaware General Corporation Law (the “DGCL”). We encourage you to read our certificate of incorporation, bylaws and the applicable portions of the DGCL carefully.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54,350,179 shares of preferred stock, par value $0.0001 per share, all of which shares of preferred stock are undesignated.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ratably those dividends, if any, as may be declared by the board of directors out of legally available funds.</w:t>
      </w:r>
    </w:p>
    <w:p>
      <w:pPr>
        <w:spacing w:after="0" w:line="15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Except as otherwise expressly provided in our Certificate of Incorporation or as required by applicable law, the holders of our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are entitled to one vote per share on all matters submitted to a vote of stockholders, including for the election of directors. We have not provided for cumulative voting rights for our common stock in our Certificate of Incorporation.</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Liquidation Rights and Distributions. </w:t>
      </w:r>
      <w:r>
        <w:rPr>
          <w:rFonts w:ascii="Times New Roman" w:cs="Times New Roman" w:eastAsia="Times New Roman" w:hAnsi="Times New Roman"/>
          <w:sz w:val="18"/>
          <w:szCs w:val="18"/>
          <w:color w:val="auto"/>
        </w:rPr>
        <w:t>In the event of our liquidation, dissolution or winding up, the holders of our common stock will be entitled to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ratably in the assets legally available for distribution to stockholders after the payment of or provision for all of our debts and other liabilities, subject to the prior rights of any preferred stock then outstanding.</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Our Certificate of Incorporation does not entitle holders of our common stock to preemptive or conversion rights or other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There are no redemption or sinking fund provisions applicable to our common stock. The common stock may not be subdivided or combined in any manner unless the conversion price of any other class that is convertible to common stock is increased or decreased, as applicable, in the same proportion. All outstanding shares of our common stock are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Preferred Stock</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authorized shares of any series of preferred stock, but not below the number of shares of that series of preferred stock then outstanding, without any further vote or action by stockholders.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of holders of common stock and the likelihood that such holders will receive dividend payments and payments upon liquidation and. In addition, the existence of unissued and unreserved common stock or preferred stock could render more difficult or discourage an attempt to obtain control of us by means of a merger, tender offer, proxy contest or otherwise, and could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2" w:name="page153"/>
    <w:bookmarkEnd w:id="152"/>
    <w:p>
      <w:pPr>
        <w:ind w:right="400"/>
        <w:spacing w:after="0" w:line="282" w:lineRule="auto"/>
        <w:rPr>
          <w:sz w:val="20"/>
          <w:szCs w:val="20"/>
          <w:color w:val="auto"/>
        </w:rPr>
      </w:pPr>
      <w:r>
        <w:rPr>
          <w:rFonts w:ascii="Times New Roman" w:cs="Times New Roman" w:eastAsia="Times New Roman" w:hAnsi="Times New Roman"/>
          <w:sz w:val="18"/>
          <w:szCs w:val="18"/>
          <w:color w:val="auto"/>
        </w:rPr>
        <w:t>protect the continuity of our management and possibly deprive stockholders of opportunities to sell their shares of common stock at prices higher than prevailing market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the sole and exclusive forum for any stockholder (including any beneficial owner) to bring (i) any derivative action or proceeding brought on our behalf, (ii) any action asserting a claim of breach of a fiduciary duty owed by any of our directors, officers, or employees to us or to our stockholders, (iii) any action asserting a claim arising pursuant to any provision of the DGCL or our Certificate of Incorporation or Bylaws, or (iv) any action asserting a claim governed by the internal affairs doctrine, will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This exclusive forum provision is intended to apply to claims arising under Delaware state law and is not intended to apply to claims brought pursuant to the Exchange Act or the Securities Act, or any other claim for which the federal courts have exclusive jurisdiction. Our Certificate of Incorporation further provides that the federal district courts of the United States of America will be the exclusive forum for resolving any complaint asserting a cause of action arising under the Securities Act. Any person or entity purchasing or otherwise acquiring any interest in shares of our capital stock is deemed to have notice of and consented to the foregoing provisions.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Certain provisions of Delaware law, our Certificate of Incorporation and our Bylaws could make the acquisition of us more difficult and could delay, defer or prevent a tender offer or other takeover attempt that a stockholder might consider to be in its best interest, including takeover attempts that might result in the payment of a premium to stockholders over the market price for their shares. These provisions include:</w:t>
      </w:r>
    </w:p>
    <w:p>
      <w:pPr>
        <w:spacing w:after="0" w:line="176" w:lineRule="exact"/>
        <w:rPr>
          <w:sz w:val="20"/>
          <w:szCs w:val="20"/>
          <w:color w:val="auto"/>
        </w:rPr>
      </w:pPr>
    </w:p>
    <w:p>
      <w:pPr>
        <w:ind w:left="1300" w:hanging="851"/>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preferred stock without stockholder approval;</w:t>
      </w:r>
    </w:p>
    <w:p>
      <w:pPr>
        <w:spacing w:after="0" w:line="252" w:lineRule="exact"/>
        <w:rPr>
          <w:rFonts w:ascii="Times New Roman" w:cs="Times New Roman" w:eastAsia="Times New Roman" w:hAnsi="Times New Roman"/>
          <w:sz w:val="18"/>
          <w:szCs w:val="18"/>
          <w:color w:val="auto"/>
        </w:rPr>
      </w:pPr>
    </w:p>
    <w:p>
      <w:pPr>
        <w:ind w:left="1300" w:hanging="851"/>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not cumulate votes in the election of directors;</w:t>
      </w:r>
    </w:p>
    <w:p>
      <w:pPr>
        <w:spacing w:after="0" w:line="252" w:lineRule="exact"/>
        <w:rPr>
          <w:rFonts w:ascii="Times New Roman" w:cs="Times New Roman" w:eastAsia="Times New Roman" w:hAnsi="Times New Roman"/>
          <w:sz w:val="18"/>
          <w:szCs w:val="18"/>
          <w:color w:val="auto"/>
        </w:rPr>
      </w:pPr>
    </w:p>
    <w:p>
      <w:pPr>
        <w:ind w:left="1300" w:right="100" w:hanging="851"/>
        <w:spacing w:after="0" w:line="266"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our stockholders may be called only by our board of directors, the chairperson of our board of directors, our chief executive officer or president, or by one or more of our stockholders holding shares in the aggregate entitled to cast not less than 10% of the votes at that meeting;</w:t>
      </w:r>
    </w:p>
    <w:p>
      <w:pPr>
        <w:spacing w:after="0" w:line="202" w:lineRule="exact"/>
        <w:rPr>
          <w:rFonts w:ascii="Times New Roman" w:cs="Times New Roman" w:eastAsia="Times New Roman" w:hAnsi="Times New Roman"/>
          <w:sz w:val="18"/>
          <w:szCs w:val="18"/>
          <w:color w:val="auto"/>
        </w:rPr>
      </w:pPr>
    </w:p>
    <w:p>
      <w:pPr>
        <w:ind w:left="1300" w:hanging="851"/>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not act by written consent;</w:t>
      </w:r>
    </w:p>
    <w:p>
      <w:pPr>
        <w:spacing w:after="0" w:line="252" w:lineRule="exact"/>
        <w:rPr>
          <w:rFonts w:ascii="Times New Roman" w:cs="Times New Roman" w:eastAsia="Times New Roman" w:hAnsi="Times New Roman"/>
          <w:sz w:val="18"/>
          <w:szCs w:val="18"/>
          <w:color w:val="auto"/>
        </w:rPr>
      </w:pPr>
    </w:p>
    <w:p>
      <w:pPr>
        <w:ind w:left="1300" w:right="520" w:hanging="851"/>
        <w:spacing w:after="0" w:line="261"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satisfy advance notice procedures to submit proposals or nominate directors for consideration at a stockholders’ meeting;</w:t>
      </w:r>
    </w:p>
    <w:p>
      <w:pPr>
        <w:ind w:left="1300" w:right="320" w:hanging="851"/>
        <w:spacing w:after="0" w:line="260"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indemnify our directors and officers against losses that they may incur as a result of investigations and legal proceedings resulting from their services to us, which may include services in connection with takeover defense measures;</w:t>
      </w:r>
    </w:p>
    <w:p>
      <w:pPr>
        <w:spacing w:after="0" w:line="18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board of directors is divided into three classes as provided by our Certificate of Incorporation. The directors in each class will serve for a three-year term with one class being elected each year by our stockholders.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we are subject to Section 203 of the DGCL, which provides that, subject to certain stated exceptions, a corporation may not engage in a business combination with any “interested stockholder” (as defined below) for a period of three years following the time that such stockholder became an interested stockholder, unless:</w:t>
      </w:r>
    </w:p>
    <w:p>
      <w:pPr>
        <w:spacing w:after="0" w:line="176" w:lineRule="exact"/>
        <w:rPr>
          <w:sz w:val="20"/>
          <w:szCs w:val="20"/>
          <w:color w:val="auto"/>
        </w:rPr>
      </w:pPr>
    </w:p>
    <w:p>
      <w:pPr>
        <w:ind w:left="1300" w:right="120" w:hanging="851"/>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transaction which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3" w:name="page154"/>
    <w:bookmarkEnd w:id="153"/>
    <w:p>
      <w:pPr>
        <w:ind w:left="1300" w:right="80" w:hanging="851"/>
        <w:spacing w:after="0" w:line="261"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w:t>
      </w:r>
    </w:p>
    <w:p>
      <w:pPr>
        <w:spacing w:after="0" w:line="206" w:lineRule="exact"/>
        <w:rPr>
          <w:rFonts w:ascii="Times New Roman" w:cs="Times New Roman" w:eastAsia="Times New Roman" w:hAnsi="Times New Roman"/>
          <w:sz w:val="18"/>
          <w:szCs w:val="18"/>
          <w:color w:val="auto"/>
        </w:rPr>
      </w:pPr>
    </w:p>
    <w:p>
      <w:pPr>
        <w:ind w:left="1300" w:right="340" w:hanging="851"/>
        <w:spacing w:after="0" w:line="28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or</w:t>
      </w:r>
    </w:p>
    <w:p>
      <w:pPr>
        <w:spacing w:after="0" w:line="188" w:lineRule="exact"/>
        <w:rPr>
          <w:rFonts w:ascii="Times New Roman" w:cs="Times New Roman" w:eastAsia="Times New Roman" w:hAnsi="Times New Roman"/>
          <w:sz w:val="18"/>
          <w:szCs w:val="18"/>
          <w:color w:val="auto"/>
        </w:rPr>
      </w:pPr>
    </w:p>
    <w:p>
      <w:pPr>
        <w:ind w:left="1300" w:hanging="851"/>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affirmative vote of 66 2⁄3% of the outstanding voting stock which is not owned by the interested stockholder.</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“NKTX.”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b w:val="1"/>
          <w:bCs w:val="1"/>
          <w:color w:val="auto"/>
        </w:rPr>
        <w:t>EXHIBIT 10.6(D)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Nkarta,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6000 Shoreline Court, Suite 102</w:t>
      </w:r>
    </w:p>
    <w:p>
      <w:pPr>
        <w:spacing w:after="0"/>
        <w:rPr>
          <w:sz w:val="20"/>
          <w:szCs w:val="20"/>
          <w:color w:val="auto"/>
        </w:rPr>
      </w:pPr>
      <w:r>
        <w:rPr>
          <w:rFonts w:ascii="Times New Roman" w:cs="Times New Roman" w:eastAsia="Times New Roman" w:hAnsi="Times New Roman"/>
          <w:sz w:val="20"/>
          <w:szCs w:val="20"/>
          <w:color w:val="1F1F1F"/>
        </w:rPr>
        <w:t>South San Francisco, CA 94080 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January 15, 2020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David Shook</w:t>
      </w:r>
    </w:p>
    <w:p>
      <w:pPr>
        <w:spacing w:after="0"/>
        <w:rPr>
          <w:sz w:val="20"/>
          <w:szCs w:val="20"/>
          <w:color w:val="auto"/>
        </w:rPr>
      </w:pPr>
      <w:r>
        <w:rPr>
          <w:rFonts w:ascii="Times New Roman" w:cs="Times New Roman" w:eastAsia="Times New Roman" w:hAnsi="Times New Roman"/>
          <w:sz w:val="20"/>
          <w:szCs w:val="20"/>
          <w:i w:val="1"/>
          <w:iCs w:val="1"/>
          <w:color w:val="1F1F1F"/>
        </w:rPr>
        <w:t>Via Electronic Delivery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Dear David,</w:t>
      </w:r>
    </w:p>
    <w:p>
      <w:pPr>
        <w:spacing w:after="0" w:line="2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color w:val="1F1F1F"/>
        </w:rPr>
        <w:t>I am pleased to offer you a position with Nkarta, Inc. (the "</w:t>
      </w:r>
      <w:r>
        <w:rPr>
          <w:rFonts w:ascii="Times New Roman" w:cs="Times New Roman" w:eastAsia="Times New Roman" w:hAnsi="Times New Roman"/>
          <w:sz w:val="19"/>
          <w:szCs w:val="19"/>
          <w:u w:val="single" w:color="auto"/>
          <w:color w:val="1F1F1F"/>
        </w:rPr>
        <w:t>Company</w:t>
      </w:r>
      <w:r>
        <w:rPr>
          <w:rFonts w:ascii="Times New Roman" w:cs="Times New Roman" w:eastAsia="Times New Roman" w:hAnsi="Times New Roman"/>
          <w:sz w:val="19"/>
          <w:szCs w:val="19"/>
          <w:color w:val="1F1F1F"/>
        </w:rPr>
        <w:t>"), as Medical Director, Clinical Development and initially reporting to the Chief Medical Officer. Your employment with the Company will commence on June 1, 2020 (the "</w:t>
      </w:r>
      <w:r>
        <w:rPr>
          <w:rFonts w:ascii="Times New Roman" w:cs="Times New Roman" w:eastAsia="Times New Roman" w:hAnsi="Times New Roman"/>
          <w:sz w:val="19"/>
          <w:szCs w:val="19"/>
          <w:u w:val="single" w:color="auto"/>
          <w:color w:val="1F1F1F"/>
        </w:rPr>
        <w:t>Start Date</w:t>
      </w:r>
      <w:r>
        <w:rPr>
          <w:rFonts w:ascii="Times New Roman" w:cs="Times New Roman" w:eastAsia="Times New Roman" w:hAnsi="Times New Roman"/>
          <w:sz w:val="19"/>
          <w:szCs w:val="19"/>
          <w:color w:val="1F1F1F"/>
        </w:rPr>
        <w:t>"). Effective as of the Start Date, you will receive an annual base salary of $290,000 (the "</w:t>
      </w:r>
      <w:r>
        <w:rPr>
          <w:rFonts w:ascii="Times New Roman" w:cs="Times New Roman" w:eastAsia="Times New Roman" w:hAnsi="Times New Roman"/>
          <w:sz w:val="19"/>
          <w:szCs w:val="19"/>
          <w:u w:val="single" w:color="auto"/>
          <w:color w:val="1F1F1F"/>
        </w:rPr>
        <w:t>Base Salary</w:t>
      </w:r>
      <w:r>
        <w:rPr>
          <w:rFonts w:ascii="Times New Roman" w:cs="Times New Roman" w:eastAsia="Times New Roman" w:hAnsi="Times New Roman"/>
          <w:sz w:val="19"/>
          <w:szCs w:val="19"/>
          <w:color w:val="1F1F1F"/>
        </w:rPr>
        <w:t>"), which will be paid in accordance with the Company's then existing payroll procedures. You also will receive a sign on bonus of $45,000, less required and designated payroll deductions and withholdings, to be paid in the first 30 days of your employment. If you decide to leave the Company for any reason within 12 months of your start date, the sign on bonus will be subject to repayment to the Company by you within 30 days of your separation from the Company.</w:t>
      </w:r>
    </w:p>
    <w:p>
      <w:pPr>
        <w:spacing w:after="0" w:line="18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1F1F1F"/>
        </w:rPr>
        <w:t>Each year during the term of your employment, you will be eligible for a bonus of up to twenty percent (20%) of your then existing Base Salary based on achievement of performance objectives to be determined by the Board of Directors (the "</w:t>
      </w:r>
      <w:r>
        <w:rPr>
          <w:rFonts w:ascii="Times New Roman" w:cs="Times New Roman" w:eastAsia="Times New Roman" w:hAnsi="Times New Roman"/>
          <w:sz w:val="20"/>
          <w:szCs w:val="20"/>
          <w:u w:val="single" w:color="auto"/>
          <w:color w:val="1F1F1F"/>
        </w:rPr>
        <w:t>Board</w:t>
      </w:r>
      <w:r>
        <w:rPr>
          <w:rFonts w:ascii="Times New Roman" w:cs="Times New Roman" w:eastAsia="Times New Roman" w:hAnsi="Times New Roman"/>
          <w:sz w:val="20"/>
          <w:szCs w:val="20"/>
          <w:color w:val="1F1F1F"/>
        </w:rPr>
        <w:t xml:space="preserve">"). Any bonuses will be subject to your continued employment with the Company through the date the bonus is paid, in no event later than March 15 of the calendar year following the calendar year as to which the bonus relates. As an employee, you will also be eligible for standard Company benefits in accordance with Company policy, subject in each case to the generally applicable terms and conditions of the applicable benefit plan and to the determinations of </w:t>
      </w:r>
      <w:r>
        <w:rPr>
          <w:rFonts w:ascii="Times New Roman" w:cs="Times New Roman" w:eastAsia="Times New Roman" w:hAnsi="Times New Roman"/>
          <w:sz w:val="20"/>
          <w:szCs w:val="20"/>
          <w:color w:val="3B3B3B"/>
        </w:rPr>
        <w:t>any</w:t>
      </w:r>
      <w:r>
        <w:rPr>
          <w:rFonts w:ascii="Times New Roman" w:cs="Times New Roman" w:eastAsia="Times New Roman" w:hAnsi="Times New Roman"/>
          <w:sz w:val="20"/>
          <w:szCs w:val="20"/>
          <w:color w:val="1F1F1F"/>
        </w:rPr>
        <w:t xml:space="preserve"> person or committee administering such plan. You will be entitled to paid time off in accordance with the Company's time-off policy, the timing and duration of such time off to be mutually and reasonably agreed to between you and the Company. The Company will also reimburse any of your expenses associated with Company business, subject to and in accordance with the Company's expense policies. You should note that the Company may modify salaries, benefits and its policies from time to time as it deems necessary or appropriate.</w:t>
      </w:r>
    </w:p>
    <w:p>
      <w:pPr>
        <w:spacing w:after="0" w:line="206"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1F1F1F"/>
        </w:rPr>
        <w:t xml:space="preserve">If </w:t>
      </w:r>
      <w:r>
        <w:rPr>
          <w:rFonts w:ascii="Times New Roman" w:cs="Times New Roman" w:eastAsia="Times New Roman" w:hAnsi="Times New Roman"/>
          <w:sz w:val="20"/>
          <w:szCs w:val="20"/>
          <w:color w:val="3B3B3B"/>
        </w:rPr>
        <w:t>you</w:t>
      </w:r>
      <w:r>
        <w:rPr>
          <w:rFonts w:ascii="Times New Roman" w:cs="Times New Roman" w:eastAsia="Times New Roman" w:hAnsi="Times New Roman"/>
          <w:sz w:val="20"/>
          <w:szCs w:val="20"/>
          <w:color w:val="1F1F1F"/>
        </w:rPr>
        <w:t xml:space="preserve"> decide to join the Company, the Company will recommend that the Board grant you an option (the "</w:t>
      </w:r>
      <w:r>
        <w:rPr>
          <w:rFonts w:ascii="Times New Roman" w:cs="Times New Roman" w:eastAsia="Times New Roman" w:hAnsi="Times New Roman"/>
          <w:sz w:val="20"/>
          <w:szCs w:val="20"/>
          <w:u w:val="single" w:color="auto"/>
          <w:color w:val="1F1F1F"/>
        </w:rPr>
        <w:t>Option</w:t>
      </w:r>
      <w:r>
        <w:rPr>
          <w:rFonts w:ascii="Times New Roman" w:cs="Times New Roman" w:eastAsia="Times New Roman" w:hAnsi="Times New Roman"/>
          <w:sz w:val="20"/>
          <w:szCs w:val="20"/>
          <w:color w:val="1F1F1F"/>
        </w:rPr>
        <w:t xml:space="preserve">") to purchase 49,000 </w:t>
      </w:r>
      <w:r>
        <w:rPr>
          <w:rFonts w:ascii="Times New Roman" w:cs="Times New Roman" w:eastAsia="Times New Roman" w:hAnsi="Times New Roman"/>
          <w:sz w:val="20"/>
          <w:szCs w:val="20"/>
          <w:color w:val="3B3B3B"/>
        </w:rPr>
        <w:t>shares</w:t>
      </w:r>
      <w:r>
        <w:rPr>
          <w:rFonts w:ascii="Times New Roman" w:cs="Times New Roman" w:eastAsia="Times New Roman" w:hAnsi="Times New Roman"/>
          <w:sz w:val="20"/>
          <w:szCs w:val="20"/>
          <w:color w:val="1F1F1F"/>
        </w:rPr>
        <w:t>(subject to customary adjustments for</w:t>
      </w:r>
      <w:r>
        <w:rPr>
          <w:rFonts w:ascii="Times New Roman" w:cs="Times New Roman" w:eastAsia="Times New Roman" w:hAnsi="Times New Roman"/>
          <w:sz w:val="20"/>
          <w:szCs w:val="20"/>
          <w:color w:val="3B3B3B"/>
        </w:rPr>
        <w:t xml:space="preserve"> stock </w:t>
      </w:r>
      <w:r>
        <w:rPr>
          <w:rFonts w:ascii="Times New Roman" w:cs="Times New Roman" w:eastAsia="Times New Roman" w:hAnsi="Times New Roman"/>
          <w:sz w:val="20"/>
          <w:szCs w:val="20"/>
          <w:color w:val="1F1F1F"/>
        </w:rPr>
        <w:t>splits, reverse splits, stock dividends and similar events after the date hereof) of the</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1F1F1F"/>
        </w:rPr>
        <w:t>Company's common stock ("</w:t>
      </w:r>
      <w:r>
        <w:rPr>
          <w:rFonts w:ascii="Times New Roman" w:cs="Times New Roman" w:eastAsia="Times New Roman" w:hAnsi="Times New Roman"/>
          <w:sz w:val="20"/>
          <w:szCs w:val="20"/>
          <w:u w:val="single" w:color="auto"/>
          <w:color w:val="1F1F1F"/>
        </w:rPr>
        <w:t>Common Stock</w:t>
      </w:r>
      <w:r>
        <w:rPr>
          <w:rFonts w:ascii="Times New Roman" w:cs="Times New Roman" w:eastAsia="Times New Roman" w:hAnsi="Times New Roman"/>
          <w:sz w:val="20"/>
          <w:szCs w:val="20"/>
          <w:color w:val="1F1F1F"/>
        </w:rPr>
        <w:t xml:space="preserve">") at a price per share equal to the fair market value per share of the </w:t>
      </w:r>
      <w:r>
        <w:rPr>
          <w:rFonts w:ascii="Times New Roman" w:cs="Times New Roman" w:eastAsia="Times New Roman" w:hAnsi="Times New Roman"/>
          <w:sz w:val="20"/>
          <w:szCs w:val="20"/>
          <w:color w:val="3B3B3B"/>
        </w:rPr>
        <w:t>Common</w:t>
      </w:r>
      <w:r>
        <w:rPr>
          <w:rFonts w:ascii="Times New Roman" w:cs="Times New Roman" w:eastAsia="Times New Roman" w:hAnsi="Times New Roman"/>
          <w:sz w:val="20"/>
          <w:szCs w:val="20"/>
          <w:color w:val="1F1F1F"/>
        </w:rPr>
        <w:t xml:space="preserve"> Stock on the date of grant of the Option, as determined by the Board. Twenty-five percent (25%) of the Option will vest and be exercisable on the first anniversary of the Start Date, subject to your continuing employment with the Company through </w:t>
      </w:r>
      <w:r>
        <w:rPr>
          <w:rFonts w:ascii="Times New Roman" w:cs="Times New Roman" w:eastAsia="Times New Roman" w:hAnsi="Times New Roman"/>
          <w:sz w:val="20"/>
          <w:szCs w:val="20"/>
          <w:color w:val="3B3B3B"/>
        </w:rPr>
        <w:t>that</w:t>
      </w:r>
      <w:r>
        <w:rPr>
          <w:rFonts w:ascii="Times New Roman" w:cs="Times New Roman" w:eastAsia="Times New Roman" w:hAnsi="Times New Roman"/>
          <w:sz w:val="20"/>
          <w:szCs w:val="20"/>
          <w:color w:val="1F1F1F"/>
        </w:rPr>
        <w:t xml:space="preserve"> date, and none of the Option will vest before such date. The remaining Option will vest monthly over the next thirty-six (36) months in equal installments, subject in each case to your continuing employment with the Company through the applicable vesting date. The Option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5" w:name="page156"/>
    <w:bookmarkEnd w:id="155"/>
    <w:p>
      <w:pPr>
        <w:ind w:right="160"/>
        <w:spacing w:after="0" w:line="269" w:lineRule="auto"/>
        <w:rPr>
          <w:sz w:val="20"/>
          <w:szCs w:val="20"/>
          <w:color w:val="auto"/>
        </w:rPr>
      </w:pPr>
      <w:r>
        <w:rPr>
          <w:rFonts w:ascii="Times New Roman" w:cs="Times New Roman" w:eastAsia="Times New Roman" w:hAnsi="Times New Roman"/>
          <w:sz w:val="20"/>
          <w:szCs w:val="20"/>
          <w:color w:val="1F1F1F"/>
        </w:rPr>
        <w:t xml:space="preserve">granted under the </w:t>
      </w:r>
      <w:r>
        <w:rPr>
          <w:rFonts w:ascii="Times New Roman" w:cs="Times New Roman" w:eastAsia="Times New Roman" w:hAnsi="Times New Roman"/>
          <w:sz w:val="20"/>
          <w:szCs w:val="20"/>
          <w:color w:val="3B3B3B"/>
        </w:rPr>
        <w:t>Company's</w:t>
      </w:r>
      <w:r>
        <w:rPr>
          <w:rFonts w:ascii="Times New Roman" w:cs="Times New Roman" w:eastAsia="Times New Roman" w:hAnsi="Times New Roman"/>
          <w:sz w:val="20"/>
          <w:szCs w:val="20"/>
          <w:color w:val="1F1F1F"/>
        </w:rPr>
        <w:t xml:space="preserve"> equity incentive plan and will be subject to such further terms and conditions as set forth in such plan and in a written stock option agreement to be entered into by the Company and you to evidence the Option.</w:t>
      </w:r>
    </w:p>
    <w:p>
      <w:pPr>
        <w:spacing w:after="0" w:line="17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1F1F1F"/>
        </w:rPr>
        <w:t>If you terminate, or if the Company terminates, your employment for any reason(with or without cause), then you will be entitled to receive only: (i) any earned but unpaid Base Salary as of the date of termination; (ii) reimbursement for all reasonable and necessary expenses incurred by you in connection with your performance of services on behalf of the Company while you are employed with the Company (subject to providing reasonable documentation of such expenses and to the extent such expenses are reimbursable under the Company's expense policies), payable in accordance with applicable Company policies and procedures; and (iii) your vested and unpaid benefits (if any) pursuant to any Company benefit plan, payable in accordance with the terms of the applicable plan.</w:t>
      </w:r>
    </w:p>
    <w:p>
      <w:pPr>
        <w:spacing w:after="0" w:line="19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1F1F1F"/>
        </w:rPr>
        <w:t xml:space="preserve">The Company is excited about your joining and looks forward to a beneficial and productive relationship. Nevertheless, </w:t>
      </w:r>
      <w:r>
        <w:rPr>
          <w:rFonts w:ascii="Times New Roman" w:cs="Times New Roman" w:eastAsia="Times New Roman" w:hAnsi="Times New Roman"/>
          <w:sz w:val="20"/>
          <w:szCs w:val="20"/>
          <w:color w:val="3B3B3B"/>
        </w:rPr>
        <w:t>you</w:t>
      </w:r>
      <w:r>
        <w:rPr>
          <w:rFonts w:ascii="Times New Roman" w:cs="Times New Roman" w:eastAsia="Times New Roman" w:hAnsi="Times New Roman"/>
          <w:sz w:val="20"/>
          <w:szCs w:val="20"/>
          <w:color w:val="1F1F1F"/>
        </w:rPr>
        <w:t xml:space="preserve"> should be aware that your employment with the Company is for no </w:t>
      </w:r>
      <w:r>
        <w:rPr>
          <w:rFonts w:ascii="Times New Roman" w:cs="Times New Roman" w:eastAsia="Times New Roman" w:hAnsi="Times New Roman"/>
          <w:sz w:val="20"/>
          <w:szCs w:val="20"/>
          <w:color w:val="3B3B3B"/>
        </w:rPr>
        <w:t>specified</w:t>
      </w:r>
      <w:r>
        <w:rPr>
          <w:rFonts w:ascii="Times New Roman" w:cs="Times New Roman" w:eastAsia="Times New Roman" w:hAnsi="Times New Roman"/>
          <w:sz w:val="20"/>
          <w:szCs w:val="20"/>
          <w:color w:val="1F1F1F"/>
        </w:rPr>
        <w:t xml:space="preserve"> period and constitutes at 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(2) weeks' advance notice.</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F1F1F"/>
        </w:rPr>
        <w:t xml:space="preserve">For purposes of federal immigration law, you </w:t>
      </w:r>
      <w:r>
        <w:rPr>
          <w:rFonts w:ascii="Times New Roman" w:cs="Times New Roman" w:eastAsia="Times New Roman" w:hAnsi="Times New Roman"/>
          <w:sz w:val="20"/>
          <w:szCs w:val="20"/>
          <w:color w:val="3B3B3B"/>
        </w:rPr>
        <w:t>will</w:t>
      </w:r>
      <w:r>
        <w:rPr>
          <w:rFonts w:ascii="Times New Roman" w:cs="Times New Roman" w:eastAsia="Times New Roman" w:hAnsi="Times New Roman"/>
          <w:sz w:val="20"/>
          <w:szCs w:val="20"/>
          <w:color w:val="1F1F1F"/>
        </w:rPr>
        <w:t xml:space="preserve"> be required to provide to the Company documentary evidence of your identity and eligibility for employment in the United States. Please bring such documentation with you on your Start Date or our employment relationship with you may be terminated.</w:t>
      </w:r>
    </w:p>
    <w:p>
      <w:pPr>
        <w:spacing w:after="0" w:line="18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1F1F1F"/>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and will not interfere with your performance of, the duties of your position and you represent that such is the case. Moreover, you agree that, while you are employed with the Company</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1F1F1F"/>
        </w:rPr>
        <w:t xml:space="preserve"> you will not engage in any other employment, occupation, consulting or other business activity directly related to the business in which the Company is now involved or becomes involved during the period of your employment, nor will you engage in any other activities that conflict with your obligations to the Company. Similarly, you agree not to bring any third-party confidential information to the Company, including that of your former employer, and that in performing your duties for the Company you will not in any way utilize any such information.</w:t>
      </w:r>
    </w:p>
    <w:p>
      <w:pPr>
        <w:spacing w:after="0" w:line="20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1F1F1F"/>
        </w:rPr>
        <w:t>As a condition of your employment and prior to the Start Date, you are also required to sign the Company's At Will Employment, Confidential Information, Invention Assignment and Arbitration Agreement ("</w:t>
      </w:r>
      <w:r>
        <w:rPr>
          <w:rFonts w:ascii="Times New Roman" w:cs="Times New Roman" w:eastAsia="Times New Roman" w:hAnsi="Times New Roman"/>
          <w:sz w:val="20"/>
          <w:szCs w:val="20"/>
          <w:u w:val="single" w:color="auto"/>
          <w:color w:val="1F1F1F"/>
        </w:rPr>
        <w:t>Confidentiality Agreement</w:t>
      </w:r>
      <w:r>
        <w:rPr>
          <w:rFonts w:ascii="Times New Roman" w:cs="Times New Roman" w:eastAsia="Times New Roman" w:hAnsi="Times New Roman"/>
          <w:sz w:val="20"/>
          <w:szCs w:val="20"/>
          <w:color w:val="1F1F1F"/>
        </w:rPr>
        <w:t>") which requires, among other provisions</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1F1F1F"/>
        </w:rPr>
        <w:t xml:space="preserve"> the assignment of patent rights to any invention made during your employment at the Company, non-disclosure of Company proprietary information, and that in the event of any dispute or claim relating to or arising out of our employment relationship, </w:t>
      </w:r>
      <w:r>
        <w:rPr>
          <w:rFonts w:ascii="Times New Roman" w:cs="Times New Roman" w:eastAsia="Times New Roman" w:hAnsi="Times New Roman"/>
          <w:sz w:val="20"/>
          <w:szCs w:val="20"/>
          <w:color w:val="3B3B3B"/>
        </w:rPr>
        <w:t>you</w:t>
      </w:r>
      <w:r>
        <w:rPr>
          <w:rFonts w:ascii="Times New Roman" w:cs="Times New Roman" w:eastAsia="Times New Roman" w:hAnsi="Times New Roman"/>
          <w:sz w:val="20"/>
          <w:szCs w:val="20"/>
          <w:color w:val="1F1F1F"/>
        </w:rPr>
        <w:t xml:space="preserve"> and the Company agree that any and all disputes between you and the Company will be fully and finally resolved by binding arbitration. Please note that we must receive your </w:t>
      </w:r>
      <w:r>
        <w:rPr>
          <w:rFonts w:ascii="Times New Roman" w:cs="Times New Roman" w:eastAsia="Times New Roman" w:hAnsi="Times New Roman"/>
          <w:sz w:val="20"/>
          <w:szCs w:val="20"/>
          <w:color w:val="3B3B3B"/>
        </w:rPr>
        <w:t>signed</w:t>
      </w:r>
      <w:r>
        <w:rPr>
          <w:rFonts w:ascii="Times New Roman" w:cs="Times New Roman" w:eastAsia="Times New Roman" w:hAnsi="Times New Roman"/>
          <w:sz w:val="20"/>
          <w:szCs w:val="20"/>
          <w:color w:val="1F1F1F"/>
        </w:rPr>
        <w:t xml:space="preserve"> Confidentiality Agreement before your first day of employment. Your continued employment with the Company is </w:t>
      </w:r>
      <w:r>
        <w:rPr>
          <w:rFonts w:ascii="Times New Roman" w:cs="Times New Roman" w:eastAsia="Times New Roman" w:hAnsi="Times New Roman"/>
          <w:sz w:val="20"/>
          <w:szCs w:val="20"/>
          <w:color w:val="3B3B3B"/>
        </w:rPr>
        <w:t>subject</w:t>
      </w:r>
      <w:r>
        <w:rPr>
          <w:rFonts w:ascii="Times New Roman" w:cs="Times New Roman" w:eastAsia="Times New Roman" w:hAnsi="Times New Roman"/>
          <w:sz w:val="20"/>
          <w:szCs w:val="20"/>
          <w:color w:val="1F1F1F"/>
        </w:rPr>
        <w:t xml:space="preserve"> to your ongoing compliance with your obligations under </w:t>
      </w:r>
      <w:r>
        <w:rPr>
          <w:rFonts w:ascii="Times New Roman" w:cs="Times New Roman" w:eastAsia="Times New Roman" w:hAnsi="Times New Roman"/>
          <w:sz w:val="20"/>
          <w:szCs w:val="20"/>
          <w:color w:val="0F0F0F"/>
        </w:rPr>
        <w:t>the</w:t>
      </w:r>
      <w:r>
        <w:rPr>
          <w:rFonts w:ascii="Times New Roman" w:cs="Times New Roman" w:eastAsia="Times New Roman" w:hAnsi="Times New Roman"/>
          <w:sz w:val="20"/>
          <w:szCs w:val="20"/>
          <w:color w:val="1F1F1F"/>
        </w:rPr>
        <w:t xml:space="preserve"> Confidentiality </w:t>
      </w:r>
      <w:r>
        <w:rPr>
          <w:rFonts w:ascii="Times New Roman" w:cs="Times New Roman" w:eastAsia="Times New Roman" w:hAnsi="Times New Roman"/>
          <w:sz w:val="20"/>
          <w:szCs w:val="20"/>
          <w:color w:val="0F0F0F"/>
        </w:rPr>
        <w:t>Agreement</w:t>
      </w:r>
      <w:r>
        <w:rPr>
          <w:rFonts w:ascii="Times New Roman" w:cs="Times New Roman" w:eastAsia="Times New Roman" w:hAnsi="Times New Roman"/>
          <w:sz w:val="20"/>
          <w:szCs w:val="20"/>
          <w:color w:val="1F1F1F"/>
        </w:rPr>
        <w:t xml:space="preserve"> and your compliance with all other Company policies, as they are in effect from time to time.</w:t>
      </w:r>
    </w:p>
    <w:p>
      <w:pPr>
        <w:spacing w:after="0" w:line="20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1F1F1F"/>
        </w:rPr>
        <w:t xml:space="preserve">This letter and all of your rights and obligations hereunder are </w:t>
      </w:r>
      <w:r>
        <w:rPr>
          <w:rFonts w:ascii="Times New Roman" w:cs="Times New Roman" w:eastAsia="Times New Roman" w:hAnsi="Times New Roman"/>
          <w:sz w:val="20"/>
          <w:szCs w:val="20"/>
          <w:color w:val="0F0F0F"/>
        </w:rPr>
        <w:t>personal</w:t>
      </w:r>
      <w:r>
        <w:rPr>
          <w:rFonts w:ascii="Times New Roman" w:cs="Times New Roman" w:eastAsia="Times New Roman" w:hAnsi="Times New Roman"/>
          <w:sz w:val="20"/>
          <w:szCs w:val="20"/>
          <w:color w:val="1F1F1F"/>
        </w:rPr>
        <w:t xml:space="preserve"> to you and may </w:t>
      </w:r>
      <w:r>
        <w:rPr>
          <w:rFonts w:ascii="Times New Roman" w:cs="Times New Roman" w:eastAsia="Times New Roman" w:hAnsi="Times New Roman"/>
          <w:sz w:val="20"/>
          <w:szCs w:val="20"/>
          <w:color w:val="0F0F0F"/>
        </w:rPr>
        <w:t>not</w:t>
      </w:r>
      <w:r>
        <w:rPr>
          <w:rFonts w:ascii="Times New Roman" w:cs="Times New Roman" w:eastAsia="Times New Roman" w:hAnsi="Times New Roman"/>
          <w:sz w:val="20"/>
          <w:szCs w:val="20"/>
          <w:color w:val="1F1F1F"/>
        </w:rPr>
        <w:t xml:space="preserve"> be transferred or assigned by you at any </w:t>
      </w:r>
      <w:r>
        <w:rPr>
          <w:rFonts w:ascii="Times New Roman" w:cs="Times New Roman" w:eastAsia="Times New Roman" w:hAnsi="Times New Roman"/>
          <w:sz w:val="20"/>
          <w:szCs w:val="20"/>
          <w:color w:val="0F0F0F"/>
        </w:rPr>
        <w:t>time.</w:t>
      </w:r>
      <w:r>
        <w:rPr>
          <w:rFonts w:ascii="Times New Roman" w:cs="Times New Roman" w:eastAsia="Times New Roman" w:hAnsi="Times New Roman"/>
          <w:sz w:val="20"/>
          <w:szCs w:val="20"/>
          <w:color w:val="1F1F1F"/>
        </w:rPr>
        <w:t xml:space="preserve"> The Company may assign </w:t>
      </w:r>
      <w:r>
        <w:rPr>
          <w:rFonts w:ascii="Times New Roman" w:cs="Times New Roman" w:eastAsia="Times New Roman" w:hAnsi="Times New Roman"/>
          <w:sz w:val="20"/>
          <w:szCs w:val="20"/>
          <w:color w:val="0F0F0F"/>
        </w:rPr>
        <w:t>its</w:t>
      </w:r>
      <w:r>
        <w:rPr>
          <w:rFonts w:ascii="Times New Roman" w:cs="Times New Roman" w:eastAsia="Times New Roman" w:hAnsi="Times New Roman"/>
          <w:sz w:val="20"/>
          <w:szCs w:val="20"/>
          <w:color w:val="1F1F1F"/>
        </w:rPr>
        <w:t xml:space="preserve"> rights under </w:t>
      </w:r>
      <w:r>
        <w:rPr>
          <w:rFonts w:ascii="Times New Roman" w:cs="Times New Roman" w:eastAsia="Times New Roman" w:hAnsi="Times New Roman"/>
          <w:sz w:val="20"/>
          <w:szCs w:val="20"/>
          <w:color w:val="0F0F0F"/>
        </w:rPr>
        <w:t>this letter</w:t>
      </w:r>
      <w:r>
        <w:rPr>
          <w:rFonts w:ascii="Times New Roman" w:cs="Times New Roman" w:eastAsia="Times New Roman" w:hAnsi="Times New Roman"/>
          <w:sz w:val="20"/>
          <w:szCs w:val="20"/>
          <w:color w:val="1F1F1F"/>
        </w:rPr>
        <w:t xml:space="preserve"> to a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ind w:right="560"/>
        <w:spacing w:after="0" w:line="269" w:lineRule="auto"/>
        <w:rPr>
          <w:sz w:val="20"/>
          <w:szCs w:val="20"/>
          <w:color w:val="auto"/>
        </w:rPr>
      </w:pPr>
      <w:r>
        <w:rPr>
          <w:rFonts w:ascii="Times New Roman" w:cs="Times New Roman" w:eastAsia="Times New Roman" w:hAnsi="Times New Roman"/>
          <w:sz w:val="20"/>
          <w:szCs w:val="20"/>
          <w:color w:val="1F1F1F"/>
        </w:rPr>
        <w:t xml:space="preserve">affiliated company or to an entity that assumes the Company's obligations hereunder </w:t>
      </w:r>
      <w:r>
        <w:rPr>
          <w:rFonts w:ascii="Times New Roman" w:cs="Times New Roman" w:eastAsia="Times New Roman" w:hAnsi="Times New Roman"/>
          <w:sz w:val="20"/>
          <w:szCs w:val="20"/>
          <w:color w:val="0F0F0F"/>
        </w:rPr>
        <w:t>in</w:t>
      </w:r>
      <w:r>
        <w:rPr>
          <w:rFonts w:ascii="Times New Roman" w:cs="Times New Roman" w:eastAsia="Times New Roman" w:hAnsi="Times New Roman"/>
          <w:sz w:val="20"/>
          <w:szCs w:val="20"/>
          <w:color w:val="1F1F1F"/>
        </w:rPr>
        <w:t xml:space="preserve"> connection with a sale or transfer of all or a substantial </w:t>
      </w:r>
      <w:r>
        <w:rPr>
          <w:rFonts w:ascii="Times New Roman" w:cs="Times New Roman" w:eastAsia="Times New Roman" w:hAnsi="Times New Roman"/>
          <w:sz w:val="20"/>
          <w:szCs w:val="20"/>
          <w:color w:val="0F0F0F"/>
        </w:rPr>
        <w:t>portion</w:t>
      </w:r>
      <w:r>
        <w:rPr>
          <w:rFonts w:ascii="Times New Roman" w:cs="Times New Roman" w:eastAsia="Times New Roman" w:hAnsi="Times New Roman"/>
          <w:sz w:val="20"/>
          <w:szCs w:val="20"/>
          <w:color w:val="1F1F1F"/>
        </w:rPr>
        <w:t xml:space="preserve"> of the Company's </w:t>
      </w:r>
      <w:r>
        <w:rPr>
          <w:rFonts w:ascii="Times New Roman" w:cs="Times New Roman" w:eastAsia="Times New Roman" w:hAnsi="Times New Roman"/>
          <w:sz w:val="20"/>
          <w:szCs w:val="20"/>
          <w:color w:val="0F0F0F"/>
        </w:rPr>
        <w:t>business</w:t>
      </w:r>
      <w:r>
        <w:rPr>
          <w:rFonts w:ascii="Times New Roman" w:cs="Times New Roman" w:eastAsia="Times New Roman" w:hAnsi="Times New Roman"/>
          <w:sz w:val="20"/>
          <w:szCs w:val="20"/>
          <w:color w:val="1F1F1F"/>
        </w:rPr>
        <w:t xml:space="preserve"> or assets.</w:t>
      </w:r>
    </w:p>
    <w:p>
      <w:pPr>
        <w:spacing w:after="0" w:line="17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1F1F1F"/>
        </w:rPr>
        <w:t xml:space="preserve">To accept the Company's offer, please sign and date this letter agreement </w:t>
      </w:r>
      <w:r>
        <w:rPr>
          <w:rFonts w:ascii="Times New Roman" w:cs="Times New Roman" w:eastAsia="Times New Roman" w:hAnsi="Times New Roman"/>
          <w:sz w:val="19"/>
          <w:szCs w:val="19"/>
          <w:color w:val="0F0F0F"/>
        </w:rPr>
        <w:t>in</w:t>
      </w:r>
      <w:r>
        <w:rPr>
          <w:rFonts w:ascii="Times New Roman" w:cs="Times New Roman" w:eastAsia="Times New Roman" w:hAnsi="Times New Roman"/>
          <w:sz w:val="19"/>
          <w:szCs w:val="19"/>
          <w:color w:val="1F1F1F"/>
        </w:rPr>
        <w:t xml:space="preserve"> the space provided </w:t>
      </w:r>
      <w:r>
        <w:rPr>
          <w:rFonts w:ascii="Times New Roman" w:cs="Times New Roman" w:eastAsia="Times New Roman" w:hAnsi="Times New Roman"/>
          <w:sz w:val="19"/>
          <w:szCs w:val="19"/>
          <w:color w:val="0F0F0F"/>
        </w:rPr>
        <w:t>below</w:t>
      </w:r>
      <w:r>
        <w:rPr>
          <w:rFonts w:ascii="Times New Roman" w:cs="Times New Roman" w:eastAsia="Times New Roman" w:hAnsi="Times New Roman"/>
          <w:sz w:val="19"/>
          <w:szCs w:val="19"/>
          <w:color w:val="1F1F1F"/>
        </w:rPr>
        <w:t xml:space="preserve"> and return </w:t>
      </w:r>
      <w:r>
        <w:rPr>
          <w:rFonts w:ascii="Times New Roman" w:cs="Times New Roman" w:eastAsia="Times New Roman" w:hAnsi="Times New Roman"/>
          <w:sz w:val="19"/>
          <w:szCs w:val="19"/>
          <w:color w:val="0F0F0F"/>
        </w:rPr>
        <w:t>it</w:t>
      </w:r>
      <w:r>
        <w:rPr>
          <w:rFonts w:ascii="Times New Roman" w:cs="Times New Roman" w:eastAsia="Times New Roman" w:hAnsi="Times New Roman"/>
          <w:sz w:val="19"/>
          <w:szCs w:val="19"/>
          <w:color w:val="1F1F1F"/>
        </w:rPr>
        <w:t xml:space="preserve"> to </w:t>
      </w:r>
      <w:r>
        <w:rPr>
          <w:rFonts w:ascii="Times New Roman" w:cs="Times New Roman" w:eastAsia="Times New Roman" w:hAnsi="Times New Roman"/>
          <w:sz w:val="19"/>
          <w:szCs w:val="19"/>
          <w:color w:val="0F0F0F"/>
        </w:rPr>
        <w:t>the</w:t>
      </w:r>
      <w:r>
        <w:rPr>
          <w:rFonts w:ascii="Times New Roman" w:cs="Times New Roman" w:eastAsia="Times New Roman" w:hAnsi="Times New Roman"/>
          <w:sz w:val="19"/>
          <w:szCs w:val="19"/>
          <w:color w:val="1F1F1F"/>
        </w:rPr>
        <w:t xml:space="preserve"> sender </w:t>
      </w:r>
      <w:r>
        <w:rPr>
          <w:rFonts w:ascii="Times New Roman" w:cs="Times New Roman" w:eastAsia="Times New Roman" w:hAnsi="Times New Roman"/>
          <w:sz w:val="19"/>
          <w:szCs w:val="19"/>
          <w:color w:val="0F0F0F"/>
        </w:rPr>
        <w:t>before</w:t>
      </w:r>
      <w:r>
        <w:rPr>
          <w:rFonts w:ascii="Times New Roman" w:cs="Times New Roman" w:eastAsia="Times New Roman" w:hAnsi="Times New Roman"/>
          <w:sz w:val="19"/>
          <w:szCs w:val="19"/>
          <w:color w:val="1F1F1F"/>
        </w:rPr>
        <w:t xml:space="preserve"> the </w:t>
      </w:r>
      <w:r>
        <w:rPr>
          <w:rFonts w:ascii="Times New Roman" w:cs="Times New Roman" w:eastAsia="Times New Roman" w:hAnsi="Times New Roman"/>
          <w:sz w:val="19"/>
          <w:szCs w:val="19"/>
          <w:color w:val="0F0F0F"/>
        </w:rPr>
        <w:t xml:space="preserve">deadline </w:t>
      </w:r>
      <w:r>
        <w:rPr>
          <w:rFonts w:ascii="Times New Roman" w:cs="Times New Roman" w:eastAsia="Times New Roman" w:hAnsi="Times New Roman"/>
          <w:sz w:val="19"/>
          <w:szCs w:val="19"/>
          <w:color w:val="1F1F1F"/>
        </w:rPr>
        <w:t>indicated</w:t>
      </w:r>
      <w:r>
        <w:rPr>
          <w:rFonts w:ascii="Times New Roman" w:cs="Times New Roman" w:eastAsia="Times New Roman" w:hAnsi="Times New Roman"/>
          <w:sz w:val="19"/>
          <w:szCs w:val="19"/>
          <w:color w:val="0F0F0F"/>
        </w:rPr>
        <w:t xml:space="preserve"> below. </w:t>
      </w:r>
      <w:r>
        <w:rPr>
          <w:rFonts w:ascii="Times New Roman" w:cs="Times New Roman" w:eastAsia="Times New Roman" w:hAnsi="Times New Roman"/>
          <w:sz w:val="19"/>
          <w:szCs w:val="19"/>
          <w:color w:val="1F1F1F"/>
        </w:rPr>
        <w:t>This</w:t>
      </w:r>
      <w:r>
        <w:rPr>
          <w:rFonts w:ascii="Times New Roman" w:cs="Times New Roman" w:eastAsia="Times New Roman" w:hAnsi="Times New Roman"/>
          <w:sz w:val="19"/>
          <w:szCs w:val="19"/>
          <w:color w:val="0F0F0F"/>
        </w:rPr>
        <w:t xml:space="preserve"> letter, </w:t>
      </w:r>
      <w:r>
        <w:rPr>
          <w:rFonts w:ascii="Times New Roman" w:cs="Times New Roman" w:eastAsia="Times New Roman" w:hAnsi="Times New Roman"/>
          <w:sz w:val="19"/>
          <w:szCs w:val="19"/>
          <w:color w:val="1F1F1F"/>
        </w:rPr>
        <w:t>along with the Confidentiality Agreement set forth the terms of your employment with the Company</w:t>
      </w:r>
      <w:r>
        <w:rPr>
          <w:rFonts w:ascii="Times New Roman" w:cs="Times New Roman" w:eastAsia="Times New Roman" w:hAnsi="Times New Roman"/>
          <w:sz w:val="19"/>
          <w:szCs w:val="19"/>
          <w:color w:val="0F0F0F"/>
        </w:rPr>
        <w:t xml:space="preserve"> </w:t>
      </w:r>
      <w:r>
        <w:rPr>
          <w:rFonts w:ascii="Times New Roman" w:cs="Times New Roman" w:eastAsia="Times New Roman" w:hAnsi="Times New Roman"/>
          <w:sz w:val="19"/>
          <w:szCs w:val="19"/>
          <w:color w:val="1F1F1F"/>
        </w:rPr>
        <w:t xml:space="preserve">and supersede any prior representations or agreements including, but not </w:t>
      </w:r>
      <w:r>
        <w:rPr>
          <w:rFonts w:ascii="Times New Roman" w:cs="Times New Roman" w:eastAsia="Times New Roman" w:hAnsi="Times New Roman"/>
          <w:sz w:val="19"/>
          <w:szCs w:val="19"/>
          <w:color w:val="0F0F0F"/>
        </w:rPr>
        <w:t>limited to,</w:t>
      </w:r>
      <w:r>
        <w:rPr>
          <w:rFonts w:ascii="Times New Roman" w:cs="Times New Roman" w:eastAsia="Times New Roman" w:hAnsi="Times New Roman"/>
          <w:sz w:val="19"/>
          <w:szCs w:val="19"/>
          <w:color w:val="1F1F1F"/>
        </w:rPr>
        <w:t xml:space="preserve"> any </w:t>
      </w:r>
      <w:r>
        <w:rPr>
          <w:rFonts w:ascii="Times New Roman" w:cs="Times New Roman" w:eastAsia="Times New Roman" w:hAnsi="Times New Roman"/>
          <w:sz w:val="19"/>
          <w:szCs w:val="19"/>
          <w:color w:val="0F0F0F"/>
        </w:rPr>
        <w:t>representations</w:t>
      </w:r>
      <w:r>
        <w:rPr>
          <w:rFonts w:ascii="Times New Roman" w:cs="Times New Roman" w:eastAsia="Times New Roman" w:hAnsi="Times New Roman"/>
          <w:sz w:val="19"/>
          <w:szCs w:val="19"/>
          <w:color w:val="1F1F1F"/>
        </w:rPr>
        <w:t xml:space="preserve"> made during your recruitment, </w:t>
      </w:r>
      <w:r>
        <w:rPr>
          <w:rFonts w:ascii="Times New Roman" w:cs="Times New Roman" w:eastAsia="Times New Roman" w:hAnsi="Times New Roman"/>
          <w:sz w:val="19"/>
          <w:szCs w:val="19"/>
          <w:color w:val="0F0F0F"/>
        </w:rPr>
        <w:t xml:space="preserve">interviews </w:t>
      </w:r>
      <w:r>
        <w:rPr>
          <w:rFonts w:ascii="Times New Roman" w:cs="Times New Roman" w:eastAsia="Times New Roman" w:hAnsi="Times New Roman"/>
          <w:sz w:val="19"/>
          <w:szCs w:val="19"/>
          <w:color w:val="1F1F1F"/>
        </w:rPr>
        <w:t>or pre-employment</w:t>
      </w:r>
      <w:r>
        <w:rPr>
          <w:rFonts w:ascii="Times New Roman" w:cs="Times New Roman" w:eastAsia="Times New Roman" w:hAnsi="Times New Roman"/>
          <w:sz w:val="19"/>
          <w:szCs w:val="19"/>
          <w:color w:val="0F0F0F"/>
        </w:rPr>
        <w:t xml:space="preserve"> negotiations, </w:t>
      </w:r>
      <w:r>
        <w:rPr>
          <w:rFonts w:ascii="Times New Roman" w:cs="Times New Roman" w:eastAsia="Times New Roman" w:hAnsi="Times New Roman"/>
          <w:sz w:val="19"/>
          <w:szCs w:val="19"/>
          <w:color w:val="1F1F1F"/>
        </w:rPr>
        <w:t>whether written or oral. This</w:t>
      </w:r>
      <w:r>
        <w:rPr>
          <w:rFonts w:ascii="Times New Roman" w:cs="Times New Roman" w:eastAsia="Times New Roman" w:hAnsi="Times New Roman"/>
          <w:sz w:val="19"/>
          <w:szCs w:val="19"/>
          <w:color w:val="0F0F0F"/>
        </w:rPr>
        <w:t xml:space="preserve"> letter, </w:t>
      </w:r>
      <w:r>
        <w:rPr>
          <w:rFonts w:ascii="Times New Roman" w:cs="Times New Roman" w:eastAsia="Times New Roman" w:hAnsi="Times New Roman"/>
          <w:sz w:val="19"/>
          <w:szCs w:val="19"/>
          <w:color w:val="1F1F1F"/>
        </w:rPr>
        <w:t>including, but not limited to, its at-will employment</w:t>
      </w:r>
      <w:r>
        <w:rPr>
          <w:rFonts w:ascii="Times New Roman" w:cs="Times New Roman" w:eastAsia="Times New Roman" w:hAnsi="Times New Roman"/>
          <w:sz w:val="19"/>
          <w:szCs w:val="19"/>
          <w:color w:val="0F0F0F"/>
        </w:rPr>
        <w:t xml:space="preserve"> provision, may </w:t>
      </w:r>
      <w:r>
        <w:rPr>
          <w:rFonts w:ascii="Times New Roman" w:cs="Times New Roman" w:eastAsia="Times New Roman" w:hAnsi="Times New Roman"/>
          <w:sz w:val="19"/>
          <w:szCs w:val="19"/>
          <w:color w:val="1F1F1F"/>
        </w:rPr>
        <w:t>not be modified or amended except</w:t>
      </w:r>
      <w:r>
        <w:rPr>
          <w:rFonts w:ascii="Times New Roman" w:cs="Times New Roman" w:eastAsia="Times New Roman" w:hAnsi="Times New Roman"/>
          <w:sz w:val="19"/>
          <w:szCs w:val="19"/>
          <w:color w:val="0F0F0F"/>
        </w:rPr>
        <w:t xml:space="preserve"> by </w:t>
      </w:r>
      <w:r>
        <w:rPr>
          <w:rFonts w:ascii="Times New Roman" w:cs="Times New Roman" w:eastAsia="Times New Roman" w:hAnsi="Times New Roman"/>
          <w:sz w:val="19"/>
          <w:szCs w:val="19"/>
          <w:color w:val="1F1F1F"/>
        </w:rPr>
        <w:t>a written agreement signed by authorized officer of the Company and you.</w:t>
      </w:r>
    </w:p>
    <w:p>
      <w:pPr>
        <w:spacing w:after="0" w:line="180" w:lineRule="exact"/>
        <w:rPr>
          <w:sz w:val="20"/>
          <w:szCs w:val="20"/>
          <w:color w:val="auto"/>
        </w:rPr>
      </w:pPr>
    </w:p>
    <w:p>
      <w:pPr>
        <w:spacing w:after="0"/>
        <w:tabs>
          <w:tab w:leader="none" w:pos="8260" w:val="left"/>
        </w:tabs>
        <w:rPr>
          <w:sz w:val="20"/>
          <w:szCs w:val="20"/>
          <w:color w:val="auto"/>
        </w:rPr>
      </w:pPr>
      <w:r>
        <w:rPr>
          <w:rFonts w:ascii="Times New Roman" w:cs="Times New Roman" w:eastAsia="Times New Roman" w:hAnsi="Times New Roman"/>
          <w:sz w:val="20"/>
          <w:szCs w:val="20"/>
          <w:color w:val="0F0F0F"/>
        </w:rPr>
        <w:t xml:space="preserve">This </w:t>
      </w:r>
      <w:r>
        <w:rPr>
          <w:rFonts w:ascii="Times New Roman" w:cs="Times New Roman" w:eastAsia="Times New Roman" w:hAnsi="Times New Roman"/>
          <w:sz w:val="20"/>
          <w:szCs w:val="20"/>
          <w:color w:val="1F1F1F"/>
        </w:rPr>
        <w:t>offer of employment will</w:t>
      </w:r>
      <w:r>
        <w:rPr>
          <w:rFonts w:ascii="Times New Roman" w:cs="Times New Roman" w:eastAsia="Times New Roman" w:hAnsi="Times New Roman"/>
          <w:sz w:val="20"/>
          <w:szCs w:val="20"/>
          <w:color w:val="0F0F0F"/>
        </w:rPr>
        <w:t xml:space="preserve"> </w:t>
      </w:r>
      <w:r>
        <w:rPr>
          <w:rFonts w:ascii="Times New Roman" w:cs="Times New Roman" w:eastAsia="Times New Roman" w:hAnsi="Times New Roman"/>
          <w:sz w:val="20"/>
          <w:szCs w:val="20"/>
          <w:color w:val="343434"/>
        </w:rPr>
        <w:t>expire</w:t>
      </w:r>
      <w:r>
        <w:rPr>
          <w:rFonts w:ascii="Times New Roman" w:cs="Times New Roman" w:eastAsia="Times New Roman" w:hAnsi="Times New Roman"/>
          <w:sz w:val="20"/>
          <w:szCs w:val="20"/>
          <w:color w:val="0F0F0F"/>
        </w:rPr>
        <w:t xml:space="preserve"> if </w:t>
      </w:r>
      <w:r>
        <w:rPr>
          <w:rFonts w:ascii="Times New Roman" w:cs="Times New Roman" w:eastAsia="Times New Roman" w:hAnsi="Times New Roman"/>
          <w:sz w:val="20"/>
          <w:szCs w:val="20"/>
          <w:color w:val="1F1F1F"/>
        </w:rPr>
        <w:t>we don't receive your signed acceptance by</w:t>
      </w:r>
      <w:r>
        <w:rPr>
          <w:rFonts w:ascii="Times New Roman" w:cs="Times New Roman" w:eastAsia="Times New Roman" w:hAnsi="Times New Roman"/>
          <w:sz w:val="20"/>
          <w:szCs w:val="20"/>
          <w:color w:val="0F0F0F"/>
        </w:rPr>
        <w:t xml:space="preserve"> January </w:t>
      </w:r>
      <w:r>
        <w:rPr>
          <w:rFonts w:ascii="Times New Roman" w:cs="Times New Roman" w:eastAsia="Times New Roman" w:hAnsi="Times New Roman"/>
          <w:sz w:val="20"/>
          <w:szCs w:val="20"/>
          <w:color w:val="1F1F1F"/>
        </w:rPr>
        <w:t>20, 2020.</w:t>
      </w:r>
      <w:r>
        <w:rPr>
          <w:rFonts w:ascii="Times New Roman" w:cs="Times New Roman" w:eastAsia="Times New Roman" w:hAnsi="Times New Roman"/>
          <w:sz w:val="20"/>
          <w:szCs w:val="20"/>
          <w:color w:val="999999"/>
        </w:rPr>
        <w:tab/>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 xml:space="preserve">I look forward </w:t>
      </w:r>
      <w:r>
        <w:rPr>
          <w:rFonts w:ascii="Times New Roman" w:cs="Times New Roman" w:eastAsia="Times New Roman" w:hAnsi="Times New Roman"/>
          <w:sz w:val="20"/>
          <w:szCs w:val="20"/>
          <w:color w:val="0F0F0F"/>
        </w:rPr>
        <w:t>to</w:t>
      </w:r>
      <w:r>
        <w:rPr>
          <w:rFonts w:ascii="Times New Roman" w:cs="Times New Roman" w:eastAsia="Times New Roman" w:hAnsi="Times New Roman"/>
          <w:sz w:val="20"/>
          <w:szCs w:val="20"/>
          <w:color w:val="1F1F1F"/>
        </w:rPr>
        <w:t xml:space="preserve"> your favorable </w:t>
      </w:r>
      <w:r>
        <w:rPr>
          <w:rFonts w:ascii="Times New Roman" w:cs="Times New Roman" w:eastAsia="Times New Roman" w:hAnsi="Times New Roman"/>
          <w:sz w:val="20"/>
          <w:szCs w:val="20"/>
          <w:color w:val="343434"/>
        </w:rPr>
        <w:t>reply and</w:t>
      </w:r>
      <w:r>
        <w:rPr>
          <w:rFonts w:ascii="Times New Roman" w:cs="Times New Roman" w:eastAsia="Times New Roman" w:hAnsi="Times New Roman"/>
          <w:sz w:val="20"/>
          <w:szCs w:val="20"/>
          <w:color w:val="1F1F1F"/>
        </w:rPr>
        <w:t xml:space="preserve"> to welcoming you to Nkarta,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Sincerely,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F1F1F"/>
        </w:rPr>
        <w:t>/s/ Kanya Rajangam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Kanya Rajangam, MD, PhD</w:t>
      </w:r>
    </w:p>
    <w:p>
      <w:pPr>
        <w:spacing w:after="0"/>
        <w:rPr>
          <w:sz w:val="20"/>
          <w:szCs w:val="20"/>
          <w:color w:val="auto"/>
        </w:rPr>
      </w:pPr>
      <w:r>
        <w:rPr>
          <w:rFonts w:ascii="Times New Roman" w:cs="Times New Roman" w:eastAsia="Times New Roman" w:hAnsi="Times New Roman"/>
          <w:sz w:val="20"/>
          <w:szCs w:val="20"/>
          <w:color w:val="1F1F1F"/>
        </w:rPr>
        <w:t>Chief Medical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 xml:space="preserve">Date: January </w:t>
      </w:r>
      <w:r>
        <w:rPr>
          <w:rFonts w:ascii="Times New Roman" w:cs="Times New Roman" w:eastAsia="Times New Roman" w:hAnsi="Times New Roman"/>
          <w:sz w:val="20"/>
          <w:szCs w:val="20"/>
          <w:color w:val="0F0F0F"/>
        </w:rPr>
        <w:t>15,</w:t>
      </w:r>
      <w:r>
        <w:rPr>
          <w:rFonts w:ascii="Times New Roman" w:cs="Times New Roman" w:eastAsia="Times New Roman" w:hAnsi="Times New Roman"/>
          <w:sz w:val="20"/>
          <w:szCs w:val="20"/>
          <w:color w:val="1F1F1F"/>
        </w:rPr>
        <w:t xml:space="preserve"> 2020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Agreed to and accepted: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F1F1F"/>
        </w:rPr>
        <w:t>/s/ David Shook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David Shook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 xml:space="preserve">Date: </w:t>
      </w:r>
      <w:r>
        <w:rPr>
          <w:rFonts w:ascii="Times New Roman" w:cs="Times New Roman" w:eastAsia="Times New Roman" w:hAnsi="Times New Roman"/>
          <w:sz w:val="20"/>
          <w:szCs w:val="20"/>
          <w:u w:val="single" w:color="auto"/>
          <w:color w:val="1F1F1F"/>
        </w:rPr>
        <w:t>1/20/2020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43434"/>
        </w:rPr>
        <w:t>Enclosures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At-Will Employment, Confidential Information, Invention Assignment and Arbitration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13" w:right="61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333-240309) pertaining to the Nkarta, Inc. 2020 Performance Incentive Plan, the Nkarta, Inc. Employee Stock Purchase Plan, and the Nkarta, Inc. 2015 Equity Incentive Plan of Nkarta, Inc.,</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333-252134) pertaining to the Nkarta, Inc. 2020 Performance Incentive Plan and the Nkarta, Inc. Employee Stock Purchase Plan of Nkarta, Inc.,</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333-258766) of Nkarta, Inc.,</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333-263650) pertaining to the Nkarta, Inc. 2020 Performance Incentive Plan and the Nkarta, Inc. Employee Stock Purchase Plan,</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333-269164) pertaining to the Nkarta, Inc. 2020 Performance Incentive Plan and the Nkarta, Inc. Employee Stock Purchase Plan,</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333-270680 and Amendment No. 1 thereto) of Nkarta, Inc., and</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333-276361) pertaining to the Nkarta, Inc. 2020 Performance Incentive Plan and the Nkarta, Inc. Employee Stock Purchase Plan;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our report dated March 21, 2024, with respect to the financial statements of Nkarta, Inc. included in this Annual Report (Form 10-K) of Nkarta, Inc. for the year ended December 31, 2023.</w:t>
      </w:r>
    </w:p>
    <w:p>
      <w:pPr>
        <w:spacing w:after="0" w:line="16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Hastings, certify that:</w:t>
      </w:r>
    </w:p>
    <w:p>
      <w:pPr>
        <w:spacing w:after="0" w:line="225"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(the “report”) of Nkarta,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21, 2024</w:t>
            </w:r>
          </w:p>
        </w:tc>
        <w:tc>
          <w:tcPr>
            <w:tcW w:w="24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J. Hastings</w:t>
            </w:r>
          </w:p>
        </w:tc>
      </w:tr>
      <w:tr>
        <w:trPr>
          <w:trHeight w:val="201"/>
        </w:trPr>
        <w:tc>
          <w:tcPr>
            <w:tcW w:w="36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Paul J. Hastings</w:t>
            </w:r>
          </w:p>
        </w:tc>
      </w:tr>
      <w:tr>
        <w:trPr>
          <w:trHeight w:val="238"/>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1640"/>
        </w:trPr>
        <w:tc>
          <w:tcPr>
            <w:tcW w:w="3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Alyssa Levin, certify that:</w:t>
      </w:r>
    </w:p>
    <w:p>
      <w:pPr>
        <w:spacing w:after="0" w:line="225"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(the “report”) of Nkarta,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21, 2024</w:t>
            </w:r>
          </w:p>
        </w:tc>
        <w:tc>
          <w:tcPr>
            <w:tcW w:w="24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Alyssa Levin</w:t>
            </w:r>
          </w:p>
        </w:tc>
      </w:tr>
      <w:tr>
        <w:trPr>
          <w:trHeight w:val="201"/>
        </w:trPr>
        <w:tc>
          <w:tcPr>
            <w:tcW w:w="36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Alyssa Levin</w:t>
            </w:r>
          </w:p>
        </w:tc>
      </w:tr>
      <w:tr>
        <w:trPr>
          <w:trHeight w:val="238"/>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and Business Officer</w:t>
            </w:r>
          </w:p>
        </w:tc>
      </w:tr>
      <w:tr>
        <w:trPr>
          <w:trHeight w:val="1640"/>
        </w:trPr>
        <w:tc>
          <w:tcPr>
            <w:tcW w:w="3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2023 of Nkarta, Inc. (the “Company”) as filed with the Securities and Exchange Commission on the date hereof (the "Report"), we, Paul J. Hastings, Chief Executive Officer of the Company, and Alyssa Levin, Chief Financial and Business Officer of the Company, certify, pursuant to 18 U.S.C. 1350, as adopted pursuant to Section 906 of the Sarbanes-Oxley Act of 2002, that:</w:t>
      </w:r>
    </w:p>
    <w:p>
      <w:pPr>
        <w:spacing w:after="0" w:line="180"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Paul J. Hastings</w:t>
      </w:r>
    </w:p>
    <w:p>
      <w:pPr>
        <w:spacing w:after="0" w:line="2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4"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March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4">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Alyssa Levin</w:t>
      </w:r>
    </w:p>
    <w:p>
      <w:pPr>
        <w:spacing w:after="0" w:line="2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and Business Officer</w:t>
      </w:r>
    </w:p>
    <w:p>
      <w:pPr>
        <w:spacing w:after="0" w:line="200" w:lineRule="exact"/>
        <w:rPr>
          <w:sz w:val="20"/>
          <w:szCs w:val="20"/>
          <w:color w:val="auto"/>
        </w:rPr>
      </w:pPr>
    </w:p>
    <w:p>
      <w:pPr>
        <w:spacing w:after="0" w:line="266"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6"/>
          <w:szCs w:val="16"/>
          <w:i w:val="1"/>
          <w:iCs w:val="1"/>
          <w:color w:val="auto"/>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Policy Regarding the Recoupment of Certain Compensation Payments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Adopted by the Board of Directors on September 20, 2023</w:t>
      </w:r>
    </w:p>
    <w:p>
      <w:pPr>
        <w:spacing w:after="0" w:line="233"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In the event Nkarta, Inc. (the “ </w:t>
      </w:r>
      <w:r>
        <w:rPr>
          <w:rFonts w:ascii="Arial" w:cs="Arial" w:eastAsia="Arial" w:hAnsi="Arial"/>
          <w:sz w:val="22"/>
          <w:szCs w:val="22"/>
          <w:u w:val="single" w:color="auto"/>
          <w:color w:val="auto"/>
        </w:rPr>
        <w:t>Company</w:t>
      </w:r>
      <w:r>
        <w:rPr>
          <w:rFonts w:ascii="Arial" w:cs="Arial" w:eastAsia="Arial" w:hAnsi="Arial"/>
          <w:sz w:val="22"/>
          <w:szCs w:val="22"/>
          <w:color w:val="auto"/>
        </w:rPr>
        <w:t>”)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shall recover reasonably promptly the amount of any erroneously awarded Incentive-Based Compensation from each Covered Individual unless an exception (set forth below) applies.</w:t>
      </w:r>
    </w:p>
    <w:p>
      <w:pPr>
        <w:spacing w:after="0" w:line="203"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Incentive-Based Compensation shall be considered “erroneously awarded” under this policy to the extent such Incentive-Based Compensation (1) is received by the Covered Individual on or after the effective date of Rule 5608 of The Nasdaq Stock Market LLC (“Nasdaq”) Rules and while the Company has a class of securities listed on a national securities exchange or a national securities association, (2) is received by the Covered Individual during the three completed fiscal years immediately preceding the date that the Company is required to prepare the accounting restatement (and any transition period applicable to a change in the Company’s fiscal year as required by Nasdaq listing rules), and (3) the amount of such received Incentive-Based Compensation exceeds the amount of the Incentive-Based Compensation that would have been received by the Covered Individual had it been determined based on the restated financial results (with such Incentive-Based Compensation computed in each case without regard to any taxes paid). For purposes of this policy, the date that the Company is required to prepare the accounting restatement is the earlier to occur of (A) the date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or a committee of the Board, or the officer or officers of the Company authorized to take such action if Board action is not required, concludes, or reasonably should have concluded, that the Company is required to prepare such accounting restatement, or (B) the date a court, regulator, or other legally authorized body directs the Company to prepare such accounting restatement.</w:t>
      </w:r>
    </w:p>
    <w:p>
      <w:pPr>
        <w:spacing w:after="0" w:line="20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For purposes of this policy, Incentive-Based Compensation is considered “received” by a Covered Individual in the Company’s fiscal period during which the Financial Reporting Measure applicable to the Incentive-Based Compensation is attained, even if the payment or grant of the Incentive-Based Compensation occurs after the end of that fiscal period.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determined by the Compensation Committee of the Board (the “</w:t>
      </w:r>
      <w:r>
        <w:rPr>
          <w:rFonts w:ascii="Arial" w:cs="Arial" w:eastAsia="Arial" w:hAnsi="Arial"/>
          <w:sz w:val="22"/>
          <w:szCs w:val="22"/>
          <w:u w:val="single" w:color="auto"/>
          <w:color w:val="auto"/>
        </w:rPr>
        <w:t>Committee</w:t>
      </w:r>
      <w:r>
        <w:rPr>
          <w:rFonts w:ascii="Arial" w:cs="Arial" w:eastAsia="Arial" w:hAnsi="Arial"/>
          <w:sz w:val="22"/>
          <w:szCs w:val="22"/>
          <w:color w:val="auto"/>
        </w:rPr>
        <w:t>”) based on a reasonable estimate of the effect of the accounting restatement on the stock price or total shareholder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4" w:name="page165"/>
    <w:bookmarkEnd w:id="164"/>
    <w:p>
      <w:pPr>
        <w:jc w:val="both"/>
        <w:spacing w:after="0" w:line="233" w:lineRule="auto"/>
        <w:rPr>
          <w:sz w:val="20"/>
          <w:szCs w:val="20"/>
          <w:color w:val="auto"/>
        </w:rPr>
      </w:pPr>
      <w:r>
        <w:rPr>
          <w:rFonts w:ascii="Arial" w:cs="Arial" w:eastAsia="Arial" w:hAnsi="Arial"/>
          <w:sz w:val="22"/>
          <w:szCs w:val="22"/>
          <w:color w:val="auto"/>
        </w:rPr>
        <w:t>return upon which the Incentive-Based Compensation was received. The Company must maintain documentation of the determination of that reasonable estimate and provide such documentation to Nasdaq as required by Nasdaq listing rules. If the erroneously awarded Incentive-Based Compensation consists of shares (including share-denominated equity awards) or options that are still held by the Covered Individual at the time of recovery, the recoverable amount is the number of shares or options received in excess of the number of shares or options that would have been received based on the accounting restatement (or the value of that excess number). If the options have been exercised but the underlying shares have not been sold, the recoverable amount is the number of shares underlying the excess options based on the restatement (or the value thereof). If the shares have been sold, the recoverable amount is the proceeds that were received in connection with the sale of the excess number of shares. Amounts credited under plans (other than tax-qualified plans for which the exception set forth below applies) based on erroneously awarded Incentive-Based Compensation and any accrued earnings thereon are also recoverable under this policy.</w:t>
      </w:r>
    </w:p>
    <w:p>
      <w:pPr>
        <w:spacing w:after="0" w:line="21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Company shall not be required under this policy to recover erroneously awarded Incentive-Based Compensation if the Committee has made a determination that recovery would be impracticable and either of the following conditions are met: (1) after making a reasonable attempt to recover such erroneously awarded Incentive-Based Compensation, the Committee determines that the direct expense paid to a third party to assist in enforcing this policy would exceed the amount to be recovered (documentation evidencing the reasonable attempt to recover the erroneously awarded Incentive-Based Compensation must be maintained and provided to Nasdaq as required by listing rules), or (2) the recovery would likely cause an otherwise tax-qualified retirement plan, under which benefits are broadly available to employees of the Company, to fail to meet the requirements of Internal Revenue Code Section 401(a)(13) or Internal Revenue Code Section 411(a) and the regulations thereunder.</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this policy, the following definitions will apply:</w:t>
      </w:r>
    </w:p>
    <w:p>
      <w:pPr>
        <w:spacing w:after="0" w:line="233" w:lineRule="exact"/>
        <w:rPr>
          <w:sz w:val="20"/>
          <w:szCs w:val="20"/>
          <w:color w:val="auto"/>
        </w:rPr>
      </w:pPr>
    </w:p>
    <w:p>
      <w:pPr>
        <w:jc w:val="both"/>
        <w:ind w:left="1140" w:hanging="383"/>
        <w:spacing w:after="0" w:line="255" w:lineRule="auto"/>
        <w:tabs>
          <w:tab w:leader="none" w:pos="1140"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Individual</w:t>
      </w:r>
      <w:r>
        <w:rPr>
          <w:rFonts w:ascii="Arial" w:cs="Arial" w:eastAsia="Arial" w:hAnsi="Arial"/>
          <w:sz w:val="21"/>
          <w:szCs w:val="21"/>
          <w:color w:val="auto"/>
        </w:rPr>
        <w:t>” means any current or former officer of the Company who is or was subject to Section 16 of the Securities Exchange Act of 1934, as amended, at any time during the applicable performance period for the relevant Incentive-Based Compensation, regardless of whether such individual continues to hold such position or continues to be employed by the Company or any of its subsidiaries.</w:t>
      </w:r>
    </w:p>
    <w:p>
      <w:pPr>
        <w:spacing w:after="0" w:line="187" w:lineRule="exact"/>
        <w:rPr>
          <w:rFonts w:ascii="Times New Roman" w:cs="Times New Roman" w:eastAsia="Times New Roman" w:hAnsi="Times New Roman"/>
          <w:sz w:val="21"/>
          <w:szCs w:val="21"/>
          <w:color w:val="auto"/>
        </w:rPr>
      </w:pPr>
    </w:p>
    <w:p>
      <w:pPr>
        <w:ind w:left="1140" w:right="20" w:hanging="383"/>
        <w:spacing w:after="0" w:line="258" w:lineRule="auto"/>
        <w:tabs>
          <w:tab w:leader="none" w:pos="1140" w:val="left"/>
        </w:tabs>
        <w:numPr>
          <w:ilvl w:val="0"/>
          <w:numId w:val="68"/>
        </w:numPr>
        <w:rPr>
          <w:rFonts w:ascii="Times New Roman" w:cs="Times New Roman" w:eastAsia="Times New Roman" w:hAnsi="Times New Roman"/>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Incentive-Based Compensation</w:t>
      </w:r>
      <w:r>
        <w:rPr>
          <w:rFonts w:ascii="Arial" w:cs="Arial" w:eastAsia="Arial" w:hAnsi="Arial"/>
          <w:sz w:val="22"/>
          <w:szCs w:val="22"/>
          <w:color w:val="auto"/>
        </w:rPr>
        <w:t>” means any compensation that is granted, earned, or vested based wholly or in part upon the attainment of a Financial Reporting Measure.</w:t>
      </w:r>
    </w:p>
    <w:p>
      <w:pPr>
        <w:spacing w:after="0" w:line="184" w:lineRule="exact"/>
        <w:rPr>
          <w:rFonts w:ascii="Times New Roman" w:cs="Times New Roman" w:eastAsia="Times New Roman" w:hAnsi="Times New Roman"/>
          <w:sz w:val="22"/>
          <w:szCs w:val="22"/>
          <w:color w:val="auto"/>
        </w:rPr>
      </w:pPr>
    </w:p>
    <w:p>
      <w:pPr>
        <w:jc w:val="both"/>
        <w:ind w:left="1140" w:hanging="383"/>
        <w:spacing w:after="0" w:line="261" w:lineRule="auto"/>
        <w:tabs>
          <w:tab w:leader="none" w:pos="1140"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Reporting Measures</w:t>
      </w:r>
      <w:r>
        <w:rPr>
          <w:rFonts w:ascii="Arial" w:cs="Arial" w:eastAsia="Arial" w:hAnsi="Arial"/>
          <w:sz w:val="21"/>
          <w:szCs w:val="21"/>
          <w:color w:val="auto"/>
        </w:rPr>
        <w:t>” means measures that are determined and presented in accordance with the accounting principles used in preparing the Company’s financial statements, and any measures that are derived wholly or in part from such measures (including, for purposes of this policy, stock price</w:t>
      </w:r>
    </w:p>
    <w:p>
      <w:pPr>
        <w:spacing w:after="0" w:line="393" w:lineRule="exact"/>
        <w:rPr>
          <w:rFonts w:ascii="Times New Roman" w:cs="Times New Roman" w:eastAsia="Times New Roman" w:hAnsi="Times New Roman"/>
          <w:sz w:val="21"/>
          <w:szCs w:val="21"/>
          <w:color w:val="auto"/>
        </w:rPr>
      </w:pPr>
    </w:p>
    <w:p>
      <w:pPr>
        <w:ind w:left="5580" w:hanging="116"/>
        <w:spacing w:after="0"/>
        <w:tabs>
          <w:tab w:leader="none" w:pos="55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5" w:name="page166"/>
    <w:bookmarkEnd w:id="165"/>
    <w:p>
      <w:pPr>
        <w:ind w:left="1140"/>
        <w:spacing w:after="0" w:line="259" w:lineRule="auto"/>
        <w:rPr>
          <w:sz w:val="20"/>
          <w:szCs w:val="20"/>
          <w:color w:val="auto"/>
        </w:rPr>
      </w:pPr>
      <w:r>
        <w:rPr>
          <w:rFonts w:ascii="Arial" w:cs="Arial" w:eastAsia="Arial" w:hAnsi="Arial"/>
          <w:sz w:val="22"/>
          <w:szCs w:val="22"/>
          <w:color w:val="auto"/>
        </w:rPr>
        <w:t>and total shareholder return). A Financial Reporting Measure need not be presented within the Company’s financial statements or included in a filing with the Securities and Exchange Commission.</w:t>
      </w:r>
    </w:p>
    <w:p>
      <w:pPr>
        <w:spacing w:after="0" w:line="18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This policy is intended to comply with the requirements of Rule 10D-1 promulgated by the Securities and Exchange Commission and the related listing rules of Nasdaq, and the terms hereof shall be construed consistent with that intent. This policy does not limit any other remedies the Company may have available to it in the circumstances, which may include, without limitation, dismissing an employee or initiating other disciplinary procedures. The provisions of this policy are in addition to (and not in lieu of) any rights to repayment the Company may have under Section 304 of the Sarbanes-Oxley Act of 2002 (applicable to the Chief Executive Officer and Chief Financial Officer only) and other applicable laws. The Company shall not indemnify any Covered Individual against the loss of erroneously-awarded Incentive-Based Compensation that is recovered by the Company pursuant to this policy.</w:t>
      </w:r>
    </w:p>
    <w:p>
      <w:pPr>
        <w:spacing w:after="0" w:line="210" w:lineRule="exact"/>
        <w:rPr>
          <w:sz w:val="20"/>
          <w:szCs w:val="20"/>
          <w:color w:val="auto"/>
        </w:rPr>
      </w:pPr>
    </w:p>
    <w:p>
      <w:pPr>
        <w:jc w:val="both"/>
        <w:ind w:right="20" w:firstLine="480"/>
        <w:spacing w:after="0" w:line="245" w:lineRule="auto"/>
        <w:rPr>
          <w:sz w:val="20"/>
          <w:szCs w:val="20"/>
          <w:color w:val="auto"/>
        </w:rPr>
      </w:pPr>
      <w:r>
        <w:rPr>
          <w:rFonts w:ascii="Arial" w:cs="Arial" w:eastAsia="Arial" w:hAnsi="Arial"/>
          <w:sz w:val="22"/>
          <w:szCs w:val="22"/>
          <w:color w:val="auto"/>
        </w:rPr>
        <w:t>The Committee shall have the sole authority to construe and interpret this policy and to make all determinations required to be made pursuant to this policy. Any such construction, interpretation or determination by the Committee shall be final and binding.</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Committee may revise this policy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6" w:name="page167"/>
    <w:bookmarkEnd w:id="1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lowerLetter"/>
      <w:start w:val="1"/>
    </w:lvl>
    <w:lvl w:ilvl="1">
      <w:lvlJc w:val="left"/>
      <w:lvlText w:val="%2."/>
      <w:numFmt w:val="decimal"/>
      <w:start w:val="1"/>
    </w:lvl>
  </w:abstractNum>
  <w:abstractNum w:abstractNumId="57">
    <w:nsid w:val="77AE35EB"/>
    <w:multiLevelType w:val="hybridMultilevel"/>
    <w:lvl w:ilvl="0">
      <w:lvlJc w:val="left"/>
      <w:lvlText w:val="%1"/>
      <w:numFmt w:val="decimal"/>
      <w:start w:val="97"/>
    </w:lvl>
  </w:abstractNum>
  <w:abstractNum w:abstractNumId="58">
    <w:nsid w:val="579BE4F1"/>
    <w:multiLevelType w:val="hybridMultilevel"/>
    <w:lvl w:ilvl="0">
      <w:lvlJc w:val="left"/>
      <w:lvlText w:val="%1"/>
      <w:numFmt w:val="decimal"/>
      <w:start w:val="104"/>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54"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5" Type="http://schemas.openxmlformats.org/officeDocument/2006/relationships/image" Target="media/image333.png"/><Relationship Id="rId376" Type="http://schemas.openxmlformats.org/officeDocument/2006/relationships/image" Target="media/image334.png"/><Relationship Id="rId377" Type="http://schemas.openxmlformats.org/officeDocument/2006/relationships/image" Target="media/image335.png"/><Relationship Id="rId378" Type="http://schemas.openxmlformats.org/officeDocument/2006/relationships/image" Target="media/image336.png"/><Relationship Id="rId379" Type="http://schemas.openxmlformats.org/officeDocument/2006/relationships/image" Target="media/image337.png"/><Relationship Id="rId380" Type="http://schemas.openxmlformats.org/officeDocument/2006/relationships/image" Target="media/image338.png"/><Relationship Id="rId381" Type="http://schemas.openxmlformats.org/officeDocument/2006/relationships/image" Target="media/image339.png"/><Relationship Id="rId382" Type="http://schemas.openxmlformats.org/officeDocument/2006/relationships/image" Target="media/image340.png"/><Relationship Id="rId383" Type="http://schemas.openxmlformats.org/officeDocument/2006/relationships/image" Target="media/image341.png"/><Relationship Id="rId384" Type="http://schemas.openxmlformats.org/officeDocument/2006/relationships/image" Target="media/image342.png"/><Relationship Id="rId385" Type="http://schemas.openxmlformats.org/officeDocument/2006/relationships/image" Target="media/image343.png"/><Relationship Id="rId386" Type="http://schemas.openxmlformats.org/officeDocument/2006/relationships/image" Target="media/image344.png"/><Relationship Id="rId387" Type="http://schemas.openxmlformats.org/officeDocument/2006/relationships/image" Target="media/image345.png"/><Relationship Id="rId388" Type="http://schemas.openxmlformats.org/officeDocument/2006/relationships/image" Target="media/image346.png"/><Relationship Id="rId389" Type="http://schemas.openxmlformats.org/officeDocument/2006/relationships/image" Target="media/image347.png"/><Relationship Id="rId390" Type="http://schemas.openxmlformats.org/officeDocument/2006/relationships/image" Target="media/image348.png"/><Relationship Id="rId391" Type="http://schemas.openxmlformats.org/officeDocument/2006/relationships/image" Target="media/image349.png"/><Relationship Id="rId392" Type="http://schemas.openxmlformats.org/officeDocument/2006/relationships/image" Target="media/image350.png"/><Relationship Id="rId393" Type="http://schemas.openxmlformats.org/officeDocument/2006/relationships/image" Target="media/image351.png"/><Relationship Id="rId394" Type="http://schemas.openxmlformats.org/officeDocument/2006/relationships/image" Target="media/image352.png"/><Relationship Id="rId395" Type="http://schemas.openxmlformats.org/officeDocument/2006/relationships/image" Target="media/image353.png"/><Relationship Id="rId396" Type="http://schemas.openxmlformats.org/officeDocument/2006/relationships/image" Target="media/image354.png"/><Relationship Id="rId397" Type="http://schemas.openxmlformats.org/officeDocument/2006/relationships/image" Target="media/image355.png"/><Relationship Id="rId398" Type="http://schemas.openxmlformats.org/officeDocument/2006/relationships/image" Target="media/image356.png"/><Relationship Id="rId399" Type="http://schemas.openxmlformats.org/officeDocument/2006/relationships/image" Target="media/image357.png"/><Relationship Id="rId400" Type="http://schemas.openxmlformats.org/officeDocument/2006/relationships/image" Target="media/image358.png"/><Relationship Id="rId401" Type="http://schemas.openxmlformats.org/officeDocument/2006/relationships/image" Target="media/image359.png"/><Relationship Id="rId402" Type="http://schemas.openxmlformats.org/officeDocument/2006/relationships/image" Target="media/image360.png"/><Relationship Id="rId403" Type="http://schemas.openxmlformats.org/officeDocument/2006/relationships/image" Target="media/image361.png"/><Relationship Id="rId404" Type="http://schemas.openxmlformats.org/officeDocument/2006/relationships/image" Target="media/image362.png"/><Relationship Id="rId405" Type="http://schemas.openxmlformats.org/officeDocument/2006/relationships/image" Target="media/image363.png"/><Relationship Id="rId406" Type="http://schemas.openxmlformats.org/officeDocument/2006/relationships/image" Target="media/image364.png"/><Relationship Id="rId407" Type="http://schemas.openxmlformats.org/officeDocument/2006/relationships/image" Target="media/image365.png"/><Relationship Id="rId408" Type="http://schemas.openxmlformats.org/officeDocument/2006/relationships/image" Target="media/image366.png"/><Relationship Id="rId337" Type="http://schemas.openxmlformats.org/officeDocument/2006/relationships/hyperlink" Target="https://www.sec.gov/Archives/edgar/data/1787400/000119312520192614/d62111dex31.htm" TargetMode="External"/><Relationship Id="rId338" Type="http://schemas.openxmlformats.org/officeDocument/2006/relationships/hyperlink" Target="https://www.sec.gov/Archives/edgar/data/1787400/000095017023027263/nktx-ex3_1.htm" TargetMode="External"/><Relationship Id="rId339" Type="http://schemas.openxmlformats.org/officeDocument/2006/relationships/hyperlink" Target="https://www.sec.gov/Archives/edgar/data/1787400/000119312520192614/d62111dex32.htm" TargetMode="External"/><Relationship Id="rId340" Type="http://schemas.openxmlformats.org/officeDocument/2006/relationships/hyperlink" Target="https://www.sec.gov/Archives/edgar/data/1787400/000119312520186953/d884708dex41.htm" TargetMode="External"/><Relationship Id="rId341" Type="http://schemas.openxmlformats.org/officeDocument/2006/relationships/hyperlink" Target="https://www.sec.gov/Archives/edgar/data/1787400/000119312520173939/d884708dex42.htm" TargetMode="External"/><Relationship Id="rId342" Type="http://schemas.openxmlformats.org/officeDocument/2006/relationships/hyperlink" Target="https://www.sec.gov/Archives/edgar/data/1787400/000119312520186953/d884708dex101.htm" TargetMode="External"/><Relationship Id="rId343" Type="http://schemas.openxmlformats.org/officeDocument/2006/relationships/hyperlink" Target="https://www.sec.gov/Archives/edgar/data/1787400/000119312520173939/d884708dex102.htm" TargetMode="External"/><Relationship Id="rId344" Type="http://schemas.openxmlformats.org/officeDocument/2006/relationships/hyperlink" Target="https://www.sec.gov/Archives/edgar/data/1787400/000119312520173939/d884708dex103.htm" TargetMode="External"/><Relationship Id="rId345" Type="http://schemas.openxmlformats.org/officeDocument/2006/relationships/hyperlink" Target="https://www.sec.gov/Archives/edgar/data/1787400/000119312520186953/d884708dex104.htm" TargetMode="External"/><Relationship Id="rId346" Type="http://schemas.openxmlformats.org/officeDocument/2006/relationships/hyperlink" Target="https://www.sec.gov/Archives/edgar/data/1787400/000156459020040819/nktx-ex105_289.htm" TargetMode="External"/><Relationship Id="rId347" Type="http://schemas.openxmlformats.org/officeDocument/2006/relationships/hyperlink" Target="https://www.sec.gov/Archives/edgar/data/1787400/000095017023008523/nktx-ex10_3c.htm" TargetMode="External"/><Relationship Id="rId348" Type="http://schemas.openxmlformats.org/officeDocument/2006/relationships/hyperlink" Target="https://www.sec.gov/Archives/edgar/data/1787400/000156459020040819/nktx-ex106_290.htm" TargetMode="External"/><Relationship Id="rId349" Type="http://schemas.openxmlformats.org/officeDocument/2006/relationships/hyperlink" Target="https://www.sec.gov/Archives/edgar/data/1787400/000095017023008523/nktx-ex10_3e.htm" TargetMode="External"/><Relationship Id="rId350" Type="http://schemas.openxmlformats.org/officeDocument/2006/relationships/hyperlink" Target="https://www.sec.gov/Archives/edgar/data/1787400/000095017023008523/nktx-ex10_3f.htm" TargetMode="External"/><Relationship Id="rId351" Type="http://schemas.openxmlformats.org/officeDocument/2006/relationships/hyperlink" Target="https://www.sec.gov/Archives/edgar/data/1787400/000119312520186953/d884708dex105.htm" TargetMode="External"/><Relationship Id="rId352" Type="http://schemas.openxmlformats.org/officeDocument/2006/relationships/hyperlink" Target="https://www.sec.gov/Archives/edgar/data/1787400/000095017023021277/nktx-ex10_2.htm" TargetMode="External"/><Relationship Id="rId353" Type="http://schemas.openxmlformats.org/officeDocument/2006/relationships/hyperlink" Target="https://www.sec.gov/Archives/edgar/data/0001787400/000119312520173939/d884708dex106.htm" TargetMode="External"/><Relationship Id="rId355" Type="http://schemas.openxmlformats.org/officeDocument/2006/relationships/hyperlink" Target="https://www.sec.gov/Archives/edgar/data/1787400/000156459021027591/nktx-ex104_206.htm" TargetMode="External"/><Relationship Id="rId356" Type="http://schemas.openxmlformats.org/officeDocument/2006/relationships/hyperlink" Target="https://www.sec.gov/Archives/edgar/data/1787400/000095017023040953/nktx-ex10_1.htm" TargetMode="External"/><Relationship Id="rId357" Type="http://schemas.openxmlformats.org/officeDocument/2006/relationships/hyperlink" Target="https://www.sec.gov/Archives/edgar/data/1787400/000156459021001077/nktx-ex101_8.htm" TargetMode="External"/><Relationship Id="rId358" Type="http://schemas.openxmlformats.org/officeDocument/2006/relationships/hyperlink" Target="https://www.sec.gov/Archives/edgar/data/1787400/000119312520173939/d884708dex109.htm" TargetMode="External"/><Relationship Id="rId359" Type="http://schemas.openxmlformats.org/officeDocument/2006/relationships/hyperlink" Target="https://www.sec.gov/Archives/edgar/data/1787400/000119312520173939/d884708dex1010.htm" TargetMode="External"/><Relationship Id="rId360" Type="http://schemas.openxmlformats.org/officeDocument/2006/relationships/hyperlink" Target="https://www.sec.gov/Archives/edgar/data/1787400/000119312520173939/d884708dex1011.htm" TargetMode="External"/><Relationship Id="rId361" Type="http://schemas.openxmlformats.org/officeDocument/2006/relationships/hyperlink" Target="https://www.sec.gov/Archives/edgar/data/1787400/000119312520173939/d884708dex1012.htm" TargetMode="External"/><Relationship Id="rId362" Type="http://schemas.openxmlformats.org/officeDocument/2006/relationships/hyperlink" Target="https://www.sec.gov/Archives/edgar/data/1787400/000156459021015517/nktx-ex1010d_137.htm" TargetMode="External"/><Relationship Id="rId363" Type="http://schemas.openxmlformats.org/officeDocument/2006/relationships/hyperlink" Target="https://www.sec.gov/Archives/edgar/data/0001787400/000156459021051572/nktx-ex101_8.htm" TargetMode="External"/><Relationship Id="rId364" Type="http://schemas.openxmlformats.org/officeDocument/2006/relationships/hyperlink" Target="https://www.sec.gov/Archives/edgar/data/1787400/000095017022016892/nktx-ex10_2.htm" TargetMode="External"/><Relationship Id="rId365" Type="http://schemas.openxmlformats.org/officeDocument/2006/relationships/hyperlink" Target="https://www.sec.gov/Archives/edgar/data/1787400/000156459021036496/nktx-ex101_6.htm" TargetMode="External"/><Relationship Id="rId366" Type="http://schemas.openxmlformats.org/officeDocument/2006/relationships/hyperlink" Target="https://www.sec.gov/Archives/edgar/data/1787400/000156459021056233/nktx-ex102_80.htm" TargetMode="External"/><Relationship Id="rId367" Type="http://schemas.openxmlformats.org/officeDocument/2006/relationships/hyperlink" Target="https://www.sec.gov/Archives/edgar/data/1787400/000095017022016892/nktx-ex10_1.htm" TargetMode="External"/><Relationship Id="rId368" Type="http://schemas.openxmlformats.org/officeDocument/2006/relationships/hyperlink" Target="https://www.sec.gov/Archives/edgar/data/1787400/000095017023021277/nktx-ex10_3.htm" TargetMode="External"/><Relationship Id="rId371" Type="http://schemas.openxmlformats.org/officeDocument/2006/relationships/hyperlink" Target="https://www.sec.gov/Archives/edgar/data/1787400/000095017023040953/nktx-ex10_2b.htm" TargetMode="External"/><Relationship Id="rId372" Type="http://schemas.openxmlformats.org/officeDocument/2006/relationships/hyperlink" Target="https://www.sec.gov/Archives/edgar/data/1787400/000156459021044018/nktx-ex101_6.htm" TargetMode="External"/><Relationship Id="rId373" Type="http://schemas.openxmlformats.org/officeDocument/2006/relationships/hyperlink" Target="https://www.sec.gov/Archives/edgar/data/1787400/000095017022009693/nktx-ex10_1.htm" TargetMode="External"/><Relationship Id="rId374" Type="http://schemas.openxmlformats.org/officeDocument/2006/relationships/hyperlink" Target="https://www.sec.gov/Archives/edgar/data/1787400/000095017023021277/nkt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2024-03-21T15:34:20Z</dcterms:created>
  <dcterms:modified xsi:type="dcterms:W3CDTF">2024-03-21T15:34:20Z</dcterms:modified>
</cp:coreProperties>
</file>