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pPr>
      <w:bookmarkStart w:id="0" w:name="nktx-20260930.htm"/>
      <w:bookmarkStart w:id="1" w:name="ksnktx20260930"/>
      <w:bookmarkEnd w:id="0"/>
      <w:bookmarkEnd w:id="1"/>
      <w:r>
        <w:t> </w:t>
      </w:r>
    </w:p>
    <w:p>
      <w:pPr>
        <w:pStyle w:val="TextBody"/>
        <w:pBdr>
          <w:bottom w:val="double" w:sz="4" w:space="1" w:color="000000"/>
        </w:pBdr>
        <w:bidi w:val="0"/>
        <w:jc w:val="center"/>
      </w:pPr>
      <w: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pPr>
      <w:r>
        <w:t> </w:t>
      </w:r>
    </w:p>
    <w:p>
      <w:pPr>
        <w:pStyle w:val="TextBody"/>
        <w:bidi w:val="0"/>
        <w:jc w:val="center"/>
      </w:pPr>
      <w: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pPr>
      <w:r>
        <w:t> </w:t>
      </w:r>
    </w:p>
    <w:p>
      <w:pPr>
        <w:pStyle w:val="TextBody"/>
        <w:bidi w:val="0"/>
        <w:jc w:val="center"/>
      </w:pPr>
      <w: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pPr>
      <w: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001-39370</w:t>
      </w:r>
    </w:p>
    <w:p>
      <w:pPr>
        <w:pStyle w:val="TextBody"/>
        <w:pBdr>
          <w:bottom w:val="single" w:sz="4" w:space="1" w:color="000000"/>
        </w:pBdr>
        <w:bidi w:val="0"/>
        <w:jc w:val="center"/>
      </w:pPr>
      <w:r>
        <w:t> </w:t>
      </w:r>
    </w:p>
    <w:p>
      <w:pPr>
        <w:pStyle w:val="TextBody"/>
        <w:bidi w:val="0"/>
        <w:jc w:val="center"/>
      </w:pPr>
      <w:r>
        <w:t> </w:t>
      </w:r>
    </w:p>
    <w:p>
      <w:pPr>
        <w:pStyle w:val="TextBody"/>
        <w:bidi w:val="0"/>
        <w:jc w:val="center"/>
        <w:rPr>
          <w:rFonts w:ascii="Times New Roman" w:hAnsi="Times New Roman"/>
          <w:b/>
          <w:color w:val="000000"/>
          <w:sz w:val="48"/>
        </w:rPr>
      </w:pPr>
      <w:r>
        <w:rPr>
          <w:rFonts w:ascii="Times New Roman" w:hAnsi="Times New Roman"/>
          <w:b/>
          <w:color w:val="000000"/>
          <w:sz w:val="48"/>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pPr>
      <w:r>
        <w:t> </w:t>
      </w:r>
    </w:p>
    <w:p>
      <w:pPr>
        <w:pStyle w:val="TextBody"/>
        <w:bidi w:val="0"/>
        <w:jc w:val="center"/>
      </w:pPr>
      <w:r>
        <w:t> </w:t>
      </w:r>
    </w:p>
    <w:tbl>
      <w:tblPr>
        <w:tblW w:w="3677" w:type="dxa"/>
        <w:jc w:val="left"/>
        <w:tblInd w:w="0" w:type="dxa"/>
        <w:tblLayout w:type="fixed"/>
        <w:tblCellMar>
          <w:top w:w="28" w:type="dxa"/>
          <w:left w:w="28" w:type="dxa"/>
          <w:bottom w:w="28" w:type="dxa"/>
          <w:right w:w="28" w:type="dxa"/>
        </w:tblCellMar>
      </w:tblPr>
      <w:tblGrid>
        <w:gridCol w:w="2431"/>
        <w:gridCol w:w="1246"/>
      </w:tblGrid>
      <w:t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47-4515206</w:t>
            </w:r>
          </w:p>
        </w:tc>
      </w:tr>
      <w:t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1150 Veterans Boulevard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(925) 407-1049</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bidi w:val="0"/>
        <w:jc w:val="center"/>
      </w:pPr>
      <w: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4" w:space="1" w:color="000000"/>
        </w:pBdr>
        <w:bidi w:val="0"/>
        <w:jc w:val="center"/>
      </w:pPr>
      <w:r>
        <w:t> </w:t>
      </w:r>
    </w:p>
    <w:p>
      <w:pPr>
        <w:pStyle w:val="TextBody"/>
        <w:bidi w:val="0"/>
        <w:jc w:val="center"/>
      </w:pPr>
      <w:r>
        <w:t> </w:t>
      </w:r>
    </w:p>
    <w:p>
      <w:pPr>
        <w:pStyle w:val="TextBody"/>
        <w:bidi w:val="0"/>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pPr>
      <w: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NKTX</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pPr>
      <w: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056" w:type="dxa"/>
            <w:tcBorders/>
            <w:tcMar>
              <w:top w:w="0" w:type="dxa"/>
              <w:left w:w="0" w:type="dxa"/>
              <w:bottom w:w="0" w:type="dxa"/>
              <w:right w:w="0" w:type="dxa"/>
            </w:tcMar>
            <w:vAlign w:val="center"/>
          </w:tcPr>
          <w:p>
            <w:pPr>
              <w:pStyle w:val="TableContents"/>
              <w:bidi w:val="0"/>
              <w:spacing w:before="0" w:after="283"/>
              <w:jc w:val="left"/>
            </w:pPr>
            <w: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205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As of November 2, 2026, the registrant had 71,704,404 shares of common stock, par value $0.0001 per share, outstanding.</w:t>
      </w:r>
    </w:p>
    <w:p>
      <w:pPr>
        <w:pStyle w:val="TextBody"/>
        <w:pBdr>
          <w:bottom w:val="double" w:sz="6" w:space="1" w:color="000000"/>
        </w:pBdr>
        <w:bidi w:val="0"/>
        <w:jc w:val="left"/>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836"/>
        <w:gridCol w:w="8720"/>
        <w:gridCol w:w="649"/>
      </w:tblGrid>
      <w:tr>
        <w:tc>
          <w:tcPr>
            <w:tcW w:w="836" w:type="dxa"/>
            <w:tcBorders/>
            <w:vAlign w:val="center"/>
          </w:tcPr>
          <w:p>
            <w:pPr>
              <w:pStyle w:val="TableContents"/>
              <w:bidi w:val="0"/>
              <w:spacing w:before="0" w:after="283"/>
              <w:jc w:val="left"/>
              <w:rPr>
                <w:sz w:val="4"/>
                <w:szCs w:val="4"/>
              </w:rPr>
            </w:pPr>
            <w:r>
              <w:rPr>
                <w:sz w:val="4"/>
                <w:szCs w:val="4"/>
              </w:rPr>
            </w:r>
          </w:p>
        </w:tc>
        <w:tc>
          <w:tcPr>
            <w:tcW w:w="872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financial_information">
              <w:r>
                <w:rPr>
                  <w:rStyle w:val="InternetLink"/>
                  <w:rFonts w:ascii="Times New Roman" w:hAnsi="Times New Roman"/>
                  <w:color w:val="0000FF"/>
                  <w:sz w:val="20"/>
                  <w:u w:val="single"/>
                </w:rPr>
                <w:t>FINANCIAL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financial_statements">
              <w:r>
                <w:rPr>
                  <w:rStyle w:val="InternetLink"/>
                  <w:rFonts w:ascii="Times New Roman" w:hAnsi="Times New Roman"/>
                  <w:color w:val="000080"/>
                  <w:sz w:val="20"/>
                  <w:u w:val="single"/>
                </w:rPr>
                <w:t>Financial Statements (unaudited)</w:t>
              </w:r>
            </w:hyperlink>
            <w:r>
              <w:rPr>
                <w:rFonts w:ascii="Times New Roman" w:hAnsi="Times New Roman"/>
                <w:color w:val="0000FF"/>
                <w:sz w:val="20"/>
                <w:u w:val="single"/>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balance_sheets">
              <w:r>
                <w:rPr>
                  <w:rStyle w:val="InternetLink"/>
                  <w:rFonts w:ascii="Times New Roman" w:hAnsi="Times New Roman"/>
                  <w:color w:val="0000FF"/>
                  <w:sz w:val="20"/>
                  <w:u w:val="single"/>
                </w:rPr>
                <w:t>Condensed Balance Sheets as of September 30, 2026 and December 31, 2025</w:t>
              </w:r>
            </w:hyperlink>
            <w:r>
              <w:rPr>
                <w:rFonts w:ascii="Times New Roman" w:hAnsi="Times New Roman"/>
                <w:color w:val="0000FF"/>
                <w:sz w:val="20"/>
              </w:rPr>
              <w:t xml:space="preserve">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statements_operations_comprehe">
              <w:r>
                <w:rPr>
                  <w:rStyle w:val="InternetLink"/>
                  <w:rFonts w:ascii="Times New Roman" w:hAnsi="Times New Roman"/>
                  <w:color w:val="0000FF"/>
                  <w:sz w:val="20"/>
                  <w:u w:val="single"/>
                </w:rPr>
                <w:t>Condensed Statements of Operations and Comprehensive Loss for the three and nine months ended September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statements_convertible_preferr">
              <w:r>
                <w:rPr>
                  <w:rStyle w:val="InternetLink"/>
                  <w:rFonts w:ascii="Times New Roman" w:hAnsi="Times New Roman"/>
                  <w:color w:val="0000FF"/>
                  <w:sz w:val="20"/>
                  <w:u w:val="single"/>
                </w:rPr>
                <w:t>Condensed Statements of Stockholders’ Equity for the three and nine months ended September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condensed_statement_cash_flows">
              <w:r>
                <w:rPr>
                  <w:rStyle w:val="InternetLink"/>
                  <w:rFonts w:ascii="Times New Roman" w:hAnsi="Times New Roman"/>
                  <w:color w:val="0000FF"/>
                  <w:sz w:val="20"/>
                  <w:u w:val="single"/>
                </w:rPr>
                <w:t>Condensed Statements of Cash Flows for the nine months ended September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notes_to_financial_statements">
              <w:r>
                <w:rPr>
                  <w:rStyle w:val="InternetLink"/>
                  <w:rFonts w:ascii="Times New Roman" w:hAnsi="Times New Roman"/>
                  <w:color w:val="0000FF"/>
                  <w:sz w:val="20"/>
                  <w:u w:val="single"/>
                </w:rPr>
                <w:t>Notes to Unaudited Condensed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controls_procedures">
              <w:r>
                <w:rPr>
                  <w:rStyle w:val="InternetLink"/>
                  <w:rFonts w:ascii="Times New Roman" w:hAnsi="Times New Roman"/>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i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legal_proceedings">
              <w:r>
                <w:rPr>
                  <w:rStyle w:val="InternetLink"/>
                  <w:rFonts w:ascii="Times New Roman" w:hAnsi="Times New Roman"/>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a_risk_factors">
              <w:r>
                <w:rPr>
                  <w:rStyle w:val="InternetLink"/>
                  <w:rFonts w:ascii="Times New Roman" w:hAnsi="Times New Roman"/>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3_defaults_upon_senior_securities">
              <w:r>
                <w:rPr>
                  <w:rStyle w:val="InternetLink"/>
                  <w:rFonts w:ascii="Times New Roman" w:hAnsi="Times New Roman"/>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4_mine_safety_disclosures">
              <w:r>
                <w:rPr>
                  <w:rStyle w:val="InternetLink"/>
                  <w:rFonts w:ascii="Times New Roman" w:hAnsi="Times New Roman"/>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5_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20"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6_exhibits">
              <w:r>
                <w:rPr>
                  <w:rStyle w:val="InternetLink"/>
                  <w:rFonts w:ascii="Times New Roman" w:hAnsi="Times New Roman"/>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pPr>
            <w:hyperlink w:anchor="signatures">
              <w:r>
                <w:rPr>
                  <w:rStyle w:val="InternetLink"/>
                  <w:rFonts w:ascii="Times New Roman" w:hAnsi="Times New Roman"/>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and the information incorporated herein by reference, particularly in the sections captioned “Management’s Discussion and Analysis of Financial Condition and Results of Operations” under Part I, Item 2 and “Risk Factors” under Part II, Item 1A,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Examples of these forward-looking statements include, but are not limited to, statements concerning our financial and business performance, including our future funding requirements, our position, plans, strategies, and timelines (including the future availability and disclosure of clinical data and other updates from our clinical trials) for the continued and future clinical development and commercial potential of our product candidates and the therapeutic potential, accessibility, tolerability, advantages, and safety profile of NK cell therapies, including NKX019 for the treatment of autoimmune diseases.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 As a result of these factors, we cannot assure you that the forward-looking statements in this Quarterly Report on Form 10-Q will prove to be accurate.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 All of our forward-looking statements in this report are made only as of the date of this Quarterly Report on Form 10-Q. Except as required by applicable law, we do not plan to publicly update or revise any forward-looking statements contained herein, whether as a result of any new information, future events, changed circumstances or otherwise.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You should read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jc w:val="center"/>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jc w:val="center"/>
      </w:pPr>
      <w:r>
        <w:t> </w:t>
      </w:r>
    </w:p>
    <w:p>
      <w:pPr>
        <w:pStyle w:val="TextBody"/>
        <w:bidi w:val="0"/>
        <w:jc w:val="left"/>
        <w:rPr>
          <w:rFonts w:ascii="Times New Roman" w:hAnsi="Times New Roman"/>
          <w:color w:val="000000"/>
          <w:sz w:val="20"/>
        </w:rPr>
      </w:pPr>
      <w:r>
        <w:rPr>
          <w:rFonts w:ascii="Times New Roman" w:hAnsi="Times New Roman"/>
          <w:color w:val="000000"/>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We have a limited operating history and do not have any products approved for sale</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incurred significant losses since our inception and we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never generated revenue from product sales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depends upon the success of our CAR NK-cell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business is highly dependent on the clinical success of our product candidates, and on the clinical success of NKX019, in particular, and we may fail to develop NKX019 and/or our other product candidates successfully or be unable to obtain regulatory approval for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are reliant on a sole supplier for certain steps of our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The optimal donor and manufacturing parameters for our product candidates have not been definitively established, which may hinder our ability to optimize our product candidates or to address any safety or efficacy issues that may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our license agreement with National University of Singapore and St. Jude Children’s Research Hospital, Inc. is terminated, we could lose our rights to key components enabling our NK-cell engineering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patent protection we obtain is not sufficiently robust, our competitors could develop and commercialize products and technology similar or identical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product candidates, including NKX019, could be subject to regulatory limitations following approval, if and when such approval is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market price for our common stock may be volatile, which could contribute to the loss of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Computer system interruptions or security breaches of our information systems could significantly disrupt our product development programs and our ability to operate our business.</w:t>
      </w:r>
    </w:p>
    <w:p>
      <w:pPr>
        <w:pStyle w:val="TextBody"/>
        <w:bidi w:val="0"/>
        <w:spacing w:before="120" w:after="283"/>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360" w:after="283"/>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balance_sheets"/>
      <w:bookmarkEnd w:id="4"/>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pPr>
      <w:r>
        <w:t> </w:t>
      </w:r>
    </w:p>
    <w:tbl>
      <w:tblPr>
        <w:tblW w:w="7250" w:type="dxa"/>
        <w:jc w:val="left"/>
        <w:tblInd w:w="0" w:type="dxa"/>
        <w:tblLayout w:type="fixed"/>
        <w:tblCellMar>
          <w:top w:w="28" w:type="dxa"/>
          <w:left w:w="28" w:type="dxa"/>
          <w:bottom w:w="28" w:type="dxa"/>
          <w:right w:w="28" w:type="dxa"/>
        </w:tblCellMar>
      </w:tblPr>
      <w:tblGrid>
        <w:gridCol w:w="4166"/>
        <w:gridCol w:w="146"/>
        <w:gridCol w:w="228"/>
        <w:gridCol w:w="912"/>
        <w:gridCol w:w="166"/>
        <w:gridCol w:w="146"/>
        <w:gridCol w:w="219"/>
        <w:gridCol w:w="876"/>
        <w:gridCol w:w="391"/>
      </w:tblGrid>
      <w:tr>
        <w:tc>
          <w:tcPr>
            <w:tcW w:w="4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960,219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and per share data)</w:t>
      </w:r>
      <w:r>
        <w:rPr>
          <w:rFonts w:ascii="Times New Roman" w:hAnsi="Times New Roman"/>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(loss)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used to compute net loss </w:t>
              <w:br/>
              <w:t>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74,637,689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74,024,543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74,464,897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73,973,278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statements_convertible_preferr"/>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pPr>
      <w:r>
        <w:t> </w:t>
      </w:r>
    </w:p>
    <w:tbl>
      <w:tblPr>
        <w:tblW w:w="8766" w:type="dxa"/>
        <w:jc w:val="left"/>
        <w:tblInd w:w="0" w:type="dxa"/>
        <w:tblLayout w:type="fixed"/>
        <w:tblCellMar>
          <w:top w:w="28" w:type="dxa"/>
          <w:left w:w="28" w:type="dxa"/>
          <w:bottom w:w="28" w:type="dxa"/>
          <w:right w:w="28" w:type="dxa"/>
        </w:tblCellMar>
      </w:tblPr>
      <w:tblGrid>
        <w:gridCol w:w="2371"/>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71,078,531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(648,308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312,325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Net unrealized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(27,832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71,290,490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(676,140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285,860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Common stock issued under </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Net unrealized loss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(40,368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71,622,221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964,664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(716,508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247,738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Net unrealized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September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71,704,404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(749,834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215,749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pPr>
      <w:r>
        <w:t> </w:t>
      </w:r>
    </w:p>
    <w:tbl>
      <w:tblPr>
        <w:tblW w:w="8766" w:type="dxa"/>
        <w:jc w:val="left"/>
        <w:tblInd w:w="0" w:type="dxa"/>
        <w:tblLayout w:type="fixed"/>
        <w:tblCellMar>
          <w:top w:w="28" w:type="dxa"/>
          <w:left w:w="28" w:type="dxa"/>
          <w:bottom w:w="28" w:type="dxa"/>
          <w:right w:w="28" w:type="dxa"/>
        </w:tblCellMar>
      </w:tblPr>
      <w:tblGrid>
        <w:gridCol w:w="2371"/>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70,645,139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(544,224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407,976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Net unrealized loss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(31,983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70,957,554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(576,207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378,805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Common stock issued under </w:t>
              <w:br/>
              <w:t>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(22,977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71,024,512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956,483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(599,184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357,668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gain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(21,715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September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71,024,512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958,256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(620,899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337,900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statement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and amortization of premiums and (discounts)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plan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cash, cash equivalents and restricted cash to the 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property and equipment in accounts payable and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financial_statements"/>
      <w:bookmarkEnd w:id="8"/>
      <w:r>
        <w:rPr>
          <w:rFonts w:ascii="Times New Roman" w:hAnsi="Times New Roman"/>
          <w:b/>
          <w:color w:val="000000"/>
          <w:sz w:val="20"/>
        </w:rPr>
        <w:t>NOTES TO CONDENSED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pPr>
      <w:r>
        <w:t>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Description of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Nkarta, Inc. ("Nkarta" or the "Company") was incorporated in the State of Delaware in July 2015. The Company is a biopharmaceutical company developing engineered natural killer ("NK") cell therapies to treat autoimmune diseases. The Company is focused on leveraging the natural potent power of NK cells to identify and kill abnormal cells and recruit adaptive immune effectors to generate responses that are specific and durable. Nkarta is combining its NK-cell expansion platform technology with proprietary cell engineering technologies to generate an abundant supply of NK cells, engineer enhanced NK-cell recognition of therapeutic targets, and improve persistence for sustained activity in the body. Nkarta’s goal is to develop off-the-shelf NK-cell therapy product candidates to improve outcomes for patients. The Company’s operations are based in South San Francisco, California, and it operates in one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Management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revenues from its planned principal operations. In addition, the Company has incurred operating losses since inception and expects that it will continue to incur net losses into the foreseeable future as it continues its research and development activities. As of September 30, 2026, the Company had an accumulated deficit of $749.8 million and cash, cash equivalents, restricted cash and investments of $216.0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plans to continue to incur substantial costs in order to conduct research and development activities for which additional capital will be needed. The Company intends to raise such capital through debt or equity financings or other arrangements, as it has primarily done to date to fund its operations. Management believes that the Company’s current cash, cash equivalents, restricted cash and investments will provide sufficient funds to enable the Company to meet its obligations for at least twelve months from the filing date of this report. </w:t>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 and Significant Accounting Policies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as of September 30, 2026 and for the three and nine months ended September 30, 2026 and 2025 have been prepared in accordance with U.S. generally accepted accounting principles ("U.S. GAAP") for interim financial information and pursuant to Article 10 of Regulation S-X of the Securities Act of 1933,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for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for the three and nine months ended September 30, 2026 are not necessarily indicative of the results expected for the full year or any subsequent interim period. The condensed balance sheet as of December 31, 2025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2025 and the notes accompanying them, contained in the Company’s Annual Report on Form 10-K for the year ended December 31, 2025 filed by the Company with the SEC on March 25,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but not limited to, those related to clinical trial accruals,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 average number of common shares and pre-funded warrants outstanding for the period, without consideration of potential dilutive securities. Pre-funded warrants are considered outstanding for the purposes of computing basic and diluted net loss per share because shares may be issued for little or no additional consideration and are fully vested and exercisable after the original issuance date of the pre-funded warrants. Diluted net loss per share is computed by dividing the net loss by the sum of the weighted average number of common shares and pre-funded warrants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outstanding stock options and restricted stock units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Long-Lived Asset Impairment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assesses the impairment of long-lived assets whenever events or changes in business circumstances indicate that the carrying amounts of the asset or group of assets may not be fully recoverable. In the case of property and equipment and right-of-use assets for the Company's leases, the Company determines whether there has been an impairment by comparing the carrying value of the group of assets to the anticipated undiscounted net future cash flows associated with the group of assets. If such cash flows are less than the carrying value, the Company writes down the group of assets to its fair value, which may be measured as anticipated net cash flows associated with the group of assets, discounted at a rate that the Company believes a market participant would utilize to reflect the risks associated with the cash flows, such as credit risk. See Note 5 and Note 6 for additional information regarding the impairment charges the Company recorded in the second quarter of 2026 in connection with its property and equipment and leased facilities, respectively. During the third quarter of 2025, the Company identified an indicator of impairment of its long-lived assets due to a sustained decline in the trading price of its common stock, which resulted in the Company’s market capitalization falling below its net asset value. There were no changes in the continued intended use of its long-lived assets. The fair value of the right-of-use assets was determined by discounting the estimated cash flows using observed market lease rates for comparable properties and an estimated market participant borrowing rate of 8.5%. The fair value of property and equipment was estimated using trend factors applied to historical cost data, together with estimates of economic depreciation and expected useful lives. Based on the results of the fair value analyses, the Company recognized an impairment charge of $0.8 million related to the right-of-use asset, which was recorded in the condensed statements of operations for the quarter ended September 30, 2025. The impairment charge is included within general and administrative expenses.</w:t>
      </w:r>
    </w:p>
    <w:p>
      <w:pPr>
        <w:pStyle w:val="TextBody"/>
        <w:bidi w:val="0"/>
        <w:spacing w:before="360" w:after="283"/>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Employee severance costs are recorded based on whether the termination benefits are provided under an on-going benefit arrangement or under a one-time benefit arrangement. The Company accounts for on-going termination benefit arrangements, such as those arising from employment agreements, applicable regulations or past practices, in accordance with Accounting Standards Codification (“ASC”) Topic 712, </w:t>
      </w:r>
      <w:r>
        <w:rPr>
          <w:rFonts w:ascii="Times New Roman" w:hAnsi="Times New Roman"/>
          <w:i/>
          <w:color w:val="000000"/>
          <w:sz w:val="20"/>
        </w:rPr>
        <w:t>Compensation-Nonretirement Postemployment Benefits</w:t>
      </w:r>
      <w:r>
        <w:rPr>
          <w:rFonts w:ascii="Times New Roman" w:hAnsi="Times New Roman"/>
          <w:color w:val="000000"/>
          <w:sz w:val="20"/>
        </w:rPr>
        <w:t xml:space="preserve"> (“ASC 712”). Under ASC 712, liabilities for post-employment benefits related to past services and that vest or are accumulated over time are recorded at the time the obligations are probable of being incurred and can be reasonably estimated. The Company accounts for one-time employment benefit arrangements in accordance with ASC Topic 420, </w:t>
      </w:r>
      <w:r>
        <w:rPr>
          <w:rFonts w:ascii="Times New Roman" w:hAnsi="Times New Roman"/>
          <w:i/>
          <w:color w:val="000000"/>
          <w:sz w:val="20"/>
        </w:rPr>
        <w:t>Exit or Disposal Cost Obligations</w:t>
      </w:r>
      <w:r>
        <w:rPr>
          <w:rFonts w:ascii="Times New Roman" w:hAnsi="Times New Roman"/>
          <w:color w:val="000000"/>
          <w:sz w:val="20"/>
        </w:rPr>
        <w:t xml:space="preserve"> (“ASC 420”). One-time termination benefits are expensed at the date the entity notifies the employee, unless the employee must provide future service over a period extending past the minimum notification period, in which case the benefits are expensed ratably over the future service period. Other associated costs are recognized in the period in which the liability is incurred. See Note 12 for additional information on the severance expense that the Company recognized for employees terminated in connection with the reduction in force.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 xml:space="preserve">(“ASU 2024-03"). In January 2025, the FASB issued ASU 2025-01,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xml:space="preserve">, to clarify the effective date of ASU 2024-03. These amendments require public entities to disclose specified information about certain costs and expenses on an interim and annual basis and are effective for annual reporting periods beginning after December 15, 2026 and interim periods beginning after December 15, 2027, with early adoption permitted. The new standards are expected to be applied prospectively, but retrospective application is permitted. The Company is currently evaluating the impact on the financial statements and related disclosures.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ASU 2025-11 improves clarity for interim financial reporting requirements under the existing guidance within ASC 270, Interim Reporting. ASU 2025-11 is effective for public entities within annual periods beginning after December 15, 2027, with early adoption permitted. The Company is currently evaluating the impact of ASU 2025-11 on its financial statements and related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computation of the basic and diluted net loss per share (in thousands except share and per share data):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71,637,658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71,024,512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71,464,866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70,973,247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weighted average of common stock</w:t>
              <w:br/>
              <w:t>   to be issued upon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w:t>
              <w:br/>
              <w:t>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74,637,689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74,024,543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74,464,897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73,973,278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outstanding potentially dilutive securities that have been excluded in the calculation of diluted net loss per share because their inclusion would be antidilutive: </w:t>
      </w:r>
    </w:p>
    <w:p>
      <w:pPr>
        <w:pStyle w:val="TextBody"/>
        <w:bidi w:val="0"/>
        <w:jc w:val="left"/>
      </w:pPr>
      <w:r>
        <w:t> </w:t>
      </w:r>
    </w:p>
    <w:tbl>
      <w:tblPr>
        <w:tblW w:w="5004" w:type="dxa"/>
        <w:jc w:val="left"/>
        <w:tblInd w:w="0" w:type="dxa"/>
        <w:tblLayout w:type="fixed"/>
        <w:tblCellMar>
          <w:top w:w="28" w:type="dxa"/>
          <w:left w:w="28" w:type="dxa"/>
          <w:bottom w:w="28" w:type="dxa"/>
          <w:right w:w="28" w:type="dxa"/>
        </w:tblCellMar>
      </w:tblPr>
      <w:tblGrid>
        <w:gridCol w:w="2011"/>
        <w:gridCol w:w="146"/>
        <w:gridCol w:w="146"/>
        <w:gridCol w:w="1036"/>
        <w:gridCol w:w="146"/>
        <w:gridCol w:w="146"/>
        <w:gridCol w:w="146"/>
        <w:gridCol w:w="1036"/>
        <w:gridCol w:w="191"/>
      </w:tblGrid>
      <w:t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0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10,659,408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10,948,880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11,578,058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11,610,516</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pPr>
      <w:r>
        <w:t> </w:t>
      </w:r>
    </w:p>
    <w:p>
      <w:pPr>
        <w:pStyle w:val="TextBody"/>
        <w:bidi w:val="0"/>
        <w:spacing w:before="160" w:after="283"/>
        <w:jc w:val="left"/>
        <w:rPr>
          <w:rFonts w:ascii="Times New Roman" w:hAnsi="Times New Roman"/>
          <w:sz w:val="20"/>
        </w:rPr>
      </w:pPr>
      <w:r>
        <w:rPr>
          <w:rFonts w:ascii="Times New Roman" w:hAnsi="Times New Roman"/>
          <w:b/>
          <w:color w:val="000000"/>
          <w:sz w:val="20"/>
        </w:rPr>
        <w:t>4.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Company's financial instruments measured at fair value on a recurring basis by level within the fair value hierarchy (in thousands):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997"/>
        <w:gridCol w:w="146"/>
        <w:gridCol w:w="1472"/>
        <w:gridCol w:w="146"/>
        <w:gridCol w:w="211"/>
        <w:gridCol w:w="781"/>
        <w:gridCol w:w="146"/>
        <w:gridCol w:w="146"/>
        <w:gridCol w:w="270"/>
        <w:gridCol w:w="616"/>
        <w:gridCol w:w="166"/>
        <w:gridCol w:w="146"/>
        <w:gridCol w:w="335"/>
        <w:gridCol w:w="551"/>
        <w:gridCol w:w="146"/>
        <w:gridCol w:w="146"/>
        <w:gridCol w:w="211"/>
        <w:gridCol w:w="781"/>
        <w:gridCol w:w="792"/>
      </w:tblGrid>
      <w:tr>
        <w:tc>
          <w:tcPr>
            <w:tcW w:w="2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62,011</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8,278</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46,253</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10,422</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56,675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164,929</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33,977</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11,402</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47,276</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997"/>
        <w:gridCol w:w="146"/>
        <w:gridCol w:w="1472"/>
        <w:gridCol w:w="146"/>
        <w:gridCol w:w="211"/>
        <w:gridCol w:w="781"/>
        <w:gridCol w:w="146"/>
        <w:gridCol w:w="146"/>
        <w:gridCol w:w="335"/>
        <w:gridCol w:w="551"/>
        <w:gridCol w:w="166"/>
        <w:gridCol w:w="146"/>
        <w:gridCol w:w="295"/>
        <w:gridCol w:w="591"/>
        <w:gridCol w:w="146"/>
        <w:gridCol w:w="146"/>
        <w:gridCol w:w="211"/>
        <w:gridCol w:w="781"/>
        <w:gridCol w:w="792"/>
      </w:tblGrid>
      <w:tr>
        <w:tc>
          <w:tcPr>
            <w:tcW w:w="2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134,847</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25,952</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8,997</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236,645</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16,107</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252,752</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pPr>
            <w:r>
              <w:t> </w:t>
            </w:r>
          </w:p>
        </w:tc>
      </w:tr>
      <w:t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39,133</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are classified as Level 1 within the fair value hierarchy if their quoted prices are available in active markets for identical securities. Investments in money market funds of $34.0 million and $33.9 million as of September 30, 2026 and December 31, 2025, respectively, were classified as Level 1 instruments and were included in cash equivalents.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in corporate debt securities, commercial paper and government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Accrued interest receivable related to investments was $1.4 million and $2.0 million as of September 30, 2026 and December 31, 2025, respectively, and included as part of prepaid expenses and other current assets in the condensed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equipment with a net book value of $4.1 million that was impaired during the second quarter of 2026 was determined using a quote received from an independent third-party, which the Company determined to be an unobservable Level 3 input. The fair value of the equipment with a net book value of $0.9 million was determined using a market approach based on estimated sales proceeds, which the Company also determined to be an unobservable Level 3 input. See Note 5, Balance Sheet Components, for additional information. The market participant estimated borrowing rate of 8% that was utilized in the discounted cash flow analysis for the impairment of the right-of-use assets is also an unobservable Level 3 input. See Note 6, Leases,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classified its investment securities as current and non-current assets on the condensed balance sheets based on each security's contractual maturity date, and all investment securities are accounted for as available-for-sale because these investment securities are considered available for use in operations. All of our long-term investments as of September 30, 2026 had maturities between one and two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considers whether unrealized losses have resulted from a credit loss or other factors. The unrealized losses on the Company’s available-for-sale securities as of September 30, 2026 and December 31, 2025 were caused by fluctuations in market value and interest rates as a result of the economic environment and not credit risk. The Company concluded that an allowance for credit losses was unnecessary as of September 30, 2026 and December 31, 2025. It is neither management’s intention to sell nor is it more likely than not that the Company will be required to sell these investments prior to recovery of their cost basis or recovery of fair value. Unrealized gains and losses are included in accumulated other comprehensive income/(loss).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2026 and 2025, the Company received $4.0 million and $23.0 million, respectively, in proceeds from available-for-sale securities called prior to maturity, resulting in an immaterial realized gain and included within maturities of investments. The Company uses the specific identification method to determine the cost basis of investments sold.</w:t>
      </w:r>
    </w:p>
    <w:p>
      <w:pPr>
        <w:pStyle w:val="TextBody"/>
        <w:bidi w:val="0"/>
        <w:spacing w:before="160" w:after="283"/>
        <w:jc w:val="left"/>
        <w:rPr>
          <w:rFonts w:ascii="Times New Roman" w:hAnsi="Times New Roman"/>
          <w:sz w:val="20"/>
        </w:rPr>
      </w:pPr>
      <w:r>
        <w:rPr>
          <w:rFonts w:ascii="Times New Roman" w:hAnsi="Times New Roman"/>
          <w:b/>
          <w:color w:val="000000"/>
          <w:sz w:val="20"/>
        </w:rPr>
        <w:t>5. Balance Sheet Components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is comprised of the following (in thousands): </w:t>
      </w:r>
    </w:p>
    <w:p>
      <w:pPr>
        <w:pStyle w:val="TextBody"/>
        <w:bidi w:val="0"/>
        <w:jc w:val="left"/>
      </w:pPr>
      <w:r>
        <w:t> </w:t>
      </w:r>
    </w:p>
    <w:tbl>
      <w:tblPr>
        <w:tblW w:w="7155" w:type="dxa"/>
        <w:jc w:val="left"/>
        <w:tblInd w:w="0" w:type="dxa"/>
        <w:tblLayout w:type="fixed"/>
        <w:tblCellMar>
          <w:top w:w="28" w:type="dxa"/>
          <w:left w:w="28" w:type="dxa"/>
          <w:bottom w:w="28" w:type="dxa"/>
          <w:right w:w="28" w:type="dxa"/>
        </w:tblCellMar>
      </w:tblPr>
      <w:tblGrid>
        <w:gridCol w:w="4051"/>
        <w:gridCol w:w="146"/>
        <w:gridCol w:w="254"/>
        <w:gridCol w:w="886"/>
        <w:gridCol w:w="166"/>
        <w:gridCol w:w="146"/>
        <w:gridCol w:w="244"/>
        <w:gridCol w:w="851"/>
        <w:gridCol w:w="411"/>
      </w:tblGrid>
      <w:t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and amortization expense was $2.1 million and $2.3 million for the three months ended September 30, 2026 and 2025, respectively, and $7.1 million and $6.9 million for the nine months ended September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tests long-lived assets for recoverability whenever events or changes in circumstances suggest that the carrying value of an asset or group of assets may not be recoverable. No impairment charge related to property and equipment was recorded during the three months ended September 30, 2026. During the second quarter of 2026, the Company identified an indicator related to equipment that will no longer be utilized as a result of ongoing optimization of the Company’s manufacturing processes and recorded an impairment charge of $4.0 million within general and administrative expenses in the condensed statements of operations. Of this amount, $3.1 million related to equipment included in construction in progress that the Company no longer plans to place in service. An additional $0.9 million related to other equipment that the Company has no plans to use in operations was written down to its estimated fair value. No impairment charge related to property and equipment was recorded during the three and nine months ended September 30, 2025.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and other current liabilities are comprised of the following (in thousands): </w:t>
      </w:r>
    </w:p>
    <w:p>
      <w:pPr>
        <w:pStyle w:val="TextBody"/>
        <w:bidi w:val="0"/>
        <w:jc w:val="left"/>
      </w:pPr>
      <w:r>
        <w:t> </w:t>
      </w:r>
    </w:p>
    <w:tbl>
      <w:tblPr>
        <w:tblW w:w="6470" w:type="dxa"/>
        <w:jc w:val="left"/>
        <w:tblInd w:w="0" w:type="dxa"/>
        <w:tblLayout w:type="fixed"/>
        <w:tblCellMar>
          <w:top w:w="28" w:type="dxa"/>
          <w:left w:w="28" w:type="dxa"/>
          <w:bottom w:w="28" w:type="dxa"/>
          <w:right w:w="28" w:type="dxa"/>
        </w:tblCellMar>
      </w:tblPr>
      <w:tblGrid>
        <w:gridCol w:w="3406"/>
        <w:gridCol w:w="146"/>
        <w:gridCol w:w="271"/>
        <w:gridCol w:w="869"/>
        <w:gridCol w:w="146"/>
        <w:gridCol w:w="146"/>
        <w:gridCol w:w="260"/>
        <w:gridCol w:w="835"/>
        <w:gridCol w:w="391"/>
      </w:tblGrid>
      <w:t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and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spacing w:before="160" w:after="283"/>
        <w:jc w:val="left"/>
        <w:rPr>
          <w:rFonts w:ascii="Times New Roman" w:hAnsi="Times New Roman"/>
          <w:sz w:val="20"/>
        </w:rPr>
      </w:pPr>
      <w:r>
        <w:rPr>
          <w:rFonts w:ascii="Times New Roman" w:hAnsi="Times New Roman"/>
          <w:b/>
          <w:color w:val="000000"/>
          <w:sz w:val="20"/>
        </w:rPr>
        <w:t>6.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for its current corporate offices, laboratory space, manufacturing facility, and dedicated space in a vivarium in South San Francisco, California. Rent expense was $2.2 million and $6.9 million for the three and nine months ended September 30, 2026, respectively, and $2.3 million and $7.1 million for the three and nine months ended September 30, 2025, respectively. The total cash paid for operating leases included in the operating cash flows was $9.7 million and $9.3 million for the nine months ended September 30, 2026 and 2025, respectively. The weighted average remaining lease term was 7.3 years for the corporate office, laboratory space leases, and additional facility as of September 30, 2026. The weighted average discount rate was 9.8% as of September 30,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Initial Lease Agreement</w:t>
      </w:r>
    </w:p>
    <w:p>
      <w:pPr>
        <w:pStyle w:val="TextBody"/>
        <w:bidi w:val="0"/>
        <w:jc w:val="left"/>
        <w:rPr>
          <w:rFonts w:ascii="Times New Roman" w:hAnsi="Times New Roman"/>
          <w:sz w:val="20"/>
        </w:rPr>
      </w:pPr>
      <w:r>
        <w:rPr>
          <w:rFonts w:ascii="Times New Roman" w:hAnsi="Times New Roman"/>
          <w:color w:val="000000"/>
          <w:sz w:val="20"/>
        </w:rPr>
        <w:t>In May 2018, the Company entered into a lease agreement for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In May 2020, the Company executed the second amendment to the Initial Lease Agreement for additional corporate space and laboratory space in the same building. The lease for this additional space commenced in January 2021. In January 2021, the Company signed a third amendment to the Initial Lease Agreement for additional space in the same building. The lease amendment for this additional space commenced in April 2021 and expired in March 2024.</w:t>
      </w:r>
      <w:r>
        <w:rPr>
          <w:rFonts w:ascii="Times New Roman" w:hAnsi="Times New Roman"/>
          <w:color w:val="FF0000"/>
          <w:sz w:val="20"/>
        </w:rPr>
        <w:t xml:space="preserve"> </w:t>
      </w:r>
      <w:r>
        <w:rPr>
          <w:rFonts w:ascii="Times New Roman" w:hAnsi="Times New Roman"/>
          <w:color w:val="000000"/>
          <w:sz w:val="20"/>
        </w:rPr>
        <w:t xml:space="preserve">In October 2021, the Company signed a fourth amendment to the Initial Lease Agreement for additional space in the same building, that commenced in April 2022. All space leased under the Initial Lease Agreement, together with the first amendment, second amendment, and fourth amendment to the Initial Lease Agreement, has a lease term through July 31, 2030, with an option to extend the lease for an additional seven-year term. This lease extension option was not considered in the right-of-use assets or the lease liability as the Company did not consider it reasonably certain the option would be exercised. In December 2024, the Company executed a sixth amendment to the Initial Lease Agreement, which updated the lease termination date for one of the spaces in the same building to July 31, 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Additional Lease Agreement</w:t>
      </w:r>
    </w:p>
    <w:p>
      <w:pPr>
        <w:pStyle w:val="TextBody"/>
        <w:bidi w:val="0"/>
        <w:jc w:val="left"/>
        <w:rPr>
          <w:rFonts w:ascii="Times New Roman" w:hAnsi="Times New Roman"/>
          <w:sz w:val="20"/>
        </w:rPr>
      </w:pPr>
      <w:r>
        <w:rPr>
          <w:rFonts w:ascii="Times New Roman" w:hAnsi="Times New Roman"/>
          <w:color w:val="000000"/>
          <w:sz w:val="20"/>
        </w:rPr>
        <w:t>In July 2021, the Company entered into an additional lease agreement for corporate office, manufacturing and laboratory space located in South San Francisco, California with an expiration date approximately twelve years after the lease commencement date (as amended from time to time, the "Additional Lease Agreement"). The lease for this additional space and the Company's obligation to pay rent commenced in January 2022. In addition to ba</w:t>
      </w:r>
      <w:r>
        <w:rPr>
          <w:rFonts w:ascii="Times New Roman" w:hAnsi="Times New Roman"/>
          <w:color w:val="212529"/>
          <w:sz w:val="20"/>
        </w:rPr>
        <w:t>se rent, the Company is responsible for payment of direct expenses, which include operating, insurance and tax expenses. The Additional Lease Agreement provided for certain tenant improvement allowances that were fully utilized and reimbursed to the Company, and an additional tenant improvement allowance to be utilized at the option of the Company. In June 2023, the Company entered into an amendment to utilize the additional tenant improvement allowance of $4.4 million and under this amendment the Company is required to repay the tenant improvement costs in equal monthly payments at an annual rate of 8.5% over the remainder of the lease term starting in July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Vivarium Lease Agreement</w:t>
      </w:r>
    </w:p>
    <w:p>
      <w:pPr>
        <w:pStyle w:val="TextBody"/>
        <w:bidi w:val="0"/>
        <w:jc w:val="left"/>
        <w:rPr>
          <w:rFonts w:ascii="Times New Roman" w:hAnsi="Times New Roman"/>
          <w:sz w:val="20"/>
        </w:rPr>
      </w:pPr>
      <w:r>
        <w:rPr>
          <w:rFonts w:ascii="Times New Roman" w:hAnsi="Times New Roman"/>
          <w:color w:val="000000"/>
          <w:sz w:val="20"/>
        </w:rPr>
        <w:t>In October</w:t>
      </w:r>
      <w:r>
        <w:rPr>
          <w:rFonts w:ascii="Times New Roman" w:hAnsi="Times New Roman"/>
          <w:color w:val="212529"/>
          <w:sz w:val="20"/>
        </w:rPr>
        <w:t xml:space="preserve"> 2025, the Company entered into a lease modification agreement for dedicated space in a vivarium in South San Francisco, California, with an expiration date of December 31, 2028. As a result of the modification agreement in 2025, the Company increased its right-of-use asset and lease liability each by $1.1 million.</w:t>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Maturities of operating lease liabilities under existing operating leases as of September 30, 2026 were as follows (in thousands): </w:t>
      </w:r>
    </w:p>
    <w:p>
      <w:pPr>
        <w:pStyle w:val="TextBody"/>
        <w:bidi w:val="0"/>
        <w:jc w:val="left"/>
      </w:pPr>
      <w:r>
        <w:t> </w:t>
      </w:r>
    </w:p>
    <w:tbl>
      <w:tblPr>
        <w:tblW w:w="4405" w:type="dxa"/>
        <w:jc w:val="left"/>
        <w:tblInd w:w="0" w:type="dxa"/>
        <w:tblLayout w:type="fixed"/>
        <w:tblCellMar>
          <w:top w:w="28" w:type="dxa"/>
          <w:left w:w="28" w:type="dxa"/>
          <w:bottom w:w="28" w:type="dxa"/>
          <w:right w:w="28" w:type="dxa"/>
        </w:tblCellMar>
      </w:tblPr>
      <w:tblGrid>
        <w:gridCol w:w="2856"/>
        <w:gridCol w:w="146"/>
        <w:gridCol w:w="211"/>
        <w:gridCol w:w="781"/>
        <w:gridCol w:w="411"/>
      </w:tblGrid>
      <w:t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2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pPr>
      <w: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2024 and November 2024, the Company entered into agreements to sublease a portion of the Company's leased office space through November 2027 and July 2030, respectively. The sublease agreements both commenced during the fourth quarter of 2024 and rent payments commenced in the second quarter of 2025. The Company accounts for the sublease agreements in accordance with ASC 842, </w:t>
      </w:r>
      <w:r>
        <w:rPr>
          <w:rFonts w:ascii="Times New Roman" w:hAnsi="Times New Roman"/>
          <w:i/>
          <w:color w:val="000000"/>
          <w:sz w:val="20"/>
        </w:rPr>
        <w:t>Leases</w:t>
      </w:r>
      <w:r>
        <w:rPr>
          <w:rFonts w:ascii="Times New Roman" w:hAnsi="Times New Roman"/>
          <w:color w:val="000000"/>
          <w:sz w:val="20"/>
        </w:rPr>
        <w:t xml:space="preserve">. Sublease income during the three and nine months ended September 30, 2026 and 2025, was not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tests long-lived assets for recoverability whenever events or changes in circumstances suggest that the carrying value of an asset or group of assets may not be recoverable. No impairment charge related to right-of-use assets was recorded during the three months ended September 30, 2026. During the second quarter of 2026, the Company made the decision to sublease one of its leased spaces in South San Francisco, which is no longer utilized as a result of the consolidation of the Company's manufacturing operations into a single facility. As a result, the Company evaluated this space for impairment, comparing the estimated undiscounted cash flows expected from the potential sublease to the net book value of the related long-lived assets, which consist of right-of-use assets and certain property and equipment, primarily leasehold improvements (collectively, “Sublease Asset Group”). Estimated sublease income was based on market participant assumptions reflecting current real estate trends and conditions. The analysis indicated that the net carrying value of the Sublease Asset Group exceeded its estimated undiscounted future cash flows. The Company therefore determined the fair value of the Sublease Asset Group using a discounted cash flows approach, applying an estimated market participant borrowing rate of 8%. Because the carrying value of the Sublease Asset Group exceeded its estimated fair value, the Company recorded an impairment charge of $4.1 million for the three months ended June 30, 2026, comprised of $2.4 million related to the right-of-use asset and $1.7 million related to leasehold improvements. This impairment charge is included in general and administrative expenses in the condensed statements of operations and comprehensive loss for the nine months ended September 30, 2026.</w:t>
      </w:r>
    </w:p>
    <w:p>
      <w:pPr>
        <w:pStyle w:val="TextBody"/>
        <w:bidi w:val="0"/>
        <w:spacing w:before="120" w:after="283"/>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Guarantee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and enables the Company to recover a portion of any future amounts under certain circumstances and subject to deductibles and exclusions. The Company had no liabilities recorded for these agreements as of September 30, 2026, and December 31, 2025.</w:t>
      </w:r>
    </w:p>
    <w:p>
      <w:pPr>
        <w:pStyle w:val="TextBody"/>
        <w:bidi w:val="0"/>
        <w:spacing w:before="360" w:after="283"/>
        <w:jc w:val="left"/>
        <w:rPr>
          <w:rFonts w:ascii="Times New Roman" w:hAnsi="Times New Roman"/>
          <w:sz w:val="20"/>
        </w:rPr>
      </w:pPr>
      <w:r>
        <w:rPr>
          <w:rFonts w:ascii="Times New Roman" w:hAnsi="Times New Roman"/>
          <w:b/>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$2.7 million in letter of credit agreements with a financial institution that are used as collateral for the Company’s corporate headquarters’ operating leases. The letters of credit automatically renew annually without amendment unless cancelled by the financial institutions within 30 to 60 days of the annual expiration date. The letters of credit are presented as restricted cash in the condensed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 losses and no provision for a loss contingency have been recorded as of September 30, 2026. </w:t>
      </w:r>
    </w:p>
    <w:p>
      <w:pPr>
        <w:pStyle w:val="TextBody"/>
        <w:bidi w:val="0"/>
        <w:spacing w:before="36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pStyle w:val="TextBody"/>
        <w:bidi w:val="0"/>
        <w:spacing w:before="360" w:after="283"/>
        <w:jc w:val="left"/>
        <w:rPr>
          <w:rFonts w:ascii="Times New Roman" w:hAnsi="Times New Roman"/>
          <w:sz w:val="20"/>
        </w:rPr>
      </w:pPr>
      <w:r>
        <w:rPr>
          <w:rFonts w:ascii="Times New Roman" w:hAnsi="Times New Roman"/>
          <w:b/>
          <w:color w:val="000000"/>
          <w:sz w:val="20"/>
        </w:rPr>
        <w:t>8. CRISPR Collaboration Agreement</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5, 2021, the Company entered into a Research Collaboration Agreement (as amended, the "CRISPR Agreement") with CRISPR Therapeutics AG ("CRISPR") to co-develop and co-commercialize an allogeneic, off-the-shelf CAR NK product candidate targeting the CD70 tumor antigen ("NKX070") and an allogeneic, off-the-shelf product candidate that comprises both engineered NK cells and engineered T cells ("NK+T"). The Company and CRISPR have entered into a number of amendments to the CRISPR Agreement to, among other things, revise the transfer of materials, nomination provisions, permit the Company's advancement of CRISPR-licensed product candidates targeting a specified tumor antigen (the "Specified TA"), and incorporate associated development and regulatory approval milestones and sales based royalties. In addition, the Company has received licenses from CRISPR for five CRISPR-Cas9 gene editing targets that can be engineered into an unlimited number of its own NK cell products. CRISPR also has an option to co-develop and co-commercialize a future CAR NK program. Subsequently, pursuant to terms of the CRISPR Agreement, CRISPR elected to exercise its right to opt-out of continuing the research of the initial collaboration product, NKX070. The opt-out became effective in September 2025. The Company retains a license to the initial collaboration product, subject to the same potential future milestone and royalty payments owed to CRISPR as described below for non-collaboration products. Currently, the Company is not performing any work on this initial collaboration product and no milestones have been achieved or are probable.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CRISPR Agreement now, the Company and CRISPR share equally in all research and development costs and potential profits worldwide related to the NK+T product candidate and the potential future CAR NK program. The Company has deprioritized further development of NKX070 and NK+T.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September 30, 2026, the Company has not paid any amounts nor are any amounts owed by the Company under the CRISPR Agreement, and no milestones have been achieved or are probable.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9. Stockholders' Equity</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2020 Performance Incentive Plan (the "2020 Plan"), which was adopted by the Company’s board of directors in June 2020 and approved by the Company’s stockholders in July 2020, became effective upon the consummation of the Company’s initial public offering in July 2020 ("IPO"). Upon the effectiveness of the 2020 Plan, no further grants may be made under the Company’s 2015 Equity Incentive Plan (the "2015 Plan"). The 2020 Plan allows for the grant of incentive stock options, non-qualified stock options, stock appreciation rights, stock bonuses, restricted stock, stock units and other forms of awards including cash awards to its officers, directors, employees, consultants and advisors.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2026, a total of 17,934,163 shares of the Company’s common stock were authorized for issuance with respect to awards granted under the 2020 Plan (this number of shares gives effect to the annual increases in the 2020 Plan share limit, as described in the next sentence, through that date).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6,697,109 shares were available for issuance under the 2020 Plan as of September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option activity under the 2020 Plan and 2015 Plan during the nine months ended September 30, 2026:</w:t>
      </w:r>
    </w:p>
    <w:tbl>
      <w:tblPr>
        <w:tblW w:w="10205" w:type="dxa"/>
        <w:jc w:val="left"/>
        <w:tblInd w:w="0" w:type="dxa"/>
        <w:tblLayout w:type="fixed"/>
        <w:tblCellMar>
          <w:top w:w="28" w:type="dxa"/>
          <w:left w:w="28" w:type="dxa"/>
          <w:bottom w:w="28" w:type="dxa"/>
          <w:right w:w="28" w:type="dxa"/>
        </w:tblCellMar>
      </w:tblPr>
      <w:tblGrid>
        <w:gridCol w:w="3800"/>
        <w:gridCol w:w="146"/>
        <w:gridCol w:w="166"/>
        <w:gridCol w:w="1185"/>
        <w:gridCol w:w="166"/>
        <w:gridCol w:w="146"/>
        <w:gridCol w:w="224"/>
        <w:gridCol w:w="609"/>
        <w:gridCol w:w="146"/>
        <w:gridCol w:w="146"/>
        <w:gridCol w:w="272"/>
        <w:gridCol w:w="674"/>
        <w:gridCol w:w="146"/>
        <w:gridCol w:w="146"/>
        <w:gridCol w:w="550"/>
        <w:gridCol w:w="1489"/>
        <w:gridCol w:w="194"/>
      </w:tblGrid>
      <w:tr>
        <w:tc>
          <w:tcPr>
            <w:tcW w:w="3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380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 (in thousands)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39"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10,659,408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10,659,408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stock option grants was $1.70 and $1.72 per share for the nine months ended September 30, 2026 and 2025, respectively. </w:t>
      </w:r>
    </w:p>
    <w:p>
      <w:pPr>
        <w:pStyle w:val="TextBody"/>
        <w:bidi w:val="0"/>
        <w:spacing w:before="40" w:after="283"/>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restricted stock unit activity under the 2020 Plan during the nine months ended September 30, 2026: </w:t>
      </w:r>
    </w:p>
    <w:p>
      <w:pPr>
        <w:pStyle w:val="TextBody"/>
        <w:bidi w:val="0"/>
        <w:spacing w:before="40" w:after="283"/>
        <w:jc w:val="left"/>
      </w:pPr>
      <w:r>
        <w:t> </w:t>
      </w:r>
    </w:p>
    <w:tbl>
      <w:tblPr>
        <w:tblW w:w="8593" w:type="dxa"/>
        <w:jc w:val="left"/>
        <w:tblInd w:w="0" w:type="dxa"/>
        <w:tblLayout w:type="fixed"/>
        <w:tblCellMar>
          <w:top w:w="28" w:type="dxa"/>
          <w:left w:w="28" w:type="dxa"/>
          <w:bottom w:w="28" w:type="dxa"/>
          <w:right w:w="28" w:type="dxa"/>
        </w:tblCellMar>
      </w:tblPr>
      <w:tblGrid>
        <w:gridCol w:w="2986"/>
        <w:gridCol w:w="146"/>
        <w:gridCol w:w="204"/>
        <w:gridCol w:w="1176"/>
        <w:gridCol w:w="166"/>
        <w:gridCol w:w="146"/>
        <w:gridCol w:w="729"/>
        <w:gridCol w:w="1611"/>
        <w:gridCol w:w="146"/>
        <w:gridCol w:w="146"/>
        <w:gridCol w:w="272"/>
        <w:gridCol w:w="674"/>
        <w:gridCol w:w="191"/>
      </w:tblGrid>
      <w:t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40" w:after="283"/>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restricted stock units was $1.93 and $2.50 per share for the nine months ended September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2020 Employee Stock Purchase Plan (the "ESPP"), which was adopted by the Company’s board of directors in June 2020 and approved by the Company’s stockholders in July 2020, became effective upon the consummation of the IPO.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six-month offering periods extend from June to November and December to May. As of September 30, 2026, 2,837,610 shares of the Company’s common stock remained available for issuance under the ESPP (after giving effect to share purchases under the ESPP, and annual increases in the ESPP share limit as described in the next sentence through that date). The number of shares of the Company’s common stock available for issuance under the ESPP automatically increases on the first trading day in January of each year by an amount equal to the lesser of (i) 1% of the total number of outstanding shares of the Company’s common stock issued and outstanding on December 31 of the immediately preceding calendar year, (ii) 1,000,000 shares, or (iii) such lesser number as determined by the Company’s board of directors. As of September 30, 2026, employee contributions to the ESPP were immaterial and included as part of accrued and other current liabilities in the condensed balance sheets.</w:t>
      </w:r>
    </w:p>
    <w:p>
      <w:pPr>
        <w:pStyle w:val="TextBody"/>
        <w:bidi w:val="0"/>
        <w:spacing w:before="360" w:after="283"/>
        <w:jc w:val="left"/>
        <w:rPr>
          <w:rFonts w:ascii="Times New Roman" w:hAnsi="Times New Roman"/>
          <w:sz w:val="20"/>
        </w:rPr>
      </w:pPr>
      <w:r>
        <w:rPr>
          <w:rFonts w:ascii="Times New Roman" w:hAnsi="Times New Roman"/>
          <w:b/>
          <w:i/>
          <w:color w:val="000000"/>
          <w:sz w:val="20"/>
        </w:rPr>
        <w:t>Share-Based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compensation expense for the three and nine months ended September 30, 2026 and 2025 was as follows (in thousands): </w:t>
      </w:r>
    </w:p>
    <w:p>
      <w:pPr>
        <w:pStyle w:val="TextBody"/>
        <w:bidi w:val="0"/>
        <w:jc w:val="left"/>
      </w:pPr>
      <w:r>
        <w:t> </w:t>
      </w:r>
    </w:p>
    <w:tbl>
      <w:tblPr>
        <w:tblW w:w="7472" w:type="dxa"/>
        <w:jc w:val="left"/>
        <w:tblInd w:w="0" w:type="dxa"/>
        <w:tblLayout w:type="fixed"/>
        <w:tblCellMar>
          <w:top w:w="28" w:type="dxa"/>
          <w:left w:w="28" w:type="dxa"/>
          <w:bottom w:w="28" w:type="dxa"/>
          <w:right w:w="28" w:type="dxa"/>
        </w:tblCellMar>
      </w:tblPr>
      <w:tblGrid>
        <w:gridCol w:w="2931"/>
        <w:gridCol w:w="146"/>
        <w:gridCol w:w="211"/>
        <w:gridCol w:w="571"/>
        <w:gridCol w:w="146"/>
        <w:gridCol w:w="146"/>
        <w:gridCol w:w="211"/>
        <w:gridCol w:w="571"/>
        <w:gridCol w:w="146"/>
        <w:gridCol w:w="146"/>
        <w:gridCol w:w="211"/>
        <w:gridCol w:w="571"/>
        <w:gridCol w:w="146"/>
        <w:gridCol w:w="146"/>
        <w:gridCol w:w="211"/>
        <w:gridCol w:w="571"/>
        <w:gridCol w:w="391"/>
      </w:tblGrid>
      <w:tr>
        <w:tc>
          <w:tcPr>
            <w:tcW w:w="2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9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stock options was $9.6 million, which is expected to be recognized over a weighted average remaining service period of 2.4 years as of September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restricted stock units was $1.8 million, which is expected to be recognized over a weighted average remaining service period of 2.7 years as of September 30, 2026.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 of Common Stock and Pre-funded Warrants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March 2024, the Company completed an underwritten public offering utilizing a registration statement on Form S-3 (a "Shelf Registration Statement"), pursuant to which it sold an aggregate of (i) 21,010,000 shares of its common stock at a price of $10.00 per share, and (ii) pre-funded warrants to purchase 3,000,031 shares of its common stock at a price of $9.9999 per pre-funded warrant. The pre-funded warrants can be exercised at any time after issuance for an exercise price of $0.0001 per share, subject to certain ownership limitations. As of September 30, 2026, none of the pre-funded warrants have been exercised. The Company raised $240.1 million in gross proceeds before underwriting discounts and commissions of $14.4 million and other offering expenses of $0.6 million.</w:t>
      </w:r>
    </w:p>
    <w:p>
      <w:pPr>
        <w:pStyle w:val="TextBody"/>
        <w:bidi w:val="0"/>
        <w:jc w:val="left"/>
        <w:rPr>
          <w:rFonts w:ascii="Times New Roman" w:hAnsi="Times New Roman"/>
          <w:sz w:val="20"/>
        </w:rPr>
      </w:pPr>
      <w:r>
        <w:rPr>
          <w:rFonts w:ascii="Times New Roman" w:hAnsi="Times New Roman"/>
          <w:color w:val="000000"/>
          <w:sz w:val="20"/>
        </w:rPr>
        <w:t xml:space="preserve">In accordance with ASC 480-10, </w:t>
      </w:r>
      <w:r>
        <w:rPr>
          <w:rFonts w:ascii="Times New Roman" w:hAnsi="Times New Roman"/>
          <w:i/>
          <w:color w:val="000000"/>
          <w:sz w:val="20"/>
        </w:rPr>
        <w:t>Accounting for Certain Financial Instruments with Characteristics of both Liabilities and Equity</w:t>
      </w:r>
      <w:r>
        <w:rPr>
          <w:rFonts w:ascii="Times New Roman" w:hAnsi="Times New Roman"/>
          <w:color w:val="000000"/>
          <w:sz w:val="20"/>
        </w:rPr>
        <w:t xml:space="preserve">, and ASC 815-40, </w:t>
      </w:r>
      <w:r>
        <w:rPr>
          <w:rFonts w:ascii="Times New Roman" w:hAnsi="Times New Roman"/>
          <w:i/>
          <w:color w:val="000000"/>
          <w:sz w:val="20"/>
        </w:rPr>
        <w:t>Accounting for Derivative Financial Instruments Indexed to, and Potentially Settled in, a Company’s Own Stock</w:t>
      </w:r>
      <w:r>
        <w:rPr>
          <w:rFonts w:ascii="Times New Roman" w:hAnsi="Times New Roman"/>
          <w:color w:val="000000"/>
          <w:sz w:val="20"/>
        </w:rPr>
        <w:t>, the Company determined that the pre-funded warrants should be equity classified because they are freestanding financial instruments, are immediately exercisable, do not embody an obligation for the Company to repurchase its shares, permit the holders to receive a fixed number of shares of common stock upon exercise, are indexed to the Company’s common stock and meet the equity classification criteria.</w:t>
      </w:r>
    </w:p>
    <w:p>
      <w:pPr>
        <w:pStyle w:val="TextBody"/>
        <w:bidi w:val="0"/>
        <w:spacing w:before="36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provision for income taxes recorded during the three and nine months ended September 30, 2026 and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2026, the federal and state returns for the years ended 2015 through the current period remain subject to examination by taxing authorities due to the tax attribute carryforwards. The Company is currently under examination by the Internal Revenue Service ("IRS") for the Company's 2023 U.S. income tax return. The Company is not currently under examination by any state income or franchise tax agency.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11. 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a single reporting segment, focused on the research and development of cell therapies for patients with autoimmune diseases. The Company's measure of segment profit or loss is net loss. The Chief Executive Officer, as the CODM, manages and allocates resources to the operations of the Company on a total company basis. The Company monitors its cash, cash equivalents, and investments as reported on the Company's Balance Sheets to determine funding for its research and development. The measure of segment assets is reported on the balance sheets as total assets.</w:t>
      </w:r>
    </w:p>
    <w:p>
      <w:pPr>
        <w:pStyle w:val="TextBody"/>
        <w:bidi w:val="0"/>
        <w:jc w:val="left"/>
        <w:rPr>
          <w:rFonts w:ascii="Times New Roman" w:hAnsi="Times New Roman"/>
          <w:color w:val="000000"/>
          <w:sz w:val="20"/>
        </w:rPr>
      </w:pPr>
      <w:r>
        <w:rPr>
          <w:rFonts w:ascii="Times New Roman" w:hAnsi="Times New Roman"/>
          <w:color w:val="000000"/>
          <w:sz w:val="20"/>
        </w:rPr>
        <w:t>As the Company is not yet generating revenue, the CODM evaluates its performance based on progress in pre-clinical and clinical research objectives. Along with the Company’s Statement of Operations and Comprehensive Loss, the CODM regularly reviews budgeted and forecasted expenses to assess liquidity requirements and allocate cash accordingly.</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is representative of the significant expense categories regularly provided to the CODM when managing the Company's single reporting segment. </w:t>
      </w:r>
    </w:p>
    <w:p>
      <w:pPr>
        <w:pStyle w:val="TextBody"/>
        <w:bidi w:val="0"/>
        <w:jc w:val="left"/>
        <w:rPr>
          <w:rFonts w:ascii="Times New Roman" w:hAnsi="Times New Roman"/>
          <w:color w:val="000000"/>
          <w:sz w:val="20"/>
        </w:rPr>
      </w:pPr>
      <w:r>
        <w:rPr>
          <w:rFonts w:ascii="Times New Roman" w:hAnsi="Times New Roman"/>
          <w:color w:val="000000"/>
          <w:sz w:val="20"/>
        </w:rPr>
        <w:t xml:space="preserve">A reconciliation to the net loss for the three and nine months ended September 30, 2026 and 2025 is included at the bottom of the table below. </w:t>
      </w:r>
    </w:p>
    <w:tbl>
      <w:tblPr>
        <w:tblW w:w="10205" w:type="dxa"/>
        <w:jc w:val="left"/>
        <w:tblInd w:w="0" w:type="dxa"/>
        <w:tblLayout w:type="fixed"/>
        <w:tblCellMar>
          <w:top w:w="28" w:type="dxa"/>
          <w:left w:w="28" w:type="dxa"/>
          <w:bottom w:w="28" w:type="dxa"/>
          <w:right w:w="28" w:type="dxa"/>
        </w:tblCellMar>
      </w:tblPr>
      <w:tblGrid>
        <w:gridCol w:w="3819"/>
        <w:gridCol w:w="446"/>
        <w:gridCol w:w="211"/>
        <w:gridCol w:w="736"/>
        <w:gridCol w:w="466"/>
        <w:gridCol w:w="446"/>
        <w:gridCol w:w="211"/>
        <w:gridCol w:w="736"/>
        <w:gridCol w:w="166"/>
        <w:gridCol w:w="146"/>
        <w:gridCol w:w="211"/>
        <w:gridCol w:w="841"/>
        <w:gridCol w:w="166"/>
        <w:gridCol w:w="146"/>
        <w:gridCol w:w="211"/>
        <w:gridCol w:w="736"/>
        <w:gridCol w:w="511"/>
      </w:tblGrid>
      <w:tr>
        <w:tc>
          <w:tcPr>
            <w:tcW w:w="381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c>
          <w:tcPr>
            <w:tcW w:w="381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81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pPr>
            <w:r>
              <w:t> </w:t>
            </w:r>
          </w:p>
        </w:tc>
      </w:tr>
      <w:tr>
        <w:tc>
          <w:tcPr>
            <w:tcW w:w="3819"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300"/>
              <w:jc w:val="left"/>
              <w:rPr>
                <w:rFonts w:ascii="Times New Roman" w:hAnsi="Times New Roman"/>
                <w:sz w:val="20"/>
              </w:rPr>
            </w:pPr>
            <w:r>
              <w:rPr>
                <w:rFonts w:ascii="Times New Roman" w:hAnsi="Times New Roman"/>
                <w:color w:val="000000"/>
                <w:sz w:val="20"/>
              </w:rPr>
              <w:t>Personnel related expenses, excluding share-based compensation</w:t>
            </w:r>
            <w:r>
              <w:rPr>
                <w:rFonts w:ascii="Times New Roman" w:hAnsi="Times New Roman"/>
                <w:color w:val="000000"/>
                <w:sz w:val="13"/>
              </w:rPr>
              <w:t>(1)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8,329</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81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Facilities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11,474</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819"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3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(2)</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31,956</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(31,956</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Reconciling items: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pPr>
            <w:r>
              <w:t> </w:t>
            </w:r>
          </w:p>
        </w:tc>
      </w:tr>
      <w:tr>
        <w:tc>
          <w:tcPr>
            <w:tcW w:w="381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Share-based compensation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c>
          <w:tcPr>
            <w:tcW w:w="381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Impairment of property and equipment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Impairment of right-of-use asset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c>
          <w:tcPr>
            <w:tcW w:w="381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r>
      <w:tr>
        <w:tc>
          <w:tcPr>
            <w:tcW w:w="381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income, net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(1) Personnel related expenses include ($0.1) million and $5.0 million of severance and other benefits expense for the three and nine months ended September 30, 2025, respectively. </w:t>
      </w:r>
    </w:p>
    <w:p>
      <w:pPr>
        <w:pStyle w:val="TextBody"/>
        <w:bidi w:val="0"/>
        <w:jc w:val="left"/>
        <w:rPr>
          <w:rFonts w:ascii="Times New Roman" w:hAnsi="Times New Roman"/>
          <w:color w:val="000000"/>
          <w:sz w:val="20"/>
        </w:rPr>
      </w:pPr>
      <w:r>
        <w:rPr>
          <w:rFonts w:ascii="Times New Roman" w:hAnsi="Times New Roman"/>
          <w:color w:val="000000"/>
          <w:sz w:val="20"/>
        </w:rPr>
        <w:t xml:space="preserve">(2) Other segment items include consultants and contractor, lab supplies, and general business expenses. </w:t>
      </w:r>
    </w:p>
    <w:p>
      <w:pPr>
        <w:pStyle w:val="TextBody"/>
        <w:bidi w:val="0"/>
        <w:spacing w:before="360" w:after="283"/>
        <w:jc w:val="left"/>
        <w:rPr>
          <w:rFonts w:ascii="Times New Roman" w:hAnsi="Times New Roman"/>
          <w:sz w:val="20"/>
        </w:rPr>
      </w:pPr>
      <w:r>
        <w:rPr>
          <w:rFonts w:ascii="Times New Roman" w:hAnsi="Times New Roman"/>
          <w:b/>
          <w:color w:val="000000"/>
          <w:sz w:val="20"/>
        </w:rPr>
        <w:t>12. Reduction in Force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26, 2025, the Company announced a reduction in force (the "Reduction") that resulted in a reduction of 53 positions, representing approximately 34% of the Company’s workforce. The Company undertook the Reduction to decrease its costs and create a more streamlined organization to focus on upcoming clinical data updates.</w:t>
      </w:r>
    </w:p>
    <w:p>
      <w:pPr>
        <w:pStyle w:val="TextBody"/>
        <w:bidi w:val="0"/>
        <w:jc w:val="left"/>
        <w:rPr>
          <w:rFonts w:ascii="Times New Roman" w:hAnsi="Times New Roman"/>
          <w:sz w:val="20"/>
        </w:rPr>
      </w:pPr>
      <w:r>
        <w:rPr>
          <w:rFonts w:ascii="Times New Roman" w:hAnsi="Times New Roman"/>
          <w:color w:val="000000"/>
          <w:sz w:val="20"/>
        </w:rPr>
        <w:t xml:space="preserve">Employees affected by the Reduction were entitled to receive severance payments and certain Company funded benefits totaling approximately $5.4 million in costs. The Company recognized severance and benefit expense in full for employees who were notified of their termination in March 2025 and had no requirements for future service. The Company recognized expense for employees who were required to render services to receive their severance and benefits ratably over the service period from April 2025 to October 31, 2025. These charges were recorded pursuant to </w:t>
      </w:r>
      <w:r>
        <w:rPr>
          <w:rFonts w:ascii="Times New Roman" w:hAnsi="Times New Roman"/>
          <w:i/>
          <w:color w:val="000000"/>
          <w:sz w:val="20"/>
        </w:rPr>
        <w:t xml:space="preserve">ASC 712 </w:t>
      </w:r>
      <w:r>
        <w:rPr>
          <w:rFonts w:ascii="Times New Roman" w:hAnsi="Times New Roman"/>
          <w:color w:val="000000"/>
          <w:sz w:val="20"/>
        </w:rPr>
        <w:t xml:space="preserve">or </w:t>
      </w:r>
      <w:r>
        <w:rPr>
          <w:rFonts w:ascii="Times New Roman" w:hAnsi="Times New Roman"/>
          <w:i/>
          <w:color w:val="000000"/>
          <w:sz w:val="20"/>
        </w:rPr>
        <w:t xml:space="preserve">ASC 420, </w:t>
      </w:r>
      <w:r>
        <w:rPr>
          <w:rFonts w:ascii="Times New Roman" w:hAnsi="Times New Roman"/>
          <w:color w:val="000000"/>
          <w:sz w:val="20"/>
        </w:rPr>
        <w:t>depending on the agreements with the impacted employees</w:t>
      </w:r>
      <w:r>
        <w:rPr>
          <w:rFonts w:ascii="Times New Roman" w:hAnsi="Times New Roman"/>
          <w:i/>
          <w:color w:val="000000"/>
          <w:sz w:val="20"/>
        </w:rPr>
        <w:t xml:space="preserve">. </w:t>
      </w:r>
      <w:r>
        <w:rPr>
          <w:rFonts w:ascii="Times New Roman" w:hAnsi="Times New Roman"/>
          <w:color w:val="000000"/>
          <w:sz w:val="20"/>
        </w:rPr>
        <w:t xml:space="preserve">The expense was recognized in general and administrative operating expenses in the condensed statement of operations.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provides details of the severance and other termination benefit expense for the three and nine months ended September 30, 2026 and 2025 with the remaining balance of the liability recorded in accrued and other current liabilities on the condensed balance sheet (in thousands):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752"/>
        <w:gridCol w:w="146"/>
        <w:gridCol w:w="912"/>
        <w:gridCol w:w="1498"/>
        <w:gridCol w:w="168"/>
        <w:gridCol w:w="168"/>
        <w:gridCol w:w="667"/>
        <w:gridCol w:w="1520"/>
        <w:gridCol w:w="191"/>
        <w:gridCol w:w="168"/>
        <w:gridCol w:w="243"/>
        <w:gridCol w:w="555"/>
        <w:gridCol w:w="217"/>
      </w:tblGrid>
      <w:tr>
        <w:tc>
          <w:tcPr>
            <w:tcW w:w="3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c>
          <w:tcPr>
            <w:tcW w:w="375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0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75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 Future Service Period Required</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Service Period Required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(Credit)/Expense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755"/>
        <w:gridCol w:w="146"/>
        <w:gridCol w:w="605"/>
        <w:gridCol w:w="1817"/>
        <w:gridCol w:w="169"/>
        <w:gridCol w:w="149"/>
        <w:gridCol w:w="729"/>
        <w:gridCol w:w="1461"/>
        <w:gridCol w:w="149"/>
        <w:gridCol w:w="149"/>
        <w:gridCol w:w="215"/>
        <w:gridCol w:w="645"/>
        <w:gridCol w:w="216"/>
      </w:tblGrid>
      <w:tr>
        <w:tc>
          <w:tcPr>
            <w:tcW w:w="3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375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08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75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 Future Service Period Required</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Service Period Required</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Expense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5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5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(Credit)/Expense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(Credit)/Expense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5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9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financial statements and related notes included in Part I, Item 1 of this Quarterly Report on Form 10-Q and with the audited financial statements and the related notes included in our Annual Report on Form 10-K filed with the SEC on March 25, 2026 for the fiscal year ended December 31, 2025, including information with respect to our plans and strategy for our business and related financing. The discussion and analysis below includes forward-looking statements that involve risks and uncertainties, including those risks and uncertainties set forth in the section titled “Risk Factors” under Part II, Item 1A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pioneering the development of allogeneic, off-the-shelf engineered natural killer ("NK") cell therapies. Our lead pipeline program is NKX019, a chimeric antigen receptor-natural killer ("CAR NK") product candidate targeting the CD19 antigen for the treatment of patients with autoimmune diseases. Our CAR NK platform enables an on-demand, off-the-shelf approach involving scaled manufacturing to broaden patient access. We have developed proprietary technologies designed to generate an abundant supply of NK cells, increase NK cell recognition of target antigens, and enhance NK cell fitness to support scalable, off the shelf administration. NKX019 is allogeneic, which means it is produced using cells from a different person than the patient(s) being treated, and it is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other diseases, be well tolerated, and avoid some of the toxicities observed with other cell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modular engineering platform builds on the distinctive biology of NK cells and their role in eradicating aberrant and pathologically transformed cells. Our process starts with mature NK cells derived from healthy donors. We build on the intrinsic ability of these immune cells to identify and kill transformed cells with cell engineering to further enhance their activity. This engineering involves inducing the expression of a chimeric antigen receptor ("CAR") on the surface of an NK cell to enable the cell to recognize specific proteins or antigens that are present on the surface of target cells. Our engineered CAR NK cells generally consist of an NK cell engineered with a targeting receptor, OX40 costimulatory domain, CD3ζ(zeta) signaling moiety, and a membrane-bound form of the cytokine IL(interleukin)-15 ("mbIL-15").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Ntrust-1 clinical trial ("Ntrust-1") is a multi-center, open-label, dose-escalation Phase 1/2 clinical trial of NKX019 for lupus nephritis ("LN") and primary membranous nephropathy ("pMN"). Our Ntrust-2 clinical trial ("Ntrust-2") is a multi-center, open-label, dose-escalation Phase 1/2 clinical trial of NKX019 for systemic sclerosis ("scleroderma"), and idiopathic inflammatory myopathy ("myositis"), which we currently consider our leading indications, as well as antineutrophil cytoplasmic antibody (ANCA)-associated vasculitis ("AAV"), and rheumatoid arthritis ("RA"). In both studies, patients receive lymphodepleting conditioning ("LD") with a combination of fludarabine ("Flu") and cyclophosphamide ("Cy") prior to administration of NKX019, with the option for patients with cytopenias to receive Cy alone as modified LD. NKX019 is also being studied in an investigator-sponsored trial ("IST") at the University of California, Irvine in patients with myasthenia gravis ("MG") and in an IST at Columbia University Irving Medical Center in patients with systemic lupus erythematosus ("SLE").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we announced that deep B-cell depletion was observed in all patients treated to date who received NKX019 with LD using Flu and Cy versus partial B-cell depletion in patients receiving only Cy. At the same time, we reported the implementation of a streamlined enrollment process that allows participant data from both the Ntrust-1 and Ntrust-2 clinical trials to be reviewed by a combined independent Data Safety Monitoring Board ("iDSMB") to inform dose-escalation decisions. This update followed engagement with the U.S. Food and Drug Administration ("FDA") and authorization by the iDSMB to initiate enrollment in the second dose-escalation cohort. In April 2026, we announced that we had reached agreement with the FDA on protocol amendments to both the Ntrust-1 and Ntrust-2 clinical trials designed to enable outpatient administration of NKX019, reducing the required post-dose monitoring period from 24 hours to 2 hours, and to provide the option to re-dose patients, if needed, in both studies. The protocol amendments also provided for the addition of the RA cohort to Ntrust-2 and the removal of geographic monitoring requirements. Subsequent to this announcement, the protocol amendments were submitted to the FDA and institutional review boards ("IRB") and approved by the central IRB.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commencement of our operations in 2015, we have devoted substantially all our resources in support of our product development efforts, hiring personnel, raising capital to support and expand such activities and providing general and administrative support for these operations. We have incurred net operating losses since inception and have not generated any revenue from product sales. In the future, we expect that our operating expenses will significantly increase as we continue to develop and seek regulatory approvals for our product candidates, continue to engage in other research and development activities to expand our pipeline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maintain and expand our intellectual property portfolio, maintain and expand our product manufacturing capabilities, and ultimately establish a commercial organization. We have funded our operations primarily through the issuance of Company stock and intend to raise additional capital to fund operations until such time that we are able to generate sufficient revenues to cover our operating expenses. We may seek additional funding through the issuance of common stock, including through equity or debt financing or collaborations or partnerships with other companies. The amount and timing of our future funding requirements will depend on many factors, including, among other things, the pace and results of our clinical development efforts for our product candidates. We may not be able to raise additional capital on terms acceptable to us, or at all. Any failure to raise capital as and when needed would compromise our ability to execute our business plan and may cause us to undertake cost containment measures and/or significantly delay, scale back or discontinue the development of some of our programs. We have also incurred increased operating expenses since becoming a public company, which we expect will further increase when we are no longer able to rely on certain “smaller reporting company” exemptions we are afforded as further described below. Our net losses may fluctuate significantly from quarter-to-quarter and year-to-year.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consist primarily of costs incurred for the discovery and clinical development of our drug candidates,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related benefits, travel and share-based compensation expenses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research, laboratory consumables, sponsored research,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consultants engaged in research and development related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manufacture drug product candidates for use in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expenses, which include allocated expenses for rent and maintenance of facilities, insurance and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regulatory compliance;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annual license fees under our third-party licensing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typically have various early-stage research and drug discovery projects as well as various product candidates undergoing clinical trials. Our internal resources, employees and infrastructure are generally not directly tied to any one research or drug discovery project and are typically deployed across multiple projects. As such, we do not maintain information regarding the costs incurred for these early-stage research and drug discovery programs on a project-specific basis. As part of cost containment measures undertaken by us, early discovery and preclinical programs have been deprioritized with less personnel and funding allocated to advancing these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and nine months ended September 30, 2026 and 2025.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tbl>
      <w:tblPr>
        <w:tblW w:w="10012" w:type="dxa"/>
        <w:jc w:val="left"/>
        <w:tblInd w:w="0" w:type="dxa"/>
        <w:tblLayout w:type="fixed"/>
        <w:tblCellMar>
          <w:top w:w="28" w:type="dxa"/>
          <w:left w:w="28" w:type="dxa"/>
          <w:bottom w:w="28" w:type="dxa"/>
          <w:right w:w="28" w:type="dxa"/>
        </w:tblCellMar>
      </w:tblPr>
      <w:tblGrid>
        <w:gridCol w:w="4851"/>
        <w:gridCol w:w="146"/>
        <w:gridCol w:w="211"/>
        <w:gridCol w:w="676"/>
        <w:gridCol w:w="146"/>
        <w:gridCol w:w="146"/>
        <w:gridCol w:w="211"/>
        <w:gridCol w:w="676"/>
        <w:gridCol w:w="146"/>
        <w:gridCol w:w="146"/>
        <w:gridCol w:w="211"/>
        <w:gridCol w:w="676"/>
        <w:gridCol w:w="146"/>
        <w:gridCol w:w="146"/>
        <w:gridCol w:w="211"/>
        <w:gridCol w:w="676"/>
        <w:gridCol w:w="591"/>
      </w:tblGrid>
      <w:t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48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8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8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internal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future, including as a result of Ntrust-1, our clinical trial of NKX019 for the treatment of LN and pMN, Ntrust-2, our clinical trial of NKX019 for the treatment of scleroderma, myositis, AAV, and RA, and the ISTs for the treatment of MG and SLE.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continue to closely manage our expenditures, including following our recent cost containment measures, we still expect our general and administrative expenses will increase in the future in support of increased research and development activities and to reflect increased costs associated with operating as a public company. These anticipated increased costs will include increased expenses related to audit, legal, regulatory and tax-related services associated with maintaining compliance with exchange listing and SEC requirements, insurance premiums and investor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our cash, cash equivalents and short-term and long-term investments and adjustments related to amortization of purchase premiums and accretion of discounts of cash equivalents, short-term and long-term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spacing w:before="120" w:after="283"/>
        <w:jc w:val="left"/>
      </w:pPr>
      <w:r>
        <w:t> </w:t>
      </w:r>
    </w:p>
    <w:tbl>
      <w:tblPr>
        <w:tblW w:w="10205" w:type="dxa"/>
        <w:jc w:val="left"/>
        <w:tblInd w:w="0" w:type="dxa"/>
        <w:tblLayout w:type="fixed"/>
        <w:tblCellMar>
          <w:top w:w="28" w:type="dxa"/>
          <w:left w:w="28" w:type="dxa"/>
          <w:bottom w:w="28" w:type="dxa"/>
          <w:right w:w="28" w:type="dxa"/>
        </w:tblCellMar>
      </w:tblPr>
      <w:tblGrid>
        <w:gridCol w:w="2301"/>
        <w:gridCol w:w="146"/>
        <w:gridCol w:w="211"/>
        <w:gridCol w:w="736"/>
        <w:gridCol w:w="166"/>
        <w:gridCol w:w="146"/>
        <w:gridCol w:w="211"/>
        <w:gridCol w:w="736"/>
        <w:gridCol w:w="166"/>
        <w:gridCol w:w="146"/>
        <w:gridCol w:w="211"/>
        <w:gridCol w:w="736"/>
        <w:gridCol w:w="166"/>
        <w:gridCol w:w="146"/>
        <w:gridCol w:w="211"/>
        <w:gridCol w:w="841"/>
        <w:gridCol w:w="166"/>
        <w:gridCol w:w="146"/>
        <w:gridCol w:w="211"/>
        <w:gridCol w:w="736"/>
        <w:gridCol w:w="166"/>
        <w:gridCol w:w="146"/>
        <w:gridCol w:w="211"/>
        <w:gridCol w:w="736"/>
        <w:gridCol w:w="411"/>
      </w:tblGrid>
      <w:tr>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230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0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pPr>
      <w:r>
        <w:t> </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Research and development expenses were $29.5 million and $20.2 million for the three months ended September 30, 2026 and 2025, respectively. Research and development expenses were $83.5 million and $65.1 million for the nine months ended September 30, 2026 and 2025, respectively.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of $9.3 million for the three months ended September 30, 2026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$6.8 million increase in program costs primarily from higher clinical spending and manufacturing and materials expenses related to NKX019 to support clinical trials in autoimmune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$1.9 million increase in other research costs, primarily consisting of higher consulting, laboratory supplies and depreciation and facilities expenses, which was partially offset by lower licenses expenses;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$0.6 million increase in personnel costs primarily from higher salaries and wages expense recognized primarily due to an increase in wages and health benefits expenses.</w:t>
      </w:r>
    </w:p>
    <w:p>
      <w:pPr>
        <w:pStyle w:val="TextBody"/>
        <w:bidi w:val="0"/>
        <w:spacing w:before="120" w:after="283"/>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of $18.4 million for the nine months ended September 30, 2026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$15.0 million increase in program costs primarily from higher clinical spending related to NKX019 to support clinical trials in autoimmune diseases, which was partially offset by lower manufacturing and materials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$3.3 million increase in other research costs, primarily consisting of higher consulting and depreciation expenses, which was partially offset by lower facilities and licenses expenses due to lower headcount.</w:t>
      </w:r>
    </w:p>
    <w:p>
      <w:pPr>
        <w:pStyle w:val="TextBody"/>
        <w:bidi w:val="0"/>
        <w:spacing w:before="24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xml:space="preserve">. General and administrative expenses were $6.3 million and $7.1 million for the three months ended September 30, 2026 and 2025, respectively, and $26.3 million and $25.9 million for the nine months ended September 30, 2026 and 2025, respectively. The decrease of $0.8 million for the three months ended September 30, 2026 was primarily due to a $0.8 million ROU asset impairment expense recorded in September 2025. The increase of $0.4 million for the nine months ended September 30, 2026 was primarily due to a $8.0 million impairment expense of equipment, leasehold improvements and right-of-use assets in June 2026, partially offset by a $0.8 million ROU asset impairment expense recorded in September 2025 and a $6.9 million decrease in personnel expenses, including $4.8 million in severance expenses from the reduction in force incurred in March 2025. </w:t>
      </w:r>
    </w:p>
    <w:p>
      <w:pPr>
        <w:pStyle w:val="TextBody"/>
        <w:bidi w:val="0"/>
        <w:spacing w:before="240" w:after="283"/>
        <w:jc w:val="left"/>
        <w:rPr>
          <w:rFonts w:ascii="Times New Roman" w:hAnsi="Times New Roman"/>
          <w:sz w:val="20"/>
        </w:rPr>
      </w:pPr>
      <w:r>
        <w:rPr>
          <w:rFonts w:ascii="Times New Roman" w:hAnsi="Times New Roman"/>
          <w:b/>
          <w:color w:val="000000"/>
          <w:sz w:val="20"/>
        </w:rPr>
        <w:t>Interest income</w:t>
      </w:r>
      <w:r>
        <w:rPr>
          <w:rFonts w:ascii="Times New Roman" w:hAnsi="Times New Roman"/>
          <w:color w:val="000000"/>
          <w:sz w:val="20"/>
        </w:rPr>
        <w:t>. Interest income was $2.2 million and $3.9 million for the three months ended September 30, 2026 and 2025, respectively, and $7.6 million and $12.2 million for the nine months ended September 30, 2026 and 2025, respectively. The decreases of $1.6 million and $4.6 million for the three and nine months ended September 30, 2026, respectively, were primarily due to lower average investment balances and lower average interest rates in the current period. Interest income includes interest earned from investments, partially offset by amortization of purchase premiums and accretion of discounts of investments.</w:t>
      </w:r>
    </w:p>
    <w:p>
      <w:pPr>
        <w:pStyle w:val="TextBody"/>
        <w:bidi w:val="0"/>
        <w:spacing w:before="240" w:after="283"/>
        <w:jc w:val="left"/>
        <w:rPr>
          <w:rFonts w:ascii="Times New Roman" w:hAnsi="Times New Roman"/>
          <w:sz w:val="20"/>
        </w:rPr>
      </w:pPr>
      <w:r>
        <w:rPr>
          <w:rFonts w:ascii="Times New Roman" w:hAnsi="Times New Roman"/>
          <w:b/>
          <w:color w:val="000000"/>
          <w:sz w:val="20"/>
        </w:rPr>
        <w:t>Other income (expense), net</w:t>
      </w:r>
      <w:r>
        <w:rPr>
          <w:rFonts w:ascii="Times New Roman" w:hAnsi="Times New Roman"/>
          <w:color w:val="000000"/>
          <w:sz w:val="20"/>
        </w:rPr>
        <w:t xml:space="preserve">. Other income (expense), net was $0.2 million and $0.6 million for the three and nine months ended September 30, 2026, respectively, and $1.7 million and $2.2 million for the three and nine months ended September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respectively. The decrease of $1.5 million each for each of the three and nine months ended September 30, 2026 was primarily due to $1.7 million of recognition of employee retention tax credits received under the CARES Act.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2026, we had cash, cash equivalents, restricted cash and investments of $216.0 million. We estimate that all $265.1 million in net proceeds from our July 2020 initial public offering have been spent. On April 28, 2022, we received $215.3 million in net proceeds, after deducting underwriting discounts, commissions and other offering expenses, in connection with our secondary offering of our common stock. On March 27, 2024, we received $225.1 million in net proceeds from an underwritten public offering, after deducting underwriting discounts, commissions and expenses, described further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2024, we completed an underwritten public offering utilizing a Form S-3 Shelf Registration Statement, pursuant to which we sold an aggregate of (i) 21,010,000 shares of common stock at a price of $10.00 per share, and (ii) pre-funded warrants to purchase 3,000,031 shares of common stock at a price of $9.9999 per pre-funded warrant. The pre-funded warrants can be exercised at any time after issuance for an exercise price of $0.0001 per share, subject to certain ownership limitations. As of September 30, 2026, none of the pre-funded warrants have been exercised. We raised $240.1 million in gross proceeds before underwriting discounts, commissions and other expenses of $15.0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25, 2026, we filed a Registration Statement on Form S-3 (the “2026 Shelf Registration Statement”), covering the offer and sale from time to time, pursuant to Rule 415 of the Securities Act of 1933, as amended (the “Securities Act”), of up to $350.0 million in aggregate offering price of shares of the Company’s common stock, shares of the Company’s preferred stock, debt securities, warrants, rights and/or units. The 2026 Shelf Registration Statement was declared effective by the Securities and Exchange Commission (the "SEC") on April 3, 2026. The 2026 Shelf Registration Statement included a prospectus covering the offer and sale from time to time of up to $100.0 million in aggregate offering price of shares of the Company’s common stock through an “at-the-market” equity offering program (the “ATM Offering Program”) with Stifel, Nicolaus &amp; Company, Incorporated, as sales agent. As of September 30, 2026, no sales of the Company’s common stock had been made pursuant to the ATM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and negative cash flows from operations since our inception. As of September 30, 2026, we had an accumulated deficit of $749.8 million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and pursue our long-term development strategy, including the potential initiation of a pivotal stage clinical trial for any or all of our current development programs. Until such time as we can generate significant revenue from sales of our drug candidates, if ever, we may seek additional funding through the issuance of our common stock, including through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market conditions, and the success of our recent and any future cost-containment measures.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current cash, cash equivalents and investments as of September 30, 2026 will be sufficient to meet our cash needs for at least 12 months following the date of this Quarterly Report on Form 10-Q.</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the periods indicated (in thousands): </w:t>
      </w:r>
    </w:p>
    <w:p>
      <w:pPr>
        <w:pStyle w:val="TextBody"/>
        <w:bidi w:val="0"/>
        <w:jc w:val="left"/>
      </w:pPr>
      <w:r>
        <w:t> </w:t>
      </w:r>
    </w:p>
    <w:tbl>
      <w:tblPr>
        <w:tblW w:w="6409" w:type="dxa"/>
        <w:jc w:val="left"/>
        <w:tblInd w:w="0" w:type="dxa"/>
        <w:tblLayout w:type="fixed"/>
        <w:tblCellMar>
          <w:top w:w="28" w:type="dxa"/>
          <w:left w:w="28" w:type="dxa"/>
          <w:bottom w:w="28" w:type="dxa"/>
          <w:right w:w="28" w:type="dxa"/>
        </w:tblCellMar>
      </w:tblPr>
      <w:tblGrid>
        <w:gridCol w:w="3666"/>
        <w:gridCol w:w="146"/>
        <w:gridCol w:w="211"/>
        <w:gridCol w:w="736"/>
        <w:gridCol w:w="166"/>
        <w:gridCol w:w="146"/>
        <w:gridCol w:w="211"/>
        <w:gridCol w:w="736"/>
        <w:gridCol w:w="391"/>
      </w:tblGrid>
      <w:t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6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nine months ended September 30, 2026 was $78.3 million primarily due to a net loss of $101.5 million adjusted for an increase in net change in operating assets and liabilities of $2.5 million, which was offset by net non-cash charges of $20.8 million. The change in net operating assets and liabilities was primarily due to an increase in accounts payable and prepaid expenses, and a decrease in operating lease liability. Cash flows from operations are generally impacted by the timing of payments to vendors and vendor payment terms. The non-cash charges primarily consisted of impairment expenses of $8.0 million, stock-based compensation of $5.5 million, depreciation and amortization of $7.1 million, and non-cash lease expense of $1.6 million, which was offset by investment accretion and amortization of $1.5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nine months ended September 30, 2025 was $67.1 million primarily due to a net loss of $76.7 million adjusted for a decrease in net change in operating assets and liabilities of $2.4 million, which was offset by net non-cash charges of $12.0 million. The change in net operating assets and liabilities was primarily due to an increase in prepaid expenses, and a decrease in accounts payable and operating lease liability. Cash flows from operations are generally impacted by the timing of payments to vendors and vendor payment terms. The non-cash charges primarily consisted of stock-based compensation of $6.7 million, depreciation and amortization of $6.9 million, which was partially offset by investment accretion and amortization of $3.7 million. </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nine months ended September 30, 2026 was $86.2 million, which consisted primarily of proceeds from the sales and maturities of marketable securities of $194.2 million and sale of property and equipment of $0.1 million, partially offset by the purchase of marketable securities of $106.3 million and the purchase of property and equipment of $1.8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nine months ended September 30, 2025 was $99.2 million, which consisted primarily of proceeds from the sales and maturities of marketable securities of $247.0 million, partially offset by the purchase of marketable securities of $147.1 million and the purchase of property and equipment of $0.6 million.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nine months ended September 30, 2026 was $0.8 million, which consisted primarily of proceeds from stock option exercises. There was immaterial cash provided by financing activities for the nine months ended September 30, 2025.</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our current operating plans, we believe that our existing cash, cash equivalents and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progress, enrollment rate, expansions, results, costs and timing of our clinical trials and preclinical studies for our product candidates or other potential product candidates or indications which we are pursuing or may choose to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costs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manufacturing for our product candidates, including commercial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the continuation of our preclinical and clinical activities, including as a result of any delays or an increase in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product candidate is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or ability to pay out-of-pocket for any approved products in the absence of coverage and/or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establishing and maintaining collaborations, licenses and other similar arrangements, including payments required for meeting regulatory and commercial milestones or sales based royalties;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obtaining, maintaining and enforcing our patent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product candidates, products or technologies that we may in-license or acquire;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cost containment measures, including subleasing portions of our leased corporate office space in South San Francisco.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sales of our therapeutic product candidates, if ever, we expect to finance our cash needs through public or private equity,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undertake additional cost-containment measures and/or delay, limit, reduce or terminate our product development or future commercialization efforts or grant rights to develop and market our product candidates even if we would otherwise prefer to develop and market such product candidates ourselves.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September 30, 2026, there have been no material changes from the contractual obligations and commitments previously disclosed in our Annual Report on Form 10-K for the year ended December 31, 2025 filed by the Company with the SEC on March 25, 2026.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See Note 6 to our unaudited condensed financial statements included elsewhere in this Quarterly Report on Form 10-Q for additional information regarding our lease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estimates and judgments that affect the reported amounts of assets, liabilities and expenses and the disclosure of assets and liabilities in our financial statements and accompanying notes. On an ongoing basis, we evaluate our estimates and judgments, including those related to clinical trial accruals, share-based compensation, pre-funded warrants and impairment of long-lived assets.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during the nine months ended September 30, 2026, as compared to the critical accounting policies and estimates disclosed in “Management’s Discussion and Analysis of Financial Condition and Results of Operations” included in our Annual Report on Form 10-K for the year ended December 31, 2025 and filed with the SEC on March 25,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permitted under Delaware law and in accordance with our bylaws, we indemnify our officers and directors for certain events or occurrences while the officer or director is or was serving in such capacity. We are also party to indemnification agreements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officers and directors. We believe the fair value of the indemnification rights and agreements is minimal. Accordingly, we have not recorded any liabilities for these indemnification rights and agreements as of September 30, 2026 and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one business activity and operate in one reportable segment.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in Rule 12b-2 of the Exchange Act, meaning that the market value of our common stock held by non-affiliates is less than $700 million and our annual revenue is less than $100 million during the most recently completed fiscal year. We may continue to be a smaller reporting company if either (i) the market value of our common stock held by non-affiliates is less than $250 million or (ii) our annual revenue is less than $100 million during the most recently completed fiscal year and the market value of our common stock held by non-affiliates is less than $700 million. As a smaller reporting company, we may continue to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 compensation in our prospectuses and in our periodic reports and proxy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president, evaluated the effectiveness of our disclosure controls and procedures, as defined in Rules 13a-15(e) and 15d-15(e) under the Exchange Act, as of September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may not prevent all error or fraud and can provide only reasonable, not absolute, assurance of achieving their objectives, and management necessarily applies its judgment in evaluating the cost-benefit relationship of possible controls and procedures. Based on the evaluation of our disclosure controls and procedures as of September 30, 2026, our chief executive officer (principal executive officer) and president (principal financial officer) concluded that, as of such date, our disclosure controls and procedures were effective at a reasonable assurance level.</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determined that, as of September 30, 2026, there were no changes in our internal control over financial reporting that occurred during the fiscal quarter then ended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2025 and filed with the Securities and Exchange Commission ("SEC") on March 25, 2026, in our Quarterly Report on Form 10-Q for the quarter ended March 31, 2026 and filed with the SEC on May 12, 2026, and in our Quarterly Report on Form 10-Q for the quarter ended June 30, 2026 and filed with the SEC on August 10, 2026, are set forth below and are unchanged substantively as of the date of this Quarterly Report on Form 10-Q, except for those risks designated by an asterisk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disclose further changes to the factors below or disclose additional factors from time to time in our future filings with the SEC.</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do not have any products approved for sale.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various product candidates, building our intellectual property portfolio, developing our supply chain and in-house manufacturing capability, conducting business planning, raising capital and providing general and administrative support for these operations. Consequently, we have limited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we expect to continue to incur significant losses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in 2015, we have incurred significant operating losses. Our net losses were $101.5 million, $104.1 million and $108.8 million for the nine months ended September 30, 2026 and the years ended December 31, 2025 and 2024, respectively. Our accumulated deficit was $749.8 million as of September 30, 2026. We expect to continue to incur increasing operating losses for the foreseeable future as we continue to develop NKX019 and any future product candidates. In addition,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clinical development of NKX019, including in new indications, or restart the clinical development of any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scale up and optimization of manufacturing process and prepare for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to clinical trials, including any product candidates that may be advanced under the collaboration with CRISPR Therapeutics AG ("CRISPR");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our current product candidates for additional disease indications;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discover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qualify our own clinical- and commercial-scale current good manufacturing practice ("cGMP")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submit a biologics license application ("BLA") or marketing authorization application ("MAA") for NKX019 and/or seek marketing approvals for any of our other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of our product candidates in various jurisdictions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costs associated with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or secure marketing, sales and distribution capabilities, either internally or with third parties, to support commercialization;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 our employee headcount to support the foregoing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never succeed in any or all of these activities and, even if we do, we may never generate revenues that are significant or large enough to achieve profitability.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never generated revenue from product sales and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incur significant research and development and other expenses related to ongoing operations and the development of NKX019. All of our product candidates, including NKX019, require substantial additional development time and resources before we would be able to apply for or receive regulatory approvals and begin generating revenue from product sales. Neither the United States Food and Drug Administration ("FDA") nor any other regulatory authority has approved NKX019 or any other product candidates of ours, and we do not anticipate generating revenues from product sales unless and until such time as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regulatory approvals for product candidates for which we successfully complete positive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product candidates, by establishing a commercial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qualifying for adequate coverage and reimbursement by government and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maintaining and enhancing a sustainable, scalable, reproducible and transferable manufacturing process for each of our cell therapy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supply and manufacturing relationships with third parties that can provide adequate products and services, in both amount and quality, to support clinical development and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a viable clinical 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implementing additional internal systems and infrastructure, as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and expanding our portfolio of intellectual property rights, including patents, trade secrets, know-how, and trademarks;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avoiding and defending against third-party interference or infringement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financed our operations primarily through private placements of our preferred stock, proceeds from our previous collaboration with GlaxoSmithKline, proceeds from our initial public offering ("IPO") completed in July 2020, proceeds from our "at the market" equity offering program (the "ATM Offering Program"), and proceeds from both our underwritten public offering of our common stock completed in April 2022 and our underwritten public offering of our common stock and pre-funded warrants completed in March 2024 (collectively, the "Secondary Offerings"). We estimate that we used the proceeds of our IPO primarily to advance our product candidates through preclinical studies and clinical trial programs, the construction of our manufacturing facility, and for working capital and general corporate purposes, and that we have and will continue to use the proceeds from our Secondary Offerings and ATM Offering Program to, among other uses, advance NKX019 further in clinical development. However, developing pharmaceutical products and conducting preclinical studies and clinical trials is expensive. Advancing NKX019 or any other product candidate into pivotal trials will require us to raise additional capital. As of September 30, 2026, we had cash, cash equivalents, restricted cash, and investments of $216.0 million. Our research and development expenses were $90.4 million for the year ended December 31, 2025, $96.7 million for the year ended December 31, 2024, $83.5 million for the nine months ended September 30, 2026, and $65.1 million for the nine months ended September 30, 2025.</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Until and unless we can generate substantial product revenue, we expect to finance our cash needs through the proceeds from our Secondary Offerings, a combination of equity offerings and debt financings, and potentially through additional license and development agreements or strategic partnerships with third parties. Financing may not be available in sufficient amounts or on reasonable terms. In addition, market volatility resulting from international conflict, global economic developments, political unrest, high inflation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Attempting to secure additional financing may also divert our management from our day-to-day activities, which may impair or delay our ability to develop our product candidates. In addition, demands on our cash resources may change as a result of many factors, including those currently unknown to us including, but not limited to, delays or undesired outcomes from our cost-containment efforts, such as those related to our cap on future headcount growth, centralizing our operations to a single location, or subleasing portions of our leased corporate office space in South San Francisco, and any unforeseen costs we may incur as a result of preclinical study or clinical trial delays, and we may need to seek additional funds sooner than planned as a result.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undertake additional cost-containment measures and/or significantly curtail or stop one or more of our research or development programs. </w:t>
      </w:r>
    </w:p>
    <w:p>
      <w:pPr>
        <w:pStyle w:val="TextBody"/>
        <w:bidi w:val="0"/>
        <w:spacing w:before="360" w:after="283"/>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pPr>
      <w:r>
        <w:t> </w:t>
      </w:r>
    </w:p>
    <w:p>
      <w:pPr>
        <w:pStyle w:val="TextBody"/>
        <w:bidi w:val="0"/>
        <w:spacing w:before="360" w:after="283"/>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of our long-lived assets could have a material adverse effect on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U.S. generally accepted accounting principles ("U.S. GAAP"), we are required to assess our long-lived assets, including property and equipment and lease right-of-use assets, for possible impairment whenever events or circumstances indicate that their carrying amounts may not be recoverable. For example, during the quarter ended June 30, 2026, as part of the ongoing optimization of our manufacturing operations, we decided to sublease a portion of our lease facility and determined that certain equipment would no longer be utilized. These events constituted indicators of impairment and resulted in the recognition of impairment charges during the quarter. In addition, during the quarter ended September 30, 2025, we identified impairment indicators due to a sustained decline in the trading price of our common stock, resulting in our market capitalization falling below our net asset value. As a result, we recorded an impairment charge during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changes in circumstances, many of which are outside of our control, or in the numerous variables associated with the assumptions and estimates used in assessing the appropriate valuation of our long-lived assets, could in the future result in additional impairment charges to our long-lived assets, which could materially adversely affect our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depends upon the success of our CAR NK-cell technology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our ability to utilize our chimeric antigen receptor natural killer ("CAR NK") cell technology platform to generate product candidates, to obtain regulatory approval for product candidates derived from it, and to then commercialize our product candidates addressing one or more indications. We are enrolling patients in our Ntrust-1 clinical trial ("Ntrust-1"), a multi-center, open-label, dose-escalation Phase 1/2 clinical trial to evaluate NKX019, our lead CAR NK-cell product candidate, in patients with lupus nephritis ("LN") and primary membranous nephropathy ("pMN"). We are also enrolling patients in our Ntrust-2 clinical trial ("Ntrust-2"), a multi-center, open-label, dose-escalation Phase 1/2 clinical trial that will evaluate the safety and clinical activity of NKX019 in patients with systemic sclerosis ("scleroderma"), idiopathic inflammatory myopathy ("myositis"), antineutrophil cytoplasmic antibody (ANCA)-associated vasculitis ("AAV"), and rheumatoid arthritis ("RA"). Although both NKX019 and another product candidate have been in Phase 1 clinical trials for certain hematologic malignancies, we have stopped enrolling new patients in those clinical trials. Although we may explore our options for implementing certain changes in those programs, we cannot guarantee that we will pursue any further development of our product candidates for the treatment of hematologic malignancies in the near future or at all. All of our product candidates developed from our technology platform will require significant additional clinical and non-clinical development, review and approval by the FDA or other regulatory authorities in one or more jurisdictions, substantial investment, access to sufficient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NK-cell engineering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concentrated our research and development efforts on utilizing CAR NK cells as an immunotherapy for the treatment of certain diseases, initially cancers and, most recently, autoimmune diseases. To date, the FDA has not approved any cell-based therapies for commercial use for the treatment of autoimmune diseases,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NK-cell platform product candidates are novel, and cell-based therapies are relatively new, especially as potential treatments for autoimmune diseases, regulatory agencies may lack precedents for evaluating product candidates like our CAR NK-cell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NK-cell platform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Use of CAR NK-cell therapies may not gain the acceptance of the public or the medical community, especially for the treatment of autoimmune diseases. The patients with autoimmune diseases that we are targeting with NKX019 are typically not at risk of near-term death, even if they may suffer life-threatening symptoms, so the patients will need to deem the benefits of cell therapy to be worth the risk of unknown potential adverse side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advancing novel immunotherapies creates significant challenges for us,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training a sufficient number of medical personnel on how to administer lymphodepletion regimens and how to properly thaw and administer our cells;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training a sufficient number of medical and clinical laboratory personnel in the proper collection and handling of clinical samples in our clinical trials to enable a sufficient understanding of CAR NK-cell pharmacokinetics and pharmacodynamics for the design of an optimal dosing regimen;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educating medical personnel regarding the potential side-effect profile of our cells and, as the clinical program progresses, on observed side effects with the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reliable and safe and an effective means of genetically modifying our cells;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cryopreservation of our cells on a large scale and in a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sourcing starting material suitable for clinical and commercial manufacturing;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and marketing capabilities, as well as developing a manufacturing process and distribution network to support the commercialization of any approved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must be able to overcome these challenges in order for us to develop, commercialize and manufacture our product candidates utilizing CAR NK cells.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patients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regulatory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clinical trial sites or contract research organizations ("CROs"), the terms of which can be subject to extensive negotiation and may vary significantly among different trial sites and CROs, including delays due to administrative hurdles, lack of significant prior experience with cell therapy for autoimmune diseases, or competition between cell therapy companies for prospective clinical trial sites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sufficient patients for our clinical trials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achieving a sufficient number of clinical trial sites or obtaining the required institutional review board ("IRB"), approval at each clinical trial site;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us or by the FDA or other regulatory agencies based on emerging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long-term follow-up data due to patient drop out or in cases where patients elect to receive post-protocol treatment for their disease before it progresses;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termination of a clinical trial by the IRB of the institutions in which such trials are being conducted or by the Data Safety Monitoring Board ("DSMB") (where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sufficiently developing, characterizing, scaling up, optimizing or controlling a manufacturing process suitable for clinical trials, or production delays, shutdowns or setbacks at any of our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due to additional regulatory, site and clinical trial participant approvals required if a product candidate does not meet the required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or guidance that may require us to amend or submit new clinical protocols, or such requirements may not be as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or treatment landscape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insufficient quantities or inadequate quality of our product candidates or other materials necessary to conduct preclinical studies or clinical trials of our product candidates, including potential limitations to the availability of agents such as fludarabine ("Flu"), cyclophosphamide ("Cy"), or other agents administered to patients prior to treatment or in combination with our product candidates or delays in the manufacturing of product candidates due to scale up or improvements to our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enrolled patients in foreign countries to adhere to clinical protocol as a result of differences in healthcare services or cultural customs, or additional administrative burdens associated with foreign regulatory schemes;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in the operations of the FDA or other regulatory authorities, including government shutdowns, funding lapses, staffing shortages, changes in agency leadership or policy priorities, or increased regulatory workload, which could delay meetings, inspections, review of submissions, responses to inquiries or other regulatory actions necessary to advance our clinical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after initially studying NKX019 and a second product candidate, NKX101, in Phase 1 clinical trials for hematologic malignancies, we deprioritized development of the product candidates for the treatment of hematologic malignancies to focus our research and development activities on NKX019 for the treatment of autoimmune diseases. Following an interim evaluation of response data in our NKX101 clinical trial for the treatment of relapsed or refractory acute myeloid leukemia or higher risk myelodysplastic syndromes, we decided to deprioritize our NKX101 program. In November 2024, we announced clinical data from our NKX019 clinical trial in B-cell malignancies. The data came from a cohort of heavily pretreated patients with large B-cell lymphoma ("LBCL") whose disease had already progressed following treatment with a CD19 CAR T cell therapy. Based on these data and the highly competitive landscape for the treatment of B-cell malignancies, we have deprioritized the clinical development of NKX019 for the treatment of B-cell malignancies. We do not plan to enroll further patients in our clinical trials for hematologic malignancies, and we cannot guarantee that we will pursue any further development of NKX019 for the treatment of hematologic malignancies in the near future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caused by or related to pandemics, epidemics, or outbreaks of infectious disease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a pandemic, epidemic, or outbreak of infectious disease then we may experience delays in obtaining periodic advice which may affect our ability to move our clinical programs forward into the next phase of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from time to time, such as for our Ntrust-1 clinical trial, establish partnerships in relation to our clinical trials, receiving advisory services and other support from third parties. For example, we continue to partner with Lupus Therapeutics, the clinical research affiliate of the Lupus Research Alliance, to accelerate development of NKX019 through select sites of the Lupus Clinical Investigators Network. We cannot guarantee that such collaborations will be successful and, in the event they are not, we may lose our competitive advantage and/or incur additional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 In addition, actions by the new Presidential administration to limit federal agency budgets or personnel may result in reductions to the FDA’s budget, employees and operations, which may lead to slower responses times and longer review periods, potentially affecting our ability to progress development of our product candidates or obtain regulatory approval for our product candidates. Government shutdowns, funding lapses or significant staffing disruptions at the FDA or other regulatory authorities could similarly delay review of our submissions, scheduling of meetings or inspections, or other regulatory interactions necessary to advance our development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which would negatively impact our financial results, and slow down our product candidate development and approval process.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pStyle w:val="TextBody"/>
        <w:bidi w:val="0"/>
        <w:spacing w:before="240" w:after="283"/>
        <w:jc w:val="left"/>
        <w:rPr>
          <w:rFonts w:ascii="Times New Roman" w:hAnsi="Times New Roman"/>
          <w:sz w:val="20"/>
        </w:rPr>
      </w:pPr>
      <w:r>
        <w:rPr>
          <w:rFonts w:ascii="Times New Roman" w:hAnsi="Times New Roman"/>
          <w:color w:val="000000"/>
          <w:sz w:val="20"/>
        </w:rPr>
        <w:t>We cannot guarantee that NKX019 or any other product candidates, that we might develop,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NKX019 or any of our other product candidates will be successful in clinical trials or receive regulatory approval. In particular, while we have continued to build autoimmune development capabilities through operational experience and the recruitment of personnel with relevant expertise, our historical focus has been on NK-cell therapies for oncology, and the development of treatments for autoimmune diseases presents different scientific, clinical, regulatory and operational considerations. The FDA, and other comparable global regulatory authorities can delay, limit or deny approval of a product candidate for many reasons. For further details about such reasons, see “—</w:t>
      </w: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r>
        <w:rPr>
          <w:rFonts w:ascii="Times New Roman" w:hAnsi="Times New Roman"/>
          <w:color w:val="000000"/>
          <w:sz w:val="20"/>
        </w:rPr>
        <w:t>” Any delay in obtaining, or inability to obtain, applicable regulatory approval will delay or harm our ability to successfully commercialize NKX019 or any of our other product candidates and could materially adversely affect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NKX019 is in Phase 1/2 clinical development and subject to the risks inherent in drug development. In October 2023, we announced that we had received clearance of an Investigational New Drug ("IND") application by the FDA to evaluate NKX019 for the treatment of LN in our Ntrust-1 clinical trial, and in May 2025, we announced the addition of pMN as an indication to our Ntrust-1 clinical trial, which is a multi-center, open-label, dose-escalation Phase 1/2 clinical trial that evaluates the safety and clinical activity of NKX019 in patients with refractory LN. In June 2024, we announced we had received clearance of an IND by the FDA to evaluate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NKX019 for the treatment of scleroderma, myositis, and AAV in our Ntrust-2 clinical trial, which is a multi-center, open-label, dose-escalation Phase 1/2 clinical trial that evaluates the safety and clinical activity of NKX019 in patients with scleroderma, myositis, and AAV. In May 2025, we announced the modification of the lymphodepleting conditioning ("LD") prior to the administration of NKX019 in our Ntrust-1 and Ntrust-2 clinical trials to use a combination of Flu and Cy, with the option for patients with cytopenias to continue to receive Cy alone as modified LD. In November 2025, we announced that deep B-cell depletion was observed in all participants treated to date who received NKX019 with LD using Flu and Cy versus partial B-cell depletion in patients receiving only Cy. At the same time, we reported the implementation of a streamlined enrollment process that allows participant data from both the Ntrust-1 and Ntrust-2 clinical trials to be reviewed by a combined independent Data Safety Monitoring Board (“iDSMB”) to inform dose-escalation decisions. This update followed engagement with the FDA and authorization by the iDSMB to initiate enrollment in the second dose-escalation cohort. In April 2026, we announced that we had reached agreement with the FDA on protocol amendments to both the Ntrust-1 and Ntrust-2 clinical trials to enable outpatient administration of NKX019, the option to re-dose patients, if needed, the addition of an RA cohort to Ntrust-2, and the removal of geographic monitoring requirements. Subsequent to this announcement, the protocol amendments were submitted to the FDA and IRBs and approved by the central IRB.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no cell therapies licensed to date in the United States or elsewhere to treat autoimmune diseases and we have no prior experience in developing treatments for autoimmune diseases. We cannot guarantee that our development of NKX019 for the treatment of LN, pMN, scleroderma, myositis, AAV, or RA will be successful. We currently consider myositis and scleroderma to be our leading indications, and adverse results or delays in these indications could have a disproportionate effect on our development plans and on the perceived prospects of NKX019. We may also choose to develop NKX019 for additional autoimmune or other indications, but we may not be able to advance NKX019 through the development process for any of these additional indications. Even if we receive regulatory approval to market NKX019 for the treatment of LN, pMN, scleroderma, myositis, AAV, RA, or any additional indications, NKX019 for any of these indications may not be successfully commercialized, widely accepted in the marketplace or more effective than other commercially available alternatives. If we are unable to successfully develop and commercialize NKX019 for LN, pMN, scleroderma, myositis, AAV, RA, or these additional autoimmune indications, our commercial opportunity will be limited, and our business, financial condition and growth prospects will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ongoing Phase 1/2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 Multiple commercially available therapeutic agents that target CD19, as well as others that are in various stages of development, are now being evaluated in clinical trials for the treatment of various autoimmune diseases including in the indications in which we are developing NKX019, thereby providing significant competition for clinical trial sites, investigators, and patients. The newness of cell therapy as a potential treatment for autoimmune patients at sites has also contributed to, and may continue to contribute to, delays in the initiation of clinical trial sites and in the enrollment of patients in our NKX019 autoimmune trials. We have had significant enrollment challenges and may continue to have significant enrollment challenges in our Ntrust-1 and Ntrust-2 clinical trials. We may also have enrollment challenges in our other autoimmune trials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NKX019 has also been studied in a Phase 1 clinical trial for the treatment of a variety of B-cell malignancies, which evaluates the safety, pharmacology, and preliminary anti-tumor activity of NKX019. In November 2024, we announced new clinical data from a cohort of heavily pretreated patients with LBCL whose disease had already progressed following treatment with a CD19 CAR T cell therapy. Based on these data and the highly competitive landscape for treatments of B-cell malignancies, we decided to focus our research and development activities on autoimmune disease and plan for no further investment in the clinical development of NKX019 for the treatment of B-cell malignancies.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second product candidate, NKX101, was also formerly studied in a Phase 1 clinical trial for the treatment of certain hematological malignancies. Following an interim evaluation of the clinical response data, we deprioritized the clinical development of NKX101 and plan for no further development of NKX101 at this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NKX019 is our most advanced product candidate, and because our other product candidates in clinical development in the future will be based on similar technology, if our current clinical trials of NKX019 or any future clinical trials of NKX019 experience any of the foregoing issues, our development plans for other product candidates in our pipeline could also be significantly impaired, which could materially adversely affect our business, financial condition,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develop our product candidates as monotherapy or potentially as combination therapy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evaluate our product candidates in combination with one or more other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our allogeneic CD19-targeting CAR NK-cell product candidate NKX019 may have disease-modifying potential in autoimmune diseases, such as LN, the use of CD19-targeted CAR cell therapies, and, in particular, allogeneic CD19 CAR NK-cell therapies, represents a novel approach for the treatment of autoimmune diseases, and is supported by limited clinical data. To date, no cell therapies have been approved by the FDA for the treatment of autoimmune diseases. We cannot guarantee that Ntrust-1, our clinical trial for NKX019 in LN and pMN, Ntrust-2, our clinical trial for NKX019 in scleroderma, myositis, AAV, and RA, or any other future clinical development of NKX019 for the treatment of autoimmune diseases will be successful. Our belief that NKX019 may be effective as a treatment for autoimmune diseases is based largely on our understanding of the mechanism behind the positive clinical data reported by certain academic groups and other companies studying CAR NK-cell therapies for the use of a CD19 CAR T-cell therapy in a limited number of patients with autoimmune diseases, as well as on our own in vitro studies showing that NKX019 can kill B-cells in peripheral blood mononuclear cells obtained from patients with autoimmune diseases and observations regarding the effect of NKX019 on B cells from our NKX019 Phase 1 clinical trial in patients with non-Hodgkin lymphoma ("NHL"). We have made certain assumptions regarding the mechanism of action responsible for the preliminary efficacy shown in the reported studies and how that mechanism of action and our own in vitro data and data from our NKX019 trial in NHL will translate to the response of patients with autoimmune diseases, such as LN, to NKX019, which may or may not be correct. We cannot know with any certainty whether NKX019 will be effective against B-cell mediated autoimmune diseases, or whether NKX019 will be competitive as a treatment for such indications against CD19 CAR T-cell therapies. </w:t>
      </w:r>
    </w:p>
    <w:p>
      <w:pPr>
        <w:pStyle w:val="TextBody"/>
        <w:bidi w:val="0"/>
        <w:spacing w:before="240" w:after="283"/>
        <w:jc w:val="left"/>
        <w:rPr>
          <w:rFonts w:ascii="Times New Roman" w:hAnsi="Times New Roman"/>
          <w:sz w:val="20"/>
        </w:rPr>
      </w:pPr>
      <w:r>
        <w:rPr>
          <w:rFonts w:ascii="Times New Roman" w:hAnsi="Times New Roman"/>
          <w:color w:val="000000"/>
          <w:sz w:val="20"/>
        </w:rPr>
        <w:t>We also face competition from a large number of cell therapy companies who are also advancing development programs in autoimmune diseases, which may impact our ability to successfully develop and commercialize NKX019. For instance, competition among cell therapy companies for clinical trial sites, investigators, and/or patients for autoimmune clinical trials, may cause delays in the initiation of clinical trials sites and enrollment of patients in our clinical trials. For further details about such reasons, see “—</w:t>
      </w: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r>
        <w:rPr>
          <w:rFonts w:ascii="Times New Roman" w:hAnsi="Times New Roman"/>
          <w:color w:val="000000"/>
          <w:sz w:val="20"/>
        </w:rPr>
        <w:t>” and “—</w:t>
      </w: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r>
        <w:rPr>
          <w:rFonts w:ascii="Times New Roman" w:hAnsi="Times New Roman"/>
          <w:color w:val="000000"/>
          <w:sz w:val="20"/>
        </w:rPr>
        <w:t xml:space="preserve">.” The competition for clinical trial sites, investigators or patients may also lead to increased development costs. If NKX019 is shown to not be sufficiently effective against LN, pMN, scleroderma, myositis, AAV, RA, or other B-cell mediated autoimmune diseases in clinical trials, we experience delays in our ability to advance NKX019 through clinical development for LN, pMN, scleroderma, myositis, AAV, RA, or other B-cell mediated autoimmune diseases, or we are unable to successfully compete against other companies in the development and commercialization of NKX019, the commercial prospects of NKX019, as well as our business, financial condition and growth prospects, would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open clinical trial sites;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and eligibility criteria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resources at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referral practices of physicians, including as a result of their assessment of the clinical trial parameters;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changing medical practice patterns or guidelines related to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or approved therapies which present an attractive alternative to patients and their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including as a result of adverse effects observed in similar or competing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due to various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enrolled patients will drop out or die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failing to complete a clinical trial or returning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the requisite supply of our product candidates for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any delay by us or by our clinical sites to obtain sufficient quantities of components and supplies necessary for the conduct of our clinical trials, including any inability to obtain agents such as Cy, Flu, or other agents administered to patients prior to treatment or in combination with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for the treatment of cancer, as well as others that are in various stages of development, we had significant difficulty in our now deprioritized Phase 1 NKX019 program for the treatment of B-cell malignancies enrolling patients who have not previously been exposed to a CD19-directed cellular therapy. We have also had, and may continue to have in the future, significant difficulty in enrolling patients in our Ntrust-1 clinical trial, and we may also have significant difficulty in enrolling patients in our Ntrust-2 clinical trial. A number of cell therapy companies and companies with other CD19-targeted therapeutics have initiated or announced initiation of plans for clinical trials for the treatment of B-cell mediated autoimmune diseases including in indications in which we are developing NKX019, which has resulted in increased competition, and may continue to increase competition in the future, for clinical trial sites and/or patients for our Ntrust-1 and Ntrust-2 clinical trials and any other NKX019 clinical trials that we may initiate in the future for the treatment of other B-cell mediated autoimmune diseases. With respect to our Ntrust-1 and Ntrust-2 clinical trials and any future NKX019 clinical trials of ours for the treatment of other B-cell mediated autoimmune diseases, the number of qualified clinical investigators is limited, so we are conducting, and may continue to conduct, some of our clinical trials at the same clinical trial sites that some of our competitors use, which reduces the number of patients who are available for our clinical trials at such clinical trial site.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challenges at clinical trial sites have also contributed to delays in site initiation and/or enrollment in our NKX019 autoimmune clinical trials, and may continue to contribute to delays in site initiation and/or enrollment in our NKX019 clinical trials for the treatment of autoimmune diseases in the future. For example, the administration of cell therapies to patients with autoimmune disease is new, and in some instances, sites may not yet be efficient in facilitating such clinical trials. Although we have taken steps to mitigate the enrollment challenges, if we are unable to enroll a sufficient number of patients in our clinical trials in a timely manner and any future clinical trials for the treatment of autoimmune diseases, our completion of clinical trials may be delayed or may not be achieved, which would prevent us from further developing or commercializing our product candidates in certain patient subpopulations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evaluate our product candidate, we may decide to modify certain aspects of the clinical trial protocols. For example, in May 2025, we announced the modification of the LD prior to administration with NKX019 in our Ntrust-1 and Ntrust-2 clinical trials to use a combination of Flu and Cy, with the option for patients with cytopenias to continue to receive Cy alone as modified LD, and in November 2025, we announced the implementation of a streamlined enrollment process that enables participant data from both the Ntrust-1 and Ntrust-2 clinical trials to be reviewed by a combined iDSMB to inform dose-escalation decisions. In April 2026, we announced that we had reached agreement with the FDA on further protocol amendments to enable outpatient administration of NKX019, the option to re-dose patients, if needed, the addition of a rheumatoid arthritis cohort to Ntrust-2, and the removal of geographic monitoring requirements. Subsequent to this announcement, the protocol amendments were submitted to the FDA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IRBs and approved by the central IRB. The shift to outpatient administration is designed to expand access to NKX019 clinical trials to community rheumatology centers and community research centers, and we have begun dosing patients at such sites. These sites may have less experience administering cell therapies and less specialized infrastructure for managing potential adverse events associated with cell therapy compared to academic medical centers, which could result in delays in site qualification and activation, increased need for site training and oversight, or potential safety events that could adversely affect our clinical program. The incorporation of these changes into both study protocols and implementation at clinical trial sites may take additional time and resources to implement, resulting in initial delays in enrollment. Specifically, in relation to the modification of the LD, physicians may exercise more caution when enrolling patients in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the current administration continues to pursue cost-cutting measures, including reducing funding to academic research centers, the impact on industry-sponsored clinical research, as a result, and our business is currently unclear. A reduction of resources at these clinical sites also is likely to have an impact on patient enrollment as academic research centers decide how to allocate limited resources.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pStyle w:val="TextBody"/>
        <w:bidi w:val="0"/>
        <w:spacing w:before="240" w:after="283"/>
        <w:jc w:val="left"/>
        <w:rPr>
          <w:rFonts w:ascii="Times New Roman" w:hAnsi="Times New Roman"/>
          <w:sz w:val="20"/>
        </w:rPr>
      </w:pPr>
      <w:r>
        <w:rPr>
          <w:rFonts w:ascii="Times New Roman" w:hAnsi="Times New Roman"/>
          <w:color w:val="000000"/>
          <w:sz w:val="20"/>
        </w:rPr>
        <w:t>The clinical development of our product candidates also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 For further details regarding risks related to the manufacture of our product candidates, see “Risks Related to Manufacturing” below, including “—</w:t>
      </w:r>
      <w:r>
        <w:rPr>
          <w:rFonts w:ascii="Times New Roman" w:hAnsi="Times New Roman"/>
          <w:i/>
          <w:color w:val="000000"/>
          <w:sz w:val="20"/>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r>
        <w:rPr>
          <w:rFonts w:ascii="Times New Roman" w:hAnsi="Times New Roman"/>
          <w:color w:val="000000"/>
          <w:sz w:val="20"/>
        </w:rPr>
        <w:t>The clinical development of our product candidates also depends on the availability of a sufficient supply of certain other materials and agents used in our clinical trials. For example, our clinical trial protocols require the use of Flu and/or Cy, agents which are routinely used in oncology studies, and which we use in certain of our clinical trial protocols to condition patients for treatment with our product candidates. Further, we may develop certain of our product candidates as a combination therapy with other therapies, which would require the availability and use of those therapeutic agents in certain of our clinical trial protocols. Any failure or delays by us or by our clinical sites to obtain sufficient quantities of our product candidates and other agents necessary for the conduct of our clinical trials, may delay our ability to enroll and treat patients in, or complete, our current or future clinical trials of our product candidates on time,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enroll a sufficient number of patients in our clinical trials in a timely manner, our completion of clinical trials may be delayed or may not be achieved, which would prevent us from further developing or commercializing our product candidates. In addition, any such delays could require us to incur additional costs as we work to identify potential patients to enroll and to continue the development of our product candidates generally, which would have a negative impact on our financial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CAR NK-cell therapy is a relatively new field. To date, no cell therapies of any type have been licensed for the treatment of autoimmune diseases. The history of manufacturing CAR NK cells for clinical use is limited. Our understanding of NK-cell biology is expanding, and this is particularly true in relation to autoimmune diseases where there is limited clinical data available and where we have no prior experience. If we find that our current manufacturing processes are inadequate, or should we identify opportunities for material improvement, adaptation of process improvements may require significant additional time and resources to complete. As studies utilizing NK-cell biology develop, new information may become available requiring us to change our product candidate. Process improvements or new clinical data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A requirement to run a new clinical trial or repeat a clinical trial would delay clinical development and commercialization of the relevant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Killer immunoglobulin-like receptor ("KIR") molecules are found on the surface of NK cells and recognizes certain Human Leukocyte Antigen ("HLA") types. If there is a match between certain KIR molecules and the HLA type, KIR acts as a natural inhibitor of NK cell activity, thereby serving to prevent immune reactions against an individual’s own cells. In our clinical trials, the product candidate is manufactured from unrelated donors and administered to recipients regardless of specific KIR phenotype (i.e. used “off-the-shelf”). As we continue our clinical trials, we may discover that retaining a KIR mismatch is required to achieve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clinically meaningful activity, and we may need to factor KIR mismatch into the donor and product selection process for patients enrolled in our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Scaled manufacturing can broaden patient access to off-the-shelf product candidates without requiring additional donors. However, as our product candidates are not genetically modified to reduce naturally occurring cell surface antigens, potential patients may have antibodies against such antigens. We may choose to continue to diversify donor selection with the goal of ensuring we have suitable drug product for broad access. We also continue to analyze donor characteristics that correlate with clinical activity and we may decide to select for donors to enhance activity of our product candidates in the clinic. If it becomes apparent through future preclinical testing or clinical trials that donor selection is required for some or all patients, the production of NKX019 or our other product candidates as standardized, off-the-shelf products for all patients will not be achievable. Instead, we would need to establish an alternative approach for each of our product candidates to achieve coverage of the addressable patient population.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reengineering of our product candidates or change to the processes we use to manufacture or select our product candidates could require the redesign of our clinical protocols and clinical trials for our product candidates, compliance with additional regulatory requirements, significant additional time and resources to complete, and the participation of a significant number of additional clinical trial participants and donors, any of which would delay the clinical development of our product candidates and their eventual commercialization.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hAnsi="Times New Roman"/>
          <w:b/>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For example, the initial Ntrust-1 and Ntrust-2 data, including safety data, that we expect to present at ACR Convergence 2026 in November 2026 are as of the applicable data cutoffs, reflect a limited number of patients with limited follow-up, and may not be predictive of future results. We also make assumptions, estimations, calculations and conclusions as part of our analyses of data, and we may not have received or had the opportunity to fully and carefully evaluate all data. As a result, the topline results that we report may differ from, and may not be indicative of, future results of the same clinical trials, or different conclusions or considerations may qualify such topline results once additional data have been received and fully evaluated. For example, the preliminary results from our most recent cohort in our Phase 1 NKX019 clinical trial for the treatment of B-cell malignancies did not meet expectations. Based on these data and the highly competitive landscape for treatments of B-cell malignancies, in 2024 we decided to refocus our research and development activities on autoimmune diseases and deprioritized further development of NKX019 for the treatment of B-cell malignancies. Also, we deprioritized further development of another product candidate, NKX101, following an interim evaluation of the data from the most recent dose-expansion cohort of our NKX101 Phase 1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 broadly, variability in investigator experience across clinical trial sites may contribute to inconsistent application of trial procedures across sites, which could complicate data interpretation or limit comparability across study cohorts or sites.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Undesirable side effects that may be caused by our product candidates could negatively affect patient recruitment and retention in our clinical trials, cause us or regulatory authorities to interrupt, delay or halt clinical trials, and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 We may also pause our clinical trials if patients exhibit adverse side effects, until such time as we can determine the cause of such side effects, which would delay our clinical trial timeline and the potential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Updated data from the dose-escalation portion of our NKX019 Phase 1 clinical trial in B-cell malignancies were reported in December 2022. The most common higher-grade (Grade ≥3) adverse events in the interim data reported for patients in the NKX019 Phase 1 clinical trial for B-cell malignancies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T-cell therapies. While the interim data reported to date from our NKX019 Phase 1 clinical trials indicate that NK cell-based therapies may be better-tolerated as compared to T-cell-based therapies due to biologic differences between these cell types, there can be no assurance that patients will not experience CRS, neurotoxicity, Graft-versus-host disease, or other serious adverse events associated with NKX019, any other product candidates we may advance in clinical studies in the future, or the LD administered to patients prior to administration of NKX019 or other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 some instances, the diseases we may be seeking to treat may be less serious than the later stage cancers traditionally being treated with cell therapies or other immunotherapy products. Therefore, we believe the FDA and other regulatory authorities likely will apply a different benefit-risk threshold such that any potential harmful side effects may outweigh the benefits of our product candidates and require us to cease clinical trials or deny approval of our product candidates. We believe tolerance for adverse events in the autoimmune patient populations being pursued with cell-based therapies, such as in the LN patients in our NKX019 clinical trial, will be lower than it is in oncology, and the risks of negative impact from these toxicities may therefore be higher for our autoimmune programs than for our deprioritized oncology programs or the oncology programs of others. Multiple companies are investigating the potential use of various other CD19-targeted therapeutic candidates, including other cell therapies, in clinical trials for the treatment of patients with autoimmune diseases, including in indications in which we are developing NKX019. If serious adverse events are reported from those clinical trials for these competing product candidates, patient recruitment and retention in our own clinical trials may be impacted, we may face additional scrutiny or restrictions from the FDA or other relevant regulatory entities, which could delay our clinical trial timeline and the potential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negatively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Under our amended Ntrust-1 and Ntrust-2 protocols, patients are monitored for 2 hours following administration of NKX019, compared to the 24-hour monitoring period required under the original protocols, and geographic proximity requirements have been replaced with a requirement that investigators confirm participants have reasonable access to medical care that can provide timely management of adverse events. These changes were made with FDA agreement and are supported by the clinical safety profile observed to date at studied dose levels. However, the safety profile of NKX019 at higher dose levels is still being evaluated, and adverse events could present after the patient has left the clinical site or at medical facilities less experienced in managing cell therapy-related adverse events, potentially resulting in delayed identification and treatment. In addition, the option to re-dose patients with additional cycles of NKX019 introduces additional safety considerations, as repeated exposure to NKX019 and additional rounds of lymphodepleting conditioning could result in immunogenicity, cumulative toxicity, or other adverse effects not observed with a single treatment cycle.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and commercialization of new cellular immunotherapy products is highly competitive. We face competition from existing and future competitors with respect to our product candidate, NKX019, and will face competition with respect to product candidates that we may seek to develop or commercialize in the future. A large number of biopharmaceutical companies and academic institutions are advancing development programs in B-cell mediated autoimmune diseases. The approaches of these development programs are numerous and diverse, and include cell therapies, T-cell engagers, NK-cell engagers and monoclonal antibodies. It is also possible that new competitors, including those developing similar product candidates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obtain FDA or other regulatory authority approval to market a new biological product we must demonstrate safety, manufacturing comparability,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NKX019 is our only product candidate currently in clinical development. Since NKX101 and NKX070 have been deprioritized, all of our other active programs are currently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preclinical or other in vivo or in vitro data to support the initiation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acceptable clinical trial design or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not allowing us to rely on previous findings of safety and efficacy for other similar but approved products and published scientific literature.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into, and we may in the future enter into, research collaborations with third parties to develop or commercialize potential product candidates. Our prospects with respect to those product candidates will depend in significant part on the success of those collaborations, and we may not realize the benefits of such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2021, we entered into a Research Collaboration Agreement with CRISPR (as amended, the "CRISPR Agreement") to establish research plans for the purpose of collaboratively designing and advancing up to two allogeneic, gene-edited NK-cell therapies and one allogeneic, gene-edited NK+T-cell therapy for use in the treatment of autoimmune diseases, oncology, or infectious disease up to the filing of an application to a regulatory authority to request the ability to start a clinical trial. The first product candidate that was being developed in partnership with CRISPR was NKX070; however, effective September 2025, CRISPR exercised its right to opt-out of NKX070 pursuant to terms of the CRISPR Agreement. We retain a license to the initial collaboration product, subject to potential future milestone and royalty payments owed to CRISPR. The second product candidate being developed in partnership with CRISPR is NK+T. Both the NKX070 and NK+T programs have been deprioritized, however, to allow us to focus our resources on developing NKX019 for the treatment of B-cell mediated autoimmune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collaboration partners do not perform in the manner that we expect or fulfill their responsibilities in a timely manner or at all, the research, clinical development, regulatory approval and commercialization efforts related to the product candidates that are the subject of the collaboration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Future collaboration agreements may have similar terms.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Whenever we enter into collaborations with third parties, we could face the following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and processes that compete directly or indirectly with our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restrict our right to independently pursue new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conflicts arise between our collaborators and us, including CRISPR, our collaborators may act in a manner adverse to us and could limit our ability to implement our strategies. Our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any patient who receives NKX019 or any of our other product candidates in an investigator-sponsored trial ("IST") should not be viewed as representative of how the product candidate will perform in our clinical trials, may not be able to be used to establish safety or efficacy for regulatory approval, and may negatively impact our ability to develop and commercialize the product candidate depending on the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16"/>
        </w:rPr>
      </w:pPr>
      <w:r>
        <w:rPr>
          <w:rFonts w:ascii="Times New Roman" w:hAnsi="Times New Roman"/>
          <w:color w:val="000000"/>
          <w:sz w:val="20"/>
        </w:rPr>
        <w:t>In some instances, our product candidates may be evaluated in ISTs conducted by certain clinical investigators</w:t>
      </w:r>
      <w:r>
        <w:rPr>
          <w:rFonts w:ascii="Times New Roman" w:hAnsi="Times New Roman"/>
          <w:color w:val="000000"/>
          <w:sz w:val="16"/>
        </w:rPr>
        <w:t xml:space="preserve"> </w:t>
      </w:r>
      <w:r>
        <w:rPr>
          <w:rFonts w:ascii="Times New Roman" w:hAnsi="Times New Roman"/>
          <w:color w:val="000000"/>
          <w:sz w:val="20"/>
        </w:rPr>
        <w:t>who are our collaborators. In addition to supplying product candidate for such trials, we may also provide financial support. In July 2024, we announced that researchers at Columbia University Irving Medical Center initiated an IST of NKX019 in patients with systemic lupus erythematosus, and in November 2024, we announced that the first patient had been dosed in the IST. Additionally, in December 2024, we announced the IND clearance of an IST led by researchers at the University of California, Irvine and the University of Kansas Medical Center to evaluate NKX019 in patients with myasthenia gravis, and in May 2025, we announced enrollment in the IST had been initiated.</w:t>
      </w:r>
      <w:r>
        <w:rPr>
          <w:rFonts w:ascii="Times New Roman" w:hAnsi="Times New Roman"/>
          <w:color w:val="000000"/>
          <w:sz w:val="16"/>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ISTs may provide valuable insights, they also pose regulatory and operational challenges that could impact our ability to bring our product candidates to market. We have limited or no control over the design, administration, and timing of the ISTs and will have no control over the submission or approval of any IND or foreign equivalent required to conduct these trials. We rely on the investigators and physicians to ensure their compliance with clinical and regulatory requirements when using our product candidates for these trials. Such trials may not be conducted in accordance with protocols we would design, good clinical practice standards, or other regulatory requirements in the same manner as our company-sponsored trials. Their failure to comply could expose us to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ISTs could, depending on the actions of the investigators and other third parties involved in the ISTs,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any of these ISTs are inconsistent with, or different from, the results of our current or future company-sponsored trials or raise concerns regarding our product candidates, the FDA or a foreign regulatory authority may question the results of our company-sponsored trials or subject such results to greater scrutiny than it otherwise would. Negative results, serious adverse events, or other unfavorable findings from ISTs may also result in adverse publicity, increased regulatory scrutiny, additional data requests, or reluctance by potential collaborators, investigators or investors to engage with us. In these circumstances, the FDA or such foreign regulatory authorities may require us to obtain and submit additional clinical data, which could delay clinical development or marketing approval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ISTs could be useful to inform our own clinical development efforts or provide other valuable insights, there is no guarantee that we will be able to use the data from these trials to form the basis for regulatory approval of our product candidates. Moreover, the patient population in such trials is at risk for serious adverse events. If these events are attributed to our product candidates, it could negatively impact their safety profile, leading to delays or failure in obtaining regulatory approval or successfully commercializing our drug candidates. Additionally, our supply capabilities may limit patient enrollment in these trials. We may need to restructure or pause supply to enroll sufficient patients in our company sponsored trials, potentially leading to adverse publicity or other disruptions. If we limit or discontinue product supply for ISTs in order to prioritize our company-sponsored clinical trials, this could strain our relationships with investigators or institutions and negatively impact future collaboration opportunities.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special designations by the regulatory authorities to expedite regulatory approvals, but may not be successful in receiving such designations, and even if received, they may not benefit the development and regulatory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approval from the FDA or comparable regulatory authorities through the use of other expedited approval program, such as regenerative medicine advanced therapy ("RMAT") designation, breakthrough therapy designation ("BTD"), fast track designation ("FTD"),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FTD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Seeking and obtaining these designations is dependent upon results of our clinical program, and we cannot guarantee whether and when we may have the data from our clinical programs to support an application to obtain any such designation. Prior to submitting a BLA, we may seek feedback from the FDA or comparable foreign regulatory authorities and will otherwise evaluate our ability to receive accelerated approval. There can be no assurance that after our evaluation of the feedback and other factors we will decide to pursue a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an expedited regulatory designation (e.g., FTD or BTD),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and obtain orphan drug designation for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("ODD") entitles a party to financial incentives such as opportunities for grant funding towards clinical trial costs, tax advantages and user-fee waivers. On December 16, 2021, we announced that the FDA granted ODD to NKX101 for the treatment of acute myeloid leukemia ("AML").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in Europe, the European Commission grants ODD after receiving the opinion of the EMA Committee for Orphan Medicinal Products on an ODD application. ODD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ODD entitles a party to a number of incentives, such as protocol assistance and scientific advice specifically for designated orphan medicines, and potential fee reductions depending on the status of the sponsor.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if a drug with an ODD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ODD or if the drug is sufficiently profitable such that market exclusivity is no longer justified.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ODD neither shortens the development time or regulatory review time of a drug nor gives the drug any advantage in the regulatory review or approval process. While we may seek ODD for applicable indications for our product candidates, we may never receive such designations. Even if we do receive such designations, there is no guarantee that we will enjoy the benefits of those designations.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opinion and scrutiny of cell-based immunotherapies may impact public perception of our company and product candidates, or impair our ability to conduct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and negative results from those therapies may affect perception of NK-cell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or discover other product candidates and may fail to capitalize on programs or product candidates that may present a greater commercial opportunity or for which there is a greater likelihood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depends upon our ability to identify, develop and commercialize product candidates. A key element of our strategy is to discover and develop additional product candidates based upon our NK-cell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different therapeutic targets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methodology or technology platform used may not be 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to cease development if we determine that clinical results do not show promise;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may nevertheless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be shown to have harmful side effects or other characteristics that indicate it is unlikely to be effective or otherwise does not meet applicable regulatory criteria;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have limited resources, we must choose to pursue and fund the development of specific types of treatment, or treatment for a specific type of autoimmune diseases,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product candidate or fail to develop a potentially successful product candidate.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clinical trials. We rely on medical institutions, contract laboratories, and other third parties, such as CROs to advise on or otherwise support our Ntrust-1 and Ntrust-2 clinical trials and clinical investigators to conduct ISTs. We rely heavily on these parties for execution of clinical trials for our product candidates and control only certain aspects of their activities. Nevertheless, we are responsible for ensuring that each of our sponsored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For example, government measures taken in response to the COVID-19 pandemic had a significant impact on our CROs, and similar measures in response to future pandemics, epidemics, or outbreaks of infectious disease may result in further disruptions, which would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typically design the clinical trials for our product candidates, we rely on third parties to conduct our clinical trials. As a result, many important aspects of our clinical development, including their conduct and timing, are outside of our direct control. Our reliance on third parties to conduct our current and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 While we must rely on the clinical investigators to ensure their compliance with clinical and regulatory requirements when using our product candidates for ISTs, their failure to comply could jeopardize the validity of the clinical data generated, identify significant concerns with respect to our product candidates that could impact our findings or clinical trials, and could adversely affect our ability to obtain marketing approval from the FDA or other applicable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and the business or operations of our research partners and other third parties with whom we conduct business have been and could in the future be adversely affected by the effects of pandemics, epidemics, and outbreaks of infectious diseases in regions where we or third parties on which we rely have business operations.*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COVID-19 pandemic and measures taken to mitigate the impact of the pandemic disrupted economic activity and business operations worldwide, including the San Francisco Bay Area, where our primary operations are located. The emergence of one or more pandemics, epidemics, or outbreaks of infectious diseases could result in similar disruptions.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operations, as well as the operations of some of our CROs, contract development and manufacturing organizations ("CDMOs"), and clinical trial sites, may be impacted by future pandemics, epidemics, or outbreaks of infectious disease. For example, as a result of the COVID-19 pandemic, we experienced some delays in completing the construction of our cGMP manufacturing facilities, global supply shortages of certain materials that we and our CDMOs use for research and cGMP manufacturing, employee turnover/attrition, delays and/or disruptions at our CROs, and delays in setting up certain clinical sites and enrollment in our clinical trials.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emergence of a future pandemic, epidemic, or outbreak of infectious disease may impact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a future pandemic, epidemic, or outbreak of infectious disease may do so again in the future.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cannot predict the potential future impacts of the emergence of another pandemic, epidemic, or outbreak of infectious disease on us, our research or collaboration partners, and other third parties with whom we conduct business. We may experience disruptions as a result of a pandemic, epidemic, or outbreak of infectious disease that could severely impact our business, preclinical studies and clinical trials,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enrolling patients in our clinical trials, including our ongoing NKX019 clinical trial for LN and pMN and NKX019 clinical trial for scleroderma, myositis, AAV, and RA;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including difficulties in recruiting and training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recruitment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in the operations of the FDA or other regulatory authorities, which may impact review and approval timelines, including the review of IND or other regulatory submissions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or delays in manufacturing of our product candidates at our in-house manufacturing facility due to staffing shortages, production slowdowns and disruptions, or inability to procure critical raw materials or other supplies in a timely fashion;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disruptions in the qualification of our cGMP facility for commercial-scale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in preclinical studies due to restricted or limited operations at our laboratory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or delays in receiving supplies and materials necessary for our business operations, and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the cost of services or supplies necessary for our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to our discovery and clinical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of any delays or impacts due to pandemics, epidemics, or outbreaks of infectious disease, or government regulations in response to the foregoing, will depend on future developments that are highly uncertain and cannot be predicted with confidence, but these delays could have a material impact on our business, financial condition, and/or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not able to establish pharmaceutical or biotechnology collaborations on commercially reasonable terms, or at all, we may have to alter our development and commercialization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increase the size of our organization, and we may experience difficulties in managing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2026, we had 103 full-time employees. Our operation may require us to expand our managerial, operational, clinical, quality, human resources, legal, manufacturing, supply chain, finance, commercial and/or other resources in the future in order to manage our clinical trials, continue our development activities and eventually commercialize our product candidates. Our management and personnel, systems and facilities currently in place may not be adequate to support this future growth. In addition, competition for qualified personnel needed to support this future growth is intense and it may be difficult for us to attract and retain quality personnel generally, and as a result of any impact a reduction in force may have on potential employees’ perception of our company and culture.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attract skilled employees or manage our future growth effectively, it will impair our ability to execute our business strategy and our business, financial condition, results of operations and growth prospects will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attract and retain senior management, clinical, and key scientific personnel, we may be unable to successfully develop our product candidates, conduct our clinical trials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for qualified personnel in the biotechnology and pharmaceuticals field is intense due to the limited number of individuals who possess the skills and experience required by our industry. Implementing certain cost containment measures may have a detrimental impact on company culture and employee morale, which may hurt our ability to attract and retain employees. In March 2025, management approved a reduction in workforce, which included members of our senior management team, to decrease our costs and create a more streamlined organization to support our operations and reprioritized product pipeline. This reduction makes retention of our current personnel, including our senior management team, both more important and more challenging and may require the reallocation and the combination of certain roles and responsibilities across the organization, all of which could adversely affect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need to hire additional personnel if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product candidate that we may develop.*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 candidate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clinical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insurance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that we may develop;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such outcomes could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insurance policies may be inadequate, may not cover all of our potential liabilities and may potentially expose us to unrecoverable risks.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involves the use of hazardous materials and we and our third-party manufacturers and suppliers must comply with environmental laws and regulations, which can be expensive and restrict how we do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negatively impacted by the failure to address evolving environmental, social, and corporate governance matters.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has been increased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required to make changes to our operations in order to comply with any new regulations and to significantly increase our compliance and reporting costs. Regardless of these efforts, we may be perceived to not be adequately addressing these matters, which could negatively impact our reputation and our business. In addition, we currently do not report our environmental emissions, and our lack of reporting could result in certain investors declining to invest in our common stock.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recent change in Presidential administration has created regulatory uncertainty with respect to the U.S.’s climate change policy. In March 2022, the SEC proposed new rules relating to the disclosure of a range of climate-related risks and final rules were adopted in March 2024. The climate-related disclosure rules have been stayed by the SEC pending litigation challenging the rules and there is uncertainty as to whether the SEC will continue to defend the implementation of these rules. In addition, in October 2023, California issued the Climate Corporate Data Accountability Act (SB 253) and the Climate Related Financial Risk Act (SB 261) (the "California Bills") which require corporations doing business in California to annually report their greenhouse gas emissions and disclose climate-related financial risks and risk mitigation strategies. Complying with the California Bills may be costly, difficult and time consuming, and our business may be negatively impacted due to potential legal liability or by potential competitive disadvantage if our competitors are not subject to the California Bills. In January 2025, an executive order was signed to withdraw the U.S. from the Paris Agreement, marking a significant shift in U.S. climate policy. It remains unclear what further actions may be taken with respect to domestic and international programs and initiatives, what support the Presidential administration would have for any potential changes to such legislative programs and initiatives and what the impact of any such changes might be.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cells"), and viral vector is generally higher than traditional small-molecule chemical compounds or biologics, and the manufacturing process is presently less reliable and more difficult to reproduce.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 be restarted, enrollment may be delayed, and/or patients may be unable to remain in the study. Any delay in the clinical development or commercialization of NKX019 or our other product candidates could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make changes to our manufacturing process at various points during development, and even after commercialization, for various reasons, such as to control costs, achieve scale, decrease processing time, increase manufacturing success rate or for other reasons. Efforts to scale up and improve our manufacturing processes across our platform are ongoing.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For example, as part of ongoing scale up and optimization of manufacturing across our platform, we previously filed a manufacturing process change amendment with the FDA in our then-enrolling NKX101 Phase 1 clinical trial in AML. After we began dosing patients with NKX101 product that had been generated with the amended manufacturing process, an interim review of the clinical response data from the cohort indicated that the aggregate response rate for the 20 patients in total in the cohort was meaningfully lower than what had been observed and previously reported for the first six patients in the cohort. We subsequently closed enrollment in the clinical trial and deprioritized the NKX101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our process made during the course of clinical development could also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manufacturing in our own internal manufacturing facility to supply drug product for our NKX019 Phase 1/2 clinical trials. We have in the past, and may again in the future, encounter problems or delays with the internal production of our product candidates. We believe our current clinical cGMP manufacturing facility together with our new commercial-scale manufacturing facility, once qualified, will supply our anticipated non-pivotal clinical trial needs, but if the dose and number of cycles needed increases, including as a result of the re-dosing option available under our amended clinical trial protocols, our current manufacturing process may not be able to support the enrollment of trials which could lead to delays until we scale up the manufacturing. Although we have an internal cGMP manufacturing facility for the production of certain of our product candidates for our clinical trials, we do not yet operate a cGMP facility for the commercial-scale manufacture of our product candidates. Although we built a commercial-scale manufacturing facility, maintaining our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pandemics, epidemics, or outbreaks of infectious disease or government-imposed restrictions in response to the foregoing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have built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maintain and staff our own commercial-scale cGMP facility, we will need to rely on third parties for commercial-scale manufacture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although we currently manufacture our early-stage clinical supply of NKX019 at one of our own cGMP facilities, we currently outsource manufacturing of certain critical materials necessary for production of our product candidates, including NKSTIM cells and viral vectors. Even though we are currently manufacturing NKX019 at one of our own cGMP facilities, and even if we are successful at manufacturing NKX019 or other product candidates on a commercial scale at one of our own cGMP facilities, we expect to continue to outsource manufacturing of certain materials necessary for production of our product candidates. For instance, we currently manufacture clinical supply of NKSTIM cells and the gamma-retrovirus at third-party contract manufacturing sites. Although we intend to manufacture NKSTIM cells in house in the future, we may not be able to successfully do so.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third-party at a time that is costly or inconvenient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third parties that we engage to supply any materials or to manufacture any product candidates for our preclinical tests and clinical trials should cease to continue to do so for any reason, including due to the effects of a pandemic, epidemic, or outbreak of infectious disease, such as a future outbreak of a COVID-19 variant, and the actions undertaken by governments and private enterprises to contain such health event,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For example, at some of our contract manufacturing sites, we have experienced delays in the past as a result of COVID-19-related restrictions, including temporary shutdowns, and instances of COVID-19 cases impacting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reliant on a sole supplier for certain steps of our manufacturing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manufacturing process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long-term strategy to mitigate against the risk of shortage due to disruption of the supply chain, including as a result from technical or regulatory constraints or changes in international trade policies. We may experience increased costs to procure these reagents as our current supplies are utilized as a result of tariffs that are imposed.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including as a result of current or future tariffs, be subject to delays in shipment, result in lower yields or not be as suitable for our purposes. In addition, some of the raw materials that we use are complex materials, which may be more difficult to substitute. Therefore, supply disruptions could result in delays and additional regulatory submissions, prevent us from being able to manufacture our product candidates due to the unsuitability of the substituted reagent or consumable that we are able to procure, and impact our ability to maintain our development timelines and remain competitive. Substitution of some or all of these reagents and materials may require substantial changes to our manufacturing process, which may require us to establish product comparability. If we are unable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show comparability after a process change, further changes to our manufacturing process and/or clinical trials will be required. For example, if sufficient comparability is not shown, we may be required to repeat one or more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disruption in supply of these instruments and reagents could also result in delays in our clinical trials, which would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built and qualified a facility for the commercial-scale manufacture of our product candidates. The qualification, regulatory approvals and maintenance of such facilities require substantial capital and technical expertise and any delay would limit our development activities and our opportunities for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manufacturing facilities will be subject to ongoing, periodic inspection by the FDA and other comparable regulatory agencies to ensure compliance with cGMP. In the event of reductions to the FDA’s budget, employees and operations, including as a result of a prolonged government shutdown, we may experience delays in scheduling inspections by the FDA.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may encounter problems with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complying with regulations regarding evolving donor infectious disease testing, traceability, manufacturing, release of product candidates and other requirements from regulatory authorities at the state or federal level or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or clinical-grade materials that meet regulatory agency standards or specifications with consistent and acceptable production yield and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bacterial, fungal or viral contamination in our manufacturing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due to natural disasters or supply chain interruptions;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of qualified personnel, raw materials or key 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optimal donor and manufacturing parameters for our product candidates have not been definitively established, which may hinder our ability to optimize our product candidates or to address any safety or efficacy issues that may arise.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although research to establish the optimal donor and manufacturing parameters is ongoing, we have not, at present, fully characterized or identified how donor characteristics and manufacturing process parameters affect the optimal cell killing ability for our engineered NK-cell product candidates for in vitro and animal efficacy studies or how such potency differences may translate into efficacy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We continue to work to better establish the optimal donor and manufacturing parameters for our product candidates. Efforts to scale up and optimize our manufacturing processes across our platform are ongoing. If we are unable to manufacture sufficient supply of our product candidates, or sufficient supply of our product candidates with the desired parameters, for our current, planned, or future clinical trials, the clinical development and potential eventual commercialization of our product candidates may be delayed, and we may be materially harmed as a result.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dependent on third parties to store our CAR NK cells, viral vector, master and working cell banks of NKSTIM cells, and any damage or loss would cause delays in replacement, and our business could suffer.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 NK cells, the viral vector, and the master and working cell banks of NKSTIM cells are stored in freezers at third-party biorepositories and will also be stored in our freezers at our production facilities.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cells, which would impact clinical supply and delay our patients’ treatments. If we are unable to establish replacement materials, we could incur significant additional expenses and liability to patients whose treatment is delayed, and our business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not yet developed a validated methodology for freezing and thawing commercial-scale quantities of CAR NK cells, which we believe will be required for the storage and distribution of our CAR NK-cell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license agreement with National University of Singapore and St. Jude Children’s Research Hospital, Inc. is terminated, we could lose our rights to key components enabling our NK-cell engineering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NK-cell technology in the field of therapeutics. We are reliant upon certain rights and proprietary technology provided to us under this license for the production and development of certain of our current and future product candidates, such as NKX019.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subject to any patent term adjustments or extensions.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to or necessary for the development or production of our current and future product candidates, including NKX019, which could impede or prevent our successful commercialization of such product candidates and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patent protection we obtain is not sufficiently robust, our competitors could develop and commercialize products and technology similar or identical to ours.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uncertain, involves complex legal and factual questions and has, in recent years, been the subject of much litigation. As a result, the issuance, scope, validity, enforceability, term,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develop, manufacture and market our technology and use our technology without infringing the proprietary rights of third parties. We, our licensors, or our collaborators may be subject to third-party claims that could cause us to incur substantial expenses to defend, and these claims, if successful, could require us to pay substantial damages and/or limit our ability to commercialize our product candidates if we, our licensors, or our collaborators are found to be infringing a third party’s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that may relate to the areas in which we are developing product candidates. For example, under the CRISPR Agreement, we have received licenses from CRISPR for certain CRISPR-Cas9 gene editing targets that can be engineered into our own NK-cell therapies. Third parties could assert that CRISPR does not have rights to certain CRISPR-Cas9 technologies, or could assert and have asserted in the past, that the CVC Group does not have rights to certain CRISPR-Cas9 technologies, including inventorship and ownership rights to some of the CVC Group’s patents, or that such rights are limited. Third parties could seek to assert their issued patents relating to CRISPR-Cas9 technologies against us or our collaborators based on our CRISPR-Cas9-based activities, or those of our collaborators, including commercialization of gene-edited NK-cell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United States Patent and Trademark Office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generative artificial intelligence ("AI") resources that are publicly available present a risk that our employees, consultants, contractors or collaborators may inadvertently obtain, incorporate or use a third party’s intellectual property, and may also inadvertently disclose, input or otherwise provide our confidential, proprietary or intellectual property to such AI resources in a manner that could compromise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could materially adversely affect our ability to develop, manufacture and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Changes in patent laws and regulations may also affect the expiration date of any patent in the United States or elsewhere that we consider relevant. If we fail to correctly identify or interpret relevant patents or the expiration dates thereof,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development and commercialization rights to our current and future product candidates and technology are subject, in part, to the terms and conditions of licenses granted to us by others.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NKX019.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NK-cell therapies that have been gene-edited using CRISPR’s gene-editing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licensors may have relied on third-party consultants or collaborators or on funds from third parties such that our licensors are not the sole and exclusive owners of the patents we in-licensed. For example, if other third parties have ownership rights to our in-licensed patents, they may be able to license such patents to our competitors, and our competitors could market competing products and technology. This could harm our competitive position, and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Duration of patent terms may be inadequate to protect our competitive position on our product candidates for an adequate amount of time, and the expiration of our patents may subject us to increased 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2026,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including issued patents and patent applications related to NKX019 and our NK cell engineering platform. Our portfolio of issued patents, excluding pending patent applications, has estimated expiration dates between 2024 and 2043, subject to any patent terms adjustments or extensions. Our portfolio, including issued patents, and including pending applications, to the extent they issue as patents or are used to establish nonprovisional patent applications that issue as patents, is expected to have estimated expiration dates between 2034 and 2047, subject to any patent terms adjustments or extensions. For instance, composition-of-matter claims in our licensed patent portfolio that relate to our NKSTIM cells are estimated to have expired in Q4 2024, subject to any patent terms adjustments or extensions. We plan to file additional patent applications that could potentially allow for further increase of the exclusive market protection for certain uses of NKX019. However, we can provide no assurance that we will be able to file or receive additional patent protection for these or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or by changes in regulations or laws. In addition, if we fail to apply for applicable patent term extensions or adjustments, we will have a more limited time during which we can enforce our granted patent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directed to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after issuance, our owned and in-licensed patents may be subject to challenge, which if successful could result in a partial or complete loss of patent rights, which could materially adversely affect our ability to protect our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or a licensor’s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our patented claims are determined to be valid and enforceable, they may not be interpreted sufficiently broad to prevent others from marketing products similar to ours or designing around our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Post-grant proceedings such as inter partes review, post-grant review, and ex parte reexaminations in the United States, or comparable proceedings (e.g., oppositions or nullity actions) in foreign jurisdictions,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from time to time, seek to enforce our intellectual property rights against infringers when we determine that a successful outcome is probable and may lead to an increase in the value of the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reviews and ex parte reexaminations. Proceedings to challenge patents are also available internationally, including, for example, opposition proceedings and nullity actions. In patent litigation in the United States, counterclaims alleging invalidity and/or unenforceability and PTAB challenges are common. Grounds for a validity challenge of patented claims could arise from an alleged failure to meet any of several statutory requirements, including lack of patentable subject matter, lack of novelty, obviousness, lack of written description or non-enablement. Grounds for an unenforceability assertion could be an allegation that someone connected with prosecution of the patent intentionally withheld material information from the USPTO, or made a misleading statement, during prosecution of the patent.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 number of international patents and patent applications and expect to continue to pursue patent protection in many of the significant markets in which we intend to do business. However, filing, prosecuting, maintaining,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protection offered by intellectual property rights in certain countries outside of the United States may be less extensive than that in the United States and may be subject to compulsory licensing.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Federal Circuit and U.S. Supreme Court have ruled on several patent cases in recent years, narrowing the scope, and limiting the duration,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obtain or enforce assignments of intellectual property rights from our employees, consultants and 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it is our policy to require our employees, consultants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adequately prevent disclosure of trade secrets and other proprietary information, the value of our technology and product candidates could be materially diminished.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may have certain rights in some of our licensed patents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may exercise certain "march-in rights," which require us to grant exclusive licenses to such inventions to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general requirement that patented products be manufactured substantially in the United States unless domestic manufacture is not feasible has not been satisfied or waived.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unless domestic manufacture is not feasible or the requirement is waived. If we are unable to obtain a waiver from the government agency that provided the underlying research funding, we may be limited in our ability to contract with non-U.S. product manufacturers for products related to such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the U.S. government has not historically exercised its march-in rights, in August 2025, the U.S. Department of Commerce announced it was initiating a review of an academic research institute’s compliance with the Bayh-Dole Act, suggesting a potential shift toward stricter enforcement of Bayh–Dole Act compliance by the current administration, relative to prior administrations. 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including NKX019, could be subject to regulatory limitations following approval, if and when such approval is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NKX019 or other product candidates in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the product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education requirements for prescribers;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requirements prior to product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Untitled or Warning Letters from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if and when approved, may be limited, and if such market opportunities are smaller than we expect, our revenues could be materially adversely affected and our business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Ntrust-1 clinical trial is evaluating NKX019 in patients with refractory LN and pMN. Our Ntrust-2 clinical trial is evaluating NKX019 in patients with refractory scleroderma, patients with myositis who have failed at least one treatment, patients with relapsed or refractory AAV, and patients with RA who have failed at least two treatments. We do not know at this time whether either NKX019 or any of our product candidates will be safe for use in humans or whether they will demonstrate any efficacy against autoimmune diseases. If the efficacy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who have the specific diseases we are targeting may turn out to be lower than expected. Additionally, the potentially addressable patient population for our current programs or future product candidates may be limited. Potentially addressable patient populations for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commercial success of any of our product candidates will depend upon such product candidate’s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relative to alternative treatments, and the availability of coverage or reimbursements by government and private payors to enable patients to afford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physicians to refer patients and prescribe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nature,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imposed by the FDA or other regulatory authorities,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concerning our product candidates or favorable publicity about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payor coverage, any limitations in terms of center or personnel training requirement imposed by third parties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FDA-approved labeling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FDA requirement to undertake a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marketing and distribution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product candidate displays a favorable efficacy and safety profile in preclinical studies and clinical trials, market acceptance of the product will not be fully known until after such product is launched. Our product candidates may not achieve broad market acceptance.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the cost of a single administration of one of our cell therapy product candidates to be substantial, when and if they achieve regulatory approval. We expect that there is likely to be a significant copay associated with our cell therapy products given the overall cost and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The change in the Presidential administration, including new leadership of CMS and the enactment of </w:t>
      </w:r>
      <w:r>
        <w:rPr>
          <w:rFonts w:ascii="Times New Roman" w:hAnsi="Times New Roman"/>
          <w:color w:val="212529"/>
          <w:sz w:val="20"/>
        </w:rPr>
        <w:t>Public Law No. 119–21 as H.R. 1 during the 119th Congress and formally titled “An Act to Provide for Reconciliation Pursuant to Title II of H. Con. Res. 14”</w:t>
      </w:r>
      <w:r>
        <w:rPr>
          <w:rFonts w:ascii="Times New Roman" w:hAnsi="Times New Roman"/>
          <w:color w:val="000000"/>
          <w:sz w:val="20"/>
        </w:rPr>
        <w:t xml:space="preserve"> ("2025 Reconciliation Act"), may result in a change in priorities, and prior rulemaking may be materially altered or abandoned. Moreover, reimbursement agencies in other countries, such as those in Europe, may be more conservative than CMS.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patient assistance programs, including copay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related to allegations regarding their use to promote branded pharmaceutical products over other less costly alternatives have resulted in significant civil and criminal settlements. While copay assistance programs are common within the industry, the Office of Inspector General at the U.S. Department of Health and Human Services ("HHS") has taken the position that such programs may violate the Anti-Kickback Statute. It is difficult to predict whether new legislation or regulatory action will restrict copay assistance programs and there is a risk that if these copay assistance programs are curtailed, higher cost treatments will be less accessible to patients and less likely to gain market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nondeductible fee on any entity that manufactures or imports certain branded prescription drug agents or biologic agents, which is apportioned among these entities according to their market share in certain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methodology by which rebates owed by manufacturers under the Medicaid Drug Rebate Program are calculated for drugs that are inhaled, infused, instilled, implanted or injected;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Patient-Centered Outcomes Research Institute to oversee, identify priorities in, and conduct, comparative clinical effectiveness research, along with funding for such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 Center for Medicare and Medicaid Innovation at CMS to test innovative payment and service delivery models to lower Medicare and Medicaid spending, potentially including prescription drug spending.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the ACA will be subject to further legislative, judicial, and executive challenges in the future. Even if the ACA is not amended or repealed, the President and the executive branch of the federal government, as well as CMS, have a significant impact on the implementation of the provisions of the ACA. It is expected that the new Presidential administration will make changes impacting the implementation and enforcement of the ACA, however it is unclear how and to what extent any such challenges and reform measures will impact the ACA and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In addition, the current administration is pursuing other measures to reduce the cost of drugs in the United States. For example, on July 4, 2025, the 2025 Reconciliation Act, which reduces funding to federal healthcare programs and imposes additional requirements to be eligible for healthcare, was signed into law. Additionally, in April 2025, an executive order was signed directing the Secretary of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and in May 2025, an executive order was signed, among other things, directing the Secretary of HHS to propose rules that impose “most-favored-nation” pricing and take other measures to reduce the cost of prescription drugs. It is currently unclear whether and to what extent these measures will be implemented and what impact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such implementation would have on our business. Further, there can be no assurance that the current administration or future administrations will not pursue different or additional measures, such as those intended to more closely align U.S. drug prices with international drug prices (often referred to as "reference" or "international price index" drug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marketing approval or commercialization of our product candidates in one jurisdiction does not mean that we will be successful in obtaining marketing approval of our product candidates in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market approved products outside the United States, we expect that we will be subject to additional risks in commercialization,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approval of therapies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revenues,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natural disasters including earthquakes, typhoons, floods and fires, and other public health crises, illnesses, epidemics or pandemics.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comply with evolving global privacy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We also rely extensively on third-party vendors, CROs, clinical trial sites, contract manufacturers and other service providers that process personal and other sensitive information on our behalf.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risks associated with cybersecurity threats, including ransomware attacks, phishing schemes, system intrusions, data exfiltration and other unauthorized access to or misuse of our systems or the systems of our third-party providers. A security breach or other incident affecting us or our vendors could result in the unauthorized disclosure of sensitive information, including clinical trial data, personal information or proprietary business information, and could disrupt our operations, delay our clinical development programs, give rise to lawsuits along with associated costs of defense and/or potential liabilities, prompt regulatory actions, or result in loss of confidence by clinical trial participants, partners or investors.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the California Privacy Rights Act (the "CPRA") expanded the CCPA, including by expanding consumers’ rights with respect to certain sensitive personal data. The CPRA also created the new California Privacy Protection Agency (the “CPPA”) to implement and enforce the CCPA and the CPRA, which could increase compliance costs. Regulations under the CPRA became effective in February 2024. The CPPA finalized new regulations in September 2025 that will require certain companies to conduct annual cybersecurity audits; these audits are due starting April 1, 2028, April 1, 2029 and April 1, 2030 depending on the revenues and amount of personal information collected by the business. In addition, starting January 1, 2026, covered businesses must conduct risk assessments involving certain kinds of processing that pose a significant risk to consumers and set up notice and opt-out and access procedures for the use of automated decision-making technology in connection with certain kinds of significant decisions involving consumers. Similar laws have been passed in Colorado, Connecticut, Delaware, Florida, Indiana, Iowa, Kentucky, Maine, Maryland, Minnesota, Montana, Nebraska, New Hampshire, New Jersey, Oregon, Rhode Island, Tennessee, Texas, Utah and Virginia, and have been proposed in other states and at the federal level, reflecting a trend toward more stringent privacy legislation in the United States. Some of these laws provide for significant civil penalties, statutory damages, class action exposure and expanded regulatory enforcement authority.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 Regulatory guidance and enforcement practices under the GDPR continue to evolve, and interpretations by supervisory authorities or courts may require us to modify our data processing practices or incur additional compliance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These differing national requirements may increase the complexity and cost of conducting clinical trials across multiple EU member states and could result in delays or additional administrative burdens.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Legal developments affecting cross-border data transfer mechanisms, including challenges to the validity of transfer frameworks or contractual safeguards, could require us to implement additional technical, contractual or organizational measures or could limit our ability to transfer clinical trial data internationally.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In addition, any material data protection investigation, enforcement action or publicized data security incident could result in reputational harm, operational disruption or delays in our clinical development activities. Any of the foregoing could materially harm our business, prospects,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for our common stock may be volatile, which could contribute to the loss of all or part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price of our common stock is likely to be highly volatile and subject to wide fluctuations in response to various factors, some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affecting the trading price of our common stock may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decision to initiate a clinical study, not to initiate a clinical study or to terminate an existing clinical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strategy, including decisions to deprioritize certain product candidates or change our pipeline focus in the future, as well as cost-containment or cost-optimization initiatives we may undertake;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announcement of initial data or clinical results from our clinical trials or expectations that such delays may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or clinical results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decisions, including failure to receive regulatory approval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 or failure of competitive products, immunotherapy drugs or cellular therapies more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developments concerning our manufacturers or our strategic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safety or other clinical results, such as those that have occurred in the past or that may occur in the future, related to cellular therapies being developed by other companies that are or may be perceived to be similar to our cellular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and stock price performance of other companies that investors deem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substantial amounts of common stock by our directors, executive officers or significant stockholders or the perception that such sales could occur;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and political conditions such as military conflicts, political unrest, recessions, inflationary pressures, interest rates, fuel prices, elections, tariffs and trade policies, drug pricing policies, international currency fluctuations, acts of war or terrorism, and other public health crises, illnesses, epidemics or pandemics;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discussed in these risk factors.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may be highly volatile in the event of a pandemic, epidemic, or outbreak of infectious disease, such as an outbreak of a COVID-19 variant.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November 2, 2026, our directors and executive officers, and entities affiliated with them, as well as holders of more than 5% of our outstanding shares of common stock, in the aggregate beneficially own 37% of our common stock (based on 71,704,404 shares of our common stock outstanding and 3,000,031 shares that could be issued upon the exercise of pre-funded warrants).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those of our other investors.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significant portion of our total outstanding shares are eligible to be sold into the market, which could cause the market price of our common stock to drop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in the market that the holders of a large number of stockholders intend to sell shares of our common stock, could reduce the market price of our common stock. As of November 2, 2026 we had 74,704,435 shares of common stock outstanding (including pre-funded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“smaller reporting company” and we rely on exemptions from certain disclosure and governance requirements applicable to smaller reporting companies, as a result of which our common stock may be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applicable rules of the SEC. We will remain a smaller reporting company and non-accelerated filer until we have a public float of $700 million or more as of the last business day of our most recently completed second fiscal quarter, or a public float of $250 million or more as of the last business day of our most recently completed second fiscal quarter and annual revenues of $100 million or more. Although we no longer qualify as an emerging growth company, as long as we continue to qualify as a smaller reporting company and do not otherwise become an “accelerated filer” or “large accelerated filer,” we may continue to rely on scaled disclosure requirements, including the exemption from the auditor attestation requirements of Section 404(b) of the Sarbanes-Oxley Act and reduced disclosure obligations regarding executive compensation and certain other disclosures in our periodic reports and proxy statements. We cannot predict if investors will find our common stock less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attractive if we rely on smaller reporting company exemptions. If some investors find our common stock less attractive as a result, there may be a less active trading market for our common stock and our stock price may be more volatile.</w:t>
      </w:r>
    </w:p>
    <w:p>
      <w:pPr>
        <w:pStyle w:val="TextBody"/>
        <w:bidi w:val="0"/>
        <w:spacing w:before="360" w:after="283"/>
        <w:jc w:val="left"/>
        <w:rPr>
          <w:rFonts w:ascii="Times New Roman" w:hAnsi="Times New Roman"/>
          <w:sz w:val="20"/>
        </w:rPr>
      </w:pPr>
      <w:r>
        <w:rPr>
          <w:rFonts w:ascii="Times New Roman" w:hAnsi="Times New Roman"/>
          <w:b/>
          <w:i/>
          <w:color w:val="000000"/>
          <w:sz w:val="20"/>
        </w:rPr>
        <w:t>Our severance and change in control agreements with our executive officers may require us to pay severance benefits to any of those persons who are terminated, which could materially adversely affect our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and in particular, pursuant to multiple agreements at the same time, could materially adversely affect our financial condition and results of operations. In addition, these potential severance payments may discourage or prevent third parties from seeking a business combination with us.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carryovers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At December 31, 2025, we had federal and state net operating losses ("NOLs") carryforwards of approximately $298.1 million and $65.1 million, respectively. Federal NOLs generated in periods after December 31, 2017 may be carried forward indefinitely but may only be used to offset 80% of our taxable income in years beginning after December 31, 2020. As described above under “We have incurred significant losses since our inception, and we expect to continue to incu</w:t>
      </w:r>
      <w:r>
        <w:rPr>
          <w:rFonts w:ascii="Times New Roman" w:hAnsi="Times New Roman"/>
          <w:i/>
          <w:color w:val="000000"/>
          <w:sz w:val="20"/>
        </w:rPr>
        <w:t>r significant losses for the foreseeable future</w:t>
      </w:r>
      <w:r>
        <w:rPr>
          <w:rFonts w:ascii="Times New Roman" w:hAnsi="Times New Roman"/>
          <w:color w:val="000000"/>
          <w:sz w:val="20"/>
        </w:rPr>
        <w:t xml:space="preserve">,” we have incurred net losses since our inception and anticipate that we will continue to incur significant losses for the foreseeable future. Under the Internal Revenue Code of 1986 (the "Code"), a corporation is generally allowed a deduction for NOLs carried over from a prior taxable year. Under that provision, we can carry forward our NOLs to offset our future taxable income, if any, until such NOLs are used or expire, in the case of federal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federal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expect to pay any cash dividends to the holders of our common stock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bylaws and Delaware law contain provisions that may have the effect of delaying or preventing a change in control of us or changes in our management. Our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our board of directors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not all members of the board are elected at one time, which may delay the ability of our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only our board of directors, the Chairperson of our board of directors, our Chief Executive Officer or the President, or holders of greater than 10% of our common stock can call special meetings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a majority of directors then in office, even though less than a quorum, may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our board of directors to modify, alter or repeal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Certificate of Incorporation and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we are incorporated in the State of Delaware, we are governed by the provisions of Section 203 of the Delaware General Corporation Law, which limits the ability of stockholders owning in excess of 15% of our outstanding voting stock to merge or combine with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includes a forum selection clause,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of breach of a fiduciary duty owed by any of our directors, officers or other employees to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against us arising pursuant to any provision of the Delaware General Corporation Law, our certificate of incorporation or our bylaws;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action asserting a claim against us that is governed by the internal affairs doctrine.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exclusive forum provision is intended to apply to claims arising under Delaware state law and is not intended to apply to claims brought pursuant to the Securities Exchange Act of 1934, as amended (the "Exchange Act") or the Securities Act of 1933, as amended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Computer system interruptions or security breaches of our information systems could significantly disrupt our product development programs and our ability to operate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cloud-based computing services and those of our current and future collaborators, third party service providers, and other contractors or consultants (collectively, our "information systems") are vulnerable to damage or interruption from computer viruses, ransomware, malware, data corruption, cyber-based attacks, phishing attacks, unauthorized access, natural disasters, terrorism, war and telecommunication and electrical failures. These computer systems may also experience disruptions or outages due to internal or third-party mistakes or technical errors, including due to software updates. Such information system disruptions, even if inadvertent, may limit or disable our access to our systems or access by our collaborators, third party service providers, or other contractors or consultants to their systems, which could disrupt our business. While we have taken steps to protect our information systems and the data maintained in those systems, we have, from time to time, experienced cyber incidents of varying degrees, although none of these cyber incidents have had a material adverse impact on our business, financial condition or results of operations. Our business is becoming increasingly dependent upon these information systems, including as a result of remote working policies following the COVID-19 pandemic. It is possible that in the future our safety and security measures will not prevent the improper functioning or damaging of our systems, or the improper access or disclosure of personally identifiable information, in particular as cyber-based attacks become increasingly sophisticated, and any such event could materially and adversely impact our business, financial condition or results of operations. If a significant system disruption,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federal, state and international laws and regulations, such as the GDPR, which took effect in May 2018, and the CCPA which took effect on January 1, 2020, as well as the CPRA, which took effect on January 1, 2023 and made a number of significant amendments to the CCPA, can expose us to enforcement actions and investigations by regulatory authorities, and potentially result in regulatory penalties and significant legal liability, if our information systems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computer system interruptions or security breaches of our information systems could result in a disruption of our operations, damage to our reputation, investigations, claims or lawsuits and we may also be subject to liability under relevant contractual obligations and laws and regulations protecting personal data and may be required to expend significant resources to defend, remedy and/or address any cybersecurity incidents and claims, investigations, penalties, fines, damages or settlements arising from cybersecurity incidents. We may not have adequate insurance coverage to compensate it for any losses that may occur.</w:t>
      </w:r>
    </w:p>
    <w:p>
      <w:pPr>
        <w:pStyle w:val="TextBody"/>
        <w:bidi w:val="0"/>
        <w:spacing w:before="360" w:after="283"/>
        <w:jc w:val="left"/>
        <w:rPr>
          <w:rFonts w:ascii="Times New Roman" w:hAnsi="Times New Roman"/>
          <w:sz w:val="20"/>
        </w:rPr>
      </w:pPr>
      <w:r>
        <w:rPr>
          <w:rFonts w:ascii="Times New Roman" w:hAnsi="Times New Roman"/>
          <w:b/>
          <w:i/>
          <w:color w:val="000000"/>
          <w:sz w:val="20"/>
        </w:rPr>
        <w:t>The misuse of artificial intelligence could adversely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increasing use and integration of AI technologies, including generative AI and machine learning-based software, present risks and challenges that could materially and adversely affect our operations and business. While we may selectively integrate AI tools following legal and IT review, our current and future collaborators, third party service providers, and other contractors or consultants often may incorporate AI technologies into their platforms or services without disclosing such use to us. These tools may fall short of regulatory or ethical standards concerning privacy and data protection, leading to compromised data integrity, diminished service quality, and potential legal or reputational fallout.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Algorithmic bias and flawed analyses further compound these risks, with security breaches—real or perceived—by us or our third-party partners possibly resulting in the loss of intellectual property and sensitive information. The inadvertent disclosure of proprietary assets through AI systems can erode intellectual property protections and reduce their value. Combined with regulatory uncertainty surrounding AI development, these challenges heighten exposure to liability and adverse business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affected by macroeconomic conditions, including rising inflation, interest rates and supply chain constraints.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as well as from the implementation of policies by the new Presidential administration. Economic tensions and changes in international trade policies, including, for example, the recent widespread tariffs announced by the U.S. on its major trading partners, higher tariffs on imported goods and materials, and actions taken in response (such as retaliatory tariffs or other trade protectionist measures or the renegotiation of free trade agreements), have increased inflationary pressures and recessionary fears. In addition, the imposition of export controls, sanctions, import restrictions or other trade barriers, as well as non-tariff retaliatory measures by other countries, could limit the availability of, or increase the cost of, critical raw materials, reagents, consumables, equipment or services that we rely on for research, clinical development and manufacturing. Inflation has negatively impacted us and could continue to negatively impact us by increasing our cost of labor (through higher wages), commercial support, construction, manufacturing and clinical supply expenditures. Current inflationary pressures, if sustained, could have a negative impact on our operations. We may also experience volatility in foreign currency exchange rates in connection with payments to foreign vendors, which could increase our operating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 Supply chain disruptions, labor shortages or financial distress affecting our vendors or financial institutions could result in delays in our clinical trials or manufacturing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changes in U.S. and international governmental policies on a variety of matters such as trade, tariffs and manufacturing policies may further exacerbate an uncertain macroeconomic environment, which would adversely affect the U.S. economy and financial markets. In addition, disruptions in U.S. government operations, including government shutdowns, funding lapses, staffing shortages or changes in regulatory agency priorities, could delay regulatory review of our product candidates, inspections of our facilities, or other governmental actions necessary to support our development programs or access to the capital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individually or collectively, could materially and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acquisitions or strategic collaborations may increase our capital requirements, dilute our stockholders, cause us to incur debt or assume contingent liabilities or subject us to other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scrutiny by the Federal Trade Commission ("FTC") and the Department of Justice ("DOJ"), including the potential challenge of a proposed merger or acquisition by the FTC or DOJ;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or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and drugs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adequately prosecuting and maintaining protection of any acquired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drug programs and initiatives in pursuing such a strategic partnership, merger or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about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drugs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drugs, intellectual property rights, technologies, and/or businesses sufficient to meet our objectives in undertaking the acquisition or even to offset the associated acquisition and maintenance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reports or downgrade our stock, the price of our common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increased costs as a result of operating as a public company, and our management is required to devote substantial time to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 We may, as a result of regulatory changes, be subject to additional requirements,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for as long as we are a “smaller reporting company” and are not classified as an “accelerated filer” or “large accelerated filer,” our independent registered public accounting firm will not be required to attest to the effectiveness of our internal controls over financial reporting pursuant to Section 404 of the Sarbanes-Oxley Act.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as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to, or interpretations of, financial accounting standards may affect our results of operations and could cause us to change our business practices.</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unregistered sales of equity securities during the period covered by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Repurchase of Shares of Company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September 30, 2026, none of our directors or officers adopted, modified or terminated a "Rule 10b5-1 trading arrangement" or a "non-Rule 10b5-1 trading arrangement," as each item is defined in Item 408(a) of Regulation S-K.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Director Resignation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 2026, Simeon George notified the Company’s Board of Directors of his decision to resign as a member of the Board of Directors, effective November 9, 2026. Dr. George’s resignation is not a result of a disagreement with the Company on any matter relating to the Company’s operations, policies or practices.</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94"/>
        <w:gridCol w:w="146"/>
        <w:gridCol w:w="6637"/>
        <w:gridCol w:w="511"/>
        <w:gridCol w:w="761"/>
        <w:gridCol w:w="631"/>
        <w:gridCol w:w="725"/>
      </w:tblGrid>
      <w:tr>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c>
          <w:tcPr>
            <w:tcW w:w="7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28" w:type="dxa"/>
            <w:gridSpan w:val="4"/>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c>
          <w:tcPr>
            <w:tcW w:w="79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2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pPr>
            <w:hyperlink r:id="rId2">
              <w:r>
                <w:rPr>
                  <w:rStyle w:val="InternetLink"/>
                  <w:rFonts w:ascii="Times New Roman" w:hAnsi="Times New Roman"/>
                  <w:color w:val="0000FF"/>
                  <w:sz w:val="20"/>
                  <w:u w:val="single"/>
                </w:rPr>
                <w:t>Amended and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pPr>
            <w:hyperlink r:id="rId3">
              <w:r>
                <w:rPr>
                  <w:rStyle w:val="InternetLink"/>
                  <w:rFonts w:ascii="Times New Roman" w:hAnsi="Times New Roman"/>
                  <w:color w:val="0000FF"/>
                  <w:sz w:val="20"/>
                  <w:u w:val="single"/>
                </w:rPr>
                <w:t>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6/9/2023</w:t>
            </w:r>
          </w:p>
        </w:tc>
      </w:tr>
      <w:t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pPr>
            <w:hyperlink r:id="rId4">
              <w:r>
                <w:rPr>
                  <w:rStyle w:val="InternetLink"/>
                  <w:rFonts w:ascii="Times New Roman" w:hAnsi="Times New Roman"/>
                  <w:color w:val="0000FF"/>
                  <w:sz w:val="20"/>
                  <w:u w:val="single"/>
                </w:rPr>
                <w:t>Second 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6/13/2024</w:t>
            </w:r>
          </w:p>
        </w:tc>
      </w:tr>
      <w:t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pPr>
            <w:hyperlink r:id="rId5">
              <w:r>
                <w:rPr>
                  <w:rStyle w:val="InternetLink"/>
                  <w:rFonts w:ascii="Times New Roman" w:hAnsi="Times New Roman"/>
                  <w:color w:val="0000FF"/>
                  <w:sz w:val="20"/>
                  <w:u w:val="single"/>
                </w:rPr>
                <w:t>Amended and Restated Bylaws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pPr>
            <w:hyperlink w:anchor="nkt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pPr>
            <w:hyperlink w:anchor="nkt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79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32</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pPr>
            <w:hyperlink w:anchor="nktx-ex32.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pPr>
      <w:r>
        <w:t> </w:t>
      </w:r>
    </w:p>
    <w:p>
      <w:pPr>
        <w:pStyle w:val="TextBody"/>
        <w:bidi w:val="0"/>
        <w:spacing w:lineRule="auto" w:line="360" w:before="40" w:after="283"/>
        <w:jc w:val="left"/>
        <w:rPr>
          <w:rFonts w:ascii="Times New Roman" w:hAnsi="Times New Roman"/>
          <w:sz w:val="13"/>
        </w:rPr>
      </w:pPr>
      <w:r>
        <w:rPr>
          <w:rFonts w:ascii="Times New Roman" w:hAnsi="Times New Roman"/>
          <w:color w:val="000000"/>
          <w:sz w:val="13"/>
        </w:rPr>
        <w:t xml:space="preserve">+ </w:t>
      </w:r>
      <w:r>
        <w:rPr>
          <w:rFonts w:ascii="Times New Roman" w:hAnsi="Times New Roman"/>
          <w:color w:val="000000"/>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spacing w:before="40" w:after="283"/>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bookmarkStart w:id="20" w:name="signatures"/>
      <w:bookmarkEnd w:id="20"/>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pPr>
      <w:r>
        <w:t> </w:t>
      </w:r>
    </w:p>
    <w:tbl>
      <w:tblPr>
        <w:tblW w:w="7799" w:type="dxa"/>
        <w:jc w:val="left"/>
        <w:tblInd w:w="0" w:type="dxa"/>
        <w:tblLayout w:type="fixed"/>
        <w:tblCellMar>
          <w:top w:w="28" w:type="dxa"/>
          <w:left w:w="28" w:type="dxa"/>
          <w:bottom w:w="28" w:type="dxa"/>
          <w:right w:w="28" w:type="dxa"/>
        </w:tblCellMar>
      </w:tblPr>
      <w:tblGrid>
        <w:gridCol w:w="2101"/>
        <w:gridCol w:w="146"/>
        <w:gridCol w:w="406"/>
        <w:gridCol w:w="5146"/>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Nkarta, Inc.</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J. Hastings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Nadir Mahmood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1" w:name="nktx-ex31_1.htm"/>
      <w:bookmarkStart w:id="22" w:name="ksnktxex31_1"/>
      <w:bookmarkEnd w:id="21"/>
      <w:bookmarkEnd w:id="22"/>
      <w:r>
        <w:rPr>
          <w:rFonts w:ascii="Times New Roman" w:hAnsi="Times New Roman"/>
          <w:b/>
          <w:color w:val="000000"/>
          <w:sz w:val="20"/>
        </w:rPr>
        <w:t>Exhibit 31.1</w:t>
      </w:r>
      <w:r>
        <w:br w:type="page"/>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Paul J. Hastings,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tbl>
      <w:tblPr>
        <w:tblW w:w="4747" w:type="dxa"/>
        <w:jc w:val="left"/>
        <w:tblInd w:w="0" w:type="dxa"/>
        <w:tblLayout w:type="fixed"/>
        <w:tblCellMar>
          <w:top w:w="28" w:type="dxa"/>
          <w:left w:w="28" w:type="dxa"/>
          <w:bottom w:w="28" w:type="dxa"/>
          <w:right w:w="28" w:type="dxa"/>
        </w:tblCellMar>
      </w:tblPr>
      <w:tblGrid>
        <w:gridCol w:w="2101"/>
        <w:gridCol w:w="109"/>
        <w:gridCol w:w="406"/>
        <w:gridCol w:w="2131"/>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3" w:name="nktx-ex31_2.htm"/>
      <w:bookmarkStart w:id="24" w:name="ksnktx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Nadir Mahmood,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tbl>
      <w:tblPr>
        <w:tblW w:w="4342" w:type="dxa"/>
        <w:jc w:val="left"/>
        <w:tblInd w:w="0" w:type="dxa"/>
        <w:tblLayout w:type="fixed"/>
        <w:tblCellMar>
          <w:top w:w="28" w:type="dxa"/>
          <w:left w:w="28" w:type="dxa"/>
          <w:bottom w:w="28" w:type="dxa"/>
          <w:right w:w="28" w:type="dxa"/>
        </w:tblCellMar>
      </w:tblPr>
      <w:tblGrid>
        <w:gridCol w:w="2101"/>
        <w:gridCol w:w="109"/>
        <w:gridCol w:w="406"/>
        <w:gridCol w:w="1726"/>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bookmarkStart w:id="25" w:name="nktx-ex32.htm"/>
      <w:bookmarkStart w:id="26" w:name="ksnktxex32"/>
      <w:bookmarkEnd w:id="25"/>
      <w:bookmarkEnd w:id="26"/>
      <w: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quarter ended September 30, 2026 of Nkarta, Inc. (the "Company") as filed with the Securities and Exchange Commission on the date hereof (the "Report"), we, Paul J. Hastings, Chief Executive Officer of the Company, and Nadir Mahmood, President of the Company,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pPr>
      <w:r>
        <w:t> </w:t>
      </w:r>
    </w:p>
    <w:p>
      <w:pPr>
        <w:pStyle w:val="TextBody"/>
        <w:bidi w:val="0"/>
        <w:jc w:val="left"/>
      </w:pPr>
      <w:r>
        <w:t> </w:t>
      </w:r>
    </w:p>
    <w:tbl>
      <w:tblPr>
        <w:tblW w:w="4747" w:type="dxa"/>
        <w:jc w:val="left"/>
        <w:tblInd w:w="0" w:type="dxa"/>
        <w:tblLayout w:type="fixed"/>
        <w:tblCellMar>
          <w:top w:w="28" w:type="dxa"/>
          <w:left w:w="28" w:type="dxa"/>
          <w:bottom w:w="28" w:type="dxa"/>
          <w:right w:w="28" w:type="dxa"/>
        </w:tblCellMar>
      </w:tblPr>
      <w:tblGrid>
        <w:gridCol w:w="2101"/>
        <w:gridCol w:w="109"/>
        <w:gridCol w:w="406"/>
        <w:gridCol w:w="2131"/>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pPr>
      <w:r>
        <w:t> </w:t>
      </w:r>
    </w:p>
    <w:p>
      <w:pPr>
        <w:pStyle w:val="TextBody"/>
        <w:bidi w:val="0"/>
        <w:jc w:val="left"/>
      </w:pPr>
      <w:r>
        <w:t> </w:t>
      </w:r>
    </w:p>
    <w:tbl>
      <w:tblPr>
        <w:tblW w:w="4342" w:type="dxa"/>
        <w:jc w:val="left"/>
        <w:tblInd w:w="0" w:type="dxa"/>
        <w:tblLayout w:type="fixed"/>
        <w:tblCellMar>
          <w:top w:w="28" w:type="dxa"/>
          <w:left w:w="28" w:type="dxa"/>
          <w:bottom w:w="28" w:type="dxa"/>
          <w:right w:w="28" w:type="dxa"/>
        </w:tblCellMar>
      </w:tblPr>
      <w:tblGrid>
        <w:gridCol w:w="2101"/>
        <w:gridCol w:w="109"/>
        <w:gridCol w:w="406"/>
        <w:gridCol w:w="1726"/>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7400/000119312520192614/d62111dex31.htm" TargetMode="External"/><Relationship Id="rId3" Type="http://schemas.openxmlformats.org/officeDocument/2006/relationships/hyperlink" Target="https://www.sec.gov/Archives/edgar/data/1787400/000095017023027263/nktx-ex3_1.htm" TargetMode="External"/><Relationship Id="rId4" Type="http://schemas.openxmlformats.org/officeDocument/2006/relationships/hyperlink" Target="https://www.sec.gov/Archives/edgar/data/1787400/000095017024073046/nktx-ex3_1.htm" TargetMode="External"/><Relationship Id="rId5" Type="http://schemas.openxmlformats.org/officeDocument/2006/relationships/hyperlink" Target="https://www.sec.gov/Archives/edgar/data/1787400/000119312520192614/d62111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61787</Words>
  <Characters>346971</Characters>
  <CharactersWithSpaces>409568</CharactersWithSpaces>
  <Paragraphs>5649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