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99" w:lineRule="exact"/>
        <w:rPr>
          <w:sz w:val="24"/>
          <w:szCs w:val="24"/>
          <w:color w:val="auto"/>
        </w:rPr>
      </w:pPr>
    </w:p>
    <w:p>
      <w:pPr>
        <w:ind w:left="4180" w:right="3300" w:hanging="4159"/>
        <w:spacing w:after="0" w:line="319" w:lineRule="auto"/>
        <w:tabs>
          <w:tab w:leader="none" w:pos="48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2022</w:t>
      </w:r>
    </w:p>
    <w:p>
      <w:pPr>
        <w:jc w:val="center"/>
        <w:ind w:right="20"/>
        <w:spacing w:after="0"/>
        <w:rPr>
          <w:sz w:val="20"/>
          <w:szCs w:val="20"/>
          <w:color w:val="auto"/>
        </w:rPr>
      </w:pPr>
      <w:r>
        <w:rPr>
          <w:rFonts w:ascii="Arial" w:cs="Arial" w:eastAsia="Arial" w:hAnsi="Arial"/>
          <w:sz w:val="15"/>
          <w:szCs w:val="15"/>
          <w:b w:val="1"/>
          <w:bCs w:val="1"/>
          <w:color w:val="auto"/>
        </w:rPr>
        <w:t>OR</w:t>
      </w:r>
    </w:p>
    <w:p>
      <w:pPr>
        <w:spacing w:after="0" w:line="30" w:lineRule="exact"/>
        <w:rPr>
          <w:sz w:val="24"/>
          <w:szCs w:val="24"/>
          <w:color w:val="auto"/>
        </w:rPr>
      </w:pPr>
    </w:p>
    <w:p>
      <w:pPr>
        <w:ind w:left="480" w:right="100" w:hanging="459"/>
        <w:spacing w:after="0" w:line="261" w:lineRule="auto"/>
        <w:tabs>
          <w:tab w:leader="none" w:pos="48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TO</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Nkarta, Inc.</w:t>
      </w:r>
    </w:p>
    <w:p>
      <w:pPr>
        <w:sectPr>
          <w:pgSz w:w="11900" w:h="16838" w:orient="portrait"/>
          <w:cols w:equalWidth="0" w:num="1">
            <w:col w:w="11240"/>
          </w:cols>
          <w:pgMar w:left="320" w:top="639" w:right="339" w:bottom="1440" w:gutter="0" w:footer="0" w:header="0"/>
        </w:sectPr>
      </w:pPr>
    </w:p>
    <w:p>
      <w:pPr>
        <w:spacing w:after="0" w:line="39" w:lineRule="exact"/>
        <w:rPr>
          <w:sz w:val="24"/>
          <w:szCs w:val="24"/>
          <w:color w:val="auto"/>
        </w:rPr>
      </w:pPr>
    </w:p>
    <w:p>
      <w:pPr>
        <w:jc w:val="right"/>
        <w:ind w:right="1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1620"/>
        <w:spacing w:after="0"/>
        <w:rPr>
          <w:sz w:val="20"/>
          <w:szCs w:val="20"/>
          <w:color w:val="auto"/>
        </w:rPr>
      </w:pPr>
      <w:r>
        <w:rPr>
          <w:rFonts w:ascii="Arial" w:cs="Arial" w:eastAsia="Arial" w:hAnsi="Arial"/>
          <w:sz w:val="13"/>
          <w:szCs w:val="13"/>
          <w:b w:val="1"/>
          <w:bCs w:val="1"/>
          <w:color w:val="auto"/>
        </w:rPr>
        <w:t>Delaware</w:t>
      </w:r>
    </w:p>
    <w:p>
      <w:pPr>
        <w:spacing w:after="0" w:line="31" w:lineRule="exact"/>
        <w:rPr>
          <w:sz w:val="24"/>
          <w:szCs w:val="24"/>
          <w:color w:val="auto"/>
        </w:rPr>
      </w:pPr>
    </w:p>
    <w:p>
      <w:pPr>
        <w:ind w:left="2080"/>
        <w:spacing w:after="0"/>
        <w:rPr>
          <w:sz w:val="20"/>
          <w:szCs w:val="20"/>
          <w:color w:val="auto"/>
        </w:rPr>
      </w:pPr>
      <w:r>
        <w:rPr>
          <w:rFonts w:ascii="Arial" w:cs="Arial" w:eastAsia="Arial" w:hAnsi="Arial"/>
          <w:sz w:val="12"/>
          <w:szCs w:val="12"/>
          <w:b w:val="1"/>
          <w:bCs w:val="1"/>
          <w:color w:val="auto"/>
        </w:rPr>
        <w:t>(State or other jurisdiction of</w:t>
      </w:r>
    </w:p>
    <w:p>
      <w:pPr>
        <w:spacing w:after="0" w:line="9" w:lineRule="exact"/>
        <w:rPr>
          <w:sz w:val="24"/>
          <w:szCs w:val="24"/>
          <w:color w:val="auto"/>
        </w:rPr>
      </w:pPr>
    </w:p>
    <w:p>
      <w:pPr>
        <w:ind w:left="20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jc w:val="center"/>
        <w:ind w:right="2340"/>
        <w:spacing w:after="0"/>
        <w:rPr>
          <w:sz w:val="20"/>
          <w:szCs w:val="20"/>
          <w:color w:val="auto"/>
        </w:rPr>
      </w:pPr>
      <w:r>
        <w:rPr>
          <w:rFonts w:ascii="Arial" w:cs="Arial" w:eastAsia="Arial" w:hAnsi="Arial"/>
          <w:sz w:val="13"/>
          <w:szCs w:val="13"/>
          <w:b w:val="1"/>
          <w:bCs w:val="1"/>
          <w:color w:val="auto"/>
        </w:rPr>
        <w:t>47-4515206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41" w:lineRule="exact"/>
        <w:rPr>
          <w:sz w:val="24"/>
          <w:szCs w:val="24"/>
          <w:color w:val="auto"/>
        </w:rPr>
      </w:pPr>
    </w:p>
    <w:p>
      <w:pPr>
        <w:sectPr>
          <w:pgSz w:w="11900" w:h="16838" w:orient="portrait"/>
          <w:cols w:equalWidth="0" w:num="2">
            <w:col w:w="7260" w:space="720"/>
            <w:col w:w="3260"/>
          </w:cols>
          <w:pgMar w:left="320" w:top="639" w:right="339" w:bottom="1440" w:gutter="0" w:footer="0" w:header="0"/>
          <w:type w:val="continuous"/>
        </w:sectPr>
      </w:pPr>
    </w:p>
    <w:tbl>
      <w:tblPr>
        <w:tblLayout w:type="fixed"/>
        <w:tblInd w:w="1860" w:type="dxa"/>
        <w:tblCellMar>
          <w:top w:w="0" w:type="dxa"/>
          <w:left w:w="0" w:type="dxa"/>
          <w:bottom w:w="0" w:type="dxa"/>
          <w:right w:w="0" w:type="dxa"/>
        </w:tblCellMar>
      </w:tblPr>
      <w:tr>
        <w:trPr>
          <w:trHeight w:val="149"/>
        </w:trPr>
        <w:tc>
          <w:tcPr>
            <w:tcW w:w="4120" w:type="dxa"/>
            <w:vAlign w:val="bottom"/>
          </w:tcPr>
          <w:p>
            <w:pPr>
              <w:jc w:val="center"/>
              <w:ind w:right="2156"/>
              <w:spacing w:after="0"/>
              <w:rPr>
                <w:sz w:val="20"/>
                <w:szCs w:val="20"/>
                <w:color w:val="auto"/>
              </w:rPr>
            </w:pPr>
            <w:r>
              <w:rPr>
                <w:rFonts w:ascii="Arial" w:cs="Arial" w:eastAsia="Arial" w:hAnsi="Arial"/>
                <w:sz w:val="13"/>
                <w:szCs w:val="13"/>
                <w:b w:val="1"/>
                <w:bCs w:val="1"/>
                <w:color w:val="auto"/>
                <w:w w:val="93"/>
              </w:rPr>
              <w:t>6000 Shoreline Court, Suite 102</w:t>
            </w:r>
          </w:p>
        </w:tc>
        <w:tc>
          <w:tcPr>
            <w:tcW w:w="2720" w:type="dxa"/>
            <w:vAlign w:val="bottom"/>
          </w:tcPr>
          <w:p>
            <w:pPr>
              <w:spacing w:after="0"/>
              <w:rPr>
                <w:sz w:val="13"/>
                <w:szCs w:val="13"/>
                <w:color w:val="auto"/>
              </w:rPr>
            </w:pPr>
          </w:p>
        </w:tc>
      </w:tr>
      <w:tr>
        <w:trPr>
          <w:trHeight w:val="188"/>
        </w:trPr>
        <w:tc>
          <w:tcPr>
            <w:tcW w:w="4120" w:type="dxa"/>
            <w:vAlign w:val="bottom"/>
          </w:tcPr>
          <w:p>
            <w:pPr>
              <w:ind w:left="220"/>
              <w:spacing w:after="0"/>
              <w:rPr>
                <w:sz w:val="20"/>
                <w:szCs w:val="20"/>
                <w:color w:val="auto"/>
              </w:rPr>
            </w:pPr>
            <w:r>
              <w:rPr>
                <w:rFonts w:ascii="Arial" w:cs="Arial" w:eastAsia="Arial" w:hAnsi="Arial"/>
                <w:sz w:val="13"/>
                <w:szCs w:val="13"/>
                <w:b w:val="1"/>
                <w:bCs w:val="1"/>
                <w:color w:val="auto"/>
              </w:rPr>
              <w:t>South San Francisco, CA</w:t>
            </w:r>
          </w:p>
        </w:tc>
        <w:tc>
          <w:tcPr>
            <w:tcW w:w="2720" w:type="dxa"/>
            <w:vAlign w:val="bottom"/>
          </w:tcPr>
          <w:p>
            <w:pPr>
              <w:jc w:val="right"/>
              <w:ind w:right="37"/>
              <w:spacing w:after="0"/>
              <w:rPr>
                <w:sz w:val="20"/>
                <w:szCs w:val="20"/>
                <w:color w:val="auto"/>
              </w:rPr>
            </w:pPr>
            <w:r>
              <w:rPr>
                <w:rFonts w:ascii="Arial" w:cs="Arial" w:eastAsia="Arial" w:hAnsi="Arial"/>
                <w:sz w:val="13"/>
                <w:szCs w:val="13"/>
                <w:b w:val="1"/>
                <w:bCs w:val="1"/>
                <w:color w:val="auto"/>
              </w:rPr>
              <w:t>94080</w:t>
            </w:r>
          </w:p>
        </w:tc>
      </w:tr>
      <w:tr>
        <w:trPr>
          <w:trHeight w:val="156"/>
        </w:trPr>
        <w:tc>
          <w:tcPr>
            <w:tcW w:w="4120" w:type="dxa"/>
            <w:vAlign w:val="bottom"/>
          </w:tcPr>
          <w:p>
            <w:pPr>
              <w:jc w:val="center"/>
              <w:ind w:right="2136"/>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720" w:type="dxa"/>
            <w:vAlign w:val="bottom"/>
          </w:tcPr>
          <w:p>
            <w:pPr>
              <w:jc w:val="center"/>
              <w:ind w:left="2117"/>
              <w:spacing w:after="0"/>
              <w:rPr>
                <w:sz w:val="20"/>
                <w:szCs w:val="20"/>
                <w:color w:val="auto"/>
              </w:rPr>
            </w:pPr>
            <w:r>
              <w:rPr>
                <w:rFonts w:ascii="Arial" w:cs="Arial" w:eastAsia="Arial" w:hAnsi="Arial"/>
                <w:sz w:val="12"/>
                <w:szCs w:val="12"/>
                <w:b w:val="1"/>
                <w:bCs w:val="1"/>
                <w:color w:val="auto"/>
                <w:w w:val="90"/>
              </w:rPr>
              <w:t>(Zip Code)</w:t>
            </w:r>
          </w:p>
        </w:tc>
      </w:tr>
    </w:tbl>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(925) 407-1049</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2"/>
                <w:szCs w:val="12"/>
                <w:b w:val="1"/>
                <w:bCs w:val="1"/>
                <w:color w:val="auto"/>
                <w:w w:val="90"/>
              </w:rPr>
              <w:t>Trading</w:t>
            </w:r>
          </w:p>
        </w:tc>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15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Title of each class</w:t>
            </w:r>
          </w:p>
        </w:tc>
        <w:tc>
          <w:tcPr>
            <w:tcW w:w="12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Symbol(s)</w:t>
            </w:r>
          </w:p>
        </w:tc>
        <w:tc>
          <w:tcPr>
            <w:tcW w:w="120" w:type="dxa"/>
            <w:vAlign w:val="bottom"/>
          </w:tcPr>
          <w:p>
            <w:pPr>
              <w:spacing w:after="0"/>
              <w:rPr>
                <w:sz w:val="13"/>
                <w:szCs w:val="13"/>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Name of each exchange on which registered</w:t>
            </w:r>
          </w:p>
        </w:tc>
      </w:tr>
      <w:tr>
        <w:trPr>
          <w:trHeight w:val="148"/>
        </w:trPr>
        <w:tc>
          <w:tcPr>
            <w:tcW w:w="4360" w:type="dxa"/>
            <w:vAlign w:val="bottom"/>
          </w:tcPr>
          <w:p>
            <w:pPr>
              <w:jc w:val="center"/>
              <w:spacing w:after="0" w:line="148" w:lineRule="exact"/>
              <w:rPr>
                <w:sz w:val="20"/>
                <w:szCs w:val="20"/>
                <w:color w:val="auto"/>
              </w:rPr>
            </w:pPr>
            <w:r>
              <w:rPr>
                <w:rFonts w:ascii="Arial" w:cs="Arial" w:eastAsia="Arial" w:hAnsi="Arial"/>
                <w:sz w:val="13"/>
                <w:szCs w:val="13"/>
                <w:color w:val="auto"/>
                <w:w w:val="93"/>
              </w:rPr>
              <w:t>Common Stock, $0.0001 par value per share</w:t>
            </w:r>
          </w:p>
        </w:tc>
        <w:tc>
          <w:tcPr>
            <w:tcW w:w="120" w:type="dxa"/>
            <w:vAlign w:val="bottom"/>
          </w:tcPr>
          <w:p>
            <w:pPr>
              <w:spacing w:after="0"/>
              <w:rPr>
                <w:sz w:val="12"/>
                <w:szCs w:val="12"/>
                <w:color w:val="auto"/>
              </w:rPr>
            </w:pPr>
          </w:p>
        </w:tc>
        <w:tc>
          <w:tcPr>
            <w:tcW w:w="2300" w:type="dxa"/>
            <w:vAlign w:val="bottom"/>
          </w:tcPr>
          <w:p>
            <w:pPr>
              <w:jc w:val="center"/>
              <w:spacing w:after="0" w:line="148" w:lineRule="exact"/>
              <w:rPr>
                <w:sz w:val="20"/>
                <w:szCs w:val="20"/>
                <w:color w:val="auto"/>
              </w:rPr>
            </w:pPr>
            <w:r>
              <w:rPr>
                <w:rFonts w:ascii="Arial" w:cs="Arial" w:eastAsia="Arial" w:hAnsi="Arial"/>
                <w:sz w:val="13"/>
                <w:szCs w:val="13"/>
                <w:color w:val="auto"/>
              </w:rPr>
              <w:t>NKTX</w:t>
            </w:r>
          </w:p>
        </w:tc>
        <w:tc>
          <w:tcPr>
            <w:tcW w:w="120" w:type="dxa"/>
            <w:vAlign w:val="bottom"/>
          </w:tcPr>
          <w:p>
            <w:pPr>
              <w:spacing w:after="0"/>
              <w:rPr>
                <w:sz w:val="12"/>
                <w:szCs w:val="12"/>
                <w:color w:val="auto"/>
              </w:rPr>
            </w:pPr>
          </w:p>
        </w:tc>
        <w:tc>
          <w:tcPr>
            <w:tcW w:w="4340" w:type="dxa"/>
            <w:vAlign w:val="bottom"/>
          </w:tcPr>
          <w:p>
            <w:pPr>
              <w:jc w:val="center"/>
              <w:spacing w:after="0" w:line="148" w:lineRule="exact"/>
              <w:rPr>
                <w:sz w:val="20"/>
                <w:szCs w:val="20"/>
                <w:color w:val="auto"/>
              </w:rPr>
            </w:pPr>
            <w:r>
              <w:rPr>
                <w:rFonts w:ascii="Arial" w:cs="Arial" w:eastAsia="Arial" w:hAnsi="Arial"/>
                <w:sz w:val="13"/>
                <w:szCs w:val="13"/>
                <w:color w:val="auto"/>
                <w:w w:val="95"/>
              </w:rPr>
              <w:t>The Nasdaq Stock Market LLC</w:t>
            </w:r>
          </w:p>
        </w:tc>
      </w:tr>
      <w:tr>
        <w:trPr>
          <w:trHeight w:val="17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Arial" w:cs="Arial" w:eastAsia="Arial" w:hAnsi="Arial"/>
                <w:sz w:val="13"/>
                <w:szCs w:val="13"/>
                <w:color w:val="212529"/>
                <w:w w:val="94"/>
              </w:rPr>
              <w:t>(Nasdaq Global Select Market)</w:t>
            </w:r>
          </w:p>
        </w:tc>
      </w:tr>
    </w:tbl>
    <w:p>
      <w:pPr>
        <w:spacing w:after="0" w:line="36"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32" w:lineRule="exact"/>
        <w:rPr>
          <w:sz w:val="24"/>
          <w:szCs w:val="24"/>
          <w:color w:val="auto"/>
        </w:rPr>
      </w:pPr>
    </w:p>
    <w:p>
      <w:pPr>
        <w:ind w:right="4560"/>
        <w:spacing w:after="0" w:line="201"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15" w:lineRule="exact"/>
        <w:rPr>
          <w:sz w:val="24"/>
          <w:szCs w:val="24"/>
          <w:color w:val="auto"/>
        </w:rPr>
      </w:pPr>
    </w:p>
    <w:p>
      <w:pPr>
        <w:ind w:right="16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4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20" w:type="dxa"/>
            <w:vAlign w:val="bottom"/>
          </w:tcPr>
          <w:p>
            <w:pPr>
              <w:ind w:left="7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740" w:type="dxa"/>
            <w:vAlign w:val="bottom"/>
          </w:tcPr>
          <w:p>
            <w:pPr>
              <w:ind w:left="2700"/>
              <w:spacing w:after="0"/>
              <w:rPr>
                <w:sz w:val="20"/>
                <w:szCs w:val="20"/>
                <w:color w:val="auto"/>
              </w:rPr>
            </w:pPr>
            <w:r>
              <w:rPr>
                <w:rFonts w:ascii="Arial" w:cs="Arial" w:eastAsia="Arial" w:hAnsi="Arial"/>
                <w:sz w:val="13"/>
                <w:szCs w:val="13"/>
                <w:color w:val="auto"/>
              </w:rPr>
              <w:t>Accelerated filer</w:t>
            </w:r>
          </w:p>
        </w:tc>
        <w:tc>
          <w:tcPr>
            <w:tcW w:w="800" w:type="dxa"/>
            <w:vAlign w:val="bottom"/>
          </w:tcPr>
          <w:p>
            <w:pPr>
              <w:ind w:left="6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38"/>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3520" w:type="dxa"/>
            <w:vAlign w:val="bottom"/>
          </w:tcPr>
          <w:p>
            <w:pPr>
              <w:ind w:left="7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740" w:type="dxa"/>
            <w:vAlign w:val="bottom"/>
          </w:tcPr>
          <w:p>
            <w:pPr>
              <w:ind w:left="2700"/>
              <w:spacing w:after="0"/>
              <w:rPr>
                <w:sz w:val="20"/>
                <w:szCs w:val="20"/>
                <w:color w:val="auto"/>
              </w:rPr>
            </w:pPr>
            <w:r>
              <w:rPr>
                <w:rFonts w:ascii="Arial" w:cs="Arial" w:eastAsia="Arial" w:hAnsi="Arial"/>
                <w:sz w:val="13"/>
                <w:szCs w:val="13"/>
                <w:color w:val="auto"/>
              </w:rPr>
              <w:t>Smaller reporting company</w:t>
            </w:r>
          </w:p>
        </w:tc>
        <w:tc>
          <w:tcPr>
            <w:tcW w:w="800" w:type="dxa"/>
            <w:vAlign w:val="bottom"/>
          </w:tcPr>
          <w:p>
            <w:pPr>
              <w:ind w:left="6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10"/>
        </w:trPr>
        <w:tc>
          <w:tcPr>
            <w:tcW w:w="20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20" w:type="dxa"/>
            <w:vAlign w:val="bottom"/>
          </w:tcPr>
          <w:p>
            <w:pPr>
              <w:ind w:left="7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7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9"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ind w:right="2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ind w:right="120"/>
        <w:spacing w:after="0" w:line="18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right="240"/>
        <w:spacing w:after="0" w:line="174"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cers during the relevant recovery period pursuant to §240.10D-1(b)</w:t>
      </w:r>
      <w:r>
        <w:rPr>
          <w:rFonts w:ascii="Arial" w:cs="Arial" w:eastAsia="Arial" w:hAnsi="Arial"/>
          <w:sz w:val="13"/>
          <w:szCs w:val="13"/>
          <w:color w:val="231F20"/>
        </w:rPr>
        <w:t>.</w:t>
      </w:r>
      <w:r>
        <w:rPr>
          <w:rFonts w:ascii="Arial" w:cs="Arial" w:eastAsia="Arial" w:hAnsi="Arial"/>
          <w:sz w:val="13"/>
          <w:szCs w:val="13"/>
          <w:color w:val="auto"/>
        </w:rPr>
        <w:t xml:space="preserve">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right="140"/>
        <w:spacing w:after="0" w:line="273" w:lineRule="auto"/>
        <w:rPr>
          <w:sz w:val="20"/>
          <w:szCs w:val="20"/>
          <w:color w:val="auto"/>
        </w:rPr>
      </w:pPr>
      <w:r>
        <w:rPr>
          <w:rFonts w:ascii="Arial" w:cs="Arial" w:eastAsia="Arial" w:hAnsi="Arial"/>
          <w:sz w:val="12"/>
          <w:szCs w:val="12"/>
          <w:color w:val="auto"/>
        </w:rPr>
        <w:t>The aggregate market value of the voting and non-voting equity held by non-affiliates of the registrant, based on the closing price of a share of common stock on June 30, 2022 as reported by The Nasdaq Stock Market on such date was approximately $345.9 million. This calculation does not reflect a determination that certain persons are affiliates of the registrant for any other purpose.</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As of March 13, 2023, the number of outstanding shares of the registrant’s common stock, par value $0.0001 per share, was 48,928,670.</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52" w:lineRule="exact"/>
        <w:rPr>
          <w:sz w:val="24"/>
          <w:szCs w:val="24"/>
          <w:color w:val="auto"/>
        </w:rPr>
      </w:pPr>
    </w:p>
    <w:p>
      <w:pPr>
        <w:ind w:right="60"/>
        <w:spacing w:after="0" w:line="236" w:lineRule="auto"/>
        <w:rPr>
          <w:sz w:val="20"/>
          <w:szCs w:val="20"/>
          <w:color w:val="auto"/>
        </w:rPr>
      </w:pPr>
      <w:r>
        <w:rPr>
          <w:rFonts w:ascii="Arial" w:cs="Arial" w:eastAsia="Arial" w:hAnsi="Arial"/>
          <w:sz w:val="13"/>
          <w:szCs w:val="13"/>
          <w:color w:val="auto"/>
        </w:rPr>
        <w:t>Portions of the registrant’s Definitive Proxy Statement for the 2023 Annual Meeting of Stockholders to be filed with the U.S. Securities and Exchange Commission pursuant to Regulation 14A within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22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1.</w:t>
            </w:r>
          </w:p>
        </w:tc>
        <w:tc>
          <w:tcPr>
            <w:tcW w:w="9260" w:type="dxa"/>
            <w:vAlign w:val="bottom"/>
            <w:gridSpan w:val="26"/>
          </w:tcPr>
          <w:p>
            <w:pPr>
              <w:spacing w:after="0" w:line="190" w:lineRule="exact"/>
              <w:rPr>
                <w:sz w:val="20"/>
                <w:szCs w:val="20"/>
                <w:color w:val="auto"/>
              </w:rPr>
            </w:pPr>
            <w:r>
              <w:rPr>
                <w:rFonts w:ascii="Arial" w:cs="Arial" w:eastAsia="Arial" w:hAnsi="Arial"/>
                <w:sz w:val="18"/>
                <w:szCs w:val="18"/>
                <w:color w:val="0000FF"/>
              </w:rPr>
              <w:t>Business</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26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1B.</w:t>
            </w:r>
          </w:p>
        </w:tc>
        <w:tc>
          <w:tcPr>
            <w:tcW w:w="9260" w:type="dxa"/>
            <w:vAlign w:val="bottom"/>
            <w:gridSpan w:val="26"/>
          </w:tcPr>
          <w:p>
            <w:pPr>
              <w:spacing w:after="0"/>
              <w:rPr>
                <w:sz w:val="20"/>
                <w:szCs w:val="20"/>
                <w:color w:val="auto"/>
              </w:rPr>
            </w:pPr>
            <w:r>
              <w:rPr>
                <w:rFonts w:ascii="Arial" w:cs="Arial" w:eastAsia="Arial" w:hAnsi="Arial"/>
                <w:sz w:val="18"/>
                <w:szCs w:val="18"/>
                <w:color w:val="0000FF"/>
              </w:rPr>
              <w:t>Unresolved Staff Comments</w:t>
            </w: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top w:val="single" w:sz="8" w:color="0000FF"/>
              <w:bottom w:val="single" w:sz="8" w:color="0000EE"/>
            </w:tcBorders>
          </w:tcPr>
          <w:p>
            <w:pPr>
              <w:spacing w:after="0"/>
              <w:rPr>
                <w:sz w:val="18"/>
                <w:szCs w:val="18"/>
                <w:color w:val="auto"/>
              </w:rPr>
            </w:pPr>
          </w:p>
        </w:tc>
        <w:tc>
          <w:tcPr>
            <w:tcW w:w="1280" w:type="dxa"/>
            <w:vAlign w:val="bottom"/>
            <w:tcBorders>
              <w:top w:val="single" w:sz="8" w:color="0000FF"/>
            </w:tcBorders>
            <w:gridSpan w:val="10"/>
          </w:tcPr>
          <w:p>
            <w:pPr>
              <w:spacing w:after="0"/>
              <w:rPr>
                <w:sz w:val="18"/>
                <w:szCs w:val="18"/>
                <w:color w:val="auto"/>
              </w:rPr>
            </w:pPr>
          </w:p>
        </w:tc>
        <w:tc>
          <w:tcPr>
            <w:tcW w:w="7220" w:type="dxa"/>
            <w:vAlign w:val="bottom"/>
            <w:gridSpan w:val="1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18"/>
                <w:szCs w:val="18"/>
                <w:color w:val="auto"/>
              </w:rPr>
            </w:pPr>
          </w:p>
        </w:tc>
        <w:tc>
          <w:tcPr>
            <w:tcW w:w="7900" w:type="dxa"/>
            <w:vAlign w:val="bottom"/>
            <w:gridSpan w:val="17"/>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926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79"/>
        </w:trPr>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5"/>
          </w:tcPr>
          <w:p>
            <w:pPr>
              <w:spacing w:after="0" w:line="190" w:lineRule="exact"/>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180" w:type="dxa"/>
            <w:vAlign w:val="bottom"/>
          </w:tcPr>
          <w:p>
            <w:pPr>
              <w:spacing w:after="0"/>
              <w:rPr>
                <w:sz w:val="16"/>
                <w:szCs w:val="16"/>
                <w:color w:val="auto"/>
              </w:rPr>
            </w:pP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[Reserved]</w:t>
            </w:r>
          </w:p>
        </w:tc>
        <w:tc>
          <w:tcPr>
            <w:tcW w:w="20" w:type="dxa"/>
            <w:vAlign w:val="bottom"/>
            <w:tcBorders>
              <w:bottom w:val="single" w:sz="8" w:color="0000EE"/>
            </w:tcBorders>
          </w:tcPr>
          <w:p>
            <w:pPr>
              <w:spacing w:after="0"/>
              <w:rPr>
                <w:sz w:val="18"/>
                <w:szCs w:val="18"/>
                <w:color w:val="auto"/>
              </w:rPr>
            </w:pPr>
          </w:p>
        </w:tc>
        <w:tc>
          <w:tcPr>
            <w:tcW w:w="8440" w:type="dxa"/>
            <w:vAlign w:val="bottom"/>
            <w:gridSpan w:val="21"/>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00" w:type="dxa"/>
            <w:vAlign w:val="bottom"/>
            <w:gridSpan w:val="4"/>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7A.</w:t>
            </w:r>
          </w:p>
        </w:tc>
        <w:tc>
          <w:tcPr>
            <w:tcW w:w="9260" w:type="dxa"/>
            <w:vAlign w:val="bottom"/>
            <w:gridSpan w:val="2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0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Controls and Procedures</w:t>
            </w:r>
          </w:p>
        </w:tc>
        <w:tc>
          <w:tcPr>
            <w:tcW w:w="7480" w:type="dxa"/>
            <w:vAlign w:val="bottom"/>
            <w:gridSpan w:val="15"/>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Other Information</w:t>
            </w:r>
          </w:p>
        </w:tc>
        <w:tc>
          <w:tcPr>
            <w:tcW w:w="20" w:type="dxa"/>
            <w:vAlign w:val="bottom"/>
            <w:tcBorders>
              <w:bottom w:val="single" w:sz="8" w:color="0000EE"/>
            </w:tcBorders>
          </w:tcPr>
          <w:p>
            <w:pPr>
              <w:spacing w:after="0"/>
              <w:rPr>
                <w:sz w:val="18"/>
                <w:szCs w:val="18"/>
                <w:color w:val="auto"/>
              </w:rPr>
            </w:pPr>
          </w:p>
        </w:tc>
        <w:tc>
          <w:tcPr>
            <w:tcW w:w="7920" w:type="dxa"/>
            <w:vAlign w:val="bottom"/>
            <w:gridSpan w:val="18"/>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9C.</w:t>
            </w:r>
          </w:p>
        </w:tc>
        <w:tc>
          <w:tcPr>
            <w:tcW w:w="926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79"/>
        </w:trPr>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8"/>
          </w:tcPr>
          <w:p>
            <w:pPr>
              <w:spacing w:after="0" w:line="190" w:lineRule="exact"/>
              <w:rPr>
                <w:sz w:val="20"/>
                <w:szCs w:val="20"/>
                <w:color w:val="auto"/>
              </w:rPr>
            </w:pPr>
            <w:r>
              <w:rPr>
                <w:rFonts w:ascii="Arial" w:cs="Arial" w:eastAsia="Arial" w:hAnsi="Arial"/>
                <w:sz w:val="18"/>
                <w:szCs w:val="18"/>
                <w:color w:val="0000FF"/>
                <w:w w:val="90"/>
              </w:rPr>
              <w:t>Directors, Executive Officers and Corporate Governance</w:t>
            </w:r>
          </w:p>
        </w:tc>
        <w:tc>
          <w:tcPr>
            <w:tcW w:w="5160" w:type="dxa"/>
            <w:vAlign w:val="bottom"/>
            <w:gridSpan w:val="8"/>
          </w:tcPr>
          <w:p>
            <w:pPr>
              <w:spacing w:after="0"/>
              <w:rPr>
                <w:sz w:val="16"/>
                <w:szCs w:val="16"/>
                <w:color w:val="auto"/>
              </w:rPr>
            </w:pP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11.</w:t>
            </w:r>
          </w:p>
        </w:tc>
        <w:tc>
          <w:tcPr>
            <w:tcW w:w="9260" w:type="dxa"/>
            <w:vAlign w:val="bottom"/>
            <w:gridSpan w:val="26"/>
          </w:tcPr>
          <w:p>
            <w:pPr>
              <w:spacing w:after="0"/>
              <w:rPr>
                <w:sz w:val="20"/>
                <w:szCs w:val="20"/>
                <w:color w:val="auto"/>
              </w:rPr>
            </w:pPr>
            <w:r>
              <w:rPr>
                <w:rFonts w:ascii="Arial" w:cs="Arial" w:eastAsia="Arial" w:hAnsi="Arial"/>
                <w:sz w:val="18"/>
                <w:szCs w:val="18"/>
                <w:color w:val="0000FF"/>
              </w:rPr>
              <w:t>Executive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96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800" w:type="dxa"/>
            <w:vAlign w:val="bottom"/>
            <w:gridSpan w:val="5"/>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14.</w:t>
            </w:r>
          </w:p>
        </w:tc>
        <w:tc>
          <w:tcPr>
            <w:tcW w:w="9260" w:type="dxa"/>
            <w:vAlign w:val="bottom"/>
            <w:gridSpan w:val="26"/>
          </w:tcPr>
          <w:p>
            <w:pPr>
              <w:spacing w:after="0"/>
              <w:rPr>
                <w:sz w:val="20"/>
                <w:szCs w:val="20"/>
                <w:color w:val="auto"/>
              </w:rPr>
            </w:pPr>
            <w:r>
              <w:rPr>
                <w:rFonts w:ascii="Arial" w:cs="Arial" w:eastAsia="Arial" w:hAnsi="Arial"/>
                <w:sz w:val="18"/>
                <w:szCs w:val="18"/>
                <w:color w:val="0000FF"/>
              </w:rPr>
              <w:t>Principal Accountant Fees and Services</w:t>
            </w: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79"/>
        </w:trPr>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Item 15.</w:t>
            </w:r>
          </w:p>
        </w:tc>
        <w:tc>
          <w:tcPr>
            <w:tcW w:w="9260" w:type="dxa"/>
            <w:vAlign w:val="bottom"/>
            <w:gridSpan w:val="26"/>
          </w:tcPr>
          <w:p>
            <w:pPr>
              <w:spacing w:after="0" w:line="190" w:lineRule="exact"/>
              <w:rPr>
                <w:sz w:val="20"/>
                <w:szCs w:val="20"/>
                <w:color w:val="auto"/>
              </w:rPr>
            </w:pPr>
            <w:r>
              <w:rPr>
                <w:rFonts w:ascii="Arial" w:cs="Arial" w:eastAsia="Arial" w:hAnsi="Arial"/>
                <w:sz w:val="18"/>
                <w:szCs w:val="18"/>
                <w:color w:val="0000FF"/>
              </w:rPr>
              <w:t>Exhibits and Financial Statement Schedules</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6100" w:type="dxa"/>
            <w:vAlign w:val="bottom"/>
            <w:gridSpan w:val="11"/>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122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This Annual Report on Form 10-K, and the information incorporated herein by reference, particularly in the sections captioned “Business” under Part I, Item 1, “Risk Factors” under Part I, Item 1A, and “Management’s Discussion and Analysis of Financial Condition and Results of Operations” under Part II, Item 7, contains forward-looking statements within the meaning of Section 27A of the Securities Act of 1933, as amended (the "Securities Act"),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Annual Report on Form 10-K.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 Item 1A of this Annual Report on Form 10-K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67" w:lineRule="exact"/>
        <w:rPr>
          <w:sz w:val="20"/>
          <w:szCs w:val="20"/>
          <w:color w:val="auto"/>
        </w:rPr>
      </w:pPr>
    </w:p>
    <w:p>
      <w:pPr>
        <w:ind w:right="360" w:firstLine="509"/>
        <w:spacing w:after="0" w:line="301" w:lineRule="auto"/>
        <w:rPr>
          <w:sz w:val="20"/>
          <w:szCs w:val="20"/>
          <w:color w:val="auto"/>
        </w:rPr>
      </w:pPr>
      <w:r>
        <w:rPr>
          <w:rFonts w:ascii="Arial" w:cs="Arial" w:eastAsia="Arial" w:hAnsi="Arial"/>
          <w:sz w:val="16"/>
          <w:szCs w:val="16"/>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5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You should read this Annual Report on Form 10-K,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 Item 1A, “Risk Factors” in this Form 10-K. The below summary is qualified in its entirety by those more complete discussions of such risks and uncertainties. You should consider carefully the risks and uncertainties described under Part I, Item 1A, “Risk Factors” in this Form 10-K as part of your evaluation of an investment in our common stock.</w:t>
      </w:r>
    </w:p>
    <w:p>
      <w:pPr>
        <w:spacing w:after="0" w:line="8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a limited operating history and do not have any products approved for sale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We have incurred significant losses since our inception and we expect to continue to incur significant losses for the foreseeable future.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never generated revenue from product sales and may never achieve or maintain profitability.</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62"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depends upon the success of our CAR NK cell technology platform.</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Utilizing CAR NK cells represents a novel approach to the treatment of cancer, and we must overcome significant challenges in order to develop, commercialize and manufacture our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62"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62" w:lineRule="exact"/>
        <w:rPr>
          <w:rFonts w:ascii="Arial" w:cs="Arial" w:eastAsia="Arial" w:hAnsi="Arial"/>
          <w:sz w:val="18"/>
          <w:szCs w:val="18"/>
          <w:color w:val="auto"/>
        </w:rPr>
      </w:pPr>
    </w:p>
    <w:p>
      <w:pPr>
        <w:jc w:val="both"/>
        <w:ind w:left="1020" w:right="28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62" w:lineRule="exact"/>
        <w:rPr>
          <w:rFonts w:ascii="Arial" w:cs="Arial" w:eastAsia="Arial" w:hAnsi="Arial"/>
          <w:sz w:val="18"/>
          <w:szCs w:val="18"/>
          <w:color w:val="auto"/>
        </w:rPr>
      </w:pPr>
    </w:p>
    <w:p>
      <w:pPr>
        <w:ind w:left="1020" w:right="44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78"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62" w:lineRule="exact"/>
        <w:rPr>
          <w:rFonts w:ascii="Arial" w:cs="Arial" w:eastAsia="Arial" w:hAnsi="Arial"/>
          <w:sz w:val="18"/>
          <w:szCs w:val="18"/>
          <w:color w:val="auto"/>
        </w:rPr>
      </w:pPr>
    </w:p>
    <w:p>
      <w:pPr>
        <w:ind w:left="1020" w:right="30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ind w:left="1020" w:right="8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rely on third parties to manufacture certain of our product candidates, or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are reliant on a sole supplier for certain steps of our manufacturing process.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patent protection we obtain is not sufficiently robust, our competitors could develop and commercialize products and technology similar or identical to ours.</w:t>
      </w:r>
    </w:p>
    <w:p>
      <w:pPr>
        <w:spacing w:after="0" w:line="62" w:lineRule="exact"/>
        <w:rPr>
          <w:rFonts w:ascii="Arial" w:cs="Arial" w:eastAsia="Arial" w:hAnsi="Arial"/>
          <w:sz w:val="18"/>
          <w:szCs w:val="18"/>
          <w:color w:val="auto"/>
        </w:rPr>
      </w:pPr>
    </w:p>
    <w:p>
      <w:pPr>
        <w:jc w:val="both"/>
        <w:ind w:left="1020" w:right="10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75"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product candidates, including NKX101 and NKX019, could be subject to regulatory limitations following approval, if and when such approval is granted.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market price for our common stock may be volatile, which could contribute to the loss of all or part of your investment.</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WEBSITE REFERENCES</w:t>
      </w:r>
    </w:p>
    <w:p>
      <w:pPr>
        <w:spacing w:after="0" w:line="2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In this Annual Report on Form 10-K, we make references to our website at www.nkartatx.com. References to our website through this Form 10-K are provided for convenience only and the content on our website does not constitute a part of, and shall not be deemed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are a biopharmaceutical company focused on the discovery, development and commercialization of allogeneic, off-the-shelf engineered natural killer ("NK") cell therapies to treat cancer. We currently have two lead product candidates, NKX101, a chimeric antigen receptor-natural killer ("CAR NK") product candidate targeting cells that display NKG2D ligands, and NKX019, a CAR NK product candidate targeting the CD19 antigen, in ongoing Phase 1 clinical trials. Both product candidates incorporate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the treatment of cancer. Our product candidates are allogeneic, which means they are produced using cells from a different person than the patient(s) being treated, and they are produced in quantity, then frozen and therefore available off-the-shelf for treating patients without delay, unlike autologous cell therapies, which are derived from a patient’s own cells and must be manufactured as needed for each patient. We believe that engineered NK cells have the potential to be an effective cancer therapy, be well tolerated, and avoid some of the toxicities observed with other cell therapies.</w:t>
      </w:r>
    </w:p>
    <w:p>
      <w:pPr>
        <w:spacing w:after="0" w:line="18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modular NK cell engineering platform allows us to generate new product candidates in a rapid and cost-efficient manner. Our process starts with differentiated, mature NK cells derived from healthy donors. We build on the intrinsic ability of these immune cells to identify and kill transformed cells with cell engineering to further enhance their activity. This engineering involves chimeric antigen receptors ("CARs") on the surface of an NK cell to enable the cell to recognize specific proteins or antigens that are present on the surface of tumor cells. Our engineered CAR NK cells generally consist of an NK cell engineered with a targeting receptor, OX40 costimulatory domain, CD3ζ(zeta) signaling moiety, and a membrane-bound form of the cytokine IL(interleukin)15 ("mbIL-15"). We believe that the modular nature of our platform and the proprietary technologies we use for the multiplex engineering of NK cells, which include genome editing, are advantages that can support the rapid generation of new product candidates with enhanced properties and/or new targeting receptors for additional disease indications.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 Candidates and Discovery Programs</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NKX101 is designed to enhance the power of innate NK cell biology to detect and kill cancerous cells. The primary activating receptor for NK cells is known as NKG2D, which works through the detection of stress ligands displayed by cancerous cells. We have engineered NKX101 to increase the inherent cancer killing ability of our donor-derived NK cells by raising levels of NKG2D at least ten-fold as compared to non-engineered NK cells and by adding a costimulatory domain, which is an additional signaling element for white blood cells.</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NKX101 is currently being studied in a multi-center Phase 1 clinical trial in the United States for the treatment of relapsed or refractory acute myeloid leukemia ("r/r AML") or higher risk myelodysplastic syndromes ("MDS"). This ongoing first-in-human study evaluates the safety, pharmacology, and preliminary anti-tumor activity of NKX101. The clinical trial consists of dose-finding followed by dose-expansion and is designed to identify the recommended Phase 2 dose.</w:t>
      </w:r>
    </w:p>
    <w:p>
      <w:pPr>
        <w:spacing w:after="0" w:line="18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Our NKX019 program is based on the potential to treat a variety of B-cell malignancies by targeting the CD19 antigen that is found on these types of cancerous cells, where CD19-targeted engineered NK cells, T cells and monoclonal antibodies have demonstrated clinical activity. NKX019 is currently being studied in a Phase 1 clinical trial for the treatment of certain B-cell malignancies. This ongoing, first-in-human study evaluates the safety, pharmacology, and preliminary anti-tumor activity of NKX019, at multiple centers in the United States and Australia. The clinical trial consists of dose-finding followed by dose-expansion and is designed to identify the recommended Phase 2 dose.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right="20" w:firstLine="509"/>
        <w:spacing w:after="0" w:line="255" w:lineRule="auto"/>
        <w:rPr>
          <w:sz w:val="20"/>
          <w:szCs w:val="20"/>
          <w:color w:val="auto"/>
        </w:rPr>
      </w:pPr>
      <w:r>
        <w:rPr>
          <w:rFonts w:ascii="Arial" w:cs="Arial" w:eastAsia="Arial" w:hAnsi="Arial"/>
          <w:sz w:val="18"/>
          <w:szCs w:val="18"/>
          <w:color w:val="auto"/>
        </w:rPr>
        <w:t>In addition to our two lead product candidates, we are engaged in extensive discovery and preclinical stage activities directed to expansion of our pipeline of product candidates over time. As part of our collaboration with CRISPR Therapeutics AG ("CRISPR"), we are developing an allogeneic, off-the-shelf CAR NK product candidate targeting the CD70 tumor antigen ("NKX070") for the treatment of solid and liquid tumors, and conducting discovery efforts for an allogeneic, off-the-shelf product candidate that comprises both engineered NK cells and engineered T cells ("NK+T") to take advantage of both the innate and adaptive immune systems. This NK+T program is designed to harness multiple aspects of human immunology to treat a variety of cancers.</w:t>
      </w:r>
    </w:p>
    <w:p>
      <w:pPr>
        <w:spacing w:after="0" w:line="19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have an intensive focus on manufacturing capabilities and technology. We are currently manufacturing NKX019 at our 2,700-square foot clinical current good manufacturing practice ("cGMP") facility located in South San Francisco, California. We are also currently constructing a new facility in South San Francisco to support pivotal clinical trials and potential commercial supply of our product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We are developing novel engineered, allogeneic, off-the-shelf cell therapies to improve the lives of cancer patients and their overall survival by leveraging our NK cell engineering platform. Key elements of our strategy to achieve this include: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Next generation platform enlists natural, healthy human donor NK cells for optimal product candidates.</w:t>
      </w:r>
    </w:p>
    <w:p>
      <w:pPr>
        <w:spacing w:after="0" w:line="117" w:lineRule="exact"/>
        <w:rPr>
          <w:sz w:val="20"/>
          <w:szCs w:val="20"/>
          <w:color w:val="auto"/>
        </w:rPr>
      </w:pPr>
    </w:p>
    <w:p>
      <w:pPr>
        <w:jc w:val="both"/>
        <w:ind w:right="240" w:firstLine="509"/>
        <w:spacing w:after="0" w:line="293" w:lineRule="auto"/>
        <w:rPr>
          <w:sz w:val="20"/>
          <w:szCs w:val="20"/>
          <w:color w:val="auto"/>
        </w:rPr>
      </w:pPr>
      <w:r>
        <w:rPr>
          <w:rFonts w:ascii="Arial" w:cs="Arial" w:eastAsia="Arial" w:hAnsi="Arial"/>
          <w:sz w:val="16"/>
          <w:szCs w:val="16"/>
          <w:color w:val="auto"/>
        </w:rPr>
        <w:t>Our cell engineering platform utilizes healthy adult donors as our source for NK cells. By enlisting this natural source of NK cells, we start with bona fide NK cells already endowed with inherent cytotoxic and tumor-recognizing capabilities, as compared to other more complex cell sources where these basic therapeutic features must be painstakingly designed and synthetically added to the cells. Healthy donor-derived NK cells are also available in abundance, providing a large quantity of cells with which to begin each manufacturing run. Finally, healthy donor-derived adult cells consist of a diverse repertoire of NK cells. By utilizing a cell source that contains the full range of naturally occurring NK cells, we believe we can capitalize on the inherent diversity of the innate immune system and select for different NK cell sub-populations with desired characteristics.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Develop NKX101 for r/r AML and other cancers.</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have engineered NKX101 to overexpress the NKG2D receptor. Because NKG2D is the primary activating receptor responsible for innate immune surveillance for cancerous cells by NK cells, we believe that NKX101 presents an opportunity to potentially treat a variety of blood cancers and solid tumors, which represent approximately 90% of all cancer incidences in the United States. Therefore, upon clinical proof-of-concept from our ongoing NKX101 Phase 1 clinical trial for r/r AML, we may pursue a broad clinical development plan for multiple tumor types including solid tumors.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Develop NKX019 for B-cell malignancies.</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NKX019 is designed to treat a variety of B-cell malignancies by targeting the clinically and commercially validated CD19 antigen that is found in different B-cell malignancies. Because the targeting of CD19 has demonstrated clinical activity with both CAR T and CAR NK cell therapies as well as monoclonal antibodies, we believe that NKX019 presents an opportunity to treat a variety of B-cell malignancies while addressing the limitations of existing autologous CAR T cell therapies. NKX019 is currently being investigated in the dose-expansion portion of the ongoing Phase 1 clinical trial, as both a monotherapy and in combination with rituximab, an anti-CD20 antibody, in patients with large B-cell lymphoma ("LBCL") following administration of LD. These expansion cohorts are being investigated in patients who have not previously been treated with an approved autologous CD19 CAR T therapy and also in patients who have failed autologous CD19 CAR T therapy.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i w:val="1"/>
          <w:iCs w:val="1"/>
          <w:color w:val="auto"/>
        </w:rPr>
        <w:t>Apply our NK cell engineering platform to build a broad pipeline of product candidates incorporating engineered NK cells.</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Our proprietary NK cell engineering platform is based on a modular and generalizable approach that we believe enables us to generate new product candidates in a rapid and cost-efficient manner. Our engineered CAR NK cells generally consist of an NK cell engineered with a targeting receptor, OX40 costimulatory domain, CD3ζ(zeta) signaling moiety, and mbIL-15. We believe that the modular nature of our platform and the proprietary technologies we use for the multiplex engineering of NK cells are advantages that can support the rapid generation of new INDs for product candidates with enhanced properties and/or new targeting receptors for additional disease indications. With these attributes, we plan to continue to build out a pipeline with product candidates focused on novel targets as well as clinically and commercially validated targets. With our partner, CRISPR, we are also engaged in preclinical research for NKX070 and NK+T, which may provide advantages of both the innate and adaptive immune responses.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Continue to build proprietary manufacturing capabilities to enable speed, control, flexibility, scalability, and cost efficiency.</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believe that internal cGMP manufacturing capabilities will facilitate clinical product supply, lower the risk of manufacturing disruptions, and enable more cost-effective manufacturing for clinical and commercial supply of our product candidates. We are currently manufacturing NKX019 product for the Phase 1 clinical trial at our 2,700-square foot clinical cGMP facility on-site at our primary corporate location in South San Francisco, California. We intend to manufacture NKX101 at our cGMP facility in 2023, and in the future, we intend to manufacture our proprietary, engineered K562 stimulatory cells ("NKSTIM") in house. We believe this clinical cGMP facility will supply our anticipated non-pivotal clinical trial needs.</w:t>
      </w:r>
    </w:p>
    <w:p>
      <w:pPr>
        <w:spacing w:after="0" w:line="6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are also currently constructing a separate, larger commercial cGMP facility for manufacturing. In July 2021, we entered a lease agreement for an 88,000 square foot facility in South San Francisco to support research and development and future manufacturing of Nkarta’s cell therapy products and product candidates, including engineered NK cells for pivotal clinical trials and potential commercial supply. This new facility will also serve as our future headquarters with office space and research facilities.</w:t>
      </w:r>
    </w:p>
    <w:p>
      <w:pPr>
        <w:spacing w:after="0" w:line="295"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b w:val="1"/>
          <w:bCs w:val="1"/>
          <w:i w:val="1"/>
          <w:iCs w:val="1"/>
          <w:color w:val="auto"/>
        </w:rPr>
        <w:t>Continue to opportunistically evaluate enabling, adjacent or potential competing technologies, and where advantageous, seek licenses or collaborations regarding those technologies, to advance our platform.</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will continue to evaluate technologies that may enable or enhance our various product candidates, and we will maintain awareness of those that may provide a broader cell therapy engineering or manufacturing platform for us. To facilitate the advancement of our engineering and manufacturing platforms, we routinely engage in partnering and licensing discussions with a range of biotechnology or pharmaceutical companies and academic institutions.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COVID-19, Macroeconomic Conditions, and Supply Disruptions</w:t>
      </w:r>
    </w:p>
    <w:p>
      <w:pPr>
        <w:spacing w:after="0" w:line="121"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The COVID-19 pandemic, as well as global and national economic and market conditions, have affected and may in the future affect our business and operations and those of third parties on which we rely, including by causing disruptions in the supply of our product candidates or other materials necessary to construct our new facility, conduct our preclinical or clinical studies, and conduct and enroll our current and future clinical trials. For a discussion regarding the impact of the COVID-19 pandemic, macroeconomic conditions, and supply disruptions on our business, see Part II, Item 7, “Management’s Discussion and Analysis of Financial Condition and Results of Operations – Overview” in this Form 10-K.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Immune System and Cancer</w:t>
      </w:r>
    </w:p>
    <w:p>
      <w:pPr>
        <w:spacing w:after="0" w:line="12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In recent decades there has been a significant level of innovation and improvement in the treatment of different cancers with the introduction of new therapeutic approaches and the approval of new therapies. Despite these advances, many of the most common cancers remain burdened with substantial unmet medical need. Immuno-oncology therapies seek to stimulate or supplement a person’s own immune system to attack cancer cells selectively without affecting normal cells, or deliver certain immune system components in order to inhibit the spread of cancer.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 w:name="page9"/>
    <w:bookmarkEnd w:id="8"/>
    <w:p>
      <w:pPr>
        <w:ind w:right="440"/>
        <w:spacing w:after="0" w:line="277" w:lineRule="auto"/>
        <w:rPr>
          <w:sz w:val="20"/>
          <w:szCs w:val="20"/>
          <w:color w:val="auto"/>
        </w:rPr>
      </w:pPr>
      <w:r>
        <w:rPr>
          <w:rFonts w:ascii="Arial" w:cs="Arial" w:eastAsia="Arial" w:hAnsi="Arial"/>
          <w:sz w:val="18"/>
          <w:szCs w:val="18"/>
          <w:color w:val="auto"/>
        </w:rPr>
        <w:t>Immuno-oncology therapy has emerged as an important mode of cancer treatment, alongside more established options such as surgery, chemotherapy, targeted therapy and radiation therapy.</w:t>
      </w:r>
    </w:p>
    <w:p>
      <w:pPr>
        <w:spacing w:after="0" w:line="170"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 ability of the immune system to recognize and destroy tumors has been known for decades. More recently, a growing understanding of molecular mechanisms underlying recognition of cancer cells by the immune system and their evasion of detection has allowed scientists to develop new classes of immuno-oncology therapies. These therapies either undermine the tumor’s ability to resist immune attack or enhance immune targeting and killing of cancer cells.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Cellular Immunotherapies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Cellular immunotherapy is a type of immuno-oncology therapy whereby human cells are engineered to recognize and destroy cancer cells in a more targeted manner. Most cellular immunotherapies are focused on modulating or enhancing the activity of different lymphocytes, a subtype of white blood cell that are responsible for defending the body against pathogens and other foreign material, as well as killing cancerous cells within the body. There are different classes of lymphocytes which differ in function. T cells are a type of lymphocyte that primarily serves to protect from infections such as bacteria, viruses, fungi and parasites. Every T cell recognizes a specific antigen, or substances found on of pathogens or other foreign material. This type of lymphocyte is activated and divides rapidly when it detects its specific antigen. Accordingly, T cells are the foundation of the adaptive immune system, selectively responding to different threats.</w:t>
      </w:r>
    </w:p>
    <w:p>
      <w:pPr>
        <w:spacing w:after="0" w:line="19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NK cells are the foundation of the innate immune system. While T cells are activated by unique antigens specific to each T cell, the activity of NK cells is tightly regulated by a common set of activating receptors on these cells that serve to improve recognition and killing of cancerous or virally infected cells, as well as a set of inhibitory receptors that help identify healthy cells. This balance of inhibition and activation spares healthy cells from the surveillance and killing effects of the innate immune system. The primary activating receptor for NK cells is known as NKG2D and functions by detecting eight known stress ligands, or signals that cancerous or virally infected cells typically produce in higher numbers. The detection of these stress ligands by NKG2D on the surface of the NK cells is the primary basis for tumor surveillance by NK cells and is the basis of the mechanism of action for our product candidate NKX101.</w:t>
      </w:r>
    </w:p>
    <w:p>
      <w:pPr>
        <w:spacing w:after="0" w:line="195"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A frequently used approach for cellular immunotherapy involves CARs on the surface of a lymphocyte that enable the cell to recognize specific proteins or antigens that are present on the surface of tumor cells. The concept of a CAR builds upon and enhances the normal biology of T cells and NK cells, whereby naturally occurring receptors serve to activate these cells when a foreign pathogen or cancerous cell is detected. The key components of CARs used today often include the following elements:</w:t>
      </w:r>
    </w:p>
    <w:p>
      <w:pPr>
        <w:spacing w:after="0" w:line="75" w:lineRule="exact"/>
        <w:rPr>
          <w:sz w:val="20"/>
          <w:szCs w:val="20"/>
          <w:color w:val="auto"/>
        </w:rPr>
      </w:pPr>
    </w:p>
    <w:p>
      <w:pPr>
        <w:ind w:left="10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Target binding domain. </w:t>
      </w:r>
      <w:r>
        <w:rPr>
          <w:rFonts w:ascii="Arial" w:cs="Arial" w:eastAsia="Arial" w:hAnsi="Arial"/>
          <w:sz w:val="18"/>
          <w:szCs w:val="18"/>
          <w:color w:val="auto"/>
        </w:rPr>
        <w:t>At one end of the CAR is a binding domain that is specific to a target antigen or protein. This domain extends out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surface of the engineered lymphocyte, where it can recognize the target antigen or antigens. The target binding domain may be based upon a naturally occurring receptor, such as the NKG2D receptor for NKX101, or a binder derived from a monoclonal antibody against a target antigen, such as the CD19 binder for NKX019.</w:t>
      </w:r>
    </w:p>
    <w:p>
      <w:pPr>
        <w:spacing w:after="0" w:line="71" w:lineRule="exact"/>
        <w:rPr>
          <w:rFonts w:ascii="Arial" w:cs="Arial" w:eastAsia="Arial" w:hAnsi="Arial"/>
          <w:sz w:val="18"/>
          <w:szCs w:val="18"/>
          <w:color w:val="auto"/>
        </w:rPr>
      </w:pPr>
    </w:p>
    <w:p>
      <w:pPr>
        <w:ind w:left="1020" w:right="200" w:hanging="503"/>
        <w:spacing w:after="0" w:line="31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Transmembrane domain and hinge. </w:t>
      </w:r>
      <w:r>
        <w:rPr>
          <w:rFonts w:ascii="Arial" w:cs="Arial" w:eastAsia="Arial" w:hAnsi="Arial"/>
          <w:sz w:val="16"/>
          <w:szCs w:val="16"/>
          <w:color w:val="auto"/>
        </w:rPr>
        <w:t>This middle portion of the CAR links the target binding domain to the activating elements inside the</w:t>
      </w:r>
      <w:r>
        <w:rPr>
          <w:rFonts w:ascii="Arial" w:cs="Arial" w:eastAsia="Arial" w:hAnsi="Arial"/>
          <w:sz w:val="16"/>
          <w:szCs w:val="16"/>
          <w:b w:val="1"/>
          <w:bCs w:val="1"/>
          <w:color w:val="auto"/>
        </w:rPr>
        <w:t xml:space="preserve"> </w:t>
      </w:r>
      <w:r>
        <w:rPr>
          <w:rFonts w:ascii="Arial" w:cs="Arial" w:eastAsia="Arial" w:hAnsi="Arial"/>
          <w:sz w:val="16"/>
          <w:szCs w:val="16"/>
          <w:color w:val="auto"/>
        </w:rPr>
        <w:t>cell. This transmembrane domain anchors the CAR in the cell’s membrane. In addition, the transmembrane domain may also interact with other transmembrane proteins that enhance CAR function. The hinge domain, which extends to the exterior of the cell, connects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left="1020" w:right="140"/>
        <w:spacing w:after="0" w:line="277" w:lineRule="auto"/>
        <w:rPr>
          <w:sz w:val="20"/>
          <w:szCs w:val="20"/>
          <w:color w:val="auto"/>
        </w:rPr>
      </w:pPr>
      <w:r>
        <w:rPr>
          <w:rFonts w:ascii="Arial" w:cs="Arial" w:eastAsia="Arial" w:hAnsi="Arial"/>
          <w:sz w:val="18"/>
          <w:szCs w:val="18"/>
          <w:color w:val="auto"/>
        </w:rPr>
        <w:t>transmembrane domain to the binder and provides structural flexibility to facilitate binding to the target antigen on the surface of the cancer cell.</w:t>
      </w:r>
    </w:p>
    <w:p>
      <w:pPr>
        <w:spacing w:after="0" w:line="58" w:lineRule="exact"/>
        <w:rPr>
          <w:sz w:val="20"/>
          <w:szCs w:val="20"/>
          <w:color w:val="auto"/>
        </w:rPr>
      </w:pPr>
    </w:p>
    <w:p>
      <w:pPr>
        <w:ind w:left="1020" w:hanging="503"/>
        <w:spacing w:after="0" w:line="274"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Activating domains. </w:t>
      </w:r>
      <w:r>
        <w:rPr>
          <w:rFonts w:ascii="Arial" w:cs="Arial" w:eastAsia="Arial" w:hAnsi="Arial"/>
          <w:sz w:val="17"/>
          <w:szCs w:val="17"/>
          <w:color w:val="auto"/>
        </w:rPr>
        <w:t>The other end of the CAR, inside the lymphocyte, includes domains responsible for activating the lymphocyte when</w:t>
      </w:r>
      <w:r>
        <w:rPr>
          <w:rFonts w:ascii="Arial" w:cs="Arial" w:eastAsia="Arial" w:hAnsi="Arial"/>
          <w:sz w:val="17"/>
          <w:szCs w:val="17"/>
          <w:b w:val="1"/>
          <w:bCs w:val="1"/>
          <w:color w:val="auto"/>
        </w:rPr>
        <w:t xml:space="preserve"> </w:t>
      </w:r>
      <w:r>
        <w:rPr>
          <w:rFonts w:ascii="Arial" w:cs="Arial" w:eastAsia="Arial" w:hAnsi="Arial"/>
          <w:sz w:val="17"/>
          <w:szCs w:val="17"/>
          <w:color w:val="auto"/>
        </w:rPr>
        <w:t>the CAR binds to its target antigen. The first, found in almost all CAR constructs, is called CD3ζ(zeta) and is the natural basis for lymphocyte activation. The second is called a costimulatory domain, is found in the most recent generation of CARs under development today and provides an additional activating signal. Together, these signals trigger lymphocyte activation, resulting in proliferation of the CAR cells and killing of the cancer cell. In addition, activated CAR cells stimulate the secretion of cytokines and other molecules that can thereby recruit and activate additional immune cells to increase killing of the cancer cells.</w:t>
      </w:r>
    </w:p>
    <w:p>
      <w:pPr>
        <w:spacing w:after="0" w:line="17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United States Food and Drug Administration ("FDA") has approved six CAR-based T cell therapies for the treatment of certain types of cancer affecting B-cells since 2017. Each of these therapies is an autologous therapy, or derived from a patient’s own cells, which necessitates a complex, individualized manufacturing process for every patient treated. The approvals of these patient-specific cell therapies were a landmark event for many reasons, including the ability to treat and provide long-term remission for otherwise deadly disease; achieving the run-to-run product consistency required by the FDA despite the complex manufacturing required; and achieving successful reimbursement in the United States and other countries of several hundred thousand dollars per treatment.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Limitations of Current CAR T Therapies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Despite the ability of the approved autologous CAR T therapies to achieve anti-tumor responses and extend the survival of patients with advanced B-cell malignancies, accessibility of these autologous cell therapies remains limited. Only a minority of eligible patients who might benefit from currently approved cell therapies are able to receive them. These therapies have certain features that are believed to limit their accessibility and broader adoption. These features include:</w:t>
      </w:r>
    </w:p>
    <w:p>
      <w:pPr>
        <w:spacing w:after="0" w:line="75" w:lineRule="exact"/>
        <w:rPr>
          <w:sz w:val="20"/>
          <w:szCs w:val="20"/>
          <w:color w:val="auto"/>
        </w:rPr>
      </w:pPr>
    </w:p>
    <w:p>
      <w:pPr>
        <w:ind w:left="1020" w:right="40" w:hanging="503"/>
        <w:spacing w:after="0" w:line="28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Adverse events. </w:t>
      </w:r>
      <w:r>
        <w:rPr>
          <w:rFonts w:ascii="Arial" w:cs="Arial" w:eastAsia="Arial" w:hAnsi="Arial"/>
          <w:sz w:val="17"/>
          <w:szCs w:val="17"/>
          <w:color w:val="auto"/>
        </w:rPr>
        <w:t>According to the product labels for the three CAR T therapies approved for non-Hodgkin lymphoma ("NHL"), cytokine</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syndrome ("CRS") was observed in 46% to 94% of patients treated in the respective pivotal clinical trials. In addition, neurotoxicity was seen in 35% to 87% of patients treated in such trials. Because of the frequency and severity of these adverse events, patients treated with the approved CAR T therapies can require a lengthy stay in an intensive care unit and costly ancillary care.</w:t>
      </w:r>
    </w:p>
    <w:p>
      <w:pPr>
        <w:spacing w:after="0" w:line="56" w:lineRule="exact"/>
        <w:rPr>
          <w:rFonts w:ascii="Arial" w:cs="Arial" w:eastAsia="Arial" w:hAnsi="Arial"/>
          <w:sz w:val="17"/>
          <w:szCs w:val="17"/>
          <w:color w:val="auto"/>
        </w:rPr>
      </w:pPr>
    </w:p>
    <w:p>
      <w:pPr>
        <w:ind w:left="1020" w:right="140" w:hanging="503"/>
        <w:spacing w:after="0" w:line="347"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Availability restricted to select centers. </w:t>
      </w:r>
      <w:r>
        <w:rPr>
          <w:rFonts w:ascii="Arial" w:cs="Arial" w:eastAsia="Arial" w:hAnsi="Arial"/>
          <w:sz w:val="16"/>
          <w:szCs w:val="16"/>
          <w:color w:val="auto"/>
        </w:rPr>
        <w:t>As a condition of FDA approval, treatment with approved CAR T therapies is currently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select centers due to safety, logistical and regulatory reasons under a Risk Evaluation and Mitigation Strategy ("REMS") Program.</w:t>
      </w:r>
    </w:p>
    <w:p>
      <w:pPr>
        <w:spacing w:after="0" w:line="7" w:lineRule="exact"/>
        <w:rPr>
          <w:rFonts w:ascii="Arial" w:cs="Arial" w:eastAsia="Arial" w:hAnsi="Arial"/>
          <w:sz w:val="16"/>
          <w:szCs w:val="16"/>
          <w:color w:val="auto"/>
        </w:rPr>
      </w:pPr>
    </w:p>
    <w:p>
      <w:pPr>
        <w:ind w:left="1020" w:right="5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Accessibility compromised by lengthy manufacturing time. </w:t>
      </w:r>
      <w:r>
        <w:rPr>
          <w:rFonts w:ascii="Arial" w:cs="Arial" w:eastAsia="Arial" w:hAnsi="Arial"/>
          <w:sz w:val="18"/>
          <w:szCs w:val="18"/>
          <w:color w:val="auto"/>
        </w:rPr>
        <w:t>Due to the individualized manufacturing process, patients must wait</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two to four weeks to be treated with their engineered cells. In the registrational trials for the first four approved CAR T therapies, 7% to 34% of enrolled patients did not receive CAR T cells, for reasons including manufacturing failure as well as patient progression or death while waiting for manufacturing.</w:t>
      </w:r>
    </w:p>
    <w:p>
      <w:pPr>
        <w:spacing w:after="0" w:line="71" w:lineRule="exact"/>
        <w:rPr>
          <w:rFonts w:ascii="Arial" w:cs="Arial" w:eastAsia="Arial" w:hAnsi="Arial"/>
          <w:sz w:val="18"/>
          <w:szCs w:val="18"/>
          <w:color w:val="auto"/>
        </w:rPr>
      </w:pPr>
    </w:p>
    <w:p>
      <w:pPr>
        <w:ind w:left="1020" w:right="80" w:hanging="503"/>
        <w:spacing w:after="0" w:line="25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Variable potency. </w:t>
      </w:r>
      <w:r>
        <w:rPr>
          <w:rFonts w:ascii="Arial" w:cs="Arial" w:eastAsia="Arial" w:hAnsi="Arial"/>
          <w:sz w:val="18"/>
          <w:szCs w:val="18"/>
          <w:color w:val="auto"/>
        </w:rPr>
        <w:t>In many cases, patients have T cells that have been damaged or weakened due to prior chemotherapy or hematopoietic</w:t>
      </w:r>
      <w:r>
        <w:rPr>
          <w:rFonts w:ascii="Arial" w:cs="Arial" w:eastAsia="Arial" w:hAnsi="Arial"/>
          <w:sz w:val="18"/>
          <w:szCs w:val="18"/>
          <w:b w:val="1"/>
          <w:bCs w:val="1"/>
          <w:color w:val="auto"/>
        </w:rPr>
        <w:t xml:space="preserve"> </w:t>
      </w:r>
      <w:r>
        <w:rPr>
          <w:rFonts w:ascii="Arial" w:cs="Arial" w:eastAsia="Arial" w:hAnsi="Arial"/>
          <w:sz w:val="18"/>
          <w:szCs w:val="18"/>
          <w:color w:val="auto"/>
        </w:rPr>
        <w:t>stem-cell transplant ("HSCT"). Compromised T cells may not proliferate well during manufacturing or may produce engineered T cells with insufficient potency that cannot be used for patient treatment. This can result in outright manufacturing failures as well as cells with poor expansion and activity in a patient. The individualized nature of autologous manufacturing, together with the inconsistency in patients’ T cells, can cause variable and unpredictable treatment outcomes.</w:t>
      </w:r>
    </w:p>
    <w:p>
      <w:pPr>
        <w:spacing w:after="0" w:line="75" w:lineRule="exact"/>
        <w:rPr>
          <w:rFonts w:ascii="Arial" w:cs="Arial" w:eastAsia="Arial" w:hAnsi="Arial"/>
          <w:sz w:val="18"/>
          <w:szCs w:val="18"/>
          <w:color w:val="auto"/>
        </w:rPr>
      </w:pPr>
    </w:p>
    <w:p>
      <w:pPr>
        <w:ind w:left="1020" w:right="60" w:hanging="503"/>
        <w:spacing w:after="0" w:line="25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High manufacturing complexity and cost. </w:t>
      </w:r>
      <w:r>
        <w:rPr>
          <w:rFonts w:ascii="Arial" w:cs="Arial" w:eastAsia="Arial" w:hAnsi="Arial"/>
          <w:sz w:val="18"/>
          <w:szCs w:val="18"/>
          <w:color w:val="auto"/>
        </w:rPr>
        <w:t>The manufacture of autologous T cell therapy is individualized and labor-intensive.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of T cells through leukapheresis from each individual patient is a time-consuming and costly step in the autologous manufacturing process. In contrast to traditional pharmaceutical manufacturing where a single manufacturing run generates product for hundreds or thousands of patients, a full manufacturing run of autologous T cell therapy generates product for a single patient. In addition, autologous T cell therapy requires specialized infrastructure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left="1020" w:right="240"/>
        <w:spacing w:after="0" w:line="277" w:lineRule="auto"/>
        <w:rPr>
          <w:sz w:val="20"/>
          <w:szCs w:val="20"/>
          <w:color w:val="auto"/>
        </w:rPr>
      </w:pPr>
      <w:r>
        <w:rPr>
          <w:rFonts w:ascii="Arial" w:cs="Arial" w:eastAsia="Arial" w:hAnsi="Arial"/>
          <w:sz w:val="18"/>
          <w:szCs w:val="18"/>
          <w:color w:val="auto"/>
        </w:rPr>
        <w:t>maintain a strict chain of custody and identity of patient cells throughout collection, manufacturing and delivery, adding significant cost to the process and limiting the ability to scale.</w:t>
      </w:r>
    </w:p>
    <w:p>
      <w:pPr>
        <w:spacing w:after="0" w:line="170"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These limitations are difficult to address as many are inherent to fundamental aspects of T cell biology. CRS, which accounts for many of the adverse events which in part limit availability, is believed to be a consequence of the exponential expansion of T cells upon detection of a target antigen. Manufacturing time, product variability, and cost are due in great part to the autologous nature of approved CAR T therapies. These limitations might be mitigated by using donor-derived allogeneic T cells, but application of allogeneic T cells without additional gene edits, human leukocyte antigen ("HLA"), matching or modifications carries a high risk that donor T cells might recognize the recipient as “non-self” and cause Graft-versus-host disease ("GvHD"), a serious or life-threatening condition where the donor’s T cells attack the recipient’s body.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Allogeneic NK Cell Therapies</w:t>
      </w:r>
    </w:p>
    <w:p>
      <w:pPr>
        <w:spacing w:after="0" w:line="11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development of allogeneic, off-the-shelf cell therapies addresses certain limitations of autologous CAR T cells by offering these potential advantages:</w:t>
      </w:r>
    </w:p>
    <w:p>
      <w:pPr>
        <w:spacing w:after="0" w:line="58" w:lineRule="exact"/>
        <w:rPr>
          <w:sz w:val="20"/>
          <w:szCs w:val="20"/>
          <w:color w:val="auto"/>
        </w:rPr>
      </w:pPr>
    </w:p>
    <w:p>
      <w:pPr>
        <w:ind w:left="1020" w:right="20" w:hanging="503"/>
        <w:spacing w:after="0" w:line="289"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Tolerability. </w:t>
      </w:r>
      <w:r>
        <w:rPr>
          <w:rFonts w:ascii="Arial" w:cs="Arial" w:eastAsia="Arial" w:hAnsi="Arial"/>
          <w:sz w:val="17"/>
          <w:szCs w:val="17"/>
          <w:color w:val="auto"/>
        </w:rPr>
        <w:t>In initial clinical data reported by us and others, patients who received allogeneic NK cell therapies did not experience the more</w:t>
      </w:r>
      <w:r>
        <w:rPr>
          <w:rFonts w:ascii="Arial" w:cs="Arial" w:eastAsia="Arial" w:hAnsi="Arial"/>
          <w:sz w:val="17"/>
          <w:szCs w:val="17"/>
          <w:b w:val="1"/>
          <w:bCs w:val="1"/>
          <w:color w:val="auto"/>
        </w:rPr>
        <w:t xml:space="preserve"> </w:t>
      </w:r>
      <w:r>
        <w:rPr>
          <w:rFonts w:ascii="Arial" w:cs="Arial" w:eastAsia="Arial" w:hAnsi="Arial"/>
          <w:sz w:val="17"/>
          <w:szCs w:val="17"/>
          <w:color w:val="auto"/>
        </w:rPr>
        <w:t>severe adverse events that are commonly associated with approved autologous CAR T cell therapies. This emerging safety profile of allogeneic NK cell therapies may enable their use in outpatient settings and broader access to treatment.</w:t>
      </w:r>
    </w:p>
    <w:p>
      <w:pPr>
        <w:spacing w:after="0" w:line="49" w:lineRule="exact"/>
        <w:rPr>
          <w:rFonts w:ascii="Arial" w:cs="Arial" w:eastAsia="Arial" w:hAnsi="Arial"/>
          <w:sz w:val="17"/>
          <w:szCs w:val="17"/>
          <w:color w:val="auto"/>
        </w:rPr>
      </w:pPr>
    </w:p>
    <w:p>
      <w:pPr>
        <w:ind w:left="1020" w:right="100" w:hanging="503"/>
        <w:spacing w:after="0" w:line="28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Availability. </w:t>
      </w:r>
      <w:r>
        <w:rPr>
          <w:rFonts w:ascii="Arial" w:cs="Arial" w:eastAsia="Arial" w:hAnsi="Arial"/>
          <w:sz w:val="18"/>
          <w:szCs w:val="18"/>
          <w:color w:val="auto"/>
        </w:rPr>
        <w:t>Because an allogeneic NK cell therapy is produced in quantity then frozen in advance of patient need, it would be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on-demand administration to patients in an outpatient setting.</w:t>
      </w:r>
    </w:p>
    <w:p>
      <w:pPr>
        <w:spacing w:after="0" w:line="53" w:lineRule="exact"/>
        <w:rPr>
          <w:rFonts w:ascii="Arial" w:cs="Arial" w:eastAsia="Arial" w:hAnsi="Arial"/>
          <w:sz w:val="18"/>
          <w:szCs w:val="18"/>
          <w:color w:val="auto"/>
        </w:rPr>
      </w:pPr>
    </w:p>
    <w:p>
      <w:pPr>
        <w:ind w:left="1020" w:right="40" w:hanging="503"/>
        <w:spacing w:after="0" w:line="347"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Consistency. </w:t>
      </w:r>
      <w:r>
        <w:rPr>
          <w:rFonts w:ascii="Arial" w:cs="Arial" w:eastAsia="Arial" w:hAnsi="Arial"/>
          <w:sz w:val="16"/>
          <w:szCs w:val="16"/>
          <w:color w:val="auto"/>
        </w:rPr>
        <w:t>By using true NK cells from a healthy donor as starting material, and producing large numbers of doses per manufacturing run,</w:t>
      </w:r>
      <w:r>
        <w:rPr>
          <w:rFonts w:ascii="Arial" w:cs="Arial" w:eastAsia="Arial" w:hAnsi="Arial"/>
          <w:sz w:val="16"/>
          <w:szCs w:val="16"/>
          <w:b w:val="1"/>
          <w:bCs w:val="1"/>
          <w:color w:val="auto"/>
        </w:rPr>
        <w:t xml:space="preserve"> </w:t>
      </w:r>
      <w:r>
        <w:rPr>
          <w:rFonts w:ascii="Arial" w:cs="Arial" w:eastAsia="Arial" w:hAnsi="Arial"/>
          <w:sz w:val="16"/>
          <w:szCs w:val="16"/>
          <w:color w:val="auto"/>
        </w:rPr>
        <w:t>an allogeneic NK cell therapy provides the opportunity for more rigorous quality control and release of consistent engineered cells.</w:t>
      </w:r>
    </w:p>
    <w:p>
      <w:pPr>
        <w:spacing w:after="0" w:line="7" w:lineRule="exact"/>
        <w:rPr>
          <w:rFonts w:ascii="Arial" w:cs="Arial" w:eastAsia="Arial" w:hAnsi="Arial"/>
          <w:sz w:val="16"/>
          <w:szCs w:val="16"/>
          <w:color w:val="auto"/>
        </w:rPr>
      </w:pPr>
    </w:p>
    <w:p>
      <w:pPr>
        <w:ind w:left="1020" w:right="400" w:hanging="503"/>
        <w:spacing w:after="0" w:line="28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Cost of manufacturing. </w:t>
      </w:r>
      <w:r>
        <w:rPr>
          <w:rFonts w:ascii="Arial" w:cs="Arial" w:eastAsia="Arial" w:hAnsi="Arial"/>
          <w:sz w:val="18"/>
          <w:szCs w:val="18"/>
          <w:color w:val="auto"/>
        </w:rPr>
        <w:t>An allogeneic NK cell therapy provides an opportunity to spread manufacturing costs across a large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doses, thereby significantly lowering the cost per dose produced.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 for Engineered NK Cells in Treating Cancer</w:t>
      </w:r>
    </w:p>
    <w:p>
      <w:pPr>
        <w:spacing w:after="0" w:line="121"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The development of CAR NK therapies can capitalize on the knowledge and experience gained from decades of CAR T research. Furthermore, the biology of NK cells offers potential advantages as the starting cell type for allogeneic, off-the-shelf engineered cell therapy. These advantages include:</w:t>
      </w:r>
    </w:p>
    <w:p>
      <w:pPr>
        <w:spacing w:after="0" w:line="12" w:lineRule="exact"/>
        <w:rPr>
          <w:sz w:val="20"/>
          <w:szCs w:val="20"/>
          <w:color w:val="auto"/>
        </w:rPr>
      </w:pPr>
    </w:p>
    <w:p>
      <w:pPr>
        <w:ind w:left="1020" w:right="40" w:hanging="503"/>
        <w:spacing w:after="0" w:line="294"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Inherent anticancer activity. </w:t>
      </w:r>
      <w:r>
        <w:rPr>
          <w:rFonts w:ascii="Arial" w:cs="Arial" w:eastAsia="Arial" w:hAnsi="Arial"/>
          <w:sz w:val="16"/>
          <w:szCs w:val="16"/>
          <w:color w:val="auto"/>
        </w:rPr>
        <w:t>We conducted a systematic literature review of published clinical trial results of allogeneic NK cells in cancer,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identified a 34% composite response rate ("Aggregate CR Rate") among 103 patients with r/r AML who were treated with non-engineered NK cells across six academic clinical studies. The Aggregate CR Rate includes complete remission with hematologic recovery ("CR"), complete remission with incomplete count (hematologic) recovery, and morphologic leukemia free state. These data demonstrate the anticancer activity of endogenous NK cells, and support the opportunity for increasing the activity of NK cells through engineering. In 2022, we reported initial data from our two lead programs demonstrating preliminary favorable safety and efficacy profiles.</w:t>
      </w:r>
    </w:p>
    <w:p>
      <w:pPr>
        <w:spacing w:after="0" w:line="51" w:lineRule="exact"/>
        <w:rPr>
          <w:rFonts w:ascii="Arial" w:cs="Arial" w:eastAsia="Arial" w:hAnsi="Arial"/>
          <w:sz w:val="16"/>
          <w:szCs w:val="16"/>
          <w:color w:val="auto"/>
        </w:rPr>
      </w:pPr>
    </w:p>
    <w:p>
      <w:pPr>
        <w:ind w:left="1020" w:hanging="503"/>
        <w:spacing w:after="0" w:line="26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Allogeneic and off-the-shelf without genome editing or other modifications. </w:t>
      </w:r>
      <w:r>
        <w:rPr>
          <w:rFonts w:ascii="Arial" w:cs="Arial" w:eastAsia="Arial" w:hAnsi="Arial"/>
          <w:sz w:val="18"/>
          <w:szCs w:val="18"/>
          <w:color w:val="auto"/>
        </w:rPr>
        <w:t>Because NK cells are not generally activated by “non-self”</w:t>
      </w:r>
      <w:r>
        <w:rPr>
          <w:rFonts w:ascii="Arial" w:cs="Arial" w:eastAsia="Arial" w:hAnsi="Arial"/>
          <w:sz w:val="18"/>
          <w:szCs w:val="18"/>
          <w:b w:val="1"/>
          <w:bCs w:val="1"/>
          <w:color w:val="auto"/>
        </w:rPr>
        <w:t xml:space="preserve"> </w:t>
      </w:r>
      <w:r>
        <w:rPr>
          <w:rFonts w:ascii="Arial" w:cs="Arial" w:eastAsia="Arial" w:hAnsi="Arial"/>
          <w:sz w:val="18"/>
          <w:szCs w:val="18"/>
          <w:color w:val="auto"/>
        </w:rPr>
        <w:t>cells, further modification of NK cells is not necessary to avoid the risk of GvHD and thereby produce an allogeneic, off-the-shelf engineered NK cell therapy.</w:t>
      </w:r>
    </w:p>
    <w:p>
      <w:pPr>
        <w:spacing w:after="0" w:line="6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Modest clonal expansion and therefore potential for reduced CRS risk. </w:t>
      </w:r>
      <w:r>
        <w:rPr>
          <w:rFonts w:ascii="Arial" w:cs="Arial" w:eastAsia="Arial" w:hAnsi="Arial"/>
          <w:sz w:val="18"/>
          <w:szCs w:val="18"/>
          <w:color w:val="auto"/>
        </w:rPr>
        <w:t>While T cells experience exponential growth when activated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antigen, NK cells expand only modestly upon activation. The explosive growth of T cells is believed to be the basis of the risk of CRS when CAR T cells are administered to patients. However, a significant incidence of CRS has not been reported in medical literature for NK cell therapy or by us in initial clinical data reported in 2022.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left="1020" w:right="360" w:hanging="503"/>
        <w:spacing w:after="0" w:line="30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Balance of activation and inhibition. </w:t>
      </w:r>
      <w:r>
        <w:rPr>
          <w:rFonts w:ascii="Arial" w:cs="Arial" w:eastAsia="Arial" w:hAnsi="Arial"/>
          <w:sz w:val="16"/>
          <w:szCs w:val="16"/>
          <w:color w:val="auto"/>
        </w:rPr>
        <w:t>The activity of NK cells is tightly regulated by a common set of activating receptors that serve to</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 and kill cancerous or virally infected cells, as well as a set of inhibitory receptors that identify healthy cells from the same individual. This balance of inhibition and activation spares healthy cells from the surveillance and killing effects of the innate immune system. Therefore, the fundamental biology of CAR NK cells drives their ability to discriminate between healthy and tumor cells.</w:t>
      </w:r>
    </w:p>
    <w:p>
      <w:pPr>
        <w:spacing w:after="0" w:line="42" w:lineRule="exact"/>
        <w:rPr>
          <w:rFonts w:ascii="Arial" w:cs="Arial" w:eastAsia="Arial" w:hAnsi="Arial"/>
          <w:sz w:val="16"/>
          <w:szCs w:val="16"/>
          <w:color w:val="auto"/>
        </w:rPr>
      </w:pPr>
    </w:p>
    <w:p>
      <w:pPr>
        <w:ind w:left="1020" w:right="20" w:hanging="503"/>
        <w:spacing w:after="0" w:line="273"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Ability to overcome tumor evasion of the immune system. </w:t>
      </w:r>
      <w:r>
        <w:rPr>
          <w:rFonts w:ascii="Arial" w:cs="Arial" w:eastAsia="Arial" w:hAnsi="Arial"/>
          <w:sz w:val="17"/>
          <w:szCs w:val="17"/>
          <w:color w:val="auto"/>
        </w:rPr>
        <w:t>Many solid tumors are able to evade the immune system by creating an</w:t>
      </w:r>
      <w:r>
        <w:rPr>
          <w:rFonts w:ascii="Arial" w:cs="Arial" w:eastAsia="Arial" w:hAnsi="Arial"/>
          <w:sz w:val="17"/>
          <w:szCs w:val="17"/>
          <w:b w:val="1"/>
          <w:bCs w:val="1"/>
          <w:color w:val="auto"/>
        </w:rPr>
        <w:t xml:space="preserve"> </w:t>
      </w:r>
      <w:r>
        <w:rPr>
          <w:rFonts w:ascii="Arial" w:cs="Arial" w:eastAsia="Arial" w:hAnsi="Arial"/>
          <w:sz w:val="17"/>
          <w:szCs w:val="17"/>
          <w:color w:val="auto"/>
        </w:rPr>
        <w:t>immunosuppressive environment around the cancerous cells, which can dramatically reduce the normal tumor-killing ability of the immune system. This tumor microenvironment involves down-regulators of immune response, including regulatory T cells and myeloid-derived suppressor cells. However, these cell types also display NKG2D ligands, and preclinical models demonstrate that clearance of these cells can reduce immune suppression from the tumor microenvironment. Therefore, by acting through NKG2D, CAR NK cells may be able to reduce the immune suppression of the tumor microenvironment, and therefore uncover a broader opportunity for immuno-oncology cell therapy development for the treatment of solid tumors.</w:t>
      </w:r>
    </w:p>
    <w:p>
      <w:pPr>
        <w:spacing w:after="0" w:line="63"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Ability to re-dose to deepen or consolidate patient responses. </w:t>
      </w:r>
      <w:r>
        <w:rPr>
          <w:rFonts w:ascii="Arial" w:cs="Arial" w:eastAsia="Arial" w:hAnsi="Arial"/>
          <w:sz w:val="18"/>
          <w:szCs w:val="18"/>
          <w:color w:val="auto"/>
        </w:rPr>
        <w:t>NK cells provide a unique opportunity to optimize responses and manage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toxicities through re-dosing and retreatment. The favorable safety profile of NK cells observed to date combined with their off-the-shelf availability allows patients who achieve a partial response to be treated again to potentially deepen their response, and for those patients who achieve a complete response, additional doses of cells can be administered to consolidate their response. Retreatment is also possible in patients who progress after clinical benefit.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Challenges with Developing NK Cell Therapies</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We believe that the emerging data from our clinical trials of NK cell products along with the prior academic experience with NK cells validate the opportunity for NK cells for the treatment of different cancers. To achieve a commercially viable engineered NK cell therapy, we believe that a number of challenges inherent with NK cells must be addressed. These include the following:</w:t>
      </w:r>
    </w:p>
    <w:p>
      <w:pPr>
        <w:spacing w:after="0" w:line="72" w:lineRule="exact"/>
        <w:rPr>
          <w:sz w:val="20"/>
          <w:szCs w:val="20"/>
          <w:color w:val="auto"/>
        </w:rPr>
      </w:pPr>
    </w:p>
    <w:p>
      <w:pPr>
        <w:jc w:val="both"/>
        <w:ind w:left="1020" w:right="160" w:hanging="503"/>
        <w:spacing w:after="0" w:line="26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Expansion. </w:t>
      </w:r>
      <w:r>
        <w:rPr>
          <w:rFonts w:ascii="Arial" w:cs="Arial" w:eastAsia="Arial" w:hAnsi="Arial"/>
          <w:sz w:val="18"/>
          <w:szCs w:val="18"/>
          <w:color w:val="auto"/>
        </w:rPr>
        <w:t>One of the historical challenges in treating patients with NK cells has been the lack of robust techniques to grow these cells in</w:t>
      </w:r>
      <w:r>
        <w:rPr>
          <w:rFonts w:ascii="Arial" w:cs="Arial" w:eastAsia="Arial" w:hAnsi="Arial"/>
          <w:sz w:val="18"/>
          <w:szCs w:val="18"/>
          <w:b w:val="1"/>
          <w:bCs w:val="1"/>
          <w:color w:val="auto"/>
        </w:rPr>
        <w:t xml:space="preserve"> </w:t>
      </w:r>
      <w:r>
        <w:rPr>
          <w:rFonts w:ascii="Arial" w:cs="Arial" w:eastAsia="Arial" w:hAnsi="Arial"/>
          <w:sz w:val="18"/>
          <w:szCs w:val="18"/>
          <w:color w:val="auto"/>
        </w:rPr>
        <w:t>large numbers without causing exhaustion, or the inability of the expanded NK cells to kill tumor cells with the same potency as native NK cells.</w:t>
      </w:r>
    </w:p>
    <w:p>
      <w:pPr>
        <w:spacing w:after="0" w:line="67" w:lineRule="exact"/>
        <w:rPr>
          <w:rFonts w:ascii="Arial" w:cs="Arial" w:eastAsia="Arial" w:hAnsi="Arial"/>
          <w:sz w:val="18"/>
          <w:szCs w:val="18"/>
          <w:color w:val="auto"/>
        </w:rPr>
      </w:pPr>
    </w:p>
    <w:p>
      <w:pPr>
        <w:ind w:left="1020" w:right="360" w:hanging="503"/>
        <w:spacing w:after="0" w:line="28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Primary NK cells have been reported to be difficult to engineer efficiently. Poor efficiency of engineering could limit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potency and consistency of engineered NK cell therapies.</w:t>
      </w:r>
    </w:p>
    <w:p>
      <w:pPr>
        <w:spacing w:after="0" w:line="53" w:lineRule="exact"/>
        <w:rPr>
          <w:rFonts w:ascii="Arial" w:cs="Arial" w:eastAsia="Arial" w:hAnsi="Arial"/>
          <w:sz w:val="18"/>
          <w:szCs w:val="18"/>
          <w:color w:val="auto"/>
        </w:rPr>
      </w:pPr>
    </w:p>
    <w:p>
      <w:pPr>
        <w:ind w:left="1020" w:right="300" w:hanging="503"/>
        <w:spacing w:after="0" w:line="282"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Persistence. </w:t>
      </w:r>
      <w:r>
        <w:rPr>
          <w:rFonts w:ascii="Arial" w:cs="Arial" w:eastAsia="Arial" w:hAnsi="Arial"/>
          <w:sz w:val="18"/>
          <w:szCs w:val="18"/>
          <w:color w:val="auto"/>
        </w:rPr>
        <w:t>Non-engineered human NK cells turn over rapidly, with a half-life of seven to 10 days in the body. This short lifetime could</w:t>
      </w:r>
      <w:r>
        <w:rPr>
          <w:rFonts w:ascii="Arial" w:cs="Arial" w:eastAsia="Arial" w:hAnsi="Arial"/>
          <w:sz w:val="18"/>
          <w:szCs w:val="18"/>
          <w:b w:val="1"/>
          <w:bCs w:val="1"/>
          <w:color w:val="auto"/>
        </w:rPr>
        <w:t xml:space="preserve"> </w:t>
      </w:r>
      <w:r>
        <w:rPr>
          <w:rFonts w:ascii="Arial" w:cs="Arial" w:eastAsia="Arial" w:hAnsi="Arial"/>
          <w:sz w:val="18"/>
          <w:szCs w:val="18"/>
          <w:color w:val="auto"/>
        </w:rPr>
        <w:t>limit the cancer-killing ability of these NK cells.</w:t>
      </w:r>
    </w:p>
    <w:p>
      <w:pPr>
        <w:spacing w:after="0" w:line="53" w:lineRule="exact"/>
        <w:rPr>
          <w:rFonts w:ascii="Arial" w:cs="Arial" w:eastAsia="Arial" w:hAnsi="Arial"/>
          <w:sz w:val="18"/>
          <w:szCs w:val="18"/>
          <w:color w:val="auto"/>
        </w:rPr>
      </w:pPr>
    </w:p>
    <w:p>
      <w:pPr>
        <w:ind w:left="1020" w:hanging="503"/>
        <w:spacing w:after="0" w:line="26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Cryopreservation. </w:t>
      </w:r>
      <w:r>
        <w:rPr>
          <w:rFonts w:ascii="Arial" w:cs="Arial" w:eastAsia="Arial" w:hAnsi="Arial"/>
          <w:sz w:val="18"/>
          <w:szCs w:val="18"/>
          <w:color w:val="auto"/>
        </w:rPr>
        <w:t>Without cryopreservation, a truly off-the-shelf engineered NK cell therapy would be challenging to commercialize.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freezing then thawing NK cells while maintaining cancer cell killing potency is difficult to achieve using standard techniques for T cell cryopreservation.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NK Cell Engineering Platform</w:t>
      </w:r>
    </w:p>
    <w:p>
      <w:pPr>
        <w:spacing w:after="0" w:line="12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Our cell engineering platform is designed to operationalize the full therapeutic potential of NK cells and address the limitations and challenges of current technologies for engineering T cells and NK cells. The platform is a result of our internal expertise and deep understanding of NK cell biology. It includes proprietary technologies for NK cell expansion, persistence, targeting, genome editing, and cryopreservation. This enables us to generate an abundant supply of NK cells, engineer enhanced NK cell recognition of tumor targets, improve the persistence of these cells for sustained activity in the body, and to freeze, transport and store our engineered NK cells for off-the-shelf use for the treatment of cancer.</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We have chosen to use healthy adult donors as our source for NK cells. We believe this offers a number of advantages including:</w:t>
      </w:r>
    </w:p>
    <w:p>
      <w:pPr>
        <w:spacing w:after="0" w:line="117" w:lineRule="exact"/>
        <w:rPr>
          <w:sz w:val="20"/>
          <w:szCs w:val="20"/>
          <w:color w:val="auto"/>
        </w:rPr>
      </w:pPr>
    </w:p>
    <w:p>
      <w:pPr>
        <w:ind w:left="1020" w:right="220" w:hanging="503"/>
        <w:spacing w:after="0" w:line="34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Starting with differentiated, natural, and mature NK cells with inherent cytotoxic and tumor-recognizing capabilities, as compared to other cell sources such as stem cells, which must be artificially manipulated in an in vitro setting to reproduce these fundamental features;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large number of NK cells as starting material for each manufacturing run, as compared to other potential sources of NK cells;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select donors with consistent and favorable NK cell characteristics, thereby avoiding challenges with patient-derived or other cell sources; and</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diverse repertoire of NK cells. Different NK cell sub-populations have different characteristics, and by utilizing the entire natural gamut of NK cells as our cell source, we can capitalize on the inherent diversity of the innate immune system.</w:t>
      </w:r>
    </w:p>
    <w:p>
      <w:pPr>
        <w:spacing w:after="0" w:line="170"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Below are the five core technologies that comprise our proprietary platform. Each of these technologies is part of an integrated approach to develop potent, scalable, and consistent NK cell products:</w:t>
      </w:r>
    </w:p>
    <w:p>
      <w:pPr>
        <w:spacing w:after="0" w:line="16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b w:val="1"/>
          <w:bCs w:val="1"/>
          <w:color w:val="auto"/>
        </w:rPr>
        <w:t xml:space="preserve">Expansion. </w:t>
      </w:r>
      <w:r>
        <w:rPr>
          <w:rFonts w:ascii="Arial" w:cs="Arial" w:eastAsia="Arial" w:hAnsi="Arial"/>
          <w:sz w:val="17"/>
          <w:szCs w:val="17"/>
          <w:color w:val="auto"/>
        </w:rPr>
        <w:t>The first pillar of our technology platform enables NK cell expansion without causing cell exhaustion. Our NKSTIM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engineered with mbIL-15 as well as a protein named 4-1BB ligand ("4-1BBL"). IL-15 is a naturally occurring growth protein that induces cell proliferation in NK cells. 4-1BBL binds to 4-1BB, a receptor normally found on NK cells that stimulates NK cell division and expansion. Therefore, NKSTIM is selectively able to stimulate the expansion of NK cells as compared to other leukocytes, and thereby provide large numbers of NK cells. Based on our current process and early cGMP manufacturing experience, we believe that we can produce many hundreds of doses from a single manufacturing run. At the 2022 Annual Meeting of the Society for Immunotherapy of Cancer ("SITC"), we presented data demonstrating further optimization of our core process could allow the production of several thousand doses from a single manufacturing run.</w:t>
      </w:r>
    </w:p>
    <w:p>
      <w:pPr>
        <w:spacing w:after="0" w:line="172" w:lineRule="exact"/>
        <w:rPr>
          <w:sz w:val="20"/>
          <w:szCs w:val="20"/>
          <w:color w:val="auto"/>
        </w:rPr>
      </w:pPr>
    </w:p>
    <w:p>
      <w:pPr>
        <w:jc w:val="both"/>
        <w:ind w:right="240" w:firstLine="509"/>
        <w:spacing w:after="0" w:line="289" w:lineRule="auto"/>
        <w:rPr>
          <w:sz w:val="20"/>
          <w:szCs w:val="20"/>
          <w:color w:val="auto"/>
        </w:rPr>
      </w:pPr>
      <w:r>
        <w:rPr>
          <w:rFonts w:ascii="Arial" w:cs="Arial" w:eastAsia="Arial" w:hAnsi="Arial"/>
          <w:sz w:val="16"/>
          <w:szCs w:val="16"/>
          <w:b w:val="1"/>
          <w:bCs w:val="1"/>
          <w:color w:val="auto"/>
        </w:rPr>
        <w:t xml:space="preserve">Persistence. </w:t>
      </w:r>
      <w:r>
        <w:rPr>
          <w:rFonts w:ascii="Arial" w:cs="Arial" w:eastAsia="Arial" w:hAnsi="Arial"/>
          <w:sz w:val="16"/>
          <w:szCs w:val="16"/>
          <w:color w:val="auto"/>
        </w:rPr>
        <w:t>Pharmacokinetics of allogeneic NK cells will be limited by both immune suppression of allogeneic cells following lymphodepleting</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conditioning ("LD"), and by the intrinsic half-life of the administered cells. The second component of our technology platform is engineering NK cells with mbIL-15 to enhance persistence relative to non-engineered NK cells. We believe increased persistence could result in improved clinical activity.</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Because IL-15 is a selective driver of NK activation and expansion, tethering IL-15 to the surface of our engineered NK cells serves to stimulate the naturally occurring IL-15 receptor on these NKs, and thereby provide weeks of persistence in immune-deficient animal models. Because mbIL-15 selectively stimulates NK cells without elevating soluble IL-15 concentration, we believe that mbIL-15 provides meaningful advantages as compared to secreted IL-15 or the systemic administration of other cytokines such as IL-2 or IL-21. The first graph below shows data from a cell culture experiment which demonstrates the increase of the number and persistence of NK cells engineered with mbIL-15, as compared to unmodified NK cells or NK cells expressing soluble IL-15. The second graph below shows the increased number and persistence in mice of NK cells engineered with mbIL-15, as compared to unmodified NK cells, as a percentage of total peripheral blood mononuclear cells ("PBMCs").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226060</wp:posOffset>
            </wp:positionV>
            <wp:extent cx="5323205" cy="3574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23205"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Source: Imamura et al., Blood. 2014 Aug 14;124(7):1081-8</w:t>
      </w:r>
    </w:p>
    <w:p>
      <w:pPr>
        <w:spacing w:after="0" w:line="18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380365</wp:posOffset>
            </wp:positionV>
            <wp:extent cx="5288915" cy="3694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288915"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b w:val="1"/>
          <w:bCs w:val="1"/>
          <w:color w:val="auto"/>
        </w:rPr>
        <w:t xml:space="preserve">Targeting and Signaling. </w:t>
      </w:r>
      <w:r>
        <w:rPr>
          <w:rFonts w:ascii="Arial" w:cs="Arial" w:eastAsia="Arial" w:hAnsi="Arial"/>
          <w:sz w:val="18"/>
          <w:szCs w:val="18"/>
          <w:color w:val="auto"/>
        </w:rPr>
        <w:t>The third element of our technology platform is CARs optimized for NK cells, based on extensive preclinical evaluation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different possible constructs. We have performed extensive optimization of the CARs that serve to target our engineered NK cells to cancer cells as well as provide signals that engage the cancer cell killing activity found naturally in NK cells. For both NKX101 and NKX019, we have found that using the OX40 costimulatory domain enhances the ability of the engineered NK cells to kill cancerous cells repeatedly in several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 as compared to CAR NK cells that include other costimulatory domains commonly used for CAR T cells. We confirmed these findings in animal models for both product candidates.</w:t>
      </w:r>
    </w:p>
    <w:p>
      <w:pPr>
        <w:spacing w:after="0" w:line="25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b w:val="1"/>
          <w:bCs w:val="1"/>
          <w:color w:val="auto"/>
        </w:rPr>
        <w:t xml:space="preserve">Genome Editing. </w:t>
      </w:r>
      <w:r>
        <w:rPr>
          <w:rFonts w:ascii="Arial" w:cs="Arial" w:eastAsia="Arial" w:hAnsi="Arial"/>
          <w:sz w:val="18"/>
          <w:szCs w:val="18"/>
          <w:color w:val="auto"/>
        </w:rPr>
        <w:t>The fourth component of our platform is the ability to edit our NK cells using CRISPR-Cas9 technology. Through our</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CRISPR, we have identified a number of genomic modifications that serve to further enhance the cytotoxicity and resistance to tumor-mediated immune suppression. We have shown that knocking out certain genes can prolong the persistence and activity of CAR NK cells, and improve their resistance to suppression by the tumor microenvironment.</w:t>
      </w:r>
    </w:p>
    <w:p>
      <w:pPr>
        <w:spacing w:after="0" w:line="180"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b w:val="1"/>
          <w:bCs w:val="1"/>
          <w:color w:val="auto"/>
        </w:rPr>
        <w:t xml:space="preserve">Cryopreservation. </w:t>
      </w:r>
      <w:r>
        <w:rPr>
          <w:rFonts w:ascii="Arial" w:cs="Arial" w:eastAsia="Arial" w:hAnsi="Arial"/>
          <w:sz w:val="16"/>
          <w:szCs w:val="16"/>
          <w:color w:val="auto"/>
        </w:rPr>
        <w:t>The fifth constituent of our technology platform is cryopreservation of our engineered NK cells, the ability to freeze and store</w:t>
      </w:r>
      <w:r>
        <w:rPr>
          <w:rFonts w:ascii="Arial" w:cs="Arial" w:eastAsia="Arial" w:hAnsi="Arial"/>
          <w:sz w:val="16"/>
          <w:szCs w:val="16"/>
          <w:b w:val="1"/>
          <w:bCs w:val="1"/>
          <w:color w:val="auto"/>
        </w:rPr>
        <w:t xml:space="preserve"> </w:t>
      </w:r>
      <w:r>
        <w:rPr>
          <w:rFonts w:ascii="Arial" w:cs="Arial" w:eastAsia="Arial" w:hAnsi="Arial"/>
          <w:sz w:val="16"/>
          <w:szCs w:val="16"/>
          <w:color w:val="auto"/>
        </w:rPr>
        <w:t>these cells for an extended time. The development of robust cryopreservation techniques is a result of our insight into the biology of engineered NK cells as well as extensive experimental optimization. Based on our preclinical data, we are able to freeze and subsequently thaw individual doses of engineered NK cells without significant loss of cancer cell killing potency of our engineered NK cells as shown in the graph below. Cryopreservation of our allogeneic CAR NK cells will enable their off-the-shelf use in medical centers around the world, for administration to a patient at any time. Therefore, we believe that our cryopreservation of CAR NK cells will enable us to achieve the attractive commercial profile of an off-the-shelf, allogeneic cell therapy.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380365</wp:posOffset>
            </wp:positionV>
            <wp:extent cx="5314950" cy="3008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1495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believe that these key elements of our technology platform have the potential to grant us a key competitive advantage if our product candidates are approved. As illustrated in the image below, our engineered CAR NK cells generally consist of an NK cell engineered with a swappable targeting receptor, OX40 costimulatory domain, CD3ζ(zeta) signaling moiety, and mbIL-15.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211455</wp:posOffset>
            </wp:positionV>
            <wp:extent cx="5306060" cy="3068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0606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Our Pipeline of Product Candidates and Discovery Programs</w:t>
      </w:r>
    </w:p>
    <w:p>
      <w:pPr>
        <w:spacing w:after="0" w:line="121" w:lineRule="exact"/>
        <w:rPr>
          <w:sz w:val="20"/>
          <w:szCs w:val="20"/>
          <w:color w:val="auto"/>
        </w:rPr>
      </w:pPr>
    </w:p>
    <w:p>
      <w:pPr>
        <w:jc w:val="both"/>
        <w:ind w:right="480" w:firstLine="509"/>
        <w:spacing w:after="0" w:line="263" w:lineRule="auto"/>
        <w:rPr>
          <w:sz w:val="20"/>
          <w:szCs w:val="20"/>
          <w:color w:val="auto"/>
        </w:rPr>
      </w:pPr>
      <w:r>
        <w:rPr>
          <w:rFonts w:ascii="Arial" w:cs="Arial" w:eastAsia="Arial" w:hAnsi="Arial"/>
          <w:sz w:val="18"/>
          <w:szCs w:val="18"/>
          <w:color w:val="auto"/>
        </w:rPr>
        <w:t>All of our product candidates and discovery programs incorporate each of the four components of our technology platform, which we believe provides the best opportunity for achieving clinically meaningful results in our development program. Our current pipeline of product candidates and discovery programs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57150</wp:posOffset>
            </wp:positionV>
            <wp:extent cx="5349240" cy="2802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NKX101</w:t>
      </w:r>
    </w:p>
    <w:p>
      <w:pPr>
        <w:spacing w:after="0" w:line="117"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Our product candidate NKX101 consists of allogeneic, donor-derived and expanded NK cells that have been genetically engineered to express mbIL-15 along with a CAR containing an NKG2D activating receptor, an OX40 costimulatory domain and a CD3ζ(zeta) signaling moiety. We have designed NKX101 to increase longevity, potency and activity as compared to non-engineered NK cells. NKG2D is a primary activating receptor for NK cells, triggered through binding to any of eight known stress ligands frequently expressed on cancerous or virally infected cells. The detection of these ligands by NKG2D is a primary basis for tumor surveillance by NK cells and contributes to the mechanism of action for NKX101. We believe that the activity of non-engineered NK cells in treating cancer, previously described by others, validates targeting NKG2D ligands through the NKG2D receptor as the mechanism of action for NKX101. NKX101 is currently being studied in a Phase 1 monotherapy clinical trial investigating NKX101 for the treatment of r/r AML and higher-risk MDS. This multi-center, first-in-human study evaluates the safety, pharmacology, and preliminary anti-tumor activity of NKX101 administered in a cycle of either three weekly infusions (Regimen A) or two weekly infusions (Regimen B) following LD. Based on tumor response and tolerability, multiple treatment cycles can be administered. The clinical trial consists of dose-finding followed by dose-expansion and is designed to identify the recommended Phase 2 dose.</w:t>
      </w:r>
    </w:p>
    <w:p>
      <w:pPr>
        <w:spacing w:after="0" w:line="7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December 2021, FDA granted orphan drug designation to NKX101 for treatment of r/r AML. In February 2022, we filed a protocol amendment with the FDA for the ongoing Phase 1 clinical trial of NKX101 to optimize the study design for maximum benefit and flexibility. The amended protocol allows for a higher dose of cyclophosphamide for LD, enrollment of patients who have received as few as 1 to 2 prior lines of therapy, and increased dosing of NKX101.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294640</wp:posOffset>
            </wp:positionV>
            <wp:extent cx="5297805" cy="3505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29780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engineered NKX101 based on our understanding of NK cell biology, including extensive comparison and optimization of different ways to enhance natural NKG2D signaling and targeting of cells which display NKG2D ligands. Based on our preclinical studies, we believe that levels of NKG2D are increased significantly in NKX101 as compared to non-engineered NK cells. Because NKG2D is the primary activating receptor for NK cells, through its detection of stress ligands displayed by cancerous cells, NKX101 is thereby designed to increase the natural cancer cell killing ability of NK cells. Although some cancer cells are able to evade detection and killing by NK cells through shedding of NKG2D ligands, thereby reducing ligand display on the cell surface, NKX101 can recognize tumor cells expressing even low levels of NKG2D ligands, and maintains the ability of NK cells to recognize tumor cells through an array of other activating receptors that are broadly expressed in NK cells. Furthermore, we found in preclinical studies that the addition of mbIL-15 and the OX40 costimulatory domain each increase the activity of engineered NK cells. Because NKG2D is the primary activating receptor responsible for innate immune surveillance of cancerous cells, we believe that NKX101 presents a broad opportunity to treat a variety of blood cancers, as well as, potentially, solid tumors, which collectively represent approximately 90% of all cancer incidences in the United States.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NKX101 for Blood Cancers</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NKX101 is currently being evaluated in a Phase 1 clinical trial for the treatment of r/r AML. This multi-center clinical trial is designed to evaluate safety, pharmacology, and preliminary anti-tumor activity of NKX101. According to the federal Surveillance, Epidemiology, and End Results Program database ("SEER"), the incidence of AML in the United States is approximately 20,000 cases per year, and newly-diagnosed patients have a five-year survival rate of approximately 30%. We believe there is a substantial unmet medical need for patients r/r AML and that this disease represents a significant market opportunity.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ind w:firstLine="509"/>
        <w:spacing w:after="0" w:line="272" w:lineRule="auto"/>
        <w:rPr>
          <w:sz w:val="20"/>
          <w:szCs w:val="20"/>
          <w:color w:val="auto"/>
        </w:rPr>
      </w:pPr>
      <w:r>
        <w:rPr>
          <w:rFonts w:ascii="Arial" w:cs="Arial" w:eastAsia="Arial" w:hAnsi="Arial"/>
          <w:sz w:val="17"/>
          <w:szCs w:val="17"/>
          <w:color w:val="auto"/>
        </w:rPr>
        <w:t>Our ongoing Phase 1 clinical trial comprises standard dose-finding and dose-expansion phases. Patients are expected to receive LD prior to administration of NKX101 in order to allow our engineered NK cells the opportunity to kill cancerous cells without first being cleared by the patient’s immune system. The LD regimen being used in the NKX101 clinical trial is based upon doses used by Rezvani Liu et al, New England Journal of Medicine 2020, similar to that used for the currently approved CAR T therapies, and generally lower than the most commonly used regiment found in our systematic literature review of allogeneic cells and is also similar to that used for the currently approved CAR T therapies. The trial also evaluated two separate dosing regimens. The three-dose regimen was designed to deliver three infusions of NKX101 at weekly intervals following LD. The two-dose regimen delivered the same number of CAR NK cells in two weekly infusions following LD.</w:t>
      </w:r>
    </w:p>
    <w:p>
      <w:pPr>
        <w:spacing w:after="0" w:line="17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dosing schema is shown in the graphic below. Our starting dose of 100 million cells is based upon the established tolerability of non-engineered NK cells from academic literature.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117475</wp:posOffset>
            </wp:positionV>
            <wp:extent cx="5349240" cy="3034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While we expect that the initial subjects treated with NKX101 in clinical studies will be hospitalized for a minimum of 24 hours observation after infusion, a favorable tolerability profile may potentially allow for administration of NKX101 and observation in a fully outpatient setting. This could represent a significant competitive advantage for NKX101 and our engineered NK product candidates more generally, as compared to the approved CAR T therapies.</w:t>
      </w:r>
    </w:p>
    <w:p>
      <w:pPr>
        <w:spacing w:after="0" w:line="268"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In April 2022, we announced preliminary data from our Phase 1 clinical trial evaluating NKX101. As of data cut-off on April 21, 2022, 21 patients had been enrolled and dosed in this study. Three of five patients with r/r AML treated at the higher dose levels in a three-dose regimen achieved a complete response (60% CR) with hematologic recovery, with two of the three responses measurable residual disease negative. NKX101 was well tolerated, and no dose-limiting toxicities were observed. No CRS, GvHD, or immune effector cell-associated neurotoxicity syndrome ("ICANS") was observed. The most common higher-grade adverse events were myelosuppression and infection, which are common in this patient population following LD.</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NKX101 for Solid Tumors</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Following clinical proof of concept with NKX101 in r/r AML, we may also evaluate NKX101 in patients with solid tumors. Our initial solid tumor clinical trial may include patients with liver cancer, a bile duct cancer known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40"/>
        <w:spacing w:after="0" w:line="301" w:lineRule="auto"/>
        <w:rPr>
          <w:sz w:val="20"/>
          <w:szCs w:val="20"/>
          <w:color w:val="auto"/>
        </w:rPr>
      </w:pPr>
      <w:r>
        <w:rPr>
          <w:rFonts w:ascii="Arial" w:cs="Arial" w:eastAsia="Arial" w:hAnsi="Arial"/>
          <w:sz w:val="16"/>
          <w:szCs w:val="16"/>
          <w:color w:val="auto"/>
        </w:rPr>
        <w:t>intrahepatic cholangiocarcinoma, as well as patients with surgically removed colon cancer where only liver metastases remain. These tumors represent an attractive opportunity for the initial solid tumor indication for NKX101 for several reasons, including the overexpression of NKG2D ligands in many liver cancers and the substantial unmet medical need for the treatment of these cancers. According to the federal SEER database, the incidence of liver and intrahepatic cholangiocarcinoma in the United States is approximately 42,000 cases per year, and the five-year survival rate is approximately 20%.</w:t>
      </w:r>
    </w:p>
    <w:p>
      <w:pPr>
        <w:spacing w:after="0" w:line="15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We may file an Investigational New Drug application ("IND") amendment for this clinical program after achieving clinical proof of concept with NKX101 in r/r AML. An NKX101 Phase 1 trial in solid tumors may also incorporate a dose-finding and dose-expansion component and potential combinations.</w:t>
      </w:r>
    </w:p>
    <w:p>
      <w:pPr>
        <w:spacing w:after="0" w:line="18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If this program is successful, we believe that it would establish proof of concept for treating solid tumors with engineered NK cells and enable us to evaluate a broader solid tumor clinical development program.</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NKX019</w:t>
      </w:r>
    </w:p>
    <w:p>
      <w:pPr>
        <w:spacing w:after="0" w:line="117" w:lineRule="exact"/>
        <w:rPr>
          <w:sz w:val="20"/>
          <w:szCs w:val="20"/>
          <w:color w:val="auto"/>
        </w:rPr>
      </w:pPr>
    </w:p>
    <w:p>
      <w:pPr>
        <w:ind w:right="80" w:firstLine="509"/>
        <w:spacing w:after="0" w:line="282" w:lineRule="auto"/>
        <w:rPr>
          <w:sz w:val="20"/>
          <w:szCs w:val="20"/>
          <w:color w:val="auto"/>
        </w:rPr>
      </w:pPr>
      <w:r>
        <w:rPr>
          <w:rFonts w:ascii="Arial" w:cs="Arial" w:eastAsia="Arial" w:hAnsi="Arial"/>
          <w:sz w:val="16"/>
          <w:szCs w:val="16"/>
          <w:color w:val="auto"/>
        </w:rPr>
        <w:t>Our product candidate NKX019 is for the treatment of various B-cell malignancies, including LBCL, ALL, and several other subtypes of NHL. NKX019 consists of allogeneic, donor-derived and expanded NK cells that have been genetically engineered to express mbIL-15 along with a CAR containing a CD19 binder, an OX40 costimulatory domain and a CD3ζ(zeta) signaling moiety. We chose to target CD19 based on the clinical validation provided by Kymriah</w:t>
      </w:r>
      <w:r>
        <w:rPr>
          <w:rFonts w:ascii="Arial" w:cs="Arial" w:eastAsia="Arial" w:hAnsi="Arial"/>
          <w:sz w:val="21"/>
          <w:szCs w:val="21"/>
          <w:color w:val="auto"/>
          <w:vertAlign w:val="superscript"/>
        </w:rPr>
        <w:t>®</w:t>
      </w:r>
      <w:r>
        <w:rPr>
          <w:rFonts w:ascii="Arial" w:cs="Arial" w:eastAsia="Arial" w:hAnsi="Arial"/>
          <w:sz w:val="16"/>
          <w:szCs w:val="16"/>
          <w:color w:val="auto"/>
        </w:rPr>
        <w:t>, Yescarta</w:t>
      </w:r>
      <w:r>
        <w:rPr>
          <w:rFonts w:ascii="Arial" w:cs="Arial" w:eastAsia="Arial" w:hAnsi="Arial"/>
          <w:sz w:val="21"/>
          <w:szCs w:val="21"/>
          <w:color w:val="auto"/>
          <w:vertAlign w:val="superscript"/>
        </w:rPr>
        <w:t>®</w:t>
      </w:r>
      <w:r>
        <w:rPr>
          <w:rFonts w:ascii="Arial" w:cs="Arial" w:eastAsia="Arial" w:hAnsi="Arial"/>
          <w:sz w:val="16"/>
          <w:szCs w:val="16"/>
          <w:color w:val="auto"/>
        </w:rPr>
        <w:t>, Tecartus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Breyanzi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which have all shown to improve remission rates and overall survival in patients with various B-cell malignancies, as well as the significant unmet medical need that remains for treating B-cell malignancies despite these recent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128270</wp:posOffset>
            </wp:positionV>
            <wp:extent cx="5288915" cy="3377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8891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0" w:name="page21"/>
    <w:bookmarkEnd w:id="20"/>
    <w:p>
      <w:pPr>
        <w:ind w:right="160" w:firstLine="509"/>
        <w:spacing w:after="0" w:line="259" w:lineRule="auto"/>
        <w:rPr>
          <w:sz w:val="20"/>
          <w:szCs w:val="20"/>
          <w:color w:val="auto"/>
        </w:rPr>
      </w:pPr>
      <w:r>
        <w:rPr>
          <w:rFonts w:ascii="Arial" w:cs="Arial" w:eastAsia="Arial" w:hAnsi="Arial"/>
          <w:sz w:val="18"/>
          <w:szCs w:val="18"/>
          <w:color w:val="auto"/>
        </w:rPr>
        <w:t>Our ongoing NKX019 clinical trial is a Phase 1 clinical trial that evaluates the safety, pharmacology, and preliminary anti-tumor activity of NKX019, administered in a cycle of three weekly infusions following LD in multiple centers in the United States and Australia. Based on tumor response and tolerability, multiple treatment cycles can be administered. The clinical trial consists of dose-finding followed by dose-expansion and is designed to identify the recommended Phase 2 dose.</w:t>
      </w:r>
    </w:p>
    <w:p>
      <w:pPr>
        <w:spacing w:after="0" w:line="254" w:lineRule="exact"/>
        <w:rPr>
          <w:sz w:val="20"/>
          <w:szCs w:val="20"/>
          <w:color w:val="auto"/>
        </w:rPr>
      </w:pPr>
    </w:p>
    <w:p>
      <w:pPr>
        <w:jc w:val="both"/>
        <w:ind w:right="100" w:firstLine="509"/>
        <w:spacing w:after="0" w:line="259" w:lineRule="auto"/>
        <w:rPr>
          <w:sz w:val="20"/>
          <w:szCs w:val="20"/>
          <w:color w:val="auto"/>
        </w:rPr>
      </w:pPr>
      <w:r>
        <w:rPr>
          <w:rFonts w:ascii="Arial" w:cs="Arial" w:eastAsia="Arial" w:hAnsi="Arial"/>
          <w:sz w:val="18"/>
          <w:szCs w:val="18"/>
          <w:color w:val="auto"/>
        </w:rPr>
        <w:t>In April 2022, we announced preliminary data from the NKX019 Phase 1 clinical trial in relapse/refractory B cell malignancies, in which three of six patients treated at the higher dose level in a three-dose regimen had a complete response (50% CR), including one patient with aggressive large B cell lymphoma ("LBCL") and one patient with mantle cell lymphoma ("MCL"). No dose limiting toxicity was observed and there were no CAR T like adverse events of any grade.</w:t>
      </w:r>
    </w:p>
    <w:p>
      <w:pPr>
        <w:spacing w:after="0" w:line="254"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We presented updated data from the ongoing NKX019 clinical trial in December 2022. In this update, seven of ten patients treated at the higher dose levels in a three-dose regimen had a complete response (70% CR), including two patients with aggressive LBCL, one patient with MCL, and one patient with marginal zone lymphoma. No dose limiting toxicity, neurotoxicity / ICANS, GvHD, or &gt;Gr3 CRS were observed in the study.</w:t>
      </w:r>
    </w:p>
    <w:p>
      <w:pPr>
        <w:spacing w:after="0" w:line="246"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All patients in the NKX019 clinical trial have been treated with off-the-shelf material that has been manufactured at our in-house clinical cGMP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-1905</wp:posOffset>
            </wp:positionV>
            <wp:extent cx="5349240" cy="2339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40" w:firstLine="8"/>
        <w:spacing w:after="0" w:line="279" w:lineRule="auto"/>
        <w:tabs>
          <w:tab w:leader="none" w:pos="1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Efficacy based on: Lugano criteria for NHL; 2018 iwCLL guidelines for CLL; NCCN v1.2020 for B-ALL CAR: chimeric antigen receptor; CR: complete response; ECOG PS: Eastern Cooperative Oncology Group performance status; EOT: end of therapy; r/r: relapsed/refractory; iwCLL: International Workshop on Chronic Lymphocytic Leukemia; NCCN: National Comprehensive Cancer Network.</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Partnership with CRISPR Therapeutics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On May 5, 2021, we entered into a Research Collaboration Agreement with CRISPR (the "CRISPR Agreement"). Pursuant to the CRISPR Agreement, CRISPR and Nkarta will establish research plans for the purpose of collaboratively designing and advancing up to two (2) allogeneic, gene-edited NK cell therapies and one (1) allogeneic, gene-edited NK+T cell therapy for use in the treatment of oncology, autoimmune disease, or infectious disease up to the filing of an application to a regulatory authority to request the ability to start a clinical trial. The first allogeneic, gene-edited NK cell therapy being developed in partnership with CRISPR is targeting cancers expressing the CD70 antigen. Together with CRISPR, we may advance this product candidate for the treatment of solid tumors and blood cancers. The NK+T program combines CAR NK cells and CAR T cells, bringing together the advantages of the innate and adaptive immune systems. We expect the NK+T product will incorporate all of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spacing w:after="0" w:line="293" w:lineRule="auto"/>
        <w:rPr>
          <w:sz w:val="20"/>
          <w:szCs w:val="20"/>
          <w:color w:val="auto"/>
        </w:rPr>
      </w:pPr>
      <w:r>
        <w:rPr>
          <w:rFonts w:ascii="Arial" w:cs="Arial" w:eastAsia="Arial" w:hAnsi="Arial"/>
          <w:sz w:val="16"/>
          <w:szCs w:val="16"/>
          <w:color w:val="auto"/>
        </w:rPr>
        <w:t>core elements of our NK cell engineering platform and CRISPR’s experience developing gene-edited, allogeneic CAR T cells with reduced risk of GvHD and enhanced resistance to immunosuppression. We are also evaluating potential antigens and targets for this product candidate. The NK+T product candidate could incorporate two different targets into the CAR NK and CAR T cells, based on the differing pharmacokinetic and pharmacodynamic profile of these two cell types. Additionally, under the CRISPR Agreement, CRISPR will also grant non-exclusive licenses to us on up to five gene-editing targets to enable us to independently research, develop and commercialize NK cell therapies that have been gene-edited using CRISPR’s gene-editing technology. On May 4, 2022, we amended the CRISPR Agreement to revise the transfer of materials and nomination provisions.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process for the generation of an allogeneic, off-the-shelf NK cell therapy requires multiple steps. To achieve a commercially viable product, we believe that each of these steps must be scalable, reproducible and cost-effective and must provide consistent cancer cell killing potency of our CAR NK cells once these cells are frozen and then thawed. Therefore, we have focused on developing a manufacturing process that incorporates the following elements:</w:t>
      </w:r>
    </w:p>
    <w:p>
      <w:pPr>
        <w:spacing w:after="0" w:line="79" w:lineRule="exact"/>
        <w:rPr>
          <w:sz w:val="20"/>
          <w:szCs w:val="20"/>
          <w:color w:val="auto"/>
        </w:rPr>
      </w:pPr>
    </w:p>
    <w:p>
      <w:pPr>
        <w:ind w:left="1020" w:right="28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starting material consisting of differentiated, mature NK cells with inherent cytotoxic and tumor-recognizing capabilities, as compared to other cell sources such as stem cells, where these fundamental features must be engineered into the cells which must be artificially manipulated in an in vitro setting to reproduce these fundamental features;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cell source which provides high numbers of easily characterized NK cells;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technology which increases the number of NK cells by orders of magnitude, without inducing exhaustion;</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techniques for genetic engineering of NK cells which are cost-effective and which introduce a controlled and specified range of the number of copies of the gene into each cell;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techniques for genome editing of NK cells to selectively knock-out or knock-in genetic targets in each cell;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cryopreservation techniques that permit bulk CAR NK cells to be frozen in individual doses; and</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techniques for thawing the frozen NK cell product that are easy to adopt in different clinical settings, and that provide consistent CAR NK cell recovery, viability and potency.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overall manufacturing scheme is shown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5349240" cy="1619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2" w:name="page23"/>
    <w:bookmarkEnd w:id="22"/>
    <w:p>
      <w:pPr>
        <w:ind w:right="240" w:firstLine="509"/>
        <w:spacing w:after="0" w:line="275" w:lineRule="auto"/>
        <w:rPr>
          <w:sz w:val="20"/>
          <w:szCs w:val="20"/>
          <w:color w:val="auto"/>
        </w:rPr>
      </w:pPr>
      <w:r>
        <w:rPr>
          <w:rFonts w:ascii="Arial" w:cs="Arial" w:eastAsia="Arial" w:hAnsi="Arial"/>
          <w:sz w:val="17"/>
          <w:szCs w:val="17"/>
          <w:color w:val="auto"/>
        </w:rPr>
        <w:t>The source material for production of our off-the-shelf NK cell therapy product candidates is NK cells collected from healthy donors by leukapheresis, the selective collection of white blood cells from plasma. We then isolate the NK cells from the other cells in the leukapheresis product. Next, we selectively activate the NK cells by co-culture with NKSTIM. After initial expansion, we engineer the expanded NK cells using a gamma-retrovirus to express mbIL-15 and the CAR. We further expand the NK cells, followed by harvesting and cryopreservation to form the final cell product. For off-the-shelf administration, clinical sites will thaw the CAR NK product candidate for administration to patients at the clinical site.</w:t>
      </w:r>
    </w:p>
    <w:p>
      <w:pPr>
        <w:spacing w:after="0" w:line="1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believe that establishing our own internal cGMP manufacturing capabilities will facilitate clinical product supply, lower the risk of manufacturing disruptions, and enable more cost-effective manufacturing for clinical and commercial supply of our product candidates. In 2020, we completed the construction of a 2,700-square foot clinical cGMP facility within our primary corporate location in South San Francisco, California. This facility is currently producing clinical supply of NKX019 for the Phase 1 clinical trial. We currently manufacture clinical supply of NKX101, NKSTIM, and the gamma-retrovirus at third-party contract manufacturing sites. We intend to manufacture NKX101 at our cGMP facility in 2023. We believe that this clinical cGMP facility will be capable of supplying our anticipated non-pivotal clinical trial needs. Also, in the future, we intend to manufacture NKSTIM in house.</w:t>
      </w:r>
    </w:p>
    <w:p>
      <w:pPr>
        <w:spacing w:after="0" w:line="195"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We are also constructing a separate, larger commercial cGMP facility for manufacturing engineered NK cells for pivotal clinical trials as well as for eventual commercial supply. In July 2021, we announced that we leased the property in South San Francisco, CA where we are building the facility for the commercial-scale manufacture of our product candidates.</w:t>
      </w:r>
    </w:p>
    <w:p>
      <w:pPr>
        <w:spacing w:after="0" w:line="18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Based on our current process and early cGMP manufacturing experience, we believe that we can produce many hundreds of doses from a single manufacturing run. At the 2022 Annual Meeting of the SITC, we presented data demonstrating that further optimization of our core process could allow the production of several thousand doses from a single manufacturing run.</w:t>
      </w:r>
    </w:p>
    <w:p>
      <w:pPr>
        <w:spacing w:after="0" w:line="18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Compliance with government regulations related to the manufacture of our product candidates may require significant effort and financial resources. The design, construction, qualification and regulatory approvals for our cGMP manufacturing facilities require substantial capital and technical expertise. The facilities will be subject to inspection by the FDA and other regulatory agencies to ensure compliance with cGMP. Any delays in receiving regulatory approvals for our manufacturing facilities or any failure by us to comply with applicable regulations at our manufacturing facilities could delay our development and commercialization activities. In addition, if our product candidates fail to meet the required specifications after manufacture or if we change the manufacturing process, we may need to obtain additional regulatory approvals. If we are not able to obtain the necessary additional regulatory approvals, we may need to perform additional clinical trials or manufacturing runs or further refine our manufacturing processes, which could delay development and commercialization of our product candidates and cost substantial additional capital. Any delays in our development and commercialization activities could have a material effect on our business, financial position, results of operations and competitive position.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Patents, Trademarks and Proprietary Technology</w:t>
      </w:r>
    </w:p>
    <w:p>
      <w:pPr>
        <w:spacing w:after="0" w:line="12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Our patent portfolio consists of a combination of issued patents and pending patent applications licensed from third parties, jointly owned by us with third parties, and owned solely by us. The patents and applications in our portfolio can be categorized as related to our NK cell engineering platform (e.g., NK cell expansion and/or persistence), NKX101, NKX019, NKX070, or future pipeline product candidates and alternative technologies. Some of our issued patents and patent applications are exclusively licensed to us in therapeutic fields of use from the National University of Singapore ("NUS"), St. Jude Children’s Research Hospital, Inc., or both (collectively, "Licensors"). As of December 31, 2022, our patent portfolio includes at least 20 issued utility patents and at least 130 pending utility patent applications, which are solely owned by us, jointly owned with others, or licensed to us.</w:t>
      </w:r>
    </w:p>
    <w:p>
      <w:pPr>
        <w:spacing w:after="0" w:line="290"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At least 15 of the issued utility patents and at least 60 of the pending utility patent applications in our portfolio are related to our NKX101 product candidate, and include composition of matter, manufacturing process, and method of use claims (e.g., targeting NKG2D ligand-expressing tumors, including monotherapies and combination therapies). These issued utility patents include patents in the United States, Europe, Japan, and other jurisdictions outside the United States that are licensed from Licensors, including one patent in the United States that is co-owned by us with NUS. These pending utility patent applications include applications in the United States, Europe, Japan, the Patent Cooperation Treaty ("PCT"), and other jurisdictions outside the United States. Of these pending patent applications, at least 25 are solely owned or co-owned by us, with the remaining patent applications (and the co-owned applications) licensed from Licensors. The estimated expiration dates of the issued utility patents are between approximately 2024 and 2038 (with certain commercially relevant patents extending through approximately 2038), and the estimated expiration dates of these pending utility patent applications are between approximately 2024 and 2043 (with certain commercially relevant patent applications extending through approximately 2043).</w:t>
      </w:r>
    </w:p>
    <w:p>
      <w:pPr>
        <w:spacing w:after="0" w:line="274"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At least 13 of the issued utility patents and at least 50 of the pending utility patent applications in our portfolio are related to our NKX019 product candidate, and include composition of matter, manufacturing process, and method of use claims (e.g., targeting CD-19-expressing tumors, including monotherapies and combination therapies). These issued utility patents include patents in the United States, Europe, Japan, and other jurisdictions outside the United States and are solely owned by us or licensed from Licensors. These pending utility patent applications include applications in the United States, Europe, Japan, and other jurisdictions outside the United States. Of these pending patent applications, at least 17 are solely owned by us, with the remaining licensed from Licensors. The estimated expiration dates of the issued utility patents are between approximately 2024 and 2040 (with certain commercially relevant patents extending through approximately 2040), and the estimated expiration dates of these pending utility patent applications are between approximately 2024 and 2043 (with certain commercially relevant patent applications extending through approximately 2043).</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right="20" w:firstLine="509"/>
        <w:spacing w:after="0" w:line="270" w:lineRule="auto"/>
        <w:rPr>
          <w:sz w:val="20"/>
          <w:szCs w:val="20"/>
          <w:color w:val="auto"/>
        </w:rPr>
      </w:pPr>
      <w:r>
        <w:rPr>
          <w:rFonts w:ascii="Arial" w:cs="Arial" w:eastAsia="Arial" w:hAnsi="Arial"/>
          <w:sz w:val="17"/>
          <w:szCs w:val="17"/>
          <w:color w:val="auto"/>
        </w:rPr>
        <w:t>At least 10 of the issued utility patents and at least 50 of the pending utility patent applications in our portfolio are related to our NKX070 product candidate, and include composition of matter, manufacturing process, and method of use claims(e.g., targeting CD70-expressing tumors, including monotherapies and combination therapies). These issued utility patents include patents in the United States, Europe, Japan, and other jurisdictions outside the United States and are licensed from Licensors. These pending utility patent applications include applications in the United States, Europe, Japan, the PCT, and other jurisdictions outside the United States. Of these pending patent applications, at least 17 are solely owned by us or, in the case of one patent application, co-owned by us with our collaboration partner on the NKX070 program, CRISPR,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2043 (with certain commercially relevant patent applications extending through approximately 2043).</w:t>
      </w:r>
    </w:p>
    <w:p>
      <w:pPr>
        <w:spacing w:after="0" w:line="28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At least 10 of the issued utility patents and at least 30 of the pending utility patent applications in our portfolio are related to our NK cell engineering platform, and include manufacturing process, method of use and composition of matter claims relating to NK cell expansion and/or NK cell persistence. These issued utility patents include patents in the United States, Europe, Japan, and other jurisdictions outside the United States and are licensed from Licensors. These pending utility patent applications include applications in the United States, Europe, Japan, and other jurisdictions outside the United States. Of these pending patent applications, at least 10 are solely owned by us, with the remaining licensed from Licensors. The estimated expiration dates of the issued utility patents are between approximately 2024 and 2035 (with certain commercially relevant patents extending through approximately 2035), and the estimated expiration dates of these pending utility patent applications are between approximately 2024 and 2040 (with certain commercially relevant patent applications extending through approximately 2040). Composition of matter claims relating to our NKSTIM cell line are estimated to expire in Q4 2024.</w:t>
      </w:r>
    </w:p>
    <w:p>
      <w:pPr>
        <w:spacing w:after="0" w:line="30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August 2016, we entered into a license agreement with the Licensors. Pursuant to this license, the Licensors granted to us an exclusive, worldwide, royalty-bearing, sublicensable license under specified patents and patent applications related to NK cell technology in the field of therapeutics. Payments to the Licensors pursuant to the license agreement include single-digit royalty payments on commercial sales, a portion of any sublicensing revenue, patent expenses, license maintenance fees and milestone payments upon completion of certain regulatory and commercial milestones related to the clinical development and commercialization of our product candidates, in an aggregate amount of up to 5 million Singapore Dollars ("SGD"). The License Agreement also includes certain performance objectives which obligate us to meet various milestones related to the clinical development and commercialization of our product candidates over time for up to 120 months after the effective date of the License Agreement. The term of the license agreement extends until expiration of the last of the patent rights licensed to us by the Licensors, which is currently expected to occur in approximately 2039. We may terminate the license agreement at will upon 90 days’ prior written notice to the Licensors. The Licensors may terminate the license agreement for certain conditions such as uncured material breach by us, the cession of our business, or our insolvency, liquidation, or receivership.</w:t>
      </w:r>
    </w:p>
    <w:p>
      <w:pPr>
        <w:spacing w:after="0" w:line="276"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The U.S. government has certain rights in some of our licensed patents (including U.S. Patent Nos. 7,435,596, 8,026,097 and certain related U.S. patent applications, which relate to our NK cell engineering platform) in accordance with the Bayh-Dole Act of 1980. These rights in certain technology developed under government-funded research include, for example, a license to use those inventions for governmental purposes and the right to require us to grant exclusive licenses to such inventions to a third party under certain circumstances. In addition, the U.S. government requires that any products embodying any of these inventions or produced through the use of any of these inventions be manufactured substantially in the United States. For further details about risks related to the government’s rights in such inventions, see “—The U.S. government could choose to exercise certain rights in technology developed under government-funded research, which could eliminate our exclusive use of such technology or require us to commercialize our product candidates in a way we consider sub-optimal.” in the section titled “Risk Factors” in Part I, Item 1A in this Annual Report on Form 10-K.</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120" w:firstLine="509"/>
        <w:spacing w:after="0" w:line="257" w:lineRule="auto"/>
        <w:rPr>
          <w:sz w:val="20"/>
          <w:szCs w:val="20"/>
          <w:color w:val="auto"/>
        </w:rPr>
      </w:pPr>
      <w:r>
        <w:rPr>
          <w:rFonts w:ascii="Arial" w:cs="Arial" w:eastAsia="Arial" w:hAnsi="Arial"/>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296"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We also protect our brand through trademark rights. As of December 31, 2022, we are the listed owner of the U.S. registered trademark, NKARTA, and 15 related foreign registered trademarks. In order to supplement the protection of our brand, we also have a registered internet domain name.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225"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the United States, the FDA regulates investigational drugs, including biological products, under the Federal Food, Drug, and Cosmetic Act ("FDCA") and its implementing regulations. Marketing authorization of a biological product via a biologics license application ("BLA") occurs under section 351 of the Public Health Service Act ("PHSA").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and/or sponsor to a variety of administrative or judicial sanctions, including imposition of a clinical hold, refusal by the FDA to approve applications, withdrawal of an approval, import/export delays, issuance of warning letters and other types of enforcement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 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and PHSA, regulates biopharmaceutical products in the United States. The steps required before a product candidate may be approved for marketing in the United States generally include:</w:t>
      </w:r>
    </w:p>
    <w:p>
      <w:pPr>
        <w:spacing w:after="0" w:line="78"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Good Laboratory Practices ("GLP");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submission to the FDA of an IND for human clinical testing, which must become effective before human clinical trials commence;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representing each clinical site before each clinical trial may be initiated;</w:t>
      </w:r>
    </w:p>
    <w:p>
      <w:pPr>
        <w:spacing w:after="0" w:line="128" w:lineRule="exact"/>
        <w:rPr>
          <w:rFonts w:ascii="Arial" w:cs="Arial" w:eastAsia="Arial" w:hAnsi="Arial"/>
          <w:sz w:val="17"/>
          <w:szCs w:val="17"/>
          <w:color w:val="auto"/>
        </w:rPr>
      </w:pPr>
    </w:p>
    <w:p>
      <w:pPr>
        <w:ind w:left="1020" w:right="3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for each indication and conducted in accordance with Good Clinical Practices ("GCP");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preparation and submission to the FDA of a BLA;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acceptance, review and approval of the BLA, which might include an advisory committee review;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left="1020" w:right="60" w:hanging="503"/>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facilities at which the product, or components thereof, are made to assess compliance with cGMPs and in the case of cell-based advanced therapy, additionally, current Good Tissue Practices.</w:t>
      </w:r>
    </w:p>
    <w:p>
      <w:pPr>
        <w:spacing w:after="0" w:line="14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testing and approval process typically requires many years and substantial effort and financial resources, and the receipt and timing of any approval is uncertain. The actual time required may vary substantially based upon the type, complexity, and novelty of the product or disease. For example, the FDA has, at times, taken longer than its usual 30-day window to complete its review of certain first-of kind INDs. In addition, the FDA may suspend clinical trials at any time on various grounds, including a finding that the subjects or patients are being exposed to an unreasonable and significant health risk.</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and Human Clinical Trials in Support of a BLA</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Preclinical studies generally include laboratory evaluations of product chemistry, formulation, and toxicity, as well as animal studies to assess the potential safety and bioactivity of the product candidate. The conduct of preclinical trials is subject to federal regulations and requirements including GLP regulations. The results of the preclinical studies, together with manufacturing information and analytical data, among other things,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If outstanding concerns cannot be resolved, the FDA will place the clinical trial, or a portion of it, on clinical hold. A partial clinical hold stops new patients from enrolling in a clinical trial. A complete clinical hold further requires all patients currently enrolled to discontinue treatment with the product candidate being evaluated. The FDA may also initiate a clinical hold after the 30 days if, for example, significant public health risks arise during the trial, if FDA believes the study is not being conducted in accordance with FDA regulations, or if results from additional preclinical studies are required by the FDA to evaluate the potential risk and benefit to patients for such a trial. Clinical holds may be temporary or permanent.</w:t>
      </w:r>
    </w:p>
    <w:p>
      <w:pPr>
        <w:spacing w:after="0" w:line="18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in accordance with federal regulations, in compliance with GCP requirements, and in accordance with a protocol submitted to FDA as part of the IND detailing the objectives of the trial, the parameters used to monitor safety, and the effectiveness criteria, if any, to be evaluated. Each clinical trial and informed consent information must also be reviewed and approved by an independent IRB at each of the sites at which the trial will be conducted. The IRB will consider, among other things, ethical factors, the safety of human subjects and the possible liability of the institution. An IRB may also require the clinical trial at the site to be halted, either temporarily or permanently, for failure to comply with the IRB’s requirements, or may impose other conditions if it believes that the patients are subject to unacceptable risk.</w:t>
      </w:r>
    </w:p>
    <w:p>
      <w:pPr>
        <w:spacing w:after="0" w:line="195"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Clinical trials to support BLAs for marketing approval are typically conducted in three sequential phases prior to approval, but the phases may overlap or be combined. These phases generally include the following:</w:t>
      </w:r>
    </w:p>
    <w:p>
      <w:pPr>
        <w:spacing w:after="0" w:line="166" w:lineRule="exact"/>
        <w:rPr>
          <w:sz w:val="20"/>
          <w:szCs w:val="20"/>
          <w:color w:val="auto"/>
        </w:rPr>
      </w:pPr>
    </w:p>
    <w:p>
      <w:pPr>
        <w:ind w:left="520" w:right="240"/>
        <w:spacing w:after="0" w:line="282" w:lineRule="auto"/>
        <w:rPr>
          <w:sz w:val="20"/>
          <w:szCs w:val="20"/>
          <w:color w:val="auto"/>
        </w:rPr>
      </w:pPr>
      <w:r>
        <w:rPr>
          <w:rFonts w:ascii="Arial" w:cs="Arial" w:eastAsia="Arial" w:hAnsi="Arial"/>
          <w:sz w:val="18"/>
          <w:szCs w:val="18"/>
          <w:b w:val="1"/>
          <w:bCs w:val="1"/>
          <w:color w:val="auto"/>
        </w:rPr>
        <w:t xml:space="preserve">Phase 1. </w:t>
      </w:r>
      <w:r>
        <w:rPr>
          <w:rFonts w:ascii="Arial" w:cs="Arial" w:eastAsia="Arial" w:hAnsi="Arial"/>
          <w:sz w:val="18"/>
          <w:szCs w:val="18"/>
          <w:color w:val="auto"/>
        </w:rPr>
        <w:t>Phase 1 clinical trials represent the initial introduction of a product candidate into human subjects. In Phase 1 trials of cellular therapies,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 candidate is tested for safety, including adverse effects.</w:t>
      </w:r>
    </w:p>
    <w:p>
      <w:pPr>
        <w:spacing w:after="0" w:line="162" w:lineRule="exact"/>
        <w:rPr>
          <w:sz w:val="20"/>
          <w:szCs w:val="20"/>
          <w:color w:val="auto"/>
        </w:rPr>
      </w:pPr>
    </w:p>
    <w:p>
      <w:pPr>
        <w:ind w:left="520"/>
        <w:spacing w:after="0" w:line="312" w:lineRule="auto"/>
        <w:rPr>
          <w:sz w:val="20"/>
          <w:szCs w:val="20"/>
          <w:color w:val="auto"/>
        </w:rPr>
      </w:pPr>
      <w:r>
        <w:rPr>
          <w:rFonts w:ascii="Arial" w:cs="Arial" w:eastAsia="Arial" w:hAnsi="Arial"/>
          <w:sz w:val="17"/>
          <w:szCs w:val="17"/>
          <w:b w:val="1"/>
          <w:bCs w:val="1"/>
          <w:color w:val="auto"/>
        </w:rPr>
        <w:t xml:space="preserve">Phase 2. </w:t>
      </w:r>
      <w:r>
        <w:rPr>
          <w:rFonts w:ascii="Arial" w:cs="Arial" w:eastAsia="Arial" w:hAnsi="Arial"/>
          <w:sz w:val="17"/>
          <w:szCs w:val="17"/>
          <w:color w:val="auto"/>
        </w:rPr>
        <w:t>Phase 2 clinical trials usually involve studies in a limited patient population to (i) evaluate the efficacy of the product candidate for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indications, (ii) determine dosage tolerance and optimal dosage and (iii) identify possible adverse effects and safety risks.</w:t>
      </w:r>
    </w:p>
    <w:p>
      <w:pPr>
        <w:spacing w:after="0" w:line="140" w:lineRule="exact"/>
        <w:rPr>
          <w:sz w:val="20"/>
          <w:szCs w:val="20"/>
          <w:color w:val="auto"/>
        </w:rPr>
      </w:pPr>
    </w:p>
    <w:p>
      <w:pPr>
        <w:ind w:left="520" w:right="60"/>
        <w:spacing w:after="0" w:line="266" w:lineRule="auto"/>
        <w:rPr>
          <w:sz w:val="20"/>
          <w:szCs w:val="20"/>
          <w:color w:val="auto"/>
        </w:rPr>
      </w:pPr>
      <w:r>
        <w:rPr>
          <w:rFonts w:ascii="Arial" w:cs="Arial" w:eastAsia="Arial" w:hAnsi="Arial"/>
          <w:sz w:val="18"/>
          <w:szCs w:val="18"/>
          <w:b w:val="1"/>
          <w:b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clinical trials, the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will be expanded to Phase 3 clinical trials to further demonstrate clinical efficacy, optimal dosage and safety within a larger number of patients, typically at geographically dispersed clinical trial sites.</w:t>
      </w:r>
    </w:p>
    <w:p>
      <w:pPr>
        <w:spacing w:after="0" w:line="176" w:lineRule="exact"/>
        <w:rPr>
          <w:sz w:val="20"/>
          <w:szCs w:val="20"/>
          <w:color w:val="auto"/>
        </w:rPr>
      </w:pPr>
    </w:p>
    <w:p>
      <w:pPr>
        <w:ind w:left="520" w:right="660"/>
        <w:spacing w:after="0" w:line="282" w:lineRule="auto"/>
        <w:rPr>
          <w:sz w:val="20"/>
          <w:szCs w:val="20"/>
          <w:color w:val="auto"/>
        </w:rPr>
      </w:pPr>
      <w:r>
        <w:rPr>
          <w:rFonts w:ascii="Arial" w:cs="Arial" w:eastAsia="Arial" w:hAnsi="Arial"/>
          <w:sz w:val="18"/>
          <w:szCs w:val="18"/>
          <w:b w:val="1"/>
          <w:bCs w:val="1"/>
          <w:color w:val="auto"/>
        </w:rPr>
        <w:t xml:space="preserve">Phase 4. </w:t>
      </w:r>
      <w:r>
        <w:rPr>
          <w:rFonts w:ascii="Arial" w:cs="Arial" w:eastAsia="Arial" w:hAnsi="Arial"/>
          <w:sz w:val="18"/>
          <w:szCs w:val="18"/>
          <w:color w:val="auto"/>
        </w:rPr>
        <w:t>Phase 4 clinical trials may be conducted after approval to gain additional experience from the treatment of patients in the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indication and to document a clinical benefit in the case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left="520" w:right="20"/>
        <w:spacing w:after="0" w:line="263" w:lineRule="auto"/>
        <w:rPr>
          <w:sz w:val="20"/>
          <w:szCs w:val="20"/>
          <w:color w:val="auto"/>
        </w:rPr>
      </w:pPr>
      <w:r>
        <w:rPr>
          <w:rFonts w:ascii="Arial" w:cs="Arial" w:eastAsia="Arial" w:hAnsi="Arial"/>
          <w:sz w:val="18"/>
          <w:szCs w:val="18"/>
          <w:color w:val="auto"/>
        </w:rPr>
        <w:t>drugs approved under accelerated approval regulations, or when otherwise requested by the FDA (post-approval commitments) or required by the FDA (post-approval requirements). Failure to promptly conduct any required Phase 4 clinical trials could result in enforcement action or withdrawal of approval.</w:t>
      </w:r>
    </w:p>
    <w:p>
      <w:pPr>
        <w:spacing w:after="0" w:line="18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 Phase 2/3 trial design is often used in the development of pharmaceutical and biological products. The trial includes Phase 2 elements, such as an early interim analysis of safety or activity, and Phase 3 elements, such as larger patient populations with less restrictive enrollment criteria. With appropriate statistical restrictions, an early interim analysis of clinical or physiologic activity and/or safety may provide for the trial to be stopped, changed or continued before a large number of patients have been enrolled, while still allowing all data from enrolled patients to count in the analysis used to support approval.</w:t>
      </w:r>
    </w:p>
    <w:p>
      <w:pPr>
        <w:spacing w:after="0" w:line="18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 pivotal trial is a clinical trial that is designed to meet regulatory requirements to demonstrate a product candidate’s safety and efficacy to support the approval of the drug or biologic. Generally, pivotal trials are Phase 3 trials, but the FDA may accept results from any phase clinical trial if the design provides a well-controlled and reliable assessment of clinical benefit, particularly in situations in which there is an unmet medical need and the results are sufficiently robust.</w:t>
      </w:r>
    </w:p>
    <w:p>
      <w:pPr>
        <w:spacing w:after="0" w:line="187" w:lineRule="exact"/>
        <w:rPr>
          <w:sz w:val="20"/>
          <w:szCs w:val="20"/>
          <w:color w:val="auto"/>
        </w:rPr>
      </w:pPr>
    </w:p>
    <w:p>
      <w:pPr>
        <w:jc w:val="both"/>
        <w:ind w:right="120" w:firstLine="509"/>
        <w:spacing w:after="0" w:line="275" w:lineRule="auto"/>
        <w:rPr>
          <w:sz w:val="20"/>
          <w:szCs w:val="20"/>
          <w:color w:val="auto"/>
        </w:rPr>
      </w:pPr>
      <w:r>
        <w:rPr>
          <w:rFonts w:ascii="Arial" w:cs="Arial" w:eastAsia="Arial" w:hAnsi="Arial"/>
          <w:sz w:val="17"/>
          <w:szCs w:val="17"/>
          <w:color w:val="auto"/>
        </w:rPr>
        <w:t>The FDA, the IRB or the clinical trial sponsor may suspend or terminate a clinical trial at any time on various grounds, including a finding that the research subjects are being exposed to an unacceptable health risk. Additionally, an independent group of qualified experts organized by the clinical trial sponsor, often known as a Data Safety Monitoring Board ("DSMB") or committee, may oversee some clinical studies. Depending on the trial design, this group may provide authorization for whether or not a trial may move forward at designated check points based on access to certain data from the trial. We may also suspend or terminate a clinical trial based on evolving business objectives and the competitive climate.</w:t>
      </w:r>
    </w:p>
    <w:p>
      <w:pPr>
        <w:spacing w:after="0" w:line="17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Clinical trials require substantial time, effort and financial resources. The costs associated with running clinical trials typically increase as a product candidate advances to later stage clinical trials, since the later stage clinical trials typically involve a larger number of patients than the early-stage clinical trials. If a clinical trial for one of our product candidates is put on clinical hold by the FDA (or another regulatory authority in a foreign country), further development and any eventual commercialization of that product candidate would be delayed or may not be possible at all. Any delays in our clinical trials or termination of a program due to a clinical hold could materially adversely affect our business, financial conditions, results of operations, growth prospects and competitive position.</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Submission and Review of a BLA</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results of preclinical studies and clinical trials, together with detailed information on the product’s manufacture, composition, quality, controls and proposed labeling, among other things, are submitted to the FDA in the form of a BLA, requesting approval to market the product. The cost of preparing and submitting a BLA is substantial. The application must also be accompanied by a significant user fee payment, which typically increases annually, although waivers may be granted in limited cases. Under an approved BLA, the applicant is also subject to an annual program fee. The FDA has 60 days from its receipt of a BLA to determine whether the application will be accepted for filing based on the Agency’s determination that it is adequately organized and sufficiently complete to permit substantive review. Once the submission is accepted for filing, the FDA begins an in-depth review. The FDA has substantial discretion in the approval process and may refuse to accept an application or decide that the data are insufficient for approval and require additional preclinical, clinical or other studies.</w:t>
      </w:r>
    </w:p>
    <w:p>
      <w:pPr>
        <w:spacing w:after="0" w:line="178"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Once a BLA has been accepted for filing, the FDA sets a user fee goal date that informs the applicant of the specific date by which the FDA intends to complete its review. The FDA has agreed to certain performance goals to complete the review of BLAs. This is typically ten months from the date that the FDA accepts the BLA for filing for standard review BLAs. Applications classified as Priority Review are reviewed within six months of the date the FDA accepts the BLA for filing. A BLA can be classified for Priority Review when the FDA determines the biologic product has the potential to treat a serious or life-threatening condition and, if approved, would be a significant improvement in safety or effectiveness compared to available therapies. The review process can be extended by FDA requests for additional information or clarification. The FDA reviews BLAs to determine, among other things, whether the proposed product is safe and effective for its intended use, and whether the product is being manufactured in accordance with cGMP to assure and preserve the product’s identity, strength, quality and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320"/>
        <w:spacing w:after="0" w:line="259" w:lineRule="auto"/>
        <w:rPr>
          <w:sz w:val="20"/>
          <w:szCs w:val="20"/>
          <w:color w:val="auto"/>
        </w:rPr>
      </w:pPr>
      <w:r>
        <w:rPr>
          <w:rFonts w:ascii="Arial" w:cs="Arial" w:eastAsia="Arial" w:hAnsi="Arial"/>
          <w:sz w:val="18"/>
          <w:szCs w:val="18"/>
          <w:color w:val="auto"/>
        </w:rPr>
        <w:t>purity. The FDA may also refer applications for novel biologic products, or biologic products that present difficult questions of safety or efficacy, to be reviewed by an advisory committee—typically a panel that includes clinicians, statisticians and other experts—for review, evaluation, and a recommendation as to whether the BLA should be approved. The FDA is not bound by the recommendation of an advisory committee, but generally follows such recommendations.</w:t>
      </w:r>
    </w:p>
    <w:p>
      <w:pPr>
        <w:spacing w:after="0" w:line="18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Before approving a BLA, the FDA typically will inspect the facilities at which the product is manufactured and will not approve the product unless the manufacturing facilities comply with cGMP. Additionally, the FDA will typically inspect the sponsor and one or more clinical trial sites for compliance with GCP and integrity of the data supporting safety and efficacy.</w:t>
      </w:r>
    </w:p>
    <w:p>
      <w:pPr>
        <w:spacing w:after="0" w:line="18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FDA will provide a preliminary determination as to whether a REMS is necessary to assure the safe use of the product prior to the BLA, but a final decision will be made during the approval process. If the FDA concludes a REMS is needed, the sponsor of the application must submit a proposed REMS, and the FDA will not approve the application without an approved REMS, if required.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A REMS can substantially increase the costs of obtaining approval. The FDA could also require a special warning, known as a boxed warning, to be included in the product labeling in order to highlight a particular safety risk. The FDA may delay approval of a BLA if applicable regulatory criteria are not satisfied and/or the FDA requires additional testing or information. The FDA may require substantial post-marketing testing and surveillance to monitor safety or efficacy of a product.</w:t>
      </w:r>
    </w:p>
    <w:p>
      <w:pPr>
        <w:spacing w:after="0" w:line="181"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On the basis of the FDA’s evaluation of the BLA and accompanying information, including the results of the inspection of the manufacturing facilities, the FDA will issue either an approval of the BLA or a Complete Response Letter, detailing the deficiencies in the submission and the additional testing or information required for reconsideration of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and distribution of the biologic with specific prescribing information for specific indications. Even with submission of this additional information, the FDA may ultimately decide that the application does not satisfy the regulatory criteria for approval.</w:t>
      </w:r>
    </w:p>
    <w:p>
      <w:pPr>
        <w:spacing w:after="0" w:line="195"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Once granted, product approvals may need be withdrawn if compliance with regulatory standards is not maintained or problems are identified following initial marketing. Changes to some of the conditions established in an approved BLA, including changes in indications, product labeling,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BLA supplement review timelines are typically ten months from the date of submission to the FDA for standard review and six months from the date of submission to the FDA for Priority Review.</w:t>
      </w:r>
    </w:p>
    <w:p>
      <w:pPr>
        <w:spacing w:after="0" w:line="178"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If we are unable to obtain a BLA for a product candidate accepted or approved, commercialization of that product candidate will be delayed or we may not be able to commercialize that product candidate at all. This would have a material effect on our business, financial conditions, results of operations, growth prospects and competitive position.</w:t>
      </w:r>
    </w:p>
    <w:p>
      <w:pPr>
        <w:spacing w:after="0" w:line="29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i w:val="1"/>
          <w:iCs w:val="1"/>
          <w:color w:val="auto"/>
        </w:rPr>
        <w:t>Expedited Programs, Accelerated Approval Programs, Breakthrough Therapy Designation, and Regenerative Medicine Advanced Therapies and Priority Medicine Designation</w:t>
      </w:r>
    </w:p>
    <w:p>
      <w:pPr>
        <w:spacing w:after="0" w:line="17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A sponsor may seek approval of its drug candidate under programs designed to accelerate FDA’s review of INDs and BLA. For example, the FDA may grant Fast Track Designation to a drug intended for treatment of a serious or life-threatening disease or condition that has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8"/>
          <w:szCs w:val="18"/>
          <w:color w:val="auto"/>
        </w:rPr>
        <w:t>application meets relevant criteria.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requires post-marketing studies or completion of ongoing studies after marketing authorization to verify the drug’s clinical benefit in relationship to the surrogate endpoint or ultimate outcome in relationship to the clinical benefit to convert the accelerated approved to a full approval.</w:t>
      </w:r>
    </w:p>
    <w:p>
      <w:pPr>
        <w:spacing w:after="0" w:line="19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Based on results of the Phase 3 clinical trials or trials submitted in a BLA, upon the request of an applicant, the FDA may grant the BLA a priority review designation, which sets the target date for FDA action on the application at six months after the FDA accepts the application for filing. The FDA grants priority review where there is evidence that the proposed drug would be a significant improvement in the safety or effectiveness of the treatment, diagnosis or prevention of a serious condition. If the criteria for priority review are not met,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9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addition, a sponsor may seek a FDA IND designation of its drug candidate as a breakthrough therapy if the drug can, alone or in combination with one or more other drugs,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breakthrough therapy designation ("BTD") allows companies to work earlier, more closely, and frequently with the FDA, and they may be eligible for priority review and accelerated approval. The sponsor of a new biologic product candidate may request that the FDA designate the candidate for a specific indication as a Breakthrough Therapy concurrent with, or after, the submission of the IND for the biologic product candidate. The FDA must determine if the biological product qualifies for BTD within 60 days of receipt of the sponsor’s request.</w:t>
      </w:r>
    </w:p>
    <w:p>
      <w:pPr>
        <w:spacing w:after="0" w:line="166"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Cell-based advanced therapies intended to treat, modify, reverse or cure a serious medical condition can receive Regenerative Medicine Advanced Therapy ("RMAT") designation from the FDA once preliminary clinical evidence has been obtained demonstrating the therapy has the potential to address unmet medical needs for the condition. Similar to BTD, the RMAT allows companies developing regenerative medicine therapies to work earlier, more closely, and frequently with the FDA, and RMAT designated products may be eligible for priority review and accelerated approval. Interaction and communication between the FDA and the sponsor of the trial can help to identify the most efficient path for clinical development while minimizing the number of patients placed in ineffective control regimens. The timing of a sponsor’s request for designation and FDA response are the same as for the breakthrough therapy designation program. Like the other expedited development programs previously mentioned, RMAT designation does not change the scientific or medical standard for approval or the quality of evidence necessary to support approval. In Europe, the European Medicines Agency ("EMA") can grant PRIority MEdicine ("PRIME"), designation to support development of product candidates that may address unmet needs and improve quality of life, based on the potential to benefit patients from early clinical data.</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Special Protocol Assessment</w:t>
      </w:r>
    </w:p>
    <w:p>
      <w:pPr>
        <w:spacing w:after="0" w:line="225"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A company may reach an agreement with the FDA under the Special Protocol Assessment ("SPA") process as to the required design and size of clinical trials intended to form the primary basis of an efficacy claim. Under the FDCA and FDA guidance implementing the statutory requirement, an SPA is generally binding upon the FDA except in limited circumstances, such as if the FDA identifies a substantial scientific issue essential to determining safety or efficacy after the clinical trial begins, public health concerns emerge that were unrecognized at the time of the protocol assessment, the sponsor and the FDA agree to the change in writing, or if the clinical trial sponsor fails to follow the protocol that was agreed upon with the FDA.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left="760"/>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25"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Sponsors of clinical trials of FDA-regulated products, including biological products, are required to register and disclose certain clinical trial information on the website www.clintrials.gov.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 Failure to timely register a covered clinical study or to submit study results as provided for in the law can give rise to civil monetary penalties and also prevent the non-compliant party from receiving future grant funds from the federal government. The U.S. National Institutes of Health’s ("NIH") Final Rule on ClinicalTrials.gov registration and reporting requirements became effective in 2017, and both NIH and FDA have signaled the government’s willingness to begin enforcing those requirements against non-compliant clinical trial sponsors.</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Orphan Drugs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affecting fewer than 200,000 individuals in the United States, or in other limited cases. Orphan drug designation must be requested before submitting a BLA. If the FDA grants orphan drug designation, the identity of the biological product and its potential orphan disease use are disclosed publicly by the FDA. Orphan drug designation does not convey any advantage in or shorten the duration of the regulatory review and approval process, though companies developing orphan drugs may be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 In December 2021, we announced that the FDA granted orphan drug designation to our product candidate NKX101 for treatment of AML.</w:t>
      </w:r>
    </w:p>
    <w:p>
      <w:pPr>
        <w:spacing w:after="0" w:line="19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A product can be considered clinically superior if it is safer, more effective or makes a major contribution to patient care. Competitors, however, may receive approval of different active moieties for the same indication or obtain approval for the same active moiety for a different indication. In some cases, orphan drug status is contingent on a product with an orphan drug designation demonstrating that it is clinically superior to a previously approved product or products.</w:t>
      </w:r>
    </w:p>
    <w:p>
      <w:pPr>
        <w:spacing w:after="0" w:line="30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Pediatric Information</w:t>
      </w:r>
    </w:p>
    <w:p>
      <w:pPr>
        <w:spacing w:after="0" w:line="225"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Under the Pediatric Research Equity Act ("PREA"), new drug applications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with orphan product designation except a product with a new active ingredient that is a molecularly targeted cancer product intended for the treatment of an adult cancer and directed at a molecular target determined by the FDA to be substantially relevant to the growth or progression of a pediatric cancer that is subject to an NDA or BLA submitted on or before August 18, 2020. If a BLA is submitted after August 18, 2020, the sponsor is subject to the requirements of Sections 504(a) and (b) of the FDA Reauthorization Act of 2017 ("FDARA") which will require pediatric studies regardless of orphan designation.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i w:val="1"/>
          <w:iCs w:val="1"/>
          <w:color w:val="auto"/>
        </w:rPr>
        <w:t>Additional Controls for Biologics</w:t>
      </w:r>
    </w:p>
    <w:p>
      <w:pPr>
        <w:spacing w:after="0" w:line="225" w:lineRule="exact"/>
        <w:rPr>
          <w:sz w:val="20"/>
          <w:szCs w:val="20"/>
          <w:color w:val="auto"/>
        </w:rPr>
      </w:pPr>
    </w:p>
    <w:p>
      <w:pPr>
        <w:ind w:right="340" w:firstLine="509"/>
        <w:spacing w:after="0" w:line="301"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spacing w:after="0" w:line="15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Biosimilars</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Biologics Price Competition and Innovation Act of 2009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small number of biosimilar products and no interchangeable products have been approved under the BPCIA. Complexities associated with the larger, and often more complex, structures of biological products, as well as the process by which such products are manufactured, pose significant hurdles to biosimilar product implementation, which is still being evaluated by the FDA.</w:t>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 reference biologic is granted 12 years of exclusivity from the time of first licensure, or BLA approval, of the reference product, and no application for a biosimilar can be submitted for four years from the date of licensure of the reference product. 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ind w:left="760"/>
        <w:spacing w:after="0"/>
        <w:rPr>
          <w:sz w:val="20"/>
          <w:szCs w:val="20"/>
          <w:color w:val="auto"/>
        </w:rPr>
      </w:pPr>
      <w:r>
        <w:rPr>
          <w:rFonts w:ascii="Arial" w:cs="Arial" w:eastAsia="Arial" w:hAnsi="Arial"/>
          <w:sz w:val="18"/>
          <w:szCs w:val="18"/>
          <w:i w:val="1"/>
          <w:iCs w:val="1"/>
          <w:color w:val="auto"/>
        </w:rPr>
        <w:t>Post-Approval Requirements or Commitments</w:t>
      </w:r>
    </w:p>
    <w:p>
      <w:pPr>
        <w:spacing w:after="0" w:line="225"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Approved drugs and biologics that are manufactured or distributed in the United States pursuant to FDA approvals are subject to pervasive and continuing regulation by the FDA, including, among other things, requirements relating to recordkeeping, periodic reporting, adverse event reporting, product sampling and distribution, advertising and promotion including standards and regulations for direct-to-consumer advertising, off label promotion, industry-sponsored scientific and educational activities and promotional activities involving the Internet. Biologics may be marketed only for the approved indications and in a manner consistent with the provisions of the approved labeling and reporting of adverse experiences with the product.</w:t>
      </w:r>
    </w:p>
    <w:p>
      <w:pPr>
        <w:spacing w:after="0" w:line="161"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FDA may impose a number of post-approval requirements or commitments as a condition of approval of a BLA. For example, the FDA may require post-marketing testing, including Phase 4 clinical trials, and surveillance programs to further assess and monitor the product’s safety and effectiveness after commercialization or the FDA may place conditions on an approval that could restrict the distribution or use of the product. The FDA may also require a REMS, which could involve requirements for, among other things, medication guides, special trainings for prescribers and dispensers, patient registries and elements to assure safe use.</w:t>
      </w:r>
    </w:p>
    <w:p>
      <w:pPr>
        <w:spacing w:after="0" w:line="18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The FDA has promulgated specific requirements for drug cGMP.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 party manufacturers that the sponsor may decide to use. Accordingly, manufacturers must continue to expend time, money and effort in the area of production and quality control to maintain cGMP compliance.</w:t>
      </w:r>
    </w:p>
    <w:p>
      <w:pPr>
        <w:spacing w:after="0" w:line="164"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Once an approval is granted, the FDA may issue enforcement letters or product approvals may need to be withdrawn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0" w:lineRule="exact"/>
        <w:rPr>
          <w:sz w:val="20"/>
          <w:szCs w:val="20"/>
          <w:color w:val="auto"/>
        </w:rPr>
      </w:pPr>
    </w:p>
    <w:p>
      <w:pPr>
        <w:ind w:left="1020" w:right="4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applications or supplements to approved applications,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3" w:name="page34"/>
    <w:bookmarkEnd w:id="33"/>
    <w:p>
      <w:pPr>
        <w:ind w:left="48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Coverage, Reimbursement and Pricing</w:t>
      </w:r>
    </w:p>
    <w:p>
      <w:pPr>
        <w:spacing w:after="0" w:line="225"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and foreign markets, sales of any products for which we receive regulatory approval for commercial sale will depend, in part, on the availability of coverage and the adequacy of reimbursement from third-party payors. Third-party payors include government authorities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third-party payor’s decision to provide coverage for a product does not imply that an adequate reimbursement rate will be approved. For example, the payor’s reimbursement payment rate may not be adequate or may require co-payments that patients find unacceptably high. Additionally, coverage and reimbursement for products can differ significantly from payor to payor. Adequate third-party reimbursement may not be available to enable us to maintain price levels sufficient to realize an appropriate return on our investment in product development. Further, some third-party payors may require pre-approval of coverage for new or innovative devices or drug therapies before they provide reimbursement for use of such therapies.</w:t>
      </w:r>
    </w:p>
    <w:p>
      <w:pPr>
        <w:spacing w:after="0" w:line="172"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products and services, in addition to their safety and efficacy. To obtain coverage and reimbursement for any product that might be approved for sale,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178"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U.S. and foreign governments regularly consider reform measures that affect healthcare coverage and costs. For example, the U.S.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products. The Patient Protection and Affordable Care Act, as amended by the Health Care and Education Reconciliation Act (collectively,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 Centers for Medicare and Medicaid Services ("CMS") may develop new payment and delivery models, such as bundled payment models. Adoption of government controls and measures, and tightening of restrictive policies in jurisdictions with existing controls and measures, could limit payments for our products.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right="40" w:firstLine="509"/>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the focus on cost containment measures, particularly in the United States, has increased and we expect will continue to increase the pressure on pharmaceutical pricing. Coverage policies and third-party reimbursement rates may change at any time. Even if we attain favorable coverage and reimbursement status for one or more products for which we receive regulatory approval, less favorable coverage policies and reimbursement rates may be implemented in the future.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Union Coverage Reimbursement and Pricing</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or so called health technology assessments, in order to obtain reimbursement or pricing approval.</w:t>
      </w:r>
    </w:p>
    <w:p>
      <w:pPr>
        <w:spacing w:after="0" w:line="187"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Physicians, other healthcare providers, and third-party payors will play a primary role in the recommendation and prescription of any product candidates for which we obtain marketing approval. Our arrangements with healthcare professionals, principal investigators, consultants, customers and third-party payors are and will be subject to various federal, state and foreign fraud and abuse laws and other healthcare laws and regulations. These laws and regulations may impact, among other things, our arrangements with third-party payors, healthcare professionals who participate in our clinical research programs, healthcare professionals and others who purchase, recommend or prescribe our approved products, and our proposed sales, marketing, distribution and education programs. The U.S. federal and state healthcare laws and regulations that may affect our ability to operate include, without limitation, the following:</w:t>
      </w:r>
    </w:p>
    <w:p>
      <w:pPr>
        <w:spacing w:after="0" w:line="87" w:lineRule="exact"/>
        <w:rPr>
          <w:sz w:val="20"/>
          <w:szCs w:val="20"/>
          <w:color w:val="auto"/>
        </w:rPr>
      </w:pPr>
    </w:p>
    <w:p>
      <w:pPr>
        <w:ind w:left="1020" w:right="60" w:hanging="503"/>
        <w:spacing w:after="0" w:line="279"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persons from, among other things, knowingly and willfully soliciting, receiving, offering or paying remuneration, directly or indirectly, in cash or in kind, to induce or reward either the referral of an individual for, or the purchase, order or recommendation of, any good or service, for which payment may be made under federally funded healthcare programs, such as Medicare and Medicaid. The term “remuneration” has been broadly interpreted to include anything of value;</w:t>
      </w:r>
    </w:p>
    <w:p>
      <w:pPr>
        <w:spacing w:after="0" w:line="63" w:lineRule="exact"/>
        <w:rPr>
          <w:rFonts w:ascii="Arial" w:cs="Arial" w:eastAsia="Arial" w:hAnsi="Arial"/>
          <w:sz w:val="17"/>
          <w:szCs w:val="17"/>
          <w:color w:val="auto"/>
        </w:rPr>
      </w:pPr>
    </w:p>
    <w:p>
      <w:pPr>
        <w:ind w:left="1020" w:right="40" w:hanging="503"/>
        <w:spacing w:after="0" w:line="25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federal civil monetary penalties law and the civil False Claims Act (which can be enforced by private citizens through qui tam actions),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79" w:lineRule="exact"/>
        <w:rPr>
          <w:rFonts w:ascii="Arial" w:cs="Arial" w:eastAsia="Arial" w:hAnsi="Arial"/>
          <w:sz w:val="18"/>
          <w:szCs w:val="18"/>
          <w:color w:val="auto"/>
        </w:rPr>
      </w:pPr>
    </w:p>
    <w:p>
      <w:pPr>
        <w:ind w:left="1020" w:right="20" w:hanging="503"/>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creates federal criminal laws that prohibit, among other things, executing or attempting to execute a scheme to defraud any healthcare benefit program knowingly and willfully falsifying, concealing or covering up a material fact or making any materially false statement in connection with the delivery of or payment for healthcare benefits, items or services;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left="1020" w:hanging="503"/>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certain healthcare providers, health plans and healthcare clearinghouses and their respective business associates who use, disclose, store or otherwise process HIPAA-protected health information on their behalf;</w:t>
      </w:r>
    </w:p>
    <w:p>
      <w:pPr>
        <w:spacing w:after="0" w:line="79" w:lineRule="exact"/>
        <w:rPr>
          <w:rFonts w:ascii="Arial" w:cs="Arial" w:eastAsia="Arial" w:hAnsi="Arial"/>
          <w:sz w:val="18"/>
          <w:szCs w:val="18"/>
          <w:color w:val="auto"/>
        </w:rPr>
      </w:pPr>
    </w:p>
    <w:p>
      <w:pPr>
        <w:ind w:left="1020" w:right="20" w:hanging="503"/>
        <w:spacing w:after="0" w:line="279"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transparency requirements under the Physician Payments Sunshine Act, created under the ACA, which requires certain manufacturers of drugs, devices, biologics and medical supplies reimbursed under Medicare, Medicaid or the Children’s Health Insurance Program ("CHIP") to report to the Department of Health and Human Services ("HHS") information related to payments and other transfers of value provided to physicians and teaching hospitals and physician ownership and investment interests;</w:t>
      </w:r>
    </w:p>
    <w:p>
      <w:pPr>
        <w:spacing w:after="0" w:line="63" w:lineRule="exact"/>
        <w:rPr>
          <w:rFonts w:ascii="Arial" w:cs="Arial" w:eastAsia="Arial" w:hAnsi="Arial"/>
          <w:sz w:val="17"/>
          <w:szCs w:val="17"/>
          <w:color w:val="auto"/>
        </w:rPr>
      </w:pPr>
    </w:p>
    <w:p>
      <w:pPr>
        <w:ind w:left="1020" w:right="3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that impose similar restrictions and may apply to items or services reimbursed by non-governmental third-party payors, including private insurers;</w:t>
      </w:r>
    </w:p>
    <w:p>
      <w:pPr>
        <w:spacing w:after="0" w:line="62"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and local laws requiring the registration of pharmaceutical sales representatives;</w:t>
      </w:r>
    </w:p>
    <w:p>
      <w:pPr>
        <w:spacing w:after="0" w:line="117" w:lineRule="exact"/>
        <w:rPr>
          <w:rFonts w:ascii="Arial" w:cs="Arial" w:eastAsia="Arial" w:hAnsi="Arial"/>
          <w:sz w:val="18"/>
          <w:szCs w:val="18"/>
          <w:color w:val="auto"/>
        </w:rPr>
      </w:pPr>
    </w:p>
    <w:p>
      <w:pPr>
        <w:ind w:left="1020" w:right="28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health information privacy and data breach notification laws, which govern the collection, use, disclosure and protection of health-related and other personal information, many of which differ from each other in significant ways and often are not pre-empted by HIPAA, thus complicating compliance efforts; and</w:t>
      </w:r>
    </w:p>
    <w:p>
      <w:pPr>
        <w:spacing w:after="0" w:line="75"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 unfair and deceptive trade practices statutes, pursuant to which significant statutory fines and penalties can be imposed against pharmaceutical companies alleged to have engaged in consumer fraud.</w:t>
      </w:r>
    </w:p>
    <w:p>
      <w:pPr>
        <w:spacing w:after="0" w:line="17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will be required to spend substantial time and money to ensure that our business arrangements with third parties comply with applicable healthcare laws and regulations. Recent healthcare reform legislation has strengthened these federal and state healthcare laws. For example, the ACA amends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provides that the government may assert that a claim that includes items or services resulting from a violation of the federal Anti-Kickback Statute constitutes a false or fraudulent claim for purposes of the civil False Claims Act. Government regulators have been very active in the last several years in revising existing regulations and promulgating new regulations. Government enforcement regulators have also become increasingly active in bringing enforcement actions based on these laws. Because of the breadth of these laws and the narrowness of the statutory exceptions and safe harbors available, it is possible that some of our business activities could be subject to challenge under one or more of such laws.</w:t>
      </w:r>
    </w:p>
    <w:p>
      <w:pPr>
        <w:spacing w:after="0" w:line="18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If we are found to be in violation of these laws, we may be subject to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reputational harm, in which case we may be required to curtail or restructure our operations. Moreover, we expect that there will continue to be federal and state laws and regulations, proposed and implemented, that could impact our future operations and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53" w:lineRule="exact"/>
        <w:rPr>
          <w:sz w:val="20"/>
          <w:szCs w:val="20"/>
          <w:color w:val="auto"/>
        </w:rPr>
      </w:pPr>
    </w:p>
    <w:p>
      <w:pPr>
        <w:ind w:left="1020" w:right="8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to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20" w:right="18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jc w:val="both"/>
        <w:ind w:left="1020" w:right="14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spacing w:after="0" w:line="7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if and when impaneled, will have authority to recommend certain changes to the Medicare program that could result in reduced payments for prescription drugs; and</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firstLine="509"/>
        <w:spacing w:after="0" w:line="289" w:lineRule="auto"/>
        <w:rPr>
          <w:sz w:val="20"/>
          <w:szCs w:val="20"/>
          <w:color w:val="auto"/>
        </w:rPr>
      </w:pPr>
      <w:r>
        <w:rPr>
          <w:rFonts w:ascii="Arial" w:cs="Arial" w:eastAsia="Arial" w:hAnsi="Arial"/>
          <w:sz w:val="16"/>
          <w:szCs w:val="16"/>
          <w:color w:val="auto"/>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w:t>
      </w:r>
    </w:p>
    <w:p>
      <w:pPr>
        <w:spacing w:after="0" w:line="166"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p>
    <w:p>
      <w:pPr>
        <w:spacing w:after="0" w:line="17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 is unclear how other efforts, if any, to challenge, repeal or replace the ACA, and other healthcare reform measures, will impact our business.</w:t>
      </w:r>
    </w:p>
    <w:p>
      <w:pPr>
        <w:spacing w:after="0" w:line="23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p>
    <w:p>
      <w:pPr>
        <w:spacing w:after="0" w:line="185"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6"/>
          <w:szCs w:val="16"/>
          <w:color w:val="auto"/>
        </w:rPr>
        <w:t>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6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We cannot predict what initiatives may be adopted in the future.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225" w:lineRule="exact"/>
        <w:rPr>
          <w:sz w:val="20"/>
          <w:szCs w:val="20"/>
          <w:color w:val="auto"/>
        </w:rPr>
      </w:pPr>
    </w:p>
    <w:p>
      <w:pPr>
        <w:jc w:val="both"/>
        <w:ind w:right="80" w:firstLine="509"/>
        <w:spacing w:after="0" w:line="275"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foreign countries that impose similar obligations.</w:t>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Anti-Corruption Laws</w:t>
      </w:r>
    </w:p>
    <w:p>
      <w:pPr>
        <w:spacing w:after="0" w:line="225"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Foreign Corrupt Practices Act (the "FCPA") the U.S. domestic bribery statute contained in 18 U.S.C. §201, the U.S. Travel Act, the USA PATRIOT Act, and possibly other state and national anti-bribery and anti-money laundering laws in countries in which we conduct activities. These anti-corruption laws prohibit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This could become relevant in the conduct of international clinical trials where the sites for such trials may be a government-owned hospital.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left="760"/>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60" w:firstLine="509"/>
        <w:spacing w:after="0" w:line="287" w:lineRule="auto"/>
        <w:rPr>
          <w:sz w:val="20"/>
          <w:szCs w:val="20"/>
          <w:color w:val="auto"/>
        </w:rPr>
      </w:pPr>
      <w:r>
        <w:rPr>
          <w:rFonts w:ascii="Arial" w:cs="Arial" w:eastAsia="Arial" w:hAnsi="Arial"/>
          <w:sz w:val="16"/>
          <w:szCs w:val="16"/>
          <w:color w:val="auto"/>
        </w:rPr>
        <w:t>The biopharmaceutical industry in general, and the cell therapy field in particular, is characterized by rapidly advancing and changing technologies, intense competition and a strong emphasis on intellectual property. We face substantial and increasing competition from many different sources, including large and specialty biopharmaceutical companies, academic research institutions, governmental agencies and public and private research institutions.</w:t>
      </w:r>
    </w:p>
    <w:p>
      <w:pPr>
        <w:spacing w:after="0" w:line="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Competitors may compete with us in hiring scientific and management personnel, establishing clinical study sites, recruiting patients to participate in clinical trials and acquiring technologies complementary to, or necessary for, our programs.</w:t>
      </w:r>
    </w:p>
    <w:p>
      <w:pPr>
        <w:spacing w:after="0" w:line="185"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Our known biopharmaceutical competitors developing allogeneic CAR-NK or CAR-T cell therapies include 2seventy Bio, Allogene, Artiva Biosciences, Bristol-Myers Squibb, Caribou, Cellectis, Celularity, Celyad, Century Therapeutics, CRISPR Therapeutics, Fate Therapeutics, Gamida Cell, Gilead, Glycostem, Gracell, ImmunityBio, Intellia, Legend Biotech, NKGen, Novartis, Precigen, Precision BioSciences, Sanofi, Takeda, and Vor Biopharma, each of which has clinical-stage allogeneic programs. Biopharmaceutical companies with potentially competitive cell therapies in preclinical development include Astellas, CytoImmune, Cytovia, Editas, Indapta Therapeutics, ONK Therapeutics, Senti, Shoreline Biosciences, Surface Oncology, and WuGen. The autologous CAR-T therapies Kymriah</w:t>
      </w:r>
      <w:r>
        <w:rPr>
          <w:rFonts w:ascii="Arial" w:cs="Arial" w:eastAsia="Arial" w:hAnsi="Arial"/>
          <w:sz w:val="23"/>
          <w:szCs w:val="23"/>
          <w:color w:val="auto"/>
          <w:vertAlign w:val="superscript"/>
        </w:rPr>
        <w:t>®</w:t>
      </w:r>
      <w:r>
        <w:rPr>
          <w:rFonts w:ascii="Arial" w:cs="Arial" w:eastAsia="Arial" w:hAnsi="Arial"/>
          <w:sz w:val="17"/>
          <w:szCs w:val="17"/>
          <w:color w:val="auto"/>
        </w:rPr>
        <w:t>, Yescarta</w:t>
      </w:r>
      <w:r>
        <w:rPr>
          <w:rFonts w:ascii="Arial" w:cs="Arial" w:eastAsia="Arial" w:hAnsi="Arial"/>
          <w:sz w:val="23"/>
          <w:szCs w:val="23"/>
          <w:color w:val="auto"/>
          <w:vertAlign w:val="superscript"/>
        </w:rPr>
        <w:t>®</w:t>
      </w:r>
      <w:r>
        <w:rPr>
          <w:rFonts w:ascii="Arial" w:cs="Arial" w:eastAsia="Arial" w:hAnsi="Arial"/>
          <w:sz w:val="17"/>
          <w:szCs w:val="17"/>
          <w:color w:val="auto"/>
        </w:rPr>
        <w:t>, Tecartus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Breyanzi</w:t>
      </w:r>
      <w:r>
        <w:rPr>
          <w:rFonts w:ascii="Arial" w:cs="Arial" w:eastAsia="Arial" w:hAnsi="Arial"/>
          <w:sz w:val="23"/>
          <w:szCs w:val="23"/>
          <w:color w:val="auto"/>
          <w:vertAlign w:val="superscript"/>
        </w:rPr>
        <w:t>®</w:t>
      </w:r>
      <w:r>
        <w:rPr>
          <w:rFonts w:ascii="Arial" w:cs="Arial" w:eastAsia="Arial" w:hAnsi="Arial"/>
          <w:sz w:val="17"/>
          <w:szCs w:val="17"/>
          <w:color w:val="auto"/>
        </w:rPr>
        <w:t>, which have been commercially approved, are direct competitors to our product candidate NKX019. Bispecific CD20-directed CD3 T-cell engaging antibodies such as mosunetuzumab-axgb (Lunsumio</w:t>
      </w:r>
      <w:r>
        <w:rPr>
          <w:rFonts w:ascii="Arial" w:cs="Arial" w:eastAsia="Arial" w:hAnsi="Arial"/>
          <w:sz w:val="23"/>
          <w:szCs w:val="23"/>
          <w:color w:val="auto"/>
          <w:vertAlign w:val="superscript"/>
        </w:rPr>
        <w:t>®</w:t>
      </w:r>
      <w:r>
        <w:rPr>
          <w:rFonts w:ascii="Arial" w:cs="Arial" w:eastAsia="Arial" w:hAnsi="Arial"/>
          <w:sz w:val="17"/>
          <w:szCs w:val="17"/>
          <w:color w:val="auto"/>
        </w:rPr>
        <w:t>), which has accelerated approval, and others that are currently in development and under BLA review at the FDA are also competitors to our product candidate NKX019. Furthermore, a number of companies are seeking to harness NK or T cell biology through engagers which seek to direct a patient’s own NK or T cells to the site of a tumor. Such competitors include Affimed, Amgen, Dragonfly Therapeutics, GT Biopharma, Innate Pharma, and Servier. Several companies are investigating other types of immune cells, such as gamma delta and NKT. These companies include Acepodia, Adicet, Appia Bio, Athenex, Gadeta, In8Bio, Portage, and Takeda.</w:t>
      </w:r>
    </w:p>
    <w:p>
      <w:pPr>
        <w:spacing w:after="0" w:line="19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In addition, numerous academic institutions are conducting preclinical and clinical research in these areas. Furthermore, a number of biopharmaceutical companies and academic groups are focused on engineering other white blood cell types including NKT cells and gamma-delta T cells, which may offer some of the same advantages as engineered NK cells. Finally, research in immuno-oncology is one of the most active areas for the discovery and clinical development of new anticancer therapies in the biopharmaceutical industry. New approaches, such as bispecific antibodies, as well as refinements of existing modalities, such as immune checkpoint inhibitors, are constantly emerging.</w:t>
      </w:r>
    </w:p>
    <w:p>
      <w:pPr>
        <w:spacing w:after="0" w:line="1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Many of our current or potential competitors have significantly greater financial, technical and human resources, as well as more expertise in research and development, manufacturing, preclinical testing, conducting clinical studies and trials and commercializing and marketing approved products, than us. Mergers and acquisitions in the biopharmaceutical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spacing w:after="0" w:line="188"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success of all of our programs are likely to be their efficacy, safety, convenience, price and degree of reimbursement.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believe that our values – patient first, data driven, intellectually honest, transparent, diverse, inclusive, work/life balance, respectful, humble, creative, and ethical – are the foundations for our team and our behaviors for promoting creativity, innovation and productivity. As of December 31, 2022, we had 163 full-time employees, 39 of whom have Ph.D., M.D. or J.D. degrees. Of these full-time employees, 126 employees are engaged in research and development activities and 37 employees are engaged in finance, business development and other general and administrative functions. We have no collective bargaining agreements with our employees and we have not experienced any work stoppages. We consider our relations with our employees to be good.</w:t>
      </w:r>
    </w:p>
    <w:p>
      <w:pPr>
        <w:spacing w:after="0" w:line="19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believe that a diverse and inclusive work environment is critical for driving innovation, workforce productivity and the development of new cell therapies. We embrace the principles of workplace development, diversity and inclusion set forth by the Biotechnology Innovation Organization. As part of comprehensive approach to diversity, equity and inclusion at Nkarta, we rely on data to identify gaps, set priorities and enable ongoing measurement of our progress. We publish these quarterly data on our website in the spirit of shared responsibility and accountability. Nothing on our website shall be deemed incorporated by reference into this Annual Report on Form 10-K.</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Compensation, Benefits and Well-being</w:t>
      </w:r>
    </w:p>
    <w:p>
      <w:pPr>
        <w:spacing w:after="0" w:line="22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We strive to offer fair, market-competitive compensation and benefits that support our employees’ overall well-being. To ensure alignment with our short- and long-term objectives, our compensation programs for all employees include base pay, short-term incentives, and opportunities for long-term incentives. Our well-being and benefit programs focus on four key pillars: physical, emotional, financial and community. We offer a wide array of benefits including comprehensive health insurance, generous time-off and leave, and retirement and financial support.</w:t>
      </w:r>
    </w:p>
    <w:p>
      <w:pPr>
        <w:spacing w:after="0" w:line="17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In response to the COVID-19 pandemic, we implemented significant changes that we determined were in the best interest of our employees as well as the communities in which we operate. This includes having many of our employees not in research or manufacturing work from home, while implementing additional safety measures for employees continuing critical on-site work. We also provide flexible work hours and paid time off for employees who cannot work due to circumstances related to COVID-19. We have actively encouraged employees to structure their days and work to best help address caregiving responsibilities they have with family members as well as taking care of themselves personally.</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i w:val="1"/>
          <w:iCs w:val="1"/>
          <w:color w:val="auto"/>
        </w:rPr>
        <w:t>An investment in shares of our common stock involves a high degree of risk. You should carefully consider the following risk factors, as well as all of the other information contained in this Annual Report on Form 10-K,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do not have any products approved for sale.</w:t>
      </w:r>
    </w:p>
    <w:p>
      <w:pPr>
        <w:spacing w:after="0" w:line="22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significant losses for the foreseeable future.</w:t>
      </w:r>
    </w:p>
    <w:p>
      <w:pPr>
        <w:spacing w:after="0" w:line="23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Since our inception in 2015, we have incurred significant operating losses. Our net losses were $113.8 million and $86.1 million for the years ended December 31, 2022 and 2021, respectively. Our accumulated deficit was $317.9 million as of December 31, 2022. We expect to continue to incur increasing operating losses for the foreseeable future as we continue to develop our product candidates. In addition, we anticipate that our expenses will increase substantially if, and as, we:</w:t>
      </w:r>
    </w:p>
    <w:p>
      <w:pPr>
        <w:spacing w:after="0" w:line="79"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the clinical development of NKX101 and NKX019;</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additional product candidates to clinical trials, including product candidates under the collaboration with CRISPR Therapeutics AG ("CRISPR");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our current product candidates for additional disease 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qualify our own clinical- and commercial-scale clinical current good manufacturing practice ("cGMP") facilities;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 a biologics license application ("BLA") or marketing authorization application, ("MAA") for NKX101 and/or NKX019 and/or seek marketing approvals for any of our other product candidates that successfully complete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in various jurisdictions for commercial sale;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 or secure marketing, sales and distribution capabilities, either internally or with third parties, to support commercialization;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 foregoing activities.</w:t>
      </w:r>
    </w:p>
    <w:p>
      <w:pPr>
        <w:spacing w:after="0" w:line="22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25"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continue to incur significant research and development and other expenses related to ongoing operations and the development of our two lead product candidates, NKX101 and NKX019. All of our product candidates will require substantial additional development time and resources before we would be able to apply for or receive regulatory approvals and begin generating revenue from product sales. Neither the United Sates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69"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completing clinical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seeking and obtaining regulatory approvals for product candidates for which we successfully complete positive clinical trials, if any;</w:t>
      </w:r>
    </w:p>
    <w:p>
      <w:pPr>
        <w:spacing w:after="0" w:line="128" w:lineRule="exact"/>
        <w:rPr>
          <w:rFonts w:ascii="Arial" w:cs="Arial" w:eastAsia="Arial" w:hAnsi="Arial"/>
          <w:sz w:val="17"/>
          <w:szCs w:val="17"/>
          <w:color w:val="auto"/>
        </w:rPr>
      </w:pPr>
    </w:p>
    <w:p>
      <w:pPr>
        <w:ind w:left="1020" w:right="58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by establishing a commercial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maintaining and enhancing a sustainable, scalable, reproducible and transferable manufacturing process for each of our cell therapy product candidates;</w:t>
      </w:r>
    </w:p>
    <w:p>
      <w:pPr>
        <w:spacing w:after="0" w:line="62" w:lineRule="exact"/>
        <w:rPr>
          <w:rFonts w:ascii="Arial" w:cs="Arial" w:eastAsia="Arial" w:hAnsi="Arial"/>
          <w:sz w:val="18"/>
          <w:szCs w:val="18"/>
          <w:color w:val="auto"/>
        </w:rPr>
      </w:pPr>
    </w:p>
    <w:p>
      <w:pPr>
        <w:ind w:left="1020" w:right="220" w:hanging="503"/>
        <w:spacing w:after="0" w:line="342"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viable treatment option;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know-how, and trademarks;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3" w:name="page44"/>
    <w:bookmarkEnd w:id="43"/>
    <w:p>
      <w:pPr>
        <w:ind w:right="160" w:firstLine="509"/>
        <w:spacing w:after="0" w:line="311" w:lineRule="auto"/>
        <w:rPr>
          <w:sz w:val="20"/>
          <w:szCs w:val="20"/>
          <w:color w:val="auto"/>
        </w:rPr>
      </w:pPr>
      <w:r>
        <w:rPr>
          <w:rFonts w:ascii="Arial" w:cs="Arial" w:eastAsia="Arial" w:hAnsi="Arial"/>
          <w:sz w:val="16"/>
          <w:szCs w:val="16"/>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7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have financed our operations primarily through private placements of our preferred stock, proceeds from our previous collaboration with GlaxoSmithKline, proceeds from our IPO completed in July 2020, proceeds from our underwritten public offering of our common stock completed in April 2022 (the "Secondary Offering"), and our "at the market" equity offering program (the "ATM Offering Program"). We intend to continue to use the proceeds from our IPO and our Secondary Offering to, among other uses, advance NKX101 and NKX019 through clinical development. Developing pharmaceutical products and conducting preclinical studies and clinical trials is expensive. As of December 31, 2022, we had cash, cash equivalents, restricted cash and short-term investments of $354.9 million. Our research and development expenses increased from $63.4 million for the year ended December 31, 2021 to $90.9 million for the year ended December 31, 2022.</w:t>
      </w:r>
    </w:p>
    <w:p>
      <w:pPr>
        <w:spacing w:after="0" w:line="17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Until and unless we can generate substantial product revenue, we expect to finance our cash needs through the proceeds from our IPO and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ongoing conflict in Ukraine, rising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8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significantly curtail or stop one or more of our research or development programs.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160"/>
        <w:spacing w:after="0" w:line="263" w:lineRule="auto"/>
        <w:rPr>
          <w:sz w:val="20"/>
          <w:szCs w:val="20"/>
          <w:color w:val="auto"/>
        </w:rPr>
      </w:pPr>
      <w:r>
        <w:rPr>
          <w:rFonts w:ascii="Arial" w:cs="Arial" w:eastAsia="Arial" w:hAnsi="Arial"/>
          <w:sz w:val="18"/>
          <w:szCs w:val="18"/>
          <w:b w:val="1"/>
          <w:bCs w:val="1"/>
          <w:i w:val="1"/>
          <w:iCs w:val="1"/>
          <w:color w:val="auto"/>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spacing w:after="0" w:line="184" w:lineRule="exact"/>
        <w:rPr>
          <w:sz w:val="20"/>
          <w:szCs w:val="20"/>
          <w:color w:val="auto"/>
        </w:rPr>
      </w:pPr>
    </w:p>
    <w:p>
      <w:pPr>
        <w:jc w:val="both"/>
        <w:ind w:right="580" w:firstLine="509"/>
        <w:spacing w:after="0" w:line="263" w:lineRule="auto"/>
        <w:rPr>
          <w:sz w:val="20"/>
          <w:szCs w:val="20"/>
          <w:color w:val="auto"/>
        </w:rPr>
      </w:pPr>
      <w:r>
        <w:rPr>
          <w:rFonts w:ascii="Arial" w:cs="Arial" w:eastAsia="Arial" w:hAnsi="Arial"/>
          <w:sz w:val="18"/>
          <w:szCs w:val="18"/>
          <w:color w:val="auto"/>
        </w:rPr>
        <w:t>The COVID-19 pandemic and preventative measures taken to mitigate the impact of the pandemic disrupted economic activity and business operations worldwide, including the San Francisco Bay Area, where our primary operations are located. The emergence of another health epidemic, including future outbreaks of COVID-19 variants, could result in similar disruptions.</w:t>
      </w:r>
    </w:p>
    <w:p>
      <w:pPr>
        <w:spacing w:after="0" w:line="143"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Our operations, as well as the operations of some of our contract research organizations ("CROs"), contract development and manufacturing organizations ("CDMOs"), and clinical trial sites, were impacted by the COVID-19 pandemic and may in the future be similarly impacted by further outbreaks of COVID-19 variants or other health epidemics. For example, we experienced some delays in construction of our cGMP manufacturing facilities and in our internal research efforts as a result of the COVID-19 pandemic. COVID-19 also caused global supply shortages of certain materials, such as certain raw materials, cell culture media, disposable plastics, and equipment, that we and our CDMOs use for research and cGMP manufacturing. Due to the COVID-19 pandemic, some of our CROs experienced employee turnover/attrition, delays, or disruptions and some of our clinical trial sites had to temporarily restrict enrollment into clinical protocols. Supply chain and operational disruptions due to COVID-19 contributed to certain enrollment delays in our NKX101 clinical trial. In addition, we had minor delays in setting up clinical sites in our NKX019 clinical trial due to COVID-19 restrictions due to repurposing of healthcare personnel and facilities to support local pandemic efforts. We will continue to monitor the impact of COVID-19 and any future waves of the COVID-19 pandemic or other health epidemics on our operations, including on continued enrollment in our NKX101 and NKX019 clinical trials, as well as on our collaboration partners, CROs, CDMOs, and clinical trial sites. The COVID-19 pandemic has also impacted, and may impact in the future, the regulatory authorities to which we are subject in our industry, which may, in turn, hamper or delay our clinical development efforts. We periodically interact with health authorities such as the FDA to obtain advice, or reach consensus, on our ongoing clinical trials, product development, and manufacturing activities. If FDA personnel prioritize pandemic related efforts, we may experience delays in obtaining periodic advice which may affect our ability to move our clinical programs forward into the next phase of development.</w:t>
      </w:r>
    </w:p>
    <w:p>
      <w:pPr>
        <w:spacing w:after="0" w:line="16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cannot predict the potential future impacts of a further spread of COVID-19, including its variants, or the emergence of another health epidemic on us, our research partners, including CRISPR, and other third parties with whom we conduct business. As a result of the COVID-19 pandemic or other pandemic, epidemic or outbreak of an infectious disease, we have experienced and/or may experience disruptions that could severely impact our business, preclinical studies and clinical trials, including:</w:t>
      </w:r>
    </w:p>
    <w:p>
      <w:pPr>
        <w:spacing w:after="0" w:line="79"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including our ongoing NKX101 and NKX019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and in training medical personnel on how to properly thaw and administer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recruitment of key personnel;</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20" w:right="8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5" w:lineRule="exact"/>
        <w:rPr>
          <w:rFonts w:ascii="Arial" w:cs="Arial" w:eastAsia="Arial" w:hAnsi="Arial"/>
          <w:sz w:val="18"/>
          <w:szCs w:val="18"/>
          <w:color w:val="auto"/>
        </w:rPr>
      </w:pPr>
    </w:p>
    <w:p>
      <w:pPr>
        <w:ind w:left="1020" w:right="680" w:hanging="503"/>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 including the review of Investigational New Drug ("IND") or other regulatory submissions for our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both"/>
        <w:ind w:left="1020" w:right="22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75" w:lineRule="exact"/>
        <w:rPr>
          <w:rFonts w:ascii="Arial" w:cs="Arial" w:eastAsia="Arial" w:hAnsi="Arial"/>
          <w:sz w:val="18"/>
          <w:szCs w:val="18"/>
          <w:color w:val="auto"/>
        </w:rPr>
      </w:pPr>
    </w:p>
    <w:p>
      <w:pPr>
        <w:ind w:left="1020" w:right="200" w:hanging="503"/>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spacing w:after="0" w:line="15" w:lineRule="exact"/>
        <w:rPr>
          <w:rFonts w:ascii="Arial" w:cs="Arial" w:eastAsia="Arial" w:hAnsi="Arial"/>
          <w:sz w:val="16"/>
          <w:szCs w:val="16"/>
          <w:color w:val="auto"/>
        </w:rPr>
      </w:pPr>
    </w:p>
    <w:p>
      <w:pPr>
        <w:ind w:left="1020" w:right="3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disruptions in the planning, construction or qualification of our cGMP facility for commercial-scale manufacture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interruptions, or delays in receiving supplies and materials necessary for our business operations, and research and development activities;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cost of services or supplies necessary for our research and development activities;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to our discovery and clinical activities.</w:t>
      </w:r>
    </w:p>
    <w:p>
      <w:pPr>
        <w:spacing w:after="0" w:line="22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On January 30, 2023, it was announced that the U.S. public health emergency declarations related to COVID-19 will end on May 11, 2023. On January 31, 2023, the FDA indicated that it would soon issue a Federal Register notice describing how the termination of the public health emergency will impact the agency’s COVID-19 related guidances, including the clinical trial guidance and updates thereto. At this point, it is unclear how, if at all, these developments will impact our efforts to develop and commercialize our product candidates.</w:t>
      </w:r>
    </w:p>
    <w:p>
      <w:pPr>
        <w:spacing w:after="0" w:line="18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ultimate impact of the COVID-19 outbreak or a similar health epidemic is highly uncertain. The extent of any delays or impacts will depend on future developments that are highly uncertain and cannot be predicted with confidence, but these delays could have a material impact on our business, financial condition, and/or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success of our CAR NK cell technology platform.</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success depends on our ability to utilize our chimeric antigen receptor-natural killer cell ("CAR NK") technology platform to generate product candidates, to obtain regulatory approval for product candidates derived from it, and to then commercialize our product candidates addressing one or more indications. Phase 1 clinical trials to evaluate our first two CAR NK product candidates in humans is ongoing.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 engineering technology.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500"/>
        <w:spacing w:after="0" w:line="277" w:lineRule="auto"/>
        <w:rPr>
          <w:sz w:val="20"/>
          <w:szCs w:val="20"/>
          <w:color w:val="auto"/>
        </w:rPr>
      </w:pPr>
      <w:r>
        <w:rPr>
          <w:rFonts w:ascii="Arial" w:cs="Arial" w:eastAsia="Arial" w:hAnsi="Arial"/>
          <w:sz w:val="18"/>
          <w:szCs w:val="18"/>
          <w:b w:val="1"/>
          <w:bCs w:val="1"/>
          <w:i w:val="1"/>
          <w:iCs w:val="1"/>
          <w:color w:val="auto"/>
        </w:rPr>
        <w:t>Utilizing CAR NK cells represents a novel approach to the treatment of cancer, and we must overcome significant challenges in order to develop, commercialize and manufacture our product candidates.</w:t>
      </w:r>
    </w:p>
    <w:p>
      <w:pPr>
        <w:spacing w:after="0" w:line="170"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We have concentrated our research and development efforts on utilizing CAR NK cells as an immuno-oncology therapy. To date, the FDA has approved only a few cell-based therapies for commercialization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 platform product candidates are novel, and cell-based therapies are relatively new, regulatory agencies may lack precedents for evaluating product candidates like our CAR NK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 platform product candidates.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advancing novel immuno-oncology therapies creates significant challenges for us, including:</w:t>
      </w:r>
    </w:p>
    <w:p>
      <w:pPr>
        <w:spacing w:after="0" w:line="11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thaw and administer our cells, especially in any solid tumor trial wherein the cells are given through a procedure by trained medical doctors;</w:t>
      </w:r>
    </w:p>
    <w:p>
      <w:pPr>
        <w:spacing w:after="0" w:line="62"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spacing w:after="0" w:line="75"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observed side effects with the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 reliable and safe and an effective means of genetically modifying our cells;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and cryopreservation our cells on a large scale and in a cost-effective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sourcing starting material suitable for clinical and commercial manufacturing; and</w:t>
      </w:r>
    </w:p>
    <w:p>
      <w:pPr>
        <w:spacing w:after="0" w:line="117"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must be able to overcome these challenges in order for us to develop, commercialize and manufacture our product candidates utilizing CAR 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spacing w:after="0" w:line="31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spacing w:after="0" w:line="12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Current clinical experience with NK cell therapy is predominantly based on cells from haplomatched donors, i.e., at least half of the major Human Leukocyte Antigen ("HLA"), types matched between donor and recipient. Our ongoing NKX101 Phase 1 clinical trial evaluated product manufactured from patient specific haplo-related donors and completely unrelated donors (used off the shelf). Based on preliminary clinical results, we have moved forward into expansion cohorts and further development of NKX101 using off the shelf product only. There is a risk that the early clinical results may not be reflective of future clinical trial results which may require us to re-evaluate HLA matching. If it becomes apparent through future preclinical testing or clinical trials that such matching is required, the production of NKX101, NKX019, and our other product candidates as standardized, off-the-shelf products for all patients will not be achievable. Instead, we would need to establish an alternative approach for each of our product candidates to achieve coverage of the addressable patient population.</w:t>
      </w:r>
    </w:p>
    <w:p>
      <w:pPr>
        <w:spacing w:after="0" w:line="19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Furthermore, the killer immunoglobulin-like receptor ("KIR"), is found on the surface of NK cells and recognizes certain HLA types. If there is a match between KIR and the HLA type, KIR acts as a natural inhibitor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t>NK activity, thereby serving to prevent immune reactions against an individual’s own cells. In both NKX101 and NKX019 Phase 1 clinical trials, product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p>
    <w:p>
      <w:pPr>
        <w:spacing w:after="0" w:line="18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addition,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88"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Finally, there is limited history of CAR 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6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70"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199"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76" w:lineRule="exact"/>
        <w:rPr>
          <w:sz w:val="20"/>
          <w:szCs w:val="20"/>
          <w:color w:val="auto"/>
        </w:rPr>
      </w:pPr>
    </w:p>
    <w:p>
      <w:pPr>
        <w:ind w:left="5540" w:right="5300" w:hanging="5023"/>
        <w:spacing w:after="0" w:line="571" w:lineRule="auto"/>
        <w:tabs>
          <w:tab w:leader="none" w:pos="10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delays in obtaining regulatory approval to commence a clinical trial;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503"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sufficient patients for our clinical trials in a timely manner or at all;</w:t>
      </w:r>
    </w:p>
    <w:p>
      <w:pPr>
        <w:spacing w:after="0" w:line="117" w:lineRule="exact"/>
        <w:rPr>
          <w:rFonts w:ascii="Arial" w:cs="Arial" w:eastAsia="Arial" w:hAnsi="Arial"/>
          <w:sz w:val="18"/>
          <w:szCs w:val="18"/>
          <w:color w:val="auto"/>
        </w:rPr>
      </w:pPr>
    </w:p>
    <w:p>
      <w:pPr>
        <w:ind w:left="503" w:right="28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achieving a sufficient number of clinical trial sites or obtaining the required institutional review board ("IRB"), approval at each clinical trial site;</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or by the FDA or other regulatory agencies based on emerging data;</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503" w:right="8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obtain long-term follow-up data due to patient drop out or in cases where patients elect to receive post-protocol treatment for their disease before it progresses;</w:t>
      </w:r>
    </w:p>
    <w:p>
      <w:pPr>
        <w:spacing w:after="0" w:line="62" w:lineRule="exact"/>
        <w:rPr>
          <w:rFonts w:ascii="Arial" w:cs="Arial" w:eastAsia="Arial" w:hAnsi="Arial"/>
          <w:sz w:val="18"/>
          <w:szCs w:val="18"/>
          <w:color w:val="auto"/>
        </w:rPr>
      </w:pPr>
    </w:p>
    <w:p>
      <w:pPr>
        <w:ind w:left="503" w:right="44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termination of a clinical trial by the IRB of the institutions in which such trials are being conducted or by the Data Safety Monitoring Board ("DSMB") (where applicable);</w:t>
      </w:r>
    </w:p>
    <w:p>
      <w:pPr>
        <w:spacing w:after="0" w:line="62" w:lineRule="exact"/>
        <w:rPr>
          <w:rFonts w:ascii="Arial" w:cs="Arial" w:eastAsia="Arial" w:hAnsi="Arial"/>
          <w:sz w:val="18"/>
          <w:szCs w:val="18"/>
          <w:color w:val="auto"/>
        </w:rPr>
      </w:pPr>
    </w:p>
    <w:p>
      <w:pPr>
        <w:ind w:left="503" w:right="42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clinical trials, or production delays, shutdowns or setbacks at any of our contract manufacturers;</w:t>
      </w:r>
    </w:p>
    <w:p>
      <w:pPr>
        <w:spacing w:after="0" w:line="62" w:lineRule="exact"/>
        <w:rPr>
          <w:rFonts w:ascii="Arial" w:cs="Arial" w:eastAsia="Arial" w:hAnsi="Arial"/>
          <w:sz w:val="18"/>
          <w:szCs w:val="18"/>
          <w:color w:val="auto"/>
        </w:rPr>
      </w:pPr>
    </w:p>
    <w:p>
      <w:pPr>
        <w:ind w:left="503" w:right="6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w:t>
      </w:r>
    </w:p>
    <w:p>
      <w:pPr>
        <w:spacing w:after="0" w:line="117" w:lineRule="exact"/>
        <w:rPr>
          <w:rFonts w:ascii="Arial" w:cs="Arial" w:eastAsia="Arial" w:hAnsi="Arial"/>
          <w:sz w:val="18"/>
          <w:szCs w:val="18"/>
          <w:color w:val="auto"/>
        </w:rPr>
      </w:pPr>
    </w:p>
    <w:p>
      <w:pPr>
        <w:ind w:left="503" w:right="2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requirements or guidance that may require us to amend or submit new clinical protocols, or such requirements may not be as we anticipate;</w:t>
      </w:r>
    </w:p>
    <w:p>
      <w:pPr>
        <w:spacing w:after="0" w:line="62" w:lineRule="exact"/>
        <w:rPr>
          <w:rFonts w:ascii="Arial" w:cs="Arial" w:eastAsia="Arial" w:hAnsi="Arial"/>
          <w:sz w:val="18"/>
          <w:szCs w:val="18"/>
          <w:color w:val="auto"/>
        </w:rPr>
      </w:pPr>
    </w:p>
    <w:p>
      <w:pPr>
        <w:ind w:left="503" w:right="2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standard of care or treatment landscape on which a clinical development plan was based, which may require new or additional trials;</w:t>
      </w:r>
    </w:p>
    <w:p>
      <w:pPr>
        <w:spacing w:after="0" w:line="62" w:lineRule="exact"/>
        <w:rPr>
          <w:rFonts w:ascii="Arial" w:cs="Arial" w:eastAsia="Arial" w:hAnsi="Arial"/>
          <w:sz w:val="18"/>
          <w:szCs w:val="18"/>
          <w:color w:val="auto"/>
        </w:rPr>
      </w:pPr>
    </w:p>
    <w:p>
      <w:pPr>
        <w:jc w:val="both"/>
        <w:ind w:left="503" w:right="140" w:hanging="503"/>
        <w:spacing w:after="0" w:line="286" w:lineRule="auto"/>
        <w:tabs>
          <w:tab w:leader="none" w:pos="5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insufficient quantities or inadequate quality of our product candidates or other materials necessary to conduct preclinical studies or clinical trials of our product candidates, including potential limitations to the availability of agents such as fludarabine, cyclophosphamide, or other agents administered to patients prior to treatment or in combination with our product candidates;</w:t>
      </w:r>
    </w:p>
    <w:p>
      <w:pPr>
        <w:spacing w:after="0" w:line="57" w:lineRule="exact"/>
        <w:rPr>
          <w:rFonts w:ascii="Arial" w:cs="Arial" w:eastAsia="Arial" w:hAnsi="Arial"/>
          <w:sz w:val="17"/>
          <w:szCs w:val="17"/>
          <w:color w:val="auto"/>
        </w:rPr>
      </w:pPr>
    </w:p>
    <w:p>
      <w:pPr>
        <w:ind w:left="503" w:right="10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62" w:lineRule="exact"/>
        <w:rPr>
          <w:rFonts w:ascii="Arial" w:cs="Arial" w:eastAsia="Arial" w:hAnsi="Arial"/>
          <w:sz w:val="18"/>
          <w:szCs w:val="18"/>
          <w:color w:val="auto"/>
        </w:rPr>
      </w:pPr>
    </w:p>
    <w:p>
      <w:pPr>
        <w:ind w:left="503" w:right="520" w:hanging="503"/>
        <w:spacing w:after="0" w:line="277"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62" w:lineRule="exact"/>
        <w:rPr>
          <w:rFonts w:ascii="Arial" w:cs="Arial" w:eastAsia="Arial" w:hAnsi="Arial"/>
          <w:sz w:val="18"/>
          <w:szCs w:val="18"/>
          <w:color w:val="auto"/>
        </w:rPr>
      </w:pPr>
    </w:p>
    <w:p>
      <w:pPr>
        <w:ind w:left="503" w:right="220" w:hanging="503"/>
        <w:spacing w:after="0" w:line="263" w:lineRule="auto"/>
        <w:tabs>
          <w:tab w:leader="none" w:pos="5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43"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49" w:right="379" w:bottom="1440" w:gutter="0" w:footer="0" w:header="0"/>
        </w:sectPr>
      </w:pPr>
    </w:p>
    <w:bookmarkStart w:id="49" w:name="page50"/>
    <w:bookmarkEnd w:id="49"/>
    <w:p>
      <w:pPr>
        <w:ind w:firstLine="509"/>
        <w:spacing w:after="0" w:line="287" w:lineRule="auto"/>
        <w:rPr>
          <w:sz w:val="20"/>
          <w:szCs w:val="20"/>
          <w:color w:val="auto"/>
        </w:rPr>
      </w:pPr>
      <w:r>
        <w:rPr>
          <w:rFonts w:ascii="Arial" w:cs="Arial" w:eastAsia="Arial" w:hAnsi="Arial"/>
          <w:sz w:val="16"/>
          <w:szCs w:val="16"/>
          <w:color w:val="auto"/>
        </w:rPr>
        <w:t>In addition, disruptions caused by or related to the COVID-19 pandemic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futurewaves of the COVID-19 pandemic or other health epidemics, then we may experience delays in obtaining periodic advice which may affect our ability to move our clinical programs forward into the next phase of development. For instance, in 2020, the FDA temporarily postponed routine surveillance inspections of domestic manufacturing facilities and implemented various policies and systems to prioritize domestic inspections in response to the COVID-19 pandemic The FDA resumed conducting domestic surveillance inspections on February 7, 2022, but if the FDA or regulatory authorities outside the U.S. adopt similar restrictions or other policy measures in response to future waves of the COVID-19 pandemic or other health epidemics in the future, we may experience delays in their regulatory activities.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w:t>
      </w:r>
    </w:p>
    <w:p>
      <w:pPr>
        <w:spacing w:after="0" w:line="17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 product candidate targeting the CD70 tumor antigen ("NKX070") and an allogeneic, off-the-shelf product candidate that comprises both engineered NK cells and engineered T cells ("NK+T") programs on which we are collaborating with CRISPR could be impacted. For example, the FDA may require additional or new release assays for manufactured lots of any product candidates that have been gene edited, which, as a result, could slow development of our gene-edited product candidates and increase expenses.</w:t>
      </w:r>
    </w:p>
    <w:p>
      <w:pPr>
        <w:spacing w:after="0" w:line="19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27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w:t>
      </w:r>
    </w:p>
    <w:p>
      <w:pPr>
        <w:spacing w:after="0" w:line="100"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or any of our other product candidates, will be successful in clinical trials or receive regulatory approval. The FDA, and other comparable global regulatory authorities can delay, limit or deny approval of a product candidate for many reasons. For further details about such reasons, see “—</w:t>
      </w:r>
      <w:r>
        <w:rPr>
          <w:rFonts w:ascii="Arial" w:cs="Arial" w:eastAsia="Arial" w:hAnsi="Arial"/>
          <w:sz w:val="16"/>
          <w:szCs w:val="16"/>
          <w:i w:val="1"/>
          <w:iCs w:val="1"/>
          <w:color w:val="auto"/>
        </w:rPr>
        <w:t>Clinical development involves a lengthy and expensive process with</w:t>
      </w:r>
      <w:r>
        <w:rPr>
          <w:rFonts w:ascii="Arial" w:cs="Arial" w:eastAsia="Arial" w:hAnsi="Arial"/>
          <w:sz w:val="16"/>
          <w:szCs w:val="16"/>
          <w:color w:val="auto"/>
        </w:rPr>
        <w:t xml:space="preserve"> </w:t>
      </w:r>
      <w:r>
        <w:rPr>
          <w:rFonts w:ascii="Arial" w:cs="Arial" w:eastAsia="Arial" w:hAnsi="Arial"/>
          <w:sz w:val="16"/>
          <w:szCs w:val="16"/>
          <w:i w:val="1"/>
          <w:iCs w:val="1"/>
          <w:color w:val="auto"/>
        </w:rPr>
        <w:t>an uncertain outcome, and we may encounter substantial delays due to a variety of reasons outside our control.</w:t>
      </w:r>
      <w:r>
        <w:rPr>
          <w:rFonts w:ascii="Arial" w:cs="Arial" w:eastAsia="Arial" w:hAnsi="Arial"/>
          <w:sz w:val="16"/>
          <w:szCs w:val="16"/>
          <w:color w:val="auto"/>
        </w:rPr>
        <w:t>” Any delay in obtaining, or inability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applicable regulatory approval will delay or harm our ability to successfully commercialize NKX101, NKX019, or any of our other product candidates, and could materially adversely affect our business, financial condition, results of operations and growth prospects.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220" w:firstLine="509"/>
        <w:spacing w:after="0" w:line="296" w:lineRule="auto"/>
        <w:rPr>
          <w:sz w:val="20"/>
          <w:szCs w:val="20"/>
          <w:color w:val="auto"/>
        </w:rPr>
      </w:pPr>
      <w:r>
        <w:rPr>
          <w:rFonts w:ascii="Arial" w:cs="Arial" w:eastAsia="Arial" w:hAnsi="Arial"/>
          <w:sz w:val="16"/>
          <w:szCs w:val="16"/>
          <w:color w:val="auto"/>
        </w:rPr>
        <w:t>NKX101 is in an early-stage clinical trial and is subject to the risks inherent in drug development. In April 2022, we announced preliminary data from our Phase 1 clinical trial of NKX101 for the treatment of relapsed or refractory acute myeloid leukemia ("r/r AML") or higher risk myelodysplastic syndromes ("MDS"). If the ongoing Phase 1 or our later clinical trials of NKX101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spacing w:after="0" w:line="161"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We may also develop NKX101 for additional indications if we are able to obtain clinical proof-of-concept from our NKX101 Phase 1 trials for blood cancers including r/r AML and MDS.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p>
    <w:p>
      <w:pPr>
        <w:spacing w:after="0" w:line="176"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Furthermore, the potential development of NKX101 for treating solid tumors is subject to a number of risks related to use of cell therapies in general including a hostile tumor microenvironment and trafficking to tumor site. Additional risks from direct liver delivery of a cell therapy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spacing w:after="0" w:line="1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December 2022, we announced data from the dose escalation portion of the multi-center Phase 1 clinical trial of NKX019 for the treatment of B-cell malignancies. The dose-expansion portion of the Phase 1 study is ongoing. NKX019 is being investigated in dose expansion cohorts as a combination therapy with rituximab, as well as a monotherapy, in both patients with large B-cell lymphoma ("LBCL") who have previously received autologous CD19 CAR T-cell therapy and those who have not. Due to the availability of multiple commercially available agents that target CD19, as well as others that are in various stages of commercialization, we have had increasing difficulty, and may continue to have increased difficulty, enrolling subjects into trials with NKX019 who have not previously been exposed to a CD19- directed cellular therapy. This could impact the ability to obtain data about NKX019 activity in certain patient populations and slow enrollment.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68"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61"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62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70"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9"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open clinical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and eligibility criteria of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of subjects to clinical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medical practice patterns or guidelines related to the indications we are investigating;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clinical trials or approved therapies which present an attractive alternative to patients and their physicians;</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due to various reasons;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 that enrolled subjects will drop out or die before completion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patients failing to complete a clinical trial or returning for post-treatment follow-up;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the requisite supply of our product candidates for a patient and clinical trials; and</w:t>
      </w:r>
    </w:p>
    <w:p>
      <w:pPr>
        <w:spacing w:after="0" w:line="117"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failure or any delay by us or by our clinical sites to obtain sufficient quantities of components and supplies necessary for the conduct of our clinical trials, including any inability to obtain agents such as cyclophosphamide, fludarabine, or other agents administered to patients prior to treatment or in combination with our product candidates.</w:t>
      </w:r>
    </w:p>
    <w:p>
      <w:pPr>
        <w:spacing w:after="0" w:line="1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16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right="20" w:firstLine="509"/>
        <w:spacing w:after="0" w:line="270" w:lineRule="auto"/>
        <w:rPr>
          <w:sz w:val="20"/>
          <w:szCs w:val="20"/>
          <w:color w:val="auto"/>
        </w:rPr>
      </w:pPr>
      <w:r>
        <w:rPr>
          <w:rFonts w:ascii="Arial" w:cs="Arial" w:eastAsia="Arial" w:hAnsi="Arial"/>
          <w:sz w:val="17"/>
          <w:szCs w:val="17"/>
          <w:color w:val="auto"/>
        </w:rPr>
        <w:t>The clinical development of our product candidates also depends on the availability of a sufficient supply of certain other materials and agents used in our clinical trials. For example, certain of our clinical trial protocols require the use of fludarabine and cyclophosphamide, agents which are routinely used in oncology studies, and which we use in certain of our clinical trial protocols to condition patients for treatment with our product candidates. Further, we may develop certain of our product candidates as a combination therapy with other cancer therapies, which would require the availability and use of those therapeutic agents in certain of our clinical trial protocols. Recently, the FDA reported a shortage of fludarabine and it is uncertain how long the fludarabine shortage may last. Certain of our clinical trial sites have reported that they are experiencing a shortage of fludarabine, which has resulted in some enrollment delays. We do not know how long the fludarabine shortage may last. Any failure or delays by us or by our clinical sites to obtain sufficient quantities of fludarabine or other components and agents necessary for the conduct of our clinical trials, may delay our ability to enroll and treat patients in, or complete, our current or future clinical trials of our product candidates on time, if at all.</w:t>
      </w:r>
    </w:p>
    <w:p>
      <w:pPr>
        <w:spacing w:after="0" w:line="18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2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7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6"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63"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acceptable clinical trial design or manufacturing process; and</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not allowing us to rely on previous findings of safety and efficacy for other similar but approved products and published scientific literature.</w:t>
      </w:r>
    </w:p>
    <w:p>
      <w:pPr>
        <w:spacing w:after="0" w:line="17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line="263" w:lineRule="auto"/>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8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including the preliminary Phase 1 clinical data for NKX101 and NKX019 reported in April 2022 and updated Phase 1 clinical data for NKX019 reported in December 2022, may differ from, and may not be indicative of,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16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70"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4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Preliminary data from our NKX101 Phase 1 clinical trial were reported in April 2022, and updated data from the dose escalation portion of our NKX019 Phase 1 clinical trial were reported in December 2022. The most common higher-grade adverse events in the early data for both trials were myelosuppression – a condition resulting in fewer red blood cells, white blood cells and platelets, which is common in the treated patient populations post lymphodepleting conditioning ("LD"). The early data from the NKX101 clinical trial indicated that adverse events experienced by certain patients included infusion reactions, such as transient fever and fluid responsive hypotension. In the dose escalation phase of the NKX019 Phase 1 clinical trial, certain patients experienced adverse events including transient fevers and infusion-related reactions. Three patients in the NKX019 dose escalation study were assessed to have cytokine release syndrome ("CRS"), despite the rapid onset and rapid resolution, not consistent with previously described presentations of CRS with CAR T cell therapies.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4" w:name="page55"/>
    <w:bookmarkEnd w:id="54"/>
    <w:p>
      <w:pPr>
        <w:ind w:right="20" w:firstLine="509"/>
        <w:spacing w:after="0" w:line="291" w:lineRule="auto"/>
        <w:rPr>
          <w:sz w:val="20"/>
          <w:szCs w:val="20"/>
          <w:color w:val="auto"/>
        </w:rPr>
      </w:pPr>
      <w:r>
        <w:rPr>
          <w:rFonts w:ascii="Arial" w:cs="Arial" w:eastAsia="Arial" w:hAnsi="Arial"/>
          <w:sz w:val="16"/>
          <w:szCs w:val="16"/>
          <w:color w:val="auto"/>
        </w:rPr>
        <w:t>While the preliminary data reported from our NKX101 and NKX019 Phase 1 clinical trials indicate that NK cell-based therapies may be better-tolerated as compared to T cell-based therapies due to biologic differences between these cell types, there can be no assurance that patients will not experience CRS, neurotoxicity, Graft-versus-host disease ("GvHD"), or other serious adverse events associated with our specific product candidates NKX101 or NKX019. 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w:t>
      </w:r>
    </w:p>
    <w:p>
      <w:pPr>
        <w:spacing w:after="0" w:line="166"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86"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4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6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55" w:name="page56"/>
    <w:bookmarkEnd w:id="55"/>
    <w:p>
      <w:pPr>
        <w:ind w:right="180"/>
        <w:spacing w:after="0" w:line="277" w:lineRule="auto"/>
        <w:rPr>
          <w:sz w:val="20"/>
          <w:szCs w:val="20"/>
          <w:color w:val="auto"/>
        </w:rPr>
      </w:pPr>
      <w:r>
        <w:rPr>
          <w:rFonts w:ascii="Arial" w:cs="Arial" w:eastAsia="Arial" w:hAnsi="Arial"/>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95"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5"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76"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receive such designations. Even if we do receive such designations, there is no guarantee that we will enjoy the benefits of those designations.</w:t>
      </w:r>
    </w:p>
    <w:p>
      <w:pPr>
        <w:spacing w:after="0" w:line="3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may impact public perception of our company and product candidates, or impair our ability to conduct our business.</w:t>
      </w:r>
    </w:p>
    <w:p>
      <w:pPr>
        <w:spacing w:after="0" w:line="170"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 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7"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research methodology or technology platform used may not be successful in identifying potential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to cease development if we determine that clinical results do not show promise;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7" w:name="page58"/>
    <w:bookmarkEnd w:id="57"/>
    <w:p>
      <w:pPr>
        <w:ind w:right="140" w:firstLine="509"/>
        <w:spacing w:after="0" w:line="272" w:lineRule="auto"/>
        <w:rPr>
          <w:sz w:val="20"/>
          <w:szCs w:val="20"/>
          <w:color w:val="auto"/>
        </w:rPr>
      </w:pPr>
      <w:r>
        <w:rPr>
          <w:rFonts w:ascii="Arial" w:cs="Arial" w:eastAsia="Arial" w:hAnsi="Arial"/>
          <w:sz w:val="17"/>
          <w:szCs w:val="17"/>
          <w:color w:val="auto"/>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7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2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such as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380"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and the third parties on which we rely for clinical trials are required to comply with regulations and requirements,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7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0"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6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70" w:lineRule="exact"/>
        <w:rPr>
          <w:sz w:val="20"/>
          <w:szCs w:val="20"/>
          <w:color w:val="auto"/>
        </w:rPr>
      </w:pPr>
    </w:p>
    <w:p>
      <w:pPr>
        <w:ind w:right="340" w:firstLine="509"/>
        <w:spacing w:after="0" w:line="255"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9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9" w:name="page60"/>
    <w:bookmarkEnd w:id="59"/>
    <w:p>
      <w:pPr>
        <w:ind w:right="240"/>
        <w:spacing w:after="0" w:line="277" w:lineRule="auto"/>
        <w:rPr>
          <w:sz w:val="20"/>
          <w:szCs w:val="20"/>
          <w:color w:val="auto"/>
        </w:rPr>
      </w:pPr>
      <w:r>
        <w:rPr>
          <w:rFonts w:ascii="Arial" w:cs="Arial" w:eastAsia="Arial" w:hAnsi="Arial"/>
          <w:sz w:val="18"/>
          <w:szCs w:val="18"/>
          <w:b w:val="1"/>
          <w:bCs w:val="1"/>
          <w:i w:val="1"/>
          <w:iCs w:val="1"/>
          <w:color w:val="auto"/>
        </w:rPr>
        <w:t>candidates. Our prospects with respect to those product candidates will depend in significant part on the success of those collaborations, and we may not realize the benefits of such collaborations.</w:t>
      </w:r>
    </w:p>
    <w:p>
      <w:pPr>
        <w:spacing w:after="0" w:line="170"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6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May 2021, we entered into a Research Collaboration Agreement with CRISPR (as amended, the "CRISPR Agreement")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See Item 1, Business for additional information.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spacing w:after="0" w:line="195"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Whenever we enter into collaborations with third parties, we could face the following risks:</w:t>
      </w:r>
    </w:p>
    <w:p>
      <w:pPr>
        <w:spacing w:after="0" w:line="117"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processes that compete directly or indirectly with our products or product candidates;</w:t>
      </w:r>
    </w:p>
    <w:p>
      <w:pPr>
        <w:spacing w:after="0" w:line="62" w:lineRule="exact"/>
        <w:rPr>
          <w:rFonts w:ascii="Arial" w:cs="Arial" w:eastAsia="Arial" w:hAnsi="Arial"/>
          <w:sz w:val="18"/>
          <w:szCs w:val="18"/>
          <w:color w:val="auto"/>
        </w:rPr>
      </w:pPr>
    </w:p>
    <w:p>
      <w:pPr>
        <w:ind w:left="1020" w:right="20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20" w:right="180" w:hanging="503"/>
        <w:spacing w:after="0" w:line="30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right="80" w:firstLine="509"/>
        <w:spacing w:after="0" w:line="293" w:lineRule="auto"/>
        <w:rPr>
          <w:sz w:val="20"/>
          <w:szCs w:val="20"/>
          <w:color w:val="auto"/>
        </w:rPr>
      </w:pPr>
      <w:r>
        <w:rPr>
          <w:rFonts w:ascii="Arial" w:cs="Arial" w:eastAsia="Arial" w:hAnsi="Arial"/>
          <w:sz w:val="16"/>
          <w:szCs w:val="16"/>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91"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70"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Arial" w:cs="Arial" w:eastAsia="Arial" w:hAnsi="Arial"/>
          <w:sz w:val="21"/>
          <w:szCs w:val="21"/>
          <w:color w:val="auto"/>
          <w:vertAlign w:val="superscript"/>
        </w:rPr>
        <w:t>®</w:t>
      </w:r>
      <w:r>
        <w:rPr>
          <w:rFonts w:ascii="Arial" w:cs="Arial" w:eastAsia="Arial" w:hAnsi="Arial"/>
          <w:sz w:val="16"/>
          <w:szCs w:val="16"/>
          <w:color w:val="auto"/>
        </w:rPr>
        <w:t>, Yescarta</w:t>
      </w:r>
      <w:r>
        <w:rPr>
          <w:rFonts w:ascii="Arial" w:cs="Arial" w:eastAsia="Arial" w:hAnsi="Arial"/>
          <w:sz w:val="21"/>
          <w:szCs w:val="21"/>
          <w:color w:val="auto"/>
          <w:vertAlign w:val="superscript"/>
        </w:rPr>
        <w:t>®</w:t>
      </w:r>
      <w:r>
        <w:rPr>
          <w:rFonts w:ascii="Arial" w:cs="Arial" w:eastAsia="Arial" w:hAnsi="Arial"/>
          <w:sz w:val="16"/>
          <w:szCs w:val="16"/>
          <w:color w:val="auto"/>
        </w:rPr>
        <w:t>, Tecartus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Breyanzi</w:t>
      </w:r>
      <w:r>
        <w:rPr>
          <w:rFonts w:ascii="Arial" w:cs="Arial" w:eastAsia="Arial" w:hAnsi="Arial"/>
          <w:sz w:val="21"/>
          <w:szCs w:val="21"/>
          <w:color w:val="auto"/>
          <w:vertAlign w:val="superscript"/>
        </w:rPr>
        <w:t>®</w:t>
      </w:r>
      <w:r>
        <w:rPr>
          <w:rFonts w:ascii="Arial" w:cs="Arial" w:eastAsia="Arial" w:hAnsi="Arial"/>
          <w:sz w:val="16"/>
          <w:szCs w:val="16"/>
          <w:color w:val="auto"/>
        </w:rPr>
        <w:t>, which have been commercially approved, are direct competitors to our product candidate NKX019. In addition, other competitors, including biopharmaceutical companies, have clinical-stage or earlier stage allogenic programs, and a number of other companies are seeking to harness NK biology through engagers that seek to direct a patient’s own NK cells to the site of a tumor or are investigating other types of immune cells. Other biopharmaceutical companies are developing bi-specific antibodies, which are also direct competitors to NKX019. Numerous academic institutions are also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managing growth.</w:t>
      </w:r>
    </w:p>
    <w:p>
      <w:pPr>
        <w:spacing w:after="0" w:line="22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As of December 31, 2022, we had 163 full-time employees. We will need to continue to expand our managerial, operational, clinical, quality, human resources, legal, manufacturing, supply chain,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spacing w:after="0" w:line="63" w:lineRule="exact"/>
        <w:rPr>
          <w:sz w:val="20"/>
          <w:szCs w:val="20"/>
          <w:color w:val="auto"/>
        </w:rPr>
      </w:pPr>
    </w:p>
    <w:p>
      <w:pPr>
        <w:jc w:val="both"/>
        <w:ind w:left="1020" w:right="8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into additional office and laboratory space as we grow our employee base;</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complete the qualification of our in-house clinical GMP manufacturing facility and establish and validate a commercial GMP manufacturing facility;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reports systems and procedures.</w:t>
      </w:r>
    </w:p>
    <w:p>
      <w:pPr>
        <w:spacing w:after="0" w:line="225"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p>
    <w:p>
      <w:pPr>
        <w:spacing w:after="0" w:line="23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70"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41"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insurance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that we may develop;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color w:val="auto"/>
        </w:rPr>
        <w:t>Any such outcomes could materially adversely affect our business, financial condition, results of operations and growth prospects.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may be inadequate, may not cover all of our potential liabilities and may potentially expose us to unrecoverable risks.</w:t>
      </w:r>
    </w:p>
    <w:p>
      <w:pPr>
        <w:spacing w:after="0" w:line="24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7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impacted by the failure to address emerging environmental, social, and corporate governance matters.</w:t>
      </w:r>
    </w:p>
    <w:p>
      <w:pPr>
        <w:spacing w:after="0" w:line="23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Moreover, the SEC has recently proposed, and may continue to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100"/>
        <w:spacing w:after="0" w:line="259" w:lineRule="auto"/>
        <w:rPr>
          <w:sz w:val="20"/>
          <w:szCs w:val="20"/>
          <w:color w:val="auto"/>
        </w:rPr>
      </w:pPr>
      <w:r>
        <w:rPr>
          <w:rFonts w:ascii="Arial" w:cs="Arial" w:eastAsia="Arial" w:hAnsi="Arial"/>
          <w:sz w:val="18"/>
          <w:szCs w:val="18"/>
          <w:color w:val="auto"/>
        </w:rPr>
        <w:t>propose, certain mandated ESG reporting requirements, such as the SEC’s proposed rules designed to enhance and standardize climate-related disclosures, which, if finally approved, would significantly increase our compliance and reporting costs and may also result in disclosures that could have a negative impact on investor perception. In addition, we currently do not report our environmental emissions, and our lack of reporting could result in certain investors declining to invest in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00"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w:t>
      </w:r>
    </w:p>
    <w:p>
      <w:pPr>
        <w:spacing w:after="0" w:line="195"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p>
    <w:p>
      <w:pPr>
        <w:spacing w:after="0" w:line="19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6"/>
          <w:szCs w:val="16"/>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patientsin the clinical trial. If the required additional approvals cannot be obtained, additional delays may occur as manufacturing would need to be restarted and/or the patient may be unable to remain in the study. Any delay in the clinical development or commercialization of NKX101, NKX019, or our other product candidates could materially adversely affect our business, financial condition, results of operations and growth prospects.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40" w:firstLine="509"/>
        <w:spacing w:after="0" w:line="268" w:lineRule="auto"/>
        <w:rPr>
          <w:sz w:val="20"/>
          <w:szCs w:val="20"/>
          <w:color w:val="auto"/>
        </w:rPr>
      </w:pPr>
      <w:r>
        <w:rPr>
          <w:rFonts w:ascii="Arial" w:cs="Arial" w:eastAsia="Arial" w:hAnsi="Arial"/>
          <w:sz w:val="17"/>
          <w:szCs w:val="17"/>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8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Although we are manufacturing NKX019 in our own internal manufacturing facility for the NKX019 Phase 1 clinical trial, and plan to manufacture other product candidates, including NKX101, in our internal manufacturing facilities in the future, we may encounter problems with the internal production of our product candidates. We believe our current clinical cGMP manufacturing facility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early-stage clinical trials has been completed, we do not yet have a cGMP facility for the commercial-scale manufacture of our product candidates. We have only recently begun building a commercial-scale cGMP manufacturing facility. Building a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outbreaks of COVID-19 variants and related restrictions could impact our ability to properly staff production of our product candidates. We experienced delays in the construction of our cGMP manufacturing facilities due to the COVID-19 pandemic and current macroeconomic conditions and may in the future experience similar delays due to future COVID-19 outbreaks. Current inflationary pressures are negatively affecting and could continue to negatively affect the costs of constructing our commercial-scale manufacturing facility. Global supply chain disruptions, including procurement delays and long lead times on certain materials, have adversely impacted and could continue to adversely impact the scheduled completion and/or costs of constructing our commercial-scale manufacturing facility.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certain of our product candidates, or certain materials for use in the production of our product candidates, which increases the risk that we will not have sufficient quantities of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right="160"/>
        <w:spacing w:after="0" w:line="277" w:lineRule="auto"/>
        <w:rPr>
          <w:sz w:val="20"/>
          <w:szCs w:val="20"/>
          <w:color w:val="auto"/>
        </w:rPr>
      </w:pPr>
      <w:r>
        <w:rPr>
          <w:rFonts w:ascii="Arial" w:cs="Arial" w:eastAsia="Arial" w:hAnsi="Arial"/>
          <w:sz w:val="18"/>
          <w:szCs w:val="18"/>
          <w:b w:val="1"/>
          <w:bCs w:val="1"/>
          <w:i w:val="1"/>
          <w:iCs w:val="1"/>
          <w:color w:val="auto"/>
        </w:rPr>
        <w:t>product candidates or materials, or such quantities at an acceptable cost, which could delay, prevent or impair our development or commercialization efforts.</w:t>
      </w:r>
    </w:p>
    <w:p>
      <w:pPr>
        <w:spacing w:after="0" w:line="1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Although we are building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Although we intend to manufacture NKX101 at our cGMP facility in 2023, we currently rely on a third-party manufacturer for our clinical supply of NKX101. We compete with other companies for access to third party cGMP facilities and cannot assure continued access.</w:t>
      </w:r>
    </w:p>
    <w:p>
      <w:pPr>
        <w:spacing w:after="0" w:line="17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addition,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w:t>
      </w:r>
    </w:p>
    <w:p>
      <w:pPr>
        <w:spacing w:after="0" w:line="187" w:lineRule="exact"/>
        <w:rPr>
          <w:sz w:val="20"/>
          <w:szCs w:val="20"/>
          <w:color w:val="auto"/>
        </w:rPr>
      </w:pPr>
    </w:p>
    <w:p>
      <w:pPr>
        <w:ind w:right="240" w:firstLine="509"/>
        <w:spacing w:after="0" w:line="273"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8"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63"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6" w:name="page67"/>
    <w:bookmarkEnd w:id="66"/>
    <w:p>
      <w:pPr>
        <w:ind w:firstLine="509"/>
        <w:spacing w:after="0" w:line="272" w:lineRule="auto"/>
        <w:rPr>
          <w:sz w:val="20"/>
          <w:szCs w:val="20"/>
          <w:color w:val="auto"/>
        </w:rPr>
      </w:pPr>
      <w:r>
        <w:rPr>
          <w:rFonts w:ascii="Arial" w:cs="Arial" w:eastAsia="Arial" w:hAnsi="Arial"/>
          <w:sz w:val="17"/>
          <w:szCs w:val="17"/>
          <w:color w:val="auto"/>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p>
    <w:p>
      <w:pPr>
        <w:spacing w:after="0" w:line="17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reliant on a sole supplier for certain steps of our manufacturing process.</w:t>
      </w:r>
    </w:p>
    <w:p>
      <w:pPr>
        <w:spacing w:after="0" w:line="22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8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Any disruption in supply of these instruments and reagents could also result in delays in our clinical trials, which would materially adversely affect our business, financial condition, results of operations and growth prospects.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70" w:lineRule="exact"/>
        <w:rPr>
          <w:sz w:val="20"/>
          <w:szCs w:val="20"/>
          <w:color w:val="auto"/>
        </w:rPr>
      </w:pPr>
    </w:p>
    <w:p>
      <w:pPr>
        <w:ind w:right="380" w:firstLine="509"/>
        <w:spacing w:after="0" w:line="275" w:lineRule="auto"/>
        <w:rPr>
          <w:sz w:val="20"/>
          <w:szCs w:val="20"/>
          <w:color w:val="auto"/>
        </w:rPr>
      </w:pPr>
      <w:r>
        <w:rPr>
          <w:rFonts w:ascii="Arial" w:cs="Arial" w:eastAsia="Arial" w:hAnsi="Arial"/>
          <w:sz w:val="17"/>
          <w:szCs w:val="17"/>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leased a property where we are building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76"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right="120"/>
        <w:spacing w:after="0" w:line="259" w:lineRule="auto"/>
        <w:rPr>
          <w:sz w:val="20"/>
          <w:szCs w:val="20"/>
          <w:color w:val="auto"/>
        </w:rPr>
      </w:pPr>
      <w:r>
        <w:rPr>
          <w:rFonts w:ascii="Arial" w:cs="Arial" w:eastAsia="Arial" w:hAnsi="Arial"/>
          <w:sz w:val="18"/>
          <w:szCs w:val="18"/>
          <w:color w:val="auto"/>
        </w:rPr>
        <w:t>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may encounter problems with the following:</w:t>
      </w:r>
    </w:p>
    <w:p>
      <w:pPr>
        <w:spacing w:after="0" w:line="117" w:lineRule="exact"/>
        <w:rPr>
          <w:sz w:val="20"/>
          <w:szCs w:val="20"/>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due to natural disasters or supply chain interruptions;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25"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7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store our CAR NK cells, viral vector, master and working cell banks of NKSTIM, and any damage or loss would cause delays in replacement, and our business could suffer.</w:t>
      </w:r>
    </w:p>
    <w:p>
      <w:pPr>
        <w:spacing w:after="0" w:line="17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CAR NK cells, the viral vector, and the master and working cell banks of NKSTIM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300"/>
        <w:spacing w:after="0" w:line="277" w:lineRule="auto"/>
        <w:rPr>
          <w:sz w:val="20"/>
          <w:szCs w:val="20"/>
          <w:color w:val="auto"/>
        </w:rPr>
      </w:pPr>
      <w:r>
        <w:rPr>
          <w:rFonts w:ascii="Arial" w:cs="Arial" w:eastAsia="Arial" w:hAnsi="Arial"/>
          <w:sz w:val="18"/>
          <w:szCs w:val="18"/>
          <w:b w:val="1"/>
          <w:bCs w:val="1"/>
          <w:i w:val="1"/>
          <w:iCs w:val="1"/>
          <w:color w:val="auto"/>
        </w:rPr>
        <w:t>We have not yet developed a validated methodology for freezing and thawing commercial-scale quantities of CAR NK cells, which we believe will be required for the storage and distribution of our CAR NK product candidates.</w:t>
      </w:r>
    </w:p>
    <w:p>
      <w:pPr>
        <w:spacing w:after="0" w:line="1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w:t>
      </w:r>
    </w:p>
    <w:p>
      <w:pPr>
        <w:spacing w:after="0" w:line="19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Furthermore, we have not yet demonstrated long-term stability of cryopreserved CAR 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p>
    <w:p>
      <w:pPr>
        <w:spacing w:after="0" w:line="187" w:lineRule="exact"/>
        <w:rPr>
          <w:sz w:val="20"/>
          <w:szCs w:val="20"/>
          <w:color w:val="auto"/>
        </w:rPr>
      </w:pPr>
    </w:p>
    <w:p>
      <w:pPr>
        <w:jc w:val="both"/>
        <w:ind w:right="420" w:firstLine="509"/>
        <w:spacing w:after="0" w:line="286" w:lineRule="auto"/>
        <w:rPr>
          <w:sz w:val="20"/>
          <w:szCs w:val="20"/>
          <w:color w:val="auto"/>
        </w:rPr>
      </w:pPr>
      <w:r>
        <w:rPr>
          <w:rFonts w:ascii="Arial" w:cs="Arial" w:eastAsia="Arial" w:hAnsi="Arial"/>
          <w:sz w:val="17"/>
          <w:szCs w:val="17"/>
          <w:color w:val="auto"/>
        </w:rPr>
        <w:t>For these and other reasons, we have not yet established the long-term stability of our cryopreserved CAR NK cells and we may not be able to commercialize CAR NK cells on a large scale or in a cost-effective manner. If such product candidate is found to be instable, we would be required to conduct more frequent manufacturing runs, which could cause us to incur significant additional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under specified patents and patent applications related to NK cell technology in the field of therapeutics. We are reliant upon certain rights and proprietary technology provided to us under this license for the production and development of certain of our product candidates, such as NKX101, NKX019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NKX101, NKX019 and NKX070, which could impede or prevent our successful commercialization of such product candidates and materially adversely affect our business, financial condition, results of operations and growth prospects.</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Furthermore, our patent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9" w:name="page70"/>
    <w:bookmarkEnd w:id="69"/>
    <w:p>
      <w:pPr>
        <w:ind w:right="480"/>
        <w:spacing w:after="0" w:line="277" w:lineRule="auto"/>
        <w:rPr>
          <w:sz w:val="20"/>
          <w:szCs w:val="20"/>
          <w:color w:val="auto"/>
        </w:rPr>
      </w:pPr>
      <w:r>
        <w:rPr>
          <w:rFonts w:ascii="Arial" w:cs="Arial" w:eastAsia="Arial" w:hAnsi="Arial"/>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70"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8"/>
          <w:szCs w:val="18"/>
          <w:color w:val="auto"/>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NKX101, NKX019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p>
    <w:p>
      <w:pPr>
        <w:spacing w:after="0" w:line="19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p>
    <w:p>
      <w:pPr>
        <w:spacing w:after="0" w:line="18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1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p>
    <w:p>
      <w:pPr>
        <w:spacing w:after="0" w:line="188"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7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right="180" w:firstLine="509"/>
        <w:spacing w:after="0" w:line="259" w:lineRule="auto"/>
        <w:rPr>
          <w:sz w:val="20"/>
          <w:szCs w:val="20"/>
          <w:color w:val="auto"/>
        </w:rPr>
      </w:pPr>
      <w:r>
        <w:rPr>
          <w:rFonts w:ascii="Arial" w:cs="Arial" w:eastAsia="Arial" w:hAnsi="Arial"/>
          <w:sz w:val="18"/>
          <w:szCs w:val="18"/>
          <w:color w:val="auto"/>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As of December 31, 2022,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NKX070 patent families. Our portfolio of issued patents, excluding pending patent applications, has estimated expiration dates between 2024 and 2040. Our portfolio, including issued patents, and including pending applications if they issue, has estimated expiration dates between 2024 and 2043. For instance, composition of matter claims in our licensed patent portfolio that relate to our engineered K562 cells are estimated to expire in Q4 2024. We plan to file additional patent applications that could potentially allow for further increase of the exclusive market protection for use of NKX101, NKX019, and NKX070 product candidates. However, we can provide no assurance that we will be able to file or receive additional patent protection for these or other product candidates.</w:t>
      </w:r>
    </w:p>
    <w:p>
      <w:pPr>
        <w:spacing w:after="0" w:line="17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p>
    <w:p>
      <w:pPr>
        <w:spacing w:after="0" w:line="192"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500"/>
        <w:spacing w:after="0" w:line="277" w:lineRule="auto"/>
        <w:rPr>
          <w:sz w:val="20"/>
          <w:szCs w:val="20"/>
          <w:color w:val="auto"/>
        </w:rPr>
      </w:pPr>
      <w:r>
        <w:rPr>
          <w:rFonts w:ascii="Arial" w:cs="Arial" w:eastAsia="Arial" w:hAnsi="Arial"/>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7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66"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71"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p>
    <w:p>
      <w:pPr>
        <w:spacing w:after="0" w:line="149"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7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p>
    <w:p>
      <w:pPr>
        <w:spacing w:after="0" w:line="184"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7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70"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Ex parte reexaminations have been filed by one or more third parties against certain licensed patents in our portfolio. Ex parte reexaminations of U.S. Patent Nos. 9,511,092 (the "’092 Patent"), 10,774,309 (the "’309 Patent"), and 10,829,737 (the "’737 Patent") were recently concluded, resulting in the claims of each Patent being maintained in amended form. None of the claims of the ’092, ’309, and ’737 Patents as maintained in amended form relate to any of our current product candidates. Additional ex parte reexaminations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76"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p>
    <w:p>
      <w:pPr>
        <w:spacing w:after="0" w:line="165"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7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8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Our success depends in part on our ability to develop, manufacture and market our technology and use our technology without infringing the proprietary rights of third parties. We or our collaborators may be subject to third-party claims that could cause us to incur substantial expenses to defend and these claims, if successful, could require us to pay substantial damages and/or limit our ability to commercialize our product candidates if we or our collaborators are found to be infringing a third party’s intellectual property rights.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3" w:name="page74"/>
    <w:bookmarkEnd w:id="73"/>
    <w:p>
      <w:pPr>
        <w:ind w:right="40" w:firstLine="509"/>
        <w:spacing w:after="0" w:line="289" w:lineRule="auto"/>
        <w:rPr>
          <w:sz w:val="20"/>
          <w:szCs w:val="20"/>
          <w:color w:val="auto"/>
        </w:rPr>
      </w:pPr>
      <w:r>
        <w:rPr>
          <w:rFonts w:ascii="Arial" w:cs="Arial" w:eastAsia="Arial" w:hAnsi="Arial"/>
          <w:sz w:val="16"/>
          <w:szCs w:val="16"/>
          <w:color w:val="auto"/>
        </w:rPr>
        <w:t>We are aware of third-party patents and patent applications that may relate to the areas in which we are developing product candidates. 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w:t>
      </w:r>
    </w:p>
    <w:p>
      <w:pPr>
        <w:spacing w:after="0" w:line="166"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p>
    <w:p>
      <w:pPr>
        <w:spacing w:after="0" w:line="184" w:lineRule="exact"/>
        <w:rPr>
          <w:sz w:val="20"/>
          <w:szCs w:val="20"/>
          <w:color w:val="auto"/>
        </w:rPr>
      </w:pPr>
    </w:p>
    <w:p>
      <w:pPr>
        <w:jc w:val="both"/>
        <w:ind w:right="100" w:firstLine="509"/>
        <w:spacing w:after="0" w:line="301" w:lineRule="auto"/>
        <w:rPr>
          <w:sz w:val="20"/>
          <w:szCs w:val="20"/>
          <w:color w:val="auto"/>
        </w:rPr>
      </w:pPr>
      <w:r>
        <w:rPr>
          <w:rFonts w:ascii="Arial" w:cs="Arial" w:eastAsia="Arial" w:hAnsi="Arial"/>
          <w:sz w:val="16"/>
          <w:szCs w:val="16"/>
          <w:color w:val="auto"/>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5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p>
    <w:p>
      <w:pPr>
        <w:spacing w:after="0" w:line="286"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0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spacing w:after="0" w:line="18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right="40" w:firstLine="509"/>
        <w:spacing w:after="0" w:line="288" w:lineRule="auto"/>
        <w:rPr>
          <w:sz w:val="20"/>
          <w:szCs w:val="20"/>
          <w:color w:val="auto"/>
        </w:rPr>
      </w:pPr>
      <w:r>
        <w:rPr>
          <w:rFonts w:ascii="Arial" w:cs="Arial" w:eastAsia="Arial" w:hAnsi="Arial"/>
          <w:sz w:val="16"/>
          <w:szCs w:val="16"/>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6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78"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6"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70"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61"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p>
    <w:p>
      <w:pPr>
        <w:spacing w:after="0" w:line="172"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p>
    <w:p>
      <w:pPr>
        <w:spacing w:after="0" w:line="17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will take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Existing European patents that have not lapsed as of June 1, 2023 and for which no action has been filed before the UPC will have the option of opting out of the jurisdiction of the UPC and remaining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We may fail to obtain or enforce assignments of intellectual property rights from our employees and contractors.</w:t>
      </w:r>
    </w:p>
    <w:p>
      <w:pPr>
        <w:spacing w:after="0" w:line="22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27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70"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9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2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p>
    <w:p>
      <w:pPr>
        <w:spacing w:after="0" w:line="178"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7" w:name="page78"/>
    <w:bookmarkEnd w:id="77"/>
    <w:p>
      <w:pPr>
        <w:ind w:right="160" w:firstLine="509"/>
        <w:spacing w:after="0" w:line="279" w:lineRule="auto"/>
        <w:rPr>
          <w:sz w:val="20"/>
          <w:szCs w:val="20"/>
          <w:color w:val="auto"/>
        </w:rPr>
      </w:pPr>
      <w:r>
        <w:rPr>
          <w:rFonts w:ascii="Arial" w:cs="Arial" w:eastAsia="Arial" w:hAnsi="Arial"/>
          <w:sz w:val="17"/>
          <w:szCs w:val="17"/>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84"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 candidates, including NKX101 and NKX019, could be subject to regulatory limitations following approval, if and when such approval is granted.</w:t>
      </w:r>
    </w:p>
    <w:p>
      <w:pPr>
        <w:spacing w:after="0" w:line="170"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p>
    <w:p>
      <w:pPr>
        <w:spacing w:after="0" w:line="18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right="60" w:firstLine="509"/>
        <w:spacing w:after="0" w:line="286" w:lineRule="auto"/>
        <w:rPr>
          <w:sz w:val="20"/>
          <w:szCs w:val="20"/>
          <w:color w:val="auto"/>
        </w:rPr>
      </w:pPr>
      <w:r>
        <w:rPr>
          <w:rFonts w:ascii="Arial" w:cs="Arial" w:eastAsia="Arial" w:hAnsi="Arial"/>
          <w:sz w:val="17"/>
          <w:szCs w:val="17"/>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57"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products’ manufacturing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to the product label;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marketing of a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product distribution;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Untitled or Warning Letters from the FDA;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right="360" w:firstLine="509"/>
        <w:spacing w:after="0" w:line="273"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7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56"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physicians to refer patients and prescribe new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nature, prevalence and severity of any side effects;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labeling or product insert requirements imposed by the FDA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publicity concerning our product candidates or favorable publicity about competing products and treatments;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sufficient third-party payor coverage, any limitations in terms of center or personnel training requirement imposed by third parties and adequate reimbursement;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labeling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FDA requirement to undertake a REMS;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0" w:name="page81"/>
    <w:bookmarkEnd w:id="80"/>
    <w:p>
      <w:pPr>
        <w:ind w:right="60" w:firstLine="509"/>
        <w:spacing w:after="0" w:line="257" w:lineRule="auto"/>
        <w:rPr>
          <w:sz w:val="20"/>
          <w:szCs w:val="20"/>
          <w:color w:val="auto"/>
        </w:rPr>
      </w:pPr>
      <w:r>
        <w:rPr>
          <w:rFonts w:ascii="Arial" w:cs="Arial" w:eastAsia="Arial" w:hAnsi="Arial"/>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2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9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19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firstLine="509"/>
        <w:spacing w:after="0" w:line="269" w:lineRule="auto"/>
        <w:rPr>
          <w:sz w:val="20"/>
          <w:szCs w:val="20"/>
          <w:color w:val="auto"/>
        </w:rPr>
      </w:pPr>
      <w:r>
        <w:rPr>
          <w:rFonts w:ascii="Arial" w:cs="Arial" w:eastAsia="Arial" w:hAnsi="Arial"/>
          <w:sz w:val="17"/>
          <w:szCs w:val="17"/>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harm our business.</w:t>
      </w:r>
    </w:p>
    <w:p>
      <w:pPr>
        <w:spacing w:after="0" w:line="22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For further details on how healthcare reform may impact our business, see “</w:t>
      </w:r>
      <w:r>
        <w:rPr>
          <w:rFonts w:ascii="Arial" w:cs="Arial" w:eastAsia="Arial" w:hAnsi="Arial"/>
          <w:sz w:val="17"/>
          <w:szCs w:val="17"/>
          <w:i w:val="1"/>
          <w:iCs w:val="1"/>
          <w:color w:val="auto"/>
        </w:rPr>
        <w:t>Healthcare Reform</w:t>
      </w:r>
      <w:r>
        <w:rPr>
          <w:rFonts w:ascii="Arial" w:cs="Arial" w:eastAsia="Arial" w:hAnsi="Arial"/>
          <w:sz w:val="17"/>
          <w:szCs w:val="17"/>
          <w:color w:val="auto"/>
        </w:rPr>
        <w:t>” in the section titled “Government Regulation” in Part I, Item 1 in this Annual Report on Form 10-K.</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70"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we market approved products outside the United States, we expect that we will be subject to additional risks in commercialization, including:</w:t>
      </w:r>
    </w:p>
    <w:p>
      <w:pPr>
        <w:spacing w:after="0" w:line="129"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therapies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2" w:name="page83"/>
    <w:bookmarkEnd w:id="82"/>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right="220" w:hanging="503"/>
        <w:spacing w:after="0" w:line="342"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and other public health crises, illnesses, epidemics or pandemics, such as the potential impact of the COVID-19 outbreak.</w:t>
      </w:r>
    </w:p>
    <w:p>
      <w:pPr>
        <w:spacing w:after="0" w:line="124"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92"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0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85"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We may fail to comply with evolving global privacy laws.</w:t>
      </w:r>
    </w:p>
    <w:p>
      <w:pPr>
        <w:spacing w:after="0" w:line="225"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7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8"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8"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(the "CCPA"), which went into effect on January 1, 2020, is creating similar risks and obligations as those created by the GDPR, though the California Consumer Privacy Act does exempt certain clinical trial data.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 which could contribute to the loss of all or part of your investment.</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are beyond our control.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affecting the trading price of our common stock may include, but are not limited to:</w:t>
      </w:r>
    </w:p>
    <w:p>
      <w:pPr>
        <w:spacing w:after="0" w:line="117"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decision to initiate a clinical study, not to initiate a clinical study or to terminate an existing clinical study;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the announcement of initial data or clinical results from our clinical trials or expectations that such delays may occur;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success or failure of competitive products, immunotherapy drugs or cellular therapies more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strategic partnerships;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w:t>
      </w:r>
    </w:p>
    <w:p>
      <w:pPr>
        <w:spacing w:after="0" w:line="62"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inflationary pressures, interest rates, fuel prices, elections, drug pricing policies, international currency fluctuations, acts of war or terrorism, and other public health crises, illnesses, epidemics or pandemics, such as the potential impact of the COVID-19 outbreak; and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factors discussed in these risk factors.</w:t>
      </w:r>
    </w:p>
    <w:p>
      <w:pPr>
        <w:spacing w:after="0" w:line="225"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6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p>
      <w:pPr>
        <w:ind w:right="30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March 13, 2023, our directors and executive officers, and entities affiliated with them, as well as holders of more than 5% of our outstanding shares of common stock, in the aggregate beneficially own 63%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7"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5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70"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March 13, 2023, we had 48,928,670 shares of common stock outstanding.</w:t>
      </w:r>
    </w:p>
    <w:p>
      <w:pPr>
        <w:spacing w:after="0" w:line="184"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Holders of an aggregate of 13,200,076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8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84"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6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ind w:right="20" w:firstLine="509"/>
        <w:spacing w:after="0" w:line="272" w:lineRule="auto"/>
        <w:rPr>
          <w:sz w:val="20"/>
          <w:szCs w:val="20"/>
          <w:color w:val="auto"/>
        </w:rPr>
      </w:pPr>
      <w:r>
        <w:rPr>
          <w:rFonts w:ascii="Arial" w:cs="Arial" w:eastAsia="Arial" w:hAnsi="Arial"/>
          <w:sz w:val="17"/>
          <w:szCs w:val="17"/>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carryovers and certain other tax attributes may be limited.</w:t>
      </w:r>
    </w:p>
    <w:p>
      <w:pPr>
        <w:spacing w:after="0" w:line="225"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As described above under “</w:t>
      </w:r>
      <w:r>
        <w:rPr>
          <w:rFonts w:ascii="Arial" w:cs="Arial" w:eastAsia="Arial" w:hAnsi="Arial"/>
          <w:sz w:val="17"/>
          <w:szCs w:val="17"/>
          <w:i w:val="1"/>
          <w:iCs w:val="1"/>
          <w:color w:val="auto"/>
        </w:rPr>
        <w:t>We have incurred significant losses since our inception, and we expect to continue to incur significant losses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foreseeable future</w:t>
      </w:r>
      <w:r>
        <w:rPr>
          <w:rFonts w:ascii="Arial" w:cs="Arial" w:eastAsia="Arial" w:hAnsi="Arial"/>
          <w:sz w:val="17"/>
          <w:szCs w:val="17"/>
          <w:color w:val="auto"/>
        </w:rPr>
        <w:t>,” we have incurred net losses since our inception and anticipate that we will continue to incur significant losses for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7" w:name="page88"/>
    <w:bookmarkEnd w:id="87"/>
    <w:p>
      <w:pPr>
        <w:ind w:firstLine="509"/>
        <w:spacing w:after="0" w:line="269" w:lineRule="auto"/>
        <w:rPr>
          <w:sz w:val="20"/>
          <w:szCs w:val="20"/>
          <w:color w:val="auto"/>
        </w:rPr>
      </w:pPr>
      <w:r>
        <w:rPr>
          <w:rFonts w:ascii="Arial" w:cs="Arial" w:eastAsia="Arial" w:hAnsi="Arial"/>
          <w:sz w:val="17"/>
          <w:szCs w:val="17"/>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18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to the holders of our common stock for the foreseeable future.</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9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62" w:lineRule="exact"/>
        <w:rPr>
          <w:sz w:val="20"/>
          <w:szCs w:val="20"/>
          <w:color w:val="auto"/>
        </w:rPr>
      </w:pPr>
    </w:p>
    <w:p>
      <w:pPr>
        <w:ind w:left="1020" w:right="44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62"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a majority of directors then in office, even though less than a quorum, may fill vacancies on our board of directors;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bylaws;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left="520" w:hanging="3"/>
        <w:spacing w:after="0" w:line="530" w:lineRule="auto"/>
        <w:tabs>
          <w:tab w:leader="none" w:pos="1029"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require supermajority votes of the holders of our common stock to amend specified provisions of our Certificate of Incorporation and bylaws. These provisions, alone or together, could delay or prevent hostile takeovers and changes in control or changes in our management.</w:t>
      </w:r>
    </w:p>
    <w:p>
      <w:pPr>
        <w:spacing w:after="0" w:line="1"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16"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of our directors, officers or other employees to us or our stockholders;</w:t>
      </w:r>
    </w:p>
    <w:p>
      <w:pPr>
        <w:spacing w:after="0" w:line="128" w:lineRule="exact"/>
        <w:rPr>
          <w:rFonts w:ascii="Arial" w:cs="Arial" w:eastAsia="Arial" w:hAnsi="Arial"/>
          <w:sz w:val="17"/>
          <w:szCs w:val="17"/>
          <w:color w:val="auto"/>
        </w:rPr>
      </w:pPr>
    </w:p>
    <w:p>
      <w:pPr>
        <w:ind w:left="1020" w:right="96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action asserting a claim against us arising pursuant to any provision of the Delaware General Corporation Law, our certificate of incorporation or our bylaws;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action asserting a claim against us that is governed by the internal affairs doctrine.</w:t>
      </w:r>
    </w:p>
    <w:p>
      <w:pPr>
        <w:spacing w:after="0" w:line="22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7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macroeconomic conditions, including rising inflation, interest rates and supply chain constraints.</w:t>
      </w:r>
    </w:p>
    <w:p>
      <w:pPr>
        <w:spacing w:after="0" w:line="333"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 xml:space="preserve">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aand the global financial markets. For instance, inflation has negatively impacted us and could continue to negatively impact us by increasing our cost of labor (through higher wages), commercial support, construction, manufacturing and clinical supply expenditures. See above under “— </w:t>
      </w:r>
      <w:r>
        <w:rPr>
          <w:rFonts w:ascii="Arial" w:cs="Arial" w:eastAsia="Arial" w:hAnsi="Arial"/>
          <w:sz w:val="16"/>
          <w:szCs w:val="16"/>
          <w:i w:val="1"/>
          <w:iCs w:val="1"/>
          <w:color w:val="auto"/>
        </w:rPr>
        <w:t>Our manufacturing</w:t>
      </w:r>
      <w:r>
        <w:rPr>
          <w:rFonts w:ascii="Arial" w:cs="Arial" w:eastAsia="Arial" w:hAnsi="Arial"/>
          <w:sz w:val="16"/>
          <w:szCs w:val="16"/>
          <w:color w:val="auto"/>
        </w:rPr>
        <w:t xml:space="preserve"> </w:t>
      </w:r>
      <w:r>
        <w:rPr>
          <w:rFonts w:ascii="Arial" w:cs="Arial" w:eastAsia="Arial" w:hAnsi="Arial"/>
          <w:sz w:val="16"/>
          <w:szCs w:val="16"/>
          <w:i w:val="1"/>
          <w:iCs w:val="1"/>
          <w:color w:val="auto"/>
        </w:rPr>
        <w:t>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r>
        <w:rPr>
          <w:rFonts w:ascii="Arial" w:cs="Arial" w:eastAsia="Arial" w:hAnsi="Arial"/>
          <w:sz w:val="16"/>
          <w:szCs w:val="16"/>
          <w:color w:val="auto"/>
        </w:rPr>
        <w:t>” for the risks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inflation on the construction of our commercial-scale manufacturing facility.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w:t>
      </w:r>
    </w:p>
    <w:p>
      <w:pPr>
        <w:spacing w:after="0" w:line="2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70"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76"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assumption of indebtedness or contingent or unknown liabilities;</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drugs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adequately prosecuting and maintaining protection of any acquired intellectual property rights;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drug programs and initiatives in pursuing such a strategic partnership, merger or acquisition;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about our ability to maintain key business relationships;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product candidates and regulatory approvals; and</w:t>
      </w:r>
    </w:p>
    <w:p>
      <w:pPr>
        <w:spacing w:after="0" w:line="62" w:lineRule="exact"/>
        <w:rPr>
          <w:rFonts w:ascii="Arial" w:cs="Arial" w:eastAsia="Arial" w:hAnsi="Arial"/>
          <w:sz w:val="18"/>
          <w:szCs w:val="18"/>
          <w:color w:val="auto"/>
        </w:rPr>
      </w:pPr>
    </w:p>
    <w:p>
      <w:pPr>
        <w:ind w:left="1020" w:right="400" w:hanging="503"/>
        <w:spacing w:after="0" w:line="30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4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70"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3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spacing w:after="0" w:line="18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1" w:name="page92"/>
    <w:bookmarkEnd w:id="91"/>
    <w:p>
      <w:pPr>
        <w:ind w:right="180" w:firstLine="509"/>
        <w:spacing w:after="0" w:line="273" w:lineRule="auto"/>
        <w:rPr>
          <w:sz w:val="20"/>
          <w:szCs w:val="20"/>
          <w:color w:val="auto"/>
        </w:rPr>
      </w:pPr>
      <w:r>
        <w:rPr>
          <w:rFonts w:ascii="Arial" w:cs="Arial" w:eastAsia="Arial" w:hAnsi="Arial"/>
          <w:sz w:val="17"/>
          <w:szCs w:val="17"/>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8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7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ind w:right="560"/>
        <w:spacing w:after="0" w:line="277" w:lineRule="auto"/>
        <w:rPr>
          <w:sz w:val="20"/>
          <w:szCs w:val="20"/>
          <w:color w:val="auto"/>
        </w:rPr>
      </w:pPr>
      <w:r>
        <w:rPr>
          <w:rFonts w:ascii="Arial" w:cs="Arial" w:eastAsia="Arial" w:hAnsi="Arial"/>
          <w:sz w:val="18"/>
          <w:szCs w:val="18"/>
          <w:b w:val="1"/>
          <w:bCs w:val="1"/>
          <w:i w:val="1"/>
          <w:iCs w:val="1"/>
          <w:color w:val="auto"/>
        </w:rPr>
        <w:t>Computer system interruptions or security breaches could significantly disrupt our product development programs and our ability to operate our business.</w:t>
      </w:r>
    </w:p>
    <w:p>
      <w:pPr>
        <w:spacing w:after="0" w:line="170"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facilities are located at two adjacent leased sites. The first site, located at 6000 Shoreline Court, Suites 102, 104, 201, 203, 204 and 325, South San Francisco, California, consists of approximately 42,145 square feet of office and laboratory space and is primarily used for research, clinical, manufacturing and corporate activities. Our lease covering Suites 102, 104, 204, and 325 expires in July 2030. Our lease covering Suites 201 and 203 expires in March 2024. The second site, located at 7000 Shoreline Court, South San Francisco, California, consists of 340 square feet of vivarium space and an additional 215 square feet of shared laboratory space, and is primarily used for preclinical research. Our agreement that provides for our use of these vivarium and laboratory spaces expires in June 2023. Our lease for an 88,000 square foot facility in South San Francisco to support research and development and future manufacturing of Nkarta’s cell therapy products and product candidates commenced in 2022 and expires in 2034. This new facility will also serve as our future headquarters with office space and research facilities.</w:t>
      </w:r>
    </w:p>
    <w:p>
      <w:pPr>
        <w:spacing w:after="0" w:line="178"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We believe that these facilities are sufficient to meet our current needs. We also believe we will be able to obtain additional space, as needed, on commercially reasonable terms.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184"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Ex parte reexaminations have been filed by one or more third parties against certain licensed patents in our portfolio. Ex parte reexaminations of U.S. Patent Nos. 9,511,092 (the "’092 Patent"), 10,774,309 (the "’309 Patent"), and 10,829,737 (the "’737 Patent") were recently concluded, resulting in the claims of each Patent being maintained in amended form. None of the claims of the ’092, ’309, and ’737 Patents as maintained in amended form relate to any of our current product candidates. Additional ex parte reexaminations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4" w:name="page95"/>
    <w:bookmarkEnd w:id="94"/>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“NKTX” and has been publicly traded since July 10,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29" w:lineRule="exact"/>
        <w:rPr>
          <w:sz w:val="20"/>
          <w:szCs w:val="20"/>
          <w:color w:val="auto"/>
        </w:rPr>
      </w:pPr>
    </w:p>
    <w:p>
      <w:pPr>
        <w:jc w:val="both"/>
        <w:ind w:right="140" w:firstLine="509"/>
        <w:spacing w:after="0" w:line="286" w:lineRule="auto"/>
        <w:rPr>
          <w:sz w:val="20"/>
          <w:szCs w:val="20"/>
          <w:color w:val="auto"/>
        </w:rPr>
      </w:pPr>
      <w:r>
        <w:rPr>
          <w:rFonts w:ascii="Arial" w:cs="Arial" w:eastAsia="Arial" w:hAnsi="Arial"/>
          <w:sz w:val="17"/>
          <w:szCs w:val="17"/>
          <w:color w:val="auto"/>
        </w:rPr>
        <w:t>As of March 13, 2023, there were approximately 15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On July 14, 2020, we completed our IPO. Our registration statement on Form S-1 (File No. 333-239301) relating to the IPO was declared effective by the SEC on July 9, 2020.</w:t>
      </w:r>
    </w:p>
    <w:p>
      <w:pPr>
        <w:spacing w:after="0" w:line="17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July 13, 2020 pursuant to Rule 424(b)(4) under the Securities Act. As of December 31, 2022, we estimate that we have used $167.6 million from the net proceeds from the IPO primarily to advance our product candidates through preclinical studies and clinical trial programs, the construction of our manufacturing facility, and for working capital and general corporate purposes. We invested the remaining funds received in cash equivalents and other marketable securities in accordance with our investment policy.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Part III, Item 12 of this Annual Report on Form 10 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appearing elsewhere in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“Cautionary Note Regarding Forward-Looking Statements” in this Annual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are a biopharmaceutical company focused on the discovery, development and commercialization of allogeneic, off-the-shelf engineered NK cell therapies to treat cancer. We currently have two lead product candidates, NKX101, a CAR NK product candidate targeting cells that display NKG2D ligands, and NKX019, a CAR NK product candidate targeting the CD19 antigen, in ongoing Phase 1 clinical trials. Both product candidates incorporate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the treatment of cancer. Our product candidates are designed to be allogeneic and off-the-shelf,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We believe that engineered NK cells have the potential to be an effective cancer therapy, be well tolerated, and avoid some of the toxicities observed with other cell therapies.</w:t>
      </w:r>
    </w:p>
    <w:p>
      <w:pPr>
        <w:spacing w:after="0" w:line="166"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Our modular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spacing w:after="0" w:line="17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NKX101 is currently being studied in a multi-center Phase 1 clinical trial in the U.S. for the treatment of r/r AML and MDS. This ongoing first-in-human study evaluates the safety, pharmacology, and preliminary anti-tumor activity of NKX101. The clinical trial consists of dose-finding followed by dose-expansion and is designed to identify the recommended Phase 2 dose.</w:t>
      </w:r>
    </w:p>
    <w:p>
      <w:pPr>
        <w:spacing w:after="0" w:line="184"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NKX019 is currently being studied in a multi-center Phase 1 clinical trial in the U.S. and Australia for the treatment of a variety of B-cell malignancies by targeting the CD19 antigen that is found on these types of cancerous cells and where CD19-targeted engineered NK cells, T cells and monoclonal antibodies have demonstrated clinical activity. This ongoing first-in-human study evaluates the safety, pharmacology, and preliminary anti-tumor activity of NKX019. The clinical trial consists of dose-finding followed by dose-expansion and is designed to identify the recommended Phase 2 dose.</w:t>
      </w:r>
    </w:p>
    <w:p>
      <w:pPr>
        <w:spacing w:after="0" w:line="18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Under the CRISPR Agreement entered into in May 2021, we are collaboratively designing and advancing up to two allogeneic, gene-edited NK cell therapies, one of which is the engineered CAR NK product candidate targeting the CD70 tumor antigen, and one allogeneic, gene-edited NK+T cell therapy.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7" w:name="page98"/>
    <w:bookmarkEnd w:id="97"/>
    <w:p>
      <w:pPr>
        <w:ind w:right="40" w:firstLine="509"/>
        <w:spacing w:after="0" w:line="290" w:lineRule="auto"/>
        <w:rPr>
          <w:sz w:val="20"/>
          <w:szCs w:val="20"/>
          <w:color w:val="auto"/>
        </w:rPr>
      </w:pPr>
      <w:r>
        <w:rPr>
          <w:rFonts w:ascii="Arial" w:cs="Arial" w:eastAsia="Arial" w:hAnsi="Arial"/>
          <w:sz w:val="16"/>
          <w:szCs w:val="16"/>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completed in July 2020, the issuance of convertible promissory notes, private placements of our preferred stock, the secondary offering of our common stock completed in April 2022, the proceeds from the sale of our common stock pursuant to the ATM Offering Program, and with proceeds from our previous collaboration. We have incurred a net loss of $113.8 million and $86.1 million during the years ended December 31, 2022 and 2021, respectively, and we expect to continue to incur significant losses for the foreseeable future. As of December 31, 2022, we had an accumulated deficit of $317.9 million. At December 31, 2022, we had cash, cash equivalents, restricted cash and short-term investments of $354.9 million.</w:t>
      </w:r>
    </w:p>
    <w:p>
      <w:pPr>
        <w:spacing w:after="0" w:line="165"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w:t>
      </w:r>
      <w:r>
        <w:rPr>
          <w:rFonts w:ascii="Arial" w:cs="Arial" w:eastAsia="Arial" w:hAnsi="Arial"/>
          <w:sz w:val="16"/>
          <w:szCs w:val="16"/>
          <w:i w:val="1"/>
          <w:iCs w:val="1"/>
          <w:color w:val="auto"/>
        </w:rPr>
        <w:t>—JOBS Act</w:t>
      </w:r>
      <w:r>
        <w:rPr>
          <w:rFonts w:ascii="Arial" w:cs="Arial" w:eastAsia="Arial" w:hAnsi="Arial"/>
          <w:sz w:val="16"/>
          <w:szCs w:val="16"/>
          <w:color w:val="auto"/>
        </w:rPr>
        <w:t>” below. Our net losses may fluctuate significantly from quarter-to-quarter and year-to-year, depending on the timing of our clinical trials, and our expenditures on other research and development activities.</w:t>
      </w:r>
    </w:p>
    <w:p>
      <w:pPr>
        <w:spacing w:after="0" w:line="164"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In April 2022, we issued and sold 15,333,334 shares of our common stock in an underwritten public offering, including 2,000,000 shares associated with the full exercise of the underwriters’ option to purchase additional shares, at a price to the public of $15.00 per share. The total net proceeds from the offering were approximately $215.3 million, after deducting underwriting discounts and commissions and offering expenses.</w:t>
      </w:r>
    </w:p>
    <w:p>
      <w:pPr>
        <w:spacing w:after="0" w:line="165"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In the third quarter of 2022, we issued and sold 113,213 shares of our common stock pursuant to the ATM Offering Program, resulting in net proceeds of approximately $1.6 million, after deducting offering expenses.</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will need substantial additional funding to support our continuing operations and pursue our long-term development strategy.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Update on COVID-19, Macroeconomic Conditions, and Supply Disruptions</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operations have been and may in the future be impacted by the COVID-19 pandemic, as well as by global and national economic and market conditions generally.</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COVID-19 pandemic has caused and may in the future cause disruptions in the conduct and enrollment of current and future clinical trials due to, among other things, bed shortages and staffing challenges at our treating hospitals. Hospitals may experience staffing challenges as a result of employee turnover and attrition, the current labor shortage, and/or personnel being pulled off clinical trials to care for patients with COVID-19. In addition, the COVID-19 pandemic has resulted in a significant increase in FDA workload, as well as the need to reprioritize the projects under review, and may do so again in the future. As a result, we may experience delays in FDA timelines along the course of the regulatory process.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98" w:name="page99"/>
    <w:bookmarkEnd w:id="98"/>
    <w:p>
      <w:pPr>
        <w:ind w:right="240" w:firstLine="509"/>
        <w:spacing w:after="0" w:line="255" w:lineRule="auto"/>
        <w:rPr>
          <w:sz w:val="20"/>
          <w:szCs w:val="20"/>
          <w:color w:val="auto"/>
        </w:rPr>
      </w:pPr>
      <w:r>
        <w:rPr>
          <w:rFonts w:ascii="Arial" w:cs="Arial" w:eastAsia="Arial" w:hAnsi="Arial"/>
          <w:sz w:val="18"/>
          <w:szCs w:val="18"/>
          <w:color w:val="auto"/>
        </w:rPr>
        <w:t>The continuing disruptions in the global supply chain due to COVID-19 outbreaks or other factors have also resulted in limited disruptions in the supply of our product candidates, as well as global supply shortages of certain materials that we and our CDMO partners use for research and cGMP manufacturing, such as certain raw materials, cell culture media, disposable plastics, and equipment. To the extent there is a subsequent outbreak of COVID-19, or if such an outbreak begins to significantly impact essential distribution systems or our third-party manufacturers, contractors or suppliers, we may experience further disruptions in our supply chain and operations with associated delays in the manufacturing and supply of our product candidates.</w:t>
      </w:r>
    </w:p>
    <w:p>
      <w:pPr>
        <w:spacing w:after="0" w:line="19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addition, we could experience delays in the construction of our commercial-scale cGMP manufacturing facility and future headquarters due to the COVID-19 pandemic or current macroeconomic conditions. We saw significant inflation in construction costs in 2022, which has negatively affected the costs of constructing our new facility, and inflation may continue to impact our future construction and maintenance costs. In addition, global supply chain disruptions, including procurement delays and long lead times on certain materials, have impacted and could in the future further adversely impact the scheduled completion and/or costs of constructing our new facility.</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 shortage of fludarabine, an agent commonly used in oncology, including in LD, was initially reported in 2022 and is ongoing. Fludarabine is used in our NKX101 and NKX019 clinical trials prior to treatment with our product candidates. Certain of our clinical trial sites have indicated that they are experiencing a shortage of fludarabine. Although we and our clinical sites are taking steps to try to mitigate any impact of the shortage on our clinical trials, enrollment has been delayed at certain of our clinical trial sites, and we could continue to experience enrollment delays due to the fludarabine shortage in the future.</w:t>
      </w:r>
    </w:p>
    <w:p>
      <w:pPr>
        <w:spacing w:after="0" w:line="18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continuously monitor the effects of domestic and global events, including but not limited to the current and expected impact of the COVID-19 pandemic, inflation, labor shortages, and supply chain matters on our operations, including continued enrollment in the NKX101 and NKX019 clinical trials, as well as on our CROs, CDMOs, and clinical trial sites, to ensure that we remain responsive and adaptable to the dynamic changes in our operating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Research and development costs consist primarily of costs incurred for the discovery and clinical development of our drug candidates, which include:</w:t>
      </w:r>
    </w:p>
    <w:p>
      <w:pPr>
        <w:spacing w:after="0" w:line="62" w:lineRule="exact"/>
        <w:rPr>
          <w:sz w:val="20"/>
          <w:szCs w:val="20"/>
          <w:color w:val="auto"/>
        </w:rPr>
      </w:pPr>
    </w:p>
    <w:p>
      <w:pPr>
        <w:ind w:left="1020" w:right="38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in connection with research, laboratory consumables, sponsored research, and preclinical studies;</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consultants engaged in research and development related services;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to manufacture drug product candidates for use in our preclinical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allocated expenses for rent and maintenance of facilities, insurance and supplies;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related to regulatory compliance;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annual license fees.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ind w:right="280" w:firstLine="509"/>
        <w:spacing w:after="0" w:line="259" w:lineRule="auto"/>
        <w:rPr>
          <w:sz w:val="20"/>
          <w:szCs w:val="20"/>
          <w:color w:val="auto"/>
        </w:rPr>
      </w:pPr>
      <w:r>
        <w:rPr>
          <w:rFonts w:ascii="Arial" w:cs="Arial" w:eastAsia="Arial" w:hAnsi="Arial"/>
          <w:sz w:val="18"/>
          <w:szCs w:val="18"/>
          <w:color w:val="auto"/>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spacing w:after="0" w:line="18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84"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following table summarizes our research and development expenses for the years ended December 31, 2022 and 2021.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development program expenses: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NKX101</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19,708</w:t>
            </w:r>
          </w:p>
        </w:tc>
        <w:tc>
          <w:tcPr>
            <w:tcW w:w="300" w:type="dxa"/>
            <w:vAlign w:val="bottom"/>
          </w:tcPr>
          <w:p>
            <w:pPr>
              <w:spacing w:after="0"/>
              <w:rPr>
                <w:sz w:val="20"/>
                <w:szCs w:val="20"/>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12,456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NKX019</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12,527</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CD70</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1,839</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NK+T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Program 5</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Partner cost sharing</w:t>
            </w: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(4,163 )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(2,310 )</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Unallocated internal research and development costs: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related (including share-based compensation)</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34,637</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29,919</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Others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25,929</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14,716</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costs</w:t>
            </w: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90,897</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63,412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ind w:right="60" w:firstLine="509"/>
        <w:spacing w:after="0" w:line="279" w:lineRule="auto"/>
        <w:rPr>
          <w:sz w:val="20"/>
          <w:szCs w:val="20"/>
          <w:color w:val="auto"/>
        </w:rPr>
      </w:pPr>
      <w:r>
        <w:rPr>
          <w:rFonts w:ascii="Arial" w:cs="Arial" w:eastAsia="Arial" w:hAnsi="Arial"/>
          <w:sz w:val="17"/>
          <w:szCs w:val="17"/>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 Item 1A, “Risk Factors” in this Annual Report on Form 10-K. We may never succeed in obtaining regulatory approval for any of our drug candidates.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18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Interest income consists of interest earned on our cash, cash equivalents and short-term investments and adjustments related to amortization of purchase premiums and accretion of discounts of short-term investments.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are subject to corporate U.S. federal and state income taxation. As of December 31, 2022, we had federal and state net operating loss carryforwards of approximately $153.3 million and $65.1 million, respectively. Of the $153.3 million federal net operating loss carryforwards, $3.2 million will begin expiring in 2035, if not utilized, while $150.1 million can be carried forward indefinitely. The state tax loss carryforwards will begin expiring in 2036, if not utilized. As of December 31, 2022, we had federal and state research and development tax credits of approximately $9.9 million and $5.6 million, respectively. If not utilized, the federal research tax credit will begin to expire in 2035. The California research tax credit can be carried forward indefinitely.</w:t>
      </w:r>
    </w:p>
    <w:p>
      <w:pPr>
        <w:spacing w:after="0" w:line="19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Utilization of the net operating loss carryforwards may be subject to a substantial annual limitation due to the ownership change limitations provided by the Internal Revenue Code of 1986, as amended, and similar state provisions. This annual limitation may result in the expiration of net operating losses and credits before utilization. We have not performed an analysis to determine the limitation of our net operating loss carryforwards.</w:t>
      </w:r>
    </w:p>
    <w:p>
      <w:pPr>
        <w:spacing w:after="0" w:line="165"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We estimate our income tax provision, including deferred tax assets and liabilities, based on management’s judgment. We record a valuation allowance to reduce our deferred tax assets to the amounts that are more likely than not to be realized. We consider future taxable income, ongoing tax planning strategies and our historical financial performance in assessing the need for a valuation allowance. If we expect to realize deferred tax assets for which we have previously recorded a valuation allowance, we will reduce the valuation allowance in the period in which such determination is first made.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ind w:firstLine="509"/>
        <w:spacing w:after="0" w:line="296" w:lineRule="auto"/>
        <w:rPr>
          <w:sz w:val="20"/>
          <w:szCs w:val="20"/>
          <w:color w:val="auto"/>
        </w:rPr>
      </w:pPr>
      <w:r>
        <w:rPr>
          <w:rFonts w:ascii="Arial" w:cs="Arial" w:eastAsia="Arial" w:hAnsi="Arial"/>
          <w:sz w:val="16"/>
          <w:szCs w:val="16"/>
          <w:color w:val="auto"/>
        </w:rPr>
        <w:t>We record liabilities related to uncertain tax positions in accordance with the guidance that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 As of December 31, 2022 and 2021, we had gross unrecognized tax benefits of $2.3 million and $1.4 million, respectively, all of which would affect our income tax expense if recognized, before consideration of our valuation allowance. As of December 31, 2022, we do not expect our unrecognized tax benefits will significantly change over the next 12 months.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Change</w:t>
            </w:r>
          </w:p>
        </w:tc>
      </w:tr>
      <w:tr>
        <w:trPr>
          <w:trHeight w:val="237"/>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90,897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63,412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20"/>
                <w:szCs w:val="20"/>
                <w:color w:val="auto"/>
              </w:rPr>
            </w:pPr>
          </w:p>
        </w:tc>
      </w:tr>
      <w:tr>
        <w:trPr>
          <w:trHeight w:val="243"/>
        </w:trPr>
        <w:tc>
          <w:tcPr>
            <w:tcW w:w="5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28,058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32,526</w:t>
            </w:r>
          </w:p>
        </w:tc>
        <w:tc>
          <w:tcPr>
            <w:tcW w:w="100" w:type="dxa"/>
            <w:vAlign w:val="bottom"/>
          </w:tcPr>
          <w:p>
            <w:pPr>
              <w:spacing w:after="0"/>
              <w:rPr>
                <w:sz w:val="20"/>
                <w:szCs w:val="20"/>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(118,955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(86,429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w:t>
            </w:r>
          </w:p>
        </w:tc>
        <w:tc>
          <w:tcPr>
            <w:tcW w:w="100" w:type="dxa"/>
            <w:vAlign w:val="bottom"/>
            <w:shd w:val="clear" w:color="auto" w:fill="CFF0FC"/>
          </w:tcPr>
          <w:p>
            <w:pPr>
              <w:spacing w:after="0"/>
              <w:rPr>
                <w:sz w:val="21"/>
                <w:szCs w:val="21"/>
                <w:color w:val="auto"/>
              </w:rPr>
            </w:pPr>
          </w:p>
        </w:tc>
      </w:tr>
      <w:tr>
        <w:trPr>
          <w:trHeight w:val="237"/>
        </w:trPr>
        <w:tc>
          <w:tcPr>
            <w:tcW w:w="594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(470 )</w:t>
            </w:r>
          </w:p>
        </w:tc>
        <w:tc>
          <w:tcPr>
            <w:tcW w:w="360" w:type="dxa"/>
            <w:vAlign w:val="bottom"/>
          </w:tcPr>
          <w:p>
            <w:pPr>
              <w:spacing w:after="0"/>
              <w:rPr>
                <w:sz w:val="20"/>
                <w:szCs w:val="20"/>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(16 )</w:t>
            </w:r>
          </w:p>
        </w:tc>
        <w:tc>
          <w:tcPr>
            <w:tcW w:w="3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(454 )</w:t>
            </w:r>
          </w:p>
        </w:tc>
      </w:tr>
      <w:tr>
        <w:trPr>
          <w:trHeight w:val="237"/>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(113,837 )   $</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(86,075 )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(27,762 )</w:t>
            </w:r>
          </w:p>
        </w:tc>
      </w:tr>
      <w:tr>
        <w:trPr>
          <w:trHeight w:val="20"/>
        </w:trPr>
        <w:tc>
          <w:tcPr>
            <w:tcW w:w="5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-1122045</wp:posOffset>
            </wp:positionV>
            <wp:extent cx="768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-1122045</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7683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Research and development expenses were $90.9 million and $63.4 million for the years ended December 31, 2022 and 2021, respectively. The increase of $27.5 million was primarily due to increases of $4.7 million in personnel costs, including an increase in share-based compensation expense of $0.6 million as a result of continued growth in headcount, and increases of $13.4 million in our external program costs primarily related to NKX101 and NKX019, and $11.2 million in other internal research costs, primarily consisting of research and laboratory supplies and facilities expenses, offset by an increase of $1.9 million in partner cost sharing reimbursable expenses. The increase in program costs relating to NKX101 and NKX019 is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General and administrative expenses were $28.1 million and $23.0 million for the years ended December 31, 2022 and 2021, respectively. The increase of $5.1 million was primarily due to an increase in personnel costs of $3.4 million, including an increase of $1.8 million in share-based compensation expense as a result of continued growth in headcount. The increases in general and administrative expense were also due to a $1.0 million increase in professional services related to accounting services, corporate legal fees, other consulting and patent legal fees, and a $0.7 million increase in other general and administrative expenses that included insurance, rent, depreciation expense and other facilities expense. We have incurred and expect to continue to incur additional expenses as a result of being a public company following the completion of our IPO in July 2020, which we expect will further increase when we no longer qualify as an “emerging growth company” under the JOBS Act.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Interest income was $5.6 million and $0.4 million for the years ended December 31, 2022 and 2021, respectively. The increase in interest income was due to higher interest earned from short-term investments, partially offset by amortization of purchase premiums and accretion of discounts of short-term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As of December 31, 2022, we had cash, cash equivalents, restricted cash and short-term investments of $354.9 million. In connection with our IPO which closed on July 14, 2020, we received $265.1 million in net proceeds, after deducting underwriting discounts and commissions and other offering expenses.</w:t>
      </w:r>
    </w:p>
    <w:p>
      <w:pPr>
        <w:spacing w:after="0" w:line="76"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On August 12, 2021, we filed a Registration Statement on Form S-3 (the "Shelf Registration Statement"), covering the offer and sale from time to time, pursuant to Rule 415 of the Securities Act of 1933, as amended (the "Securities Act"), of up to $500.0 million in aggregate offering price of shares of our common stock, shares of our preferred stock, debt securities, warrants, and rights and units. The Shelf Registration Statement was declared effective by the SEC on September 2, 2021. The Shelf Registration Statement included a prospectus covering the offer and sale from time to time of up to $150.0 million in aggregate offering price of shares of the Company’s common stock through an “at-the-market” equity offering program under the Securities Act (the "ATM Offering Program") with Cowen and Company, LLC, as sales agent. In 2022, we issued and sold 113,213 shares of our common stock pursuant to the ATM Offering Program, resulting in net proceeds of approximately $1.6 million, after deducting offering expenses.</w:t>
      </w:r>
    </w:p>
    <w:p>
      <w:pPr>
        <w:spacing w:after="0" w:line="5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On April 28, 2022, we issued and sold 15,333,334 shares of our common stock in an underwritten public offering, including 2,000,000 shares associated with the full exercise of the underwriters’ option to purchase additional shares, at a price to the public of $15.00 per share. The total net proceeds from the offering were approximately $215.3 million, after deducting underwriting discounts and commissions and offering expenses.</w:t>
      </w:r>
    </w:p>
    <w:p>
      <w:pPr>
        <w:spacing w:after="0" w:line="165"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p>
    <w:p>
      <w:pPr>
        <w:spacing w:after="0" w:line="178"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We will need substantial additional funding to support our continuing operations and pursue our long-term development strategy.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7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believe that our current cash, cash equivalents, restricted cash and short-term investments as of December 31, 2022 will be sufficient to meet our cash needs for at least 12 months following the issuance date of this Annual Report on Form 10-K.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3" w:name="page104"/>
    <w:bookmarkEnd w:id="103"/>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(67,927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0"/>
                <w:szCs w:val="20"/>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(184,689 )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32,534</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219,012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(22,677 )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(34,191 )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 net cash used in operating activities for the year ended December 31, 2022 of $57.0 million was primarily due to our net loss of $113.8 million, adjusted for net non-cash charges of $23.1 million and a change in operating assets and liabilities of $33.7 million. The net non-cash charges of $23.1 million consisted primarily of share-based compensation of $16.9 million, depreciation and amortization of $2.6 million, investment accretion and amortization of $0.8 million and non-cash lease expense of $3.9 million. The net change in operating assets and liabilities of $33.7 million was related to the increase in prepaid and other current assets of $1.5 million, offset by an increase in accounts payable and accrued and other liabilities of $2.8 million as we continued to increase our research and development related activities and an increase in operating lease liabilities of $32.5 million.</w:t>
      </w:r>
    </w:p>
    <w:p>
      <w:pPr>
        <w:spacing w:after="0" w:line="164"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net cash used in operating activities for the year ended December 31, 2021 of $67.9 million was primarily due to our net loss of $86.1 million, adjusted for net non-cash charges of $19.8 million and a change in operating assets and liabilities of $1.6 million. The net non-cash charges of $19.8 million consisted primarily of share-based compensation of $14.5 million, depreciation and amortization of $1.8 million, investment accretion and amortization of $3.2 million and non-cash lease expense of $0.4 million. The net change in operating assets and liabilities of $1.6 million was related to the increase in prepaid and other current assets of $4.4 million primarily due to the cost sharing receivable, higher manufacturing and clinical deposits and other current assets, offset by an increase in accounts payable and accrued and other liabilities of $2.8 million as we continued to increase our research and development related activities.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The net cash used in investing activities for the year ended December 31, 2022 of $184.7 million was comprised of purchases of property and equipment of $47.1 million primarily related to the construction of our manufacturing facility and purchases of short-term investments of $385.9 million, partially offset by proceeds from maturities of short-term investments of $248.3 million.</w:t>
      </w:r>
    </w:p>
    <w:p>
      <w:pPr>
        <w:spacing w:after="0" w:line="18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net cash provided by investing activities for the year ended December 31, 2021 of $32.5 million was comprised of proceeds from maturities of short-term investments of $264.8 million, partially offset by purchases of property and equipment of $5.0 million primarily related to the construction of our manufacturing facility and purchases of short-term investments of $227.3 million.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2022 of $219.0 million was mainly due to the net proceeds of $215.6 million from the secondary offering, after deducting underwriting discounts and commissions and other offering costs, net proceeds of $1.6 million from the ATM Offering Program after deducting issuance costs, proceeds from ESPP purchases of $0.4 million, and proceeds of $1.4 million from the exercise of stock options.</w:t>
      </w:r>
    </w:p>
    <w:p>
      <w:pPr>
        <w:spacing w:after="0" w:line="79"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2021 of $1.2 million was mainly due to proceeds from the exercise of stock options, partially offset by payment of deferred offering costs of $0.3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million associated with the filing of our Shelf Registration Statement and the establishment of our ATM Offering Program.</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Based upon our current operating plans, we believe that our existing cash, cash equivalents, restricted cash and short-term investments will be sufficient to fund our operations for at least the next 12 months from the date of issuing this Annual Report on Form 10-K.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right="780" w:hanging="503"/>
        <w:spacing w:after="0" w:line="342"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 timing and costs of regulatory review of our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and the costs associated with building our manufacturing facility;</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patients’ willingness or ability to pay out-of-pocket for any approved products in the absence of coverage and/or adequate reimbursement from third-party payors;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 and other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associated with any product candidates, products or technologies that we may in-license or acquire.</w:t>
      </w:r>
    </w:p>
    <w:p>
      <w:pPr>
        <w:spacing w:after="0" w:line="225"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5" w:name="page106"/>
    <w:bookmarkEnd w:id="105"/>
    <w:p>
      <w:pPr>
        <w:ind w:right="200"/>
        <w:spacing w:after="0" w:line="259" w:lineRule="auto"/>
        <w:rPr>
          <w:sz w:val="20"/>
          <w:szCs w:val="20"/>
          <w:color w:val="auto"/>
        </w:rPr>
      </w:pPr>
      <w:r>
        <w:rPr>
          <w:rFonts w:ascii="Arial" w:cs="Arial" w:eastAsia="Arial" w:hAnsi="Arial"/>
          <w:sz w:val="18"/>
          <w:szCs w:val="18"/>
          <w:color w:val="auto"/>
        </w:rPr>
        <w:t>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In May 2018, we entered into a lease agreement for our corporate office and laboratory space located in South San Francisco, California with an expiration date in May 2025 (the "Initial Lease Agreement"). In April 2019, we executed the first amendment to the Initial Lease Agreement for additional corporate space, laboratory space and manufacturing capabilities and an extension to the lease term through April 2026. The terms of the lease amendment contain a rent abatement for the first month and rent escalation provisions. In addition to the base rent payments, we will be obligated to pay certain customary amounts for our share of operating expenses and tax obligations related to the facilities.</w:t>
      </w:r>
    </w:p>
    <w:p>
      <w:pPr>
        <w:spacing w:after="0" w:line="176"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May 2020, we executed the second amendment to the Initial Lease Agreement for an eight-year non-cancelable lease for additional office and laboratory space in the same building. The lease amendment for the additional space provided for abatement of rent during the first three months of the lease and contained rent escalations during the term of the lease. The lease amendment for this additional space commenced in January 2021 and expires in January 2029. The lease amendment also included an extension of the lease term of our existing office and laboratory space through January 2029, with an option to extend the lease for an additional seven-year term.</w:t>
      </w:r>
    </w:p>
    <w:p>
      <w:pPr>
        <w:spacing w:after="0" w:line="188"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In January 2021, we executed the third amendment to the Initial Lease Agreement for a three-year non-cancelable lease for additional office space in the same building. The lease amendment for this additional space commenced in the second quarter of 2021 and expires in March 2024.</w:t>
      </w:r>
    </w:p>
    <w:p>
      <w:pPr>
        <w:spacing w:after="0" w:line="14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October 2021, we executed the fourth amendment to the Initial Lease Agreement for a seven-year non-cancelable lease for additional office and laboratory space in the same building. The lease amendment for additional space provided for abatement of rent during the first two months of the lease and contained rent escalations during the term of the lease. The lease amendment for this additional space is anticipated to commence in April 2022 and expires in January 2029. The Company expects to pay base rent of approximately $4.6 million over the lease term. The lease amendment also includes this additional space in our option to extend the lease for an additional seven-year term. The other terms of the Initial Lease Agreement, as amended, remain unchanged.</w:t>
      </w:r>
    </w:p>
    <w:p>
      <w:pPr>
        <w:spacing w:after="0" w:line="19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 xml:space="preserve">In July 2021, we entered into a lease agreement for corporate office, manufacturing and laboratory space located in South San Francisco, California with an expiration date approximately twelve years after the lease's legal commencement date (the "Additional Lease Agreement"). </w:t>
      </w:r>
      <w:r>
        <w:rPr>
          <w:rFonts w:ascii="Arial" w:cs="Arial" w:eastAsia="Arial" w:hAnsi="Arial"/>
          <w:sz w:val="18"/>
          <w:szCs w:val="18"/>
          <w:color w:val="212529"/>
        </w:rPr>
        <w:t>We will become</w:t>
      </w:r>
      <w:r>
        <w:rPr>
          <w:rFonts w:ascii="Arial" w:cs="Arial" w:eastAsia="Arial" w:hAnsi="Arial"/>
          <w:sz w:val="18"/>
          <w:szCs w:val="18"/>
          <w:color w:val="auto"/>
        </w:rPr>
        <w:t xml:space="preserve"> </w:t>
      </w:r>
      <w:r>
        <w:rPr>
          <w:rFonts w:ascii="Arial" w:cs="Arial" w:eastAsia="Arial" w:hAnsi="Arial"/>
          <w:sz w:val="18"/>
          <w:szCs w:val="18"/>
          <w:color w:val="212529"/>
        </w:rPr>
        <w:t>responsible for paying rent on the lease's legal commencement date. The Company expects to pay base rent of approximately $99.6 million over the lease term. In addition to the base rent payments, we will be obligated to pay certain customary amounts for our share of operating expenses and tax obligations related to the facilities. The Additional Lease Agreement also provides for certain tenant improvement allowances for tenant improvements and certain infrastructure upgrades in connection with the initial buildout of the premises, a portion of which, if utilized, would need to be repaid by us over the lease term.</w:t>
      </w:r>
    </w:p>
    <w:p>
      <w:pPr>
        <w:spacing w:after="0" w:line="19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212529"/>
        </w:rPr>
        <w:t xml:space="preserve">In November 2021, we </w:t>
      </w:r>
      <w:r>
        <w:rPr>
          <w:rFonts w:ascii="Arial" w:cs="Arial" w:eastAsia="Arial" w:hAnsi="Arial"/>
          <w:sz w:val="18"/>
          <w:szCs w:val="18"/>
          <w:color w:val="000000"/>
        </w:rPr>
        <w:t>executed the first amendment to the Additional Lease Agreement for our corporate office, manufacturing and laboratory</w:t>
      </w:r>
      <w:r>
        <w:rPr>
          <w:rFonts w:ascii="Arial" w:cs="Arial" w:eastAsia="Arial" w:hAnsi="Arial"/>
          <w:sz w:val="18"/>
          <w:szCs w:val="18"/>
          <w:color w:val="212529"/>
        </w:rPr>
        <w:t xml:space="preserve"> </w:t>
      </w:r>
      <w:r>
        <w:rPr>
          <w:rFonts w:ascii="Arial" w:cs="Arial" w:eastAsia="Arial" w:hAnsi="Arial"/>
          <w:sz w:val="18"/>
          <w:szCs w:val="18"/>
          <w:color w:val="000000"/>
        </w:rPr>
        <w:t>space. The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 The other terms of the Additional Lease Agreement remain unchanged.</w:t>
      </w:r>
    </w:p>
    <w:p>
      <w:pPr>
        <w:spacing w:after="0" w:line="18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August 2022, we executed the fifth amendment to the Initial Lease Agreement and the second amendment to the Additional Lease Agreement. The amendments provide for approximately $15 million of additional tenant improvement allowances for the future facility, increase the rent for the future facility, and increase the rent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t>term of the lease for some of our existing facilities. These allowances are in addition to the tenant improvement allowances of $25.2 million included in the original lease agreement for the future facility.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See Note 2 to our financial statements included in Part II, Item 8 of this Annual Report on Form 10-K for a summary of significant accounting policies and the effect on our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Recent Accounting Pronouncements in Note 2 to our financial statements included in Part II, Item 8 of this Annual Report on Form 10-K.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a party to indemnification agreements with our officers and directors. We believe the fair value of the indemnification rights and agreements is minimal. Accordingly, we have not recorded any liabilities for these indemnification rights and agreements as of December 31, 2022 and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78"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Securities Exchange Act of 1934, as amended (the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7" w:name="page108"/>
    <w:bookmarkEnd w:id="107"/>
    <w:p>
      <w:pPr>
        <w:spacing w:after="0" w:line="273" w:lineRule="auto"/>
        <w:rPr>
          <w:sz w:val="20"/>
          <w:szCs w:val="20"/>
          <w:color w:val="auto"/>
        </w:rPr>
      </w:pPr>
      <w:r>
        <w:rPr>
          <w:rFonts w:ascii="Arial" w:cs="Arial" w:eastAsia="Arial" w:hAnsi="Arial"/>
          <w:sz w:val="17"/>
          <w:szCs w:val="17"/>
          <w:color w:val="auto"/>
        </w:rPr>
        <w:t>"Exchange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December 31, 2022, this change would not have had a material effect on the fair value of our investment portfolio as of that date.</w:t>
      </w:r>
    </w:p>
    <w:p>
      <w:pPr>
        <w:spacing w:after="0" w:line="16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 Inflation generally affects us by increasing our cost of labor and research and development contract costs. We do not believe inflation has had a material effect on our results of operations during the periods presented.</w:t>
      </w:r>
    </w:p>
    <w:p>
      <w:pPr>
        <w:spacing w:after="0" w:line="15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vMerge w:val="restart"/>
          </w:tcPr>
          <w:p>
            <w:pPr>
              <w:spacing w:after="0"/>
              <w:rPr>
                <w:sz w:val="16"/>
                <w:szCs w:val="16"/>
                <w:color w:val="auto"/>
              </w:rPr>
            </w:pPr>
          </w:p>
        </w:tc>
        <w:tc>
          <w:tcPr>
            <w:tcW w:w="5500" w:type="dxa"/>
            <w:vAlign w:val="bottom"/>
            <w:gridSpan w:val="7"/>
            <w:vMerge w:val="restart"/>
          </w:tcPr>
          <w:p>
            <w:pPr>
              <w:spacing w:after="0"/>
              <w:rPr>
                <w:sz w:val="20"/>
                <w:szCs w:val="20"/>
                <w:color w:val="auto"/>
              </w:rPr>
            </w:pPr>
            <w:r>
              <w:rPr>
                <w:rFonts w:ascii="Arial" w:cs="Arial" w:eastAsia="Arial" w:hAnsi="Arial"/>
                <w:sz w:val="18"/>
                <w:szCs w:val="18"/>
                <w:color w:val="0000FF"/>
                <w:w w:val="92"/>
              </w:rPr>
              <w:t>Report of Independent Registered Public Accounting Firm (PCAOB ID: 42)</w:t>
            </w:r>
          </w:p>
        </w:tc>
        <w:tc>
          <w:tcPr>
            <w:tcW w:w="4600" w:type="dxa"/>
            <w:vAlign w:val="bottom"/>
            <w:vMerge w:val="restart"/>
          </w:tcPr>
          <w:p>
            <w:pPr>
              <w:spacing w:after="0"/>
              <w:rPr>
                <w:sz w:val="16"/>
                <w:szCs w:val="16"/>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5500" w:type="dxa"/>
            <w:vAlign w:val="bottom"/>
            <w:tcBorders>
              <w:bottom w:val="single" w:sz="8" w:color="0000FF"/>
            </w:tcBorders>
            <w:gridSpan w:val="7"/>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9"/>
        </w:trPr>
        <w:tc>
          <w:tcPr>
            <w:tcW w:w="10120" w:type="dxa"/>
            <w:vAlign w:val="bottom"/>
            <w:gridSpan w:val="9"/>
          </w:tcPr>
          <w:p>
            <w:pPr>
              <w:ind w:left="20"/>
              <w:spacing w:after="0"/>
              <w:rPr>
                <w:sz w:val="20"/>
                <w:szCs w:val="20"/>
                <w:color w:val="auto"/>
              </w:rPr>
            </w:pPr>
            <w:r>
              <w:rPr>
                <w:rFonts w:ascii="Arial" w:cs="Arial" w:eastAsia="Arial" w:hAnsi="Arial"/>
                <w:sz w:val="18"/>
                <w:szCs w:val="18"/>
                <w:color w:val="auto"/>
              </w:rPr>
              <w:t>Audited Financial Statements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gridSpan w:val="7"/>
          </w:tcPr>
          <w:p>
            <w:pPr>
              <w:spacing w:after="0" w:line="190" w:lineRule="exact"/>
              <w:rPr>
                <w:sz w:val="20"/>
                <w:szCs w:val="20"/>
                <w:color w:val="auto"/>
              </w:rPr>
            </w:pPr>
            <w:r>
              <w:rPr>
                <w:rFonts w:ascii="Arial" w:cs="Arial" w:eastAsia="Arial" w:hAnsi="Arial"/>
                <w:sz w:val="18"/>
                <w:szCs w:val="18"/>
                <w:color w:val="0000CC"/>
              </w:rPr>
              <w:t>Balance Sheets</w:t>
            </w:r>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CC"/>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0000CC"/>
              </w:rPr>
              <w:t>Statements of Operation and Comprehensive Loss</w:t>
            </w: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380" w:type="dxa"/>
            <w:vAlign w:val="bottom"/>
            <w:shd w:val="clear" w:color="auto" w:fill="0000CC"/>
          </w:tcPr>
          <w:p>
            <w:pPr>
              <w:spacing w:after="0" w:line="20" w:lineRule="exact"/>
              <w:rPr>
                <w:sz w:val="1"/>
                <w:szCs w:val="1"/>
                <w:color w:val="auto"/>
              </w:rPr>
            </w:pPr>
          </w:p>
        </w:tc>
        <w:tc>
          <w:tcPr>
            <w:tcW w:w="1080" w:type="dxa"/>
            <w:vAlign w:val="bottom"/>
            <w:shd w:val="clear" w:color="auto" w:fill="0000CC"/>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0000CC"/>
              </w:rPr>
              <w:t>Statements of Stockholders' Equity</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380" w:type="dxa"/>
            <w:vAlign w:val="bottom"/>
            <w:shd w:val="clear" w:color="auto" w:fill="0000CC"/>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0000CC"/>
              </w:rPr>
              <w:t>Statements of Cash Flows</w:t>
            </w: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0000CC"/>
              </w:rPr>
              <w:t>Notes to Financial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42"/>
        </w:trPr>
        <w:tc>
          <w:tcPr>
            <w:tcW w:w="360" w:type="dxa"/>
            <w:vAlign w:val="bottom"/>
            <w:gridSpan w:val="2"/>
          </w:tcPr>
          <w:p>
            <w:pPr>
              <w:spacing w:after="0"/>
              <w:rPr>
                <w:sz w:val="24"/>
                <w:szCs w:val="24"/>
                <w:color w:val="auto"/>
              </w:rPr>
            </w:pPr>
          </w:p>
        </w:tc>
        <w:tc>
          <w:tcPr>
            <w:tcW w:w="2140" w:type="dxa"/>
            <w:vAlign w:val="bottom"/>
            <w:tcBorders>
              <w:top w:val="single" w:sz="8" w:color="0000CC"/>
            </w:tcBorders>
            <w:gridSpan w:val="3"/>
          </w:tcPr>
          <w:p>
            <w:pPr>
              <w:spacing w:after="0"/>
              <w:rPr>
                <w:sz w:val="24"/>
                <w:szCs w:val="24"/>
                <w:color w:val="auto"/>
              </w:rPr>
            </w:pPr>
          </w:p>
        </w:tc>
        <w:tc>
          <w:tcPr>
            <w:tcW w:w="7620" w:type="dxa"/>
            <w:vAlign w:val="bottom"/>
            <w:gridSpan w:val="4"/>
          </w:tcPr>
          <w:p>
            <w:pPr>
              <w:jc w:val="right"/>
              <w:ind w:right="4360"/>
              <w:spacing w:after="0"/>
              <w:rPr>
                <w:sz w:val="20"/>
                <w:szCs w:val="20"/>
                <w:color w:val="auto"/>
              </w:rPr>
            </w:pPr>
            <w:r>
              <w:rPr>
                <w:rFonts w:ascii="Arial" w:cs="Arial" w:eastAsia="Arial" w:hAnsi="Arial"/>
                <w:sz w:val="18"/>
                <w:szCs w:val="18"/>
                <w:color w:val="auto"/>
              </w:rPr>
              <w:t>104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Nkarta,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audited the accompanying balance sheets of Nkarta, Inc. (the "Company") as of December 31, 2022 and 2021, the related statements of operations and comprehensive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Short-term investments, available-for-sale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314,649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360,688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245,780</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61,908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45,749</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472,938</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1,761</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16,036</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12,943</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78,685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100,731</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22,936</w:t>
            </w:r>
          </w:p>
        </w:tc>
        <w:tc>
          <w:tcPr>
            <w:tcW w:w="100" w:type="dxa"/>
            <w:vAlign w:val="bottom"/>
            <w:tcBorders>
              <w:top w:val="single" w:sz="8" w:color="CFF0FC"/>
            </w:tcBorders>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$0.0001 par value; 54,350,179 shares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authorized at December 31, 2022; no shares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at December 31, 2022 and 2021</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00"/>
              <w:spacing w:after="0"/>
              <w:rPr>
                <w:sz w:val="20"/>
                <w:szCs w:val="20"/>
                <w:color w:val="auto"/>
              </w:rPr>
            </w:pPr>
            <w:r>
              <w:rPr>
                <w:rFonts w:ascii="Arial" w:cs="Arial" w:eastAsia="Arial" w:hAnsi="Arial"/>
                <w:sz w:val="18"/>
                <w:szCs w:val="18"/>
                <w:color w:val="auto"/>
              </w:rPr>
              <w:t>Common stock, $0.0001 par value; 100,000,000 shares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authorized at December 31, 2022; 48,877,806</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and 32,971,107 shares issued and outstanding at December 31, 2022</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80" w:type="dxa"/>
            <w:vAlign w:val="bottom"/>
          </w:tcPr>
          <w:p>
            <w:pPr>
              <w:ind w:left="340"/>
              <w:spacing w:after="0"/>
              <w:rPr>
                <w:sz w:val="20"/>
                <w:szCs w:val="20"/>
                <w:color w:val="auto"/>
              </w:rPr>
            </w:pPr>
            <w:r>
              <w:rPr>
                <w:rFonts w:ascii="Arial" w:cs="Arial" w:eastAsia="Arial" w:hAnsi="Arial"/>
                <w:sz w:val="18"/>
                <w:szCs w:val="18"/>
                <w:color w:val="auto"/>
              </w:rPr>
              <w:t>and 2021,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690,814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455,210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(679 )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(150 )</w:t>
            </w: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(317,933 )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(204,096 )</w:t>
            </w:r>
          </w:p>
        </w:tc>
      </w:tr>
      <w:tr>
        <w:trPr>
          <w:trHeight w:val="23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372,207</w:t>
            </w:r>
          </w:p>
        </w:tc>
        <w:tc>
          <w:tcPr>
            <w:tcW w:w="30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250,967</w:t>
            </w:r>
          </w:p>
        </w:tc>
        <w:tc>
          <w:tcPr>
            <w:tcW w:w="100" w:type="dxa"/>
            <w:vAlign w:val="bottom"/>
            <w:tcBorders>
              <w:top w:val="single" w:sz="8" w:color="CFF0FC"/>
            </w:tcBorders>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472,938</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273,903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-4491355</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-3548380</wp:posOffset>
            </wp:positionV>
            <wp:extent cx="125158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5158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-2279650</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685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90,897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28,058</w:t>
            </w:r>
          </w:p>
        </w:tc>
        <w:tc>
          <w:tcPr>
            <w:tcW w:w="3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118,955</w:t>
            </w: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(118,955</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(86,429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5,588</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440" w:type="dxa"/>
            <w:vAlign w:val="bottom"/>
          </w:tcPr>
          <w:p>
            <w:pPr>
              <w:spacing w:after="0"/>
              <w:rPr>
                <w:sz w:val="20"/>
                <w:szCs w:val="20"/>
                <w:color w:val="auto"/>
              </w:rPr>
            </w:pP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(470 )</w:t>
            </w:r>
          </w:p>
        </w:tc>
        <w:tc>
          <w:tcPr>
            <w:tcW w:w="7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(113,837 )</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(86,075 )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(113,837 )</w:t>
            </w:r>
          </w:p>
        </w:tc>
        <w:tc>
          <w:tcPr>
            <w:tcW w:w="7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(86,075 )</w:t>
            </w:r>
          </w:p>
        </w:tc>
        <w:tc>
          <w:tcPr>
            <w:tcW w:w="0" w:type="dxa"/>
            <w:vAlign w:val="bottom"/>
          </w:tcPr>
          <w:p>
            <w:pPr>
              <w:spacing w:after="0"/>
              <w:rPr>
                <w:sz w:val="1"/>
                <w:szCs w:val="1"/>
                <w:color w:val="auto"/>
              </w:rPr>
            </w:pPr>
          </w:p>
        </w:tc>
      </w:tr>
      <w:tr>
        <w:trPr>
          <w:trHeight w:val="249"/>
        </w:trPr>
        <w:tc>
          <w:tcPr>
            <w:tcW w:w="7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loss:</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440" w:type="dxa"/>
            <w:vAlign w:val="bottom"/>
          </w:tcPr>
          <w:p>
            <w:pPr>
              <w:spacing w:after="0"/>
              <w:rPr>
                <w:sz w:val="20"/>
                <w:szCs w:val="20"/>
                <w:color w:val="auto"/>
              </w:rPr>
            </w:pP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(529 )</w:t>
            </w:r>
          </w:p>
        </w:tc>
        <w:tc>
          <w:tcPr>
            <w:tcW w:w="7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76"/>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(2.61 )</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Weighted-average number of common shares used in</w:t>
            </w:r>
          </w:p>
        </w:tc>
        <w:tc>
          <w:tcPr>
            <w:tcW w:w="440" w:type="dxa"/>
            <w:vAlign w:val="bottom"/>
            <w:shd w:val="clear" w:color="auto" w:fill="CFF0FC"/>
          </w:tcPr>
          <w:p>
            <w:pPr>
              <w:spacing w:after="0"/>
              <w:rPr>
                <w:sz w:val="17"/>
                <w:szCs w:val="17"/>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43,631,722</w:t>
            </w: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32,856,883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-2416810</wp:posOffset>
            </wp:positionV>
            <wp:extent cx="7683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-1464945</wp:posOffset>
            </wp:positionV>
            <wp:extent cx="7683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-496570</wp:posOffset>
            </wp:positionV>
            <wp:extent cx="144843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48435" cy="20574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00" w:type="dxa"/>
            <w:vAlign w:val="bottom"/>
          </w:tcPr>
          <w:p>
            <w:pPr>
              <w:spacing w:after="0"/>
              <w:rPr>
                <w:sz w:val="10"/>
                <w:szCs w:val="10"/>
                <w:color w:val="auto"/>
              </w:rPr>
            </w:pPr>
          </w:p>
        </w:tc>
        <w:tc>
          <w:tcPr>
            <w:tcW w:w="2180" w:type="dxa"/>
            <w:vAlign w:val="bottom"/>
            <w:gridSpan w:val="3"/>
            <w:vMerge w:val="restart"/>
          </w:tcPr>
          <w:p>
            <w:pPr>
              <w:jc w:val="right"/>
              <w:ind w:right="550"/>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Accumulated</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1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266"/>
              <w:spacing w:after="0"/>
              <w:rPr>
                <w:sz w:val="20"/>
                <w:szCs w:val="20"/>
                <w:color w:val="auto"/>
              </w:rPr>
            </w:pPr>
            <w:r>
              <w:rPr>
                <w:rFonts w:ascii="Arial" w:cs="Arial" w:eastAsia="Arial" w:hAnsi="Arial"/>
                <w:sz w:val="11"/>
                <w:szCs w:val="11"/>
                <w:b w:val="1"/>
                <w:bCs w:val="1"/>
                <w:color w:val="auto"/>
              </w:rPr>
              <w:t>Additional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Other</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5"/>
        </w:trPr>
        <w:tc>
          <w:tcPr>
            <w:tcW w:w="3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jc w:val="right"/>
              <w:ind w:right="326"/>
              <w:spacing w:after="0" w:line="115" w:lineRule="exact"/>
              <w:rPr>
                <w:sz w:val="20"/>
                <w:szCs w:val="20"/>
                <w:color w:val="auto"/>
              </w:rPr>
            </w:pPr>
            <w:r>
              <w:rPr>
                <w:rFonts w:ascii="Arial" w:cs="Arial" w:eastAsia="Arial" w:hAnsi="Arial"/>
                <w:sz w:val="11"/>
                <w:szCs w:val="11"/>
                <w:b w:val="1"/>
                <w:bCs w:val="1"/>
                <w:color w:val="auto"/>
              </w:rPr>
              <w:t>Paid-In</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9"/>
                <w:szCs w:val="9"/>
                <w:color w:val="auto"/>
              </w:rPr>
            </w:pPr>
          </w:p>
        </w:tc>
        <w:tc>
          <w:tcPr>
            <w:tcW w:w="1220" w:type="dxa"/>
            <w:vAlign w:val="bottom"/>
            <w:gridSpan w:val="2"/>
          </w:tcPr>
          <w:p>
            <w:pPr>
              <w:jc w:val="center"/>
              <w:ind w:right="380"/>
              <w:spacing w:after="0" w:line="115"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106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10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Capital</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Deficit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8"/>
              </w:rPr>
              <w:t>Income (Loss)</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at January 1, 2021</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32,627,963</w:t>
            </w:r>
          </w:p>
        </w:tc>
        <w:tc>
          <w:tcPr>
            <w:tcW w:w="1140" w:type="dxa"/>
            <w:vAlign w:val="bottom"/>
            <w:gridSpan w:val="2"/>
            <w:shd w:val="clear" w:color="auto" w:fill="CFF0FC"/>
          </w:tcPr>
          <w:p>
            <w:pPr>
              <w:jc w:val="right"/>
              <w:ind w:right="75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460" w:type="dxa"/>
            <w:vAlign w:val="bottom"/>
            <w:gridSpan w:val="2"/>
            <w:shd w:val="clear" w:color="auto" w:fill="CFF0FC"/>
          </w:tcPr>
          <w:p>
            <w:pPr>
              <w:jc w:val="right"/>
              <w:ind w:right="91"/>
              <w:spacing w:after="0"/>
              <w:rPr>
                <w:sz w:val="20"/>
                <w:szCs w:val="20"/>
                <w:color w:val="auto"/>
              </w:rPr>
            </w:pPr>
            <w:r>
              <w:rPr>
                <w:rFonts w:ascii="Arial" w:cs="Arial" w:eastAsia="Arial" w:hAnsi="Arial"/>
                <w:sz w:val="11"/>
                <w:szCs w:val="1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439,235</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(118,021 )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321,220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3300" w:type="dxa"/>
            <w:vAlign w:val="bottom"/>
            <w:tcBorders>
              <w:top w:val="single" w:sz="8" w:color="CFF0FC"/>
            </w:tcBorders>
          </w:tcPr>
          <w:p>
            <w:pPr>
              <w:ind w:left="20"/>
              <w:spacing w:after="0" w:line="110" w:lineRule="exact"/>
              <w:rPr>
                <w:sz w:val="20"/>
                <w:szCs w:val="20"/>
                <w:color w:val="auto"/>
              </w:rPr>
            </w:pPr>
            <w:r>
              <w:rPr>
                <w:rFonts w:ascii="Arial" w:cs="Arial" w:eastAsia="Arial" w:hAnsi="Arial"/>
                <w:sz w:val="11"/>
                <w:szCs w:val="11"/>
                <w:color w:val="auto"/>
              </w:rPr>
              <w:t>Vesting of shares of common stock</w:t>
            </w:r>
          </w:p>
        </w:tc>
        <w:tc>
          <w:tcPr>
            <w:tcW w:w="104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00"/>
              <w:spacing w:after="0"/>
              <w:rPr>
                <w:sz w:val="20"/>
                <w:szCs w:val="20"/>
                <w:color w:val="auto"/>
              </w:rPr>
            </w:pPr>
            <w:r>
              <w:rPr>
                <w:rFonts w:ascii="Arial" w:cs="Arial" w:eastAsia="Arial" w:hAnsi="Arial"/>
                <w:sz w:val="11"/>
                <w:szCs w:val="11"/>
                <w:color w:val="auto"/>
              </w:rPr>
              <w:t>subject to repurchase</w:t>
            </w:r>
          </w:p>
        </w:tc>
        <w:tc>
          <w:tcPr>
            <w:tcW w:w="1040" w:type="dxa"/>
            <w:vAlign w:val="bottom"/>
          </w:tcPr>
          <w:p>
            <w:pPr>
              <w:jc w:val="right"/>
              <w:spacing w:after="0"/>
              <w:rPr>
                <w:sz w:val="20"/>
                <w:szCs w:val="20"/>
                <w:color w:val="auto"/>
              </w:rPr>
            </w:pPr>
            <w:r>
              <w:rPr>
                <w:rFonts w:ascii="Arial" w:cs="Arial" w:eastAsia="Arial" w:hAnsi="Arial"/>
                <w:sz w:val="11"/>
                <w:szCs w:val="11"/>
                <w:color w:val="auto"/>
              </w:rPr>
              <w:t>62,045</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upon exercise of stock option</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281,099</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14,461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Unrealized loss on short-term</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(153 )</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(153 )</w:t>
            </w:r>
          </w:p>
        </w:tc>
        <w:tc>
          <w:tcPr>
            <w:tcW w:w="0" w:type="dxa"/>
            <w:vAlign w:val="bottom"/>
          </w:tcPr>
          <w:p>
            <w:pPr>
              <w:spacing w:after="0"/>
              <w:rPr>
                <w:sz w:val="1"/>
                <w:szCs w:val="1"/>
                <w:color w:val="auto"/>
              </w:rPr>
            </w:pPr>
          </w:p>
        </w:tc>
      </w:tr>
      <w:tr>
        <w:trPr>
          <w:trHeight w:val="144"/>
        </w:trPr>
        <w:tc>
          <w:tcPr>
            <w:tcW w:w="33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(86,075 )</w:t>
            </w:r>
          </w:p>
        </w:tc>
        <w:tc>
          <w:tcPr>
            <w:tcW w:w="1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(86,075 )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at December 31, 2021</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32,971,107</w:t>
            </w: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5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455,210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(204,096 )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(150 )</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250,967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3300" w:type="dxa"/>
            <w:vAlign w:val="bottom"/>
            <w:tcBorders>
              <w:top w:val="single" w:sz="8" w:color="CFF0FC"/>
            </w:tcBorders>
          </w:tcPr>
          <w:p>
            <w:pPr>
              <w:ind w:left="20"/>
              <w:spacing w:after="0" w:line="110" w:lineRule="exact"/>
              <w:rPr>
                <w:sz w:val="20"/>
                <w:szCs w:val="20"/>
                <w:color w:val="auto"/>
              </w:rPr>
            </w:pPr>
            <w:r>
              <w:rPr>
                <w:rFonts w:ascii="Arial" w:cs="Arial" w:eastAsia="Arial" w:hAnsi="Arial"/>
                <w:sz w:val="11"/>
                <w:szCs w:val="11"/>
                <w:color w:val="auto"/>
              </w:rPr>
              <w:t>Vesting of shares of common stock</w:t>
            </w:r>
          </w:p>
        </w:tc>
        <w:tc>
          <w:tcPr>
            <w:tcW w:w="1040" w:type="dxa"/>
            <w:vAlign w:val="bottom"/>
            <w:tcBorders>
              <w:top w:val="single" w:sz="8" w:color="auto"/>
            </w:tcBorders>
          </w:tcPr>
          <w:p>
            <w:pPr>
              <w:spacing w:after="0"/>
              <w:rPr>
                <w:sz w:val="9"/>
                <w:szCs w:val="9"/>
                <w:color w:val="auto"/>
              </w:rPr>
            </w:pPr>
          </w:p>
        </w:tc>
        <w:tc>
          <w:tcPr>
            <w:tcW w:w="280" w:type="dxa"/>
            <w:vAlign w:val="bottom"/>
            <w:tcBorders>
              <w:top w:val="single" w:sz="8" w:color="CFF0FC"/>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00"/>
              <w:spacing w:after="0"/>
              <w:rPr>
                <w:sz w:val="20"/>
                <w:szCs w:val="20"/>
                <w:color w:val="auto"/>
              </w:rPr>
            </w:pPr>
            <w:r>
              <w:rPr>
                <w:rFonts w:ascii="Arial" w:cs="Arial" w:eastAsia="Arial" w:hAnsi="Arial"/>
                <w:sz w:val="11"/>
                <w:szCs w:val="11"/>
                <w:color w:val="auto"/>
              </w:rPr>
              <w:t>subject to repurchase</w:t>
            </w:r>
          </w:p>
        </w:tc>
        <w:tc>
          <w:tcPr>
            <w:tcW w:w="1040" w:type="dxa"/>
            <w:vAlign w:val="bottom"/>
          </w:tcPr>
          <w:p>
            <w:pPr>
              <w:jc w:val="right"/>
              <w:spacing w:after="0"/>
              <w:rPr>
                <w:sz w:val="20"/>
                <w:szCs w:val="20"/>
                <w:color w:val="auto"/>
              </w:rPr>
            </w:pPr>
            <w:r>
              <w:rPr>
                <w:rFonts w:ascii="Arial" w:cs="Arial" w:eastAsia="Arial" w:hAnsi="Arial"/>
                <w:sz w:val="11"/>
                <w:szCs w:val="11"/>
                <w:color w:val="auto"/>
              </w:rPr>
              <w:t>15,278</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upon exercise of stock option, net of repurchase</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383,120</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0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00"/>
              <w:spacing w:after="0"/>
              <w:rPr>
                <w:sz w:val="20"/>
                <w:szCs w:val="20"/>
                <w:color w:val="auto"/>
              </w:rPr>
            </w:pPr>
            <w:r>
              <w:rPr>
                <w:rFonts w:ascii="Arial" w:cs="Arial" w:eastAsia="Arial" w:hAnsi="Arial"/>
                <w:sz w:val="11"/>
                <w:szCs w:val="11"/>
                <w:color w:val="auto"/>
              </w:rPr>
              <w:t>upon employee stock purchase plan</w:t>
            </w:r>
          </w:p>
        </w:tc>
        <w:tc>
          <w:tcPr>
            <w:tcW w:w="1040" w:type="dxa"/>
            <w:vAlign w:val="bottom"/>
          </w:tcPr>
          <w:p>
            <w:pPr>
              <w:jc w:val="right"/>
              <w:spacing w:after="0"/>
              <w:rPr>
                <w:sz w:val="20"/>
                <w:szCs w:val="20"/>
                <w:color w:val="auto"/>
              </w:rPr>
            </w:pPr>
            <w:r>
              <w:rPr>
                <w:rFonts w:ascii="Arial" w:cs="Arial" w:eastAsia="Arial" w:hAnsi="Arial"/>
                <w:sz w:val="11"/>
                <w:szCs w:val="11"/>
                <w:color w:val="auto"/>
              </w:rPr>
              <w:t>61,754</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upon secondary offering, net of issuance costs</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15,333,334</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215,332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215,334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0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00"/>
              <w:spacing w:after="0"/>
              <w:rPr>
                <w:sz w:val="20"/>
                <w:szCs w:val="20"/>
                <w:color w:val="auto"/>
              </w:rPr>
            </w:pPr>
            <w:r>
              <w:rPr>
                <w:rFonts w:ascii="Arial" w:cs="Arial" w:eastAsia="Arial" w:hAnsi="Arial"/>
                <w:sz w:val="11"/>
                <w:szCs w:val="11"/>
                <w:color w:val="auto"/>
              </w:rPr>
              <w:t>upon at-the-market offering, net of issuance costs</w:t>
            </w:r>
          </w:p>
        </w:tc>
        <w:tc>
          <w:tcPr>
            <w:tcW w:w="1040" w:type="dxa"/>
            <w:vAlign w:val="bottom"/>
          </w:tcPr>
          <w:p>
            <w:pPr>
              <w:jc w:val="right"/>
              <w:spacing w:after="0"/>
              <w:rPr>
                <w:sz w:val="20"/>
                <w:szCs w:val="20"/>
                <w:color w:val="auto"/>
              </w:rPr>
            </w:pPr>
            <w:r>
              <w:rPr>
                <w:rFonts w:ascii="Arial" w:cs="Arial" w:eastAsia="Arial" w:hAnsi="Arial"/>
                <w:sz w:val="11"/>
                <w:szCs w:val="11"/>
                <w:color w:val="auto"/>
              </w:rPr>
              <w:t>113,213</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Share-based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16,856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300" w:type="dxa"/>
            <w:vAlign w:val="bottom"/>
          </w:tcPr>
          <w:p>
            <w:pPr>
              <w:ind w:left="20"/>
              <w:spacing w:after="0" w:line="125" w:lineRule="exact"/>
              <w:rPr>
                <w:sz w:val="20"/>
                <w:szCs w:val="20"/>
                <w:color w:val="auto"/>
              </w:rPr>
            </w:pPr>
            <w:r>
              <w:rPr>
                <w:rFonts w:ascii="Arial" w:cs="Arial" w:eastAsia="Arial" w:hAnsi="Arial"/>
                <w:sz w:val="11"/>
                <w:szCs w:val="11"/>
                <w:color w:val="auto"/>
              </w:rPr>
              <w:t>Unrealized loss on short-term</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00"/>
              <w:spacing w:after="0"/>
              <w:rPr>
                <w:sz w:val="20"/>
                <w:szCs w:val="20"/>
                <w:color w:val="auto"/>
              </w:rPr>
            </w:pPr>
            <w:r>
              <w:rPr>
                <w:rFonts w:ascii="Arial" w:cs="Arial" w:eastAsia="Arial" w:hAnsi="Arial"/>
                <w:sz w:val="11"/>
                <w:szCs w:val="11"/>
                <w:color w:val="auto"/>
              </w:rPr>
              <w:t>investments</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(529 )</w:t>
            </w:r>
          </w:p>
        </w:tc>
        <w:tc>
          <w:tcPr>
            <w:tcW w:w="14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1"/>
                <w:szCs w:val="11"/>
                <w:color w:val="auto"/>
              </w:rPr>
              <w:t>(529 )</w:t>
            </w: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(113,837 )</w:t>
            </w: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(113,837 )</w:t>
            </w: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00" w:type="dxa"/>
            <w:vAlign w:val="bottom"/>
          </w:tcPr>
          <w:p>
            <w:pPr>
              <w:ind w:left="20"/>
              <w:spacing w:after="0"/>
              <w:rPr>
                <w:sz w:val="20"/>
                <w:szCs w:val="20"/>
                <w:color w:val="auto"/>
              </w:rPr>
            </w:pPr>
            <w:r>
              <w:rPr>
                <w:rFonts w:ascii="Arial" w:cs="Arial" w:eastAsia="Arial" w:hAnsi="Arial"/>
                <w:sz w:val="11"/>
                <w:szCs w:val="11"/>
                <w:color w:val="auto"/>
              </w:rPr>
              <w:t>Balance at December 31, 2022</w:t>
            </w:r>
          </w:p>
        </w:tc>
        <w:tc>
          <w:tcPr>
            <w:tcW w:w="1040" w:type="dxa"/>
            <w:vAlign w:val="bottom"/>
          </w:tcPr>
          <w:p>
            <w:pPr>
              <w:jc w:val="right"/>
              <w:spacing w:after="0"/>
              <w:rPr>
                <w:sz w:val="20"/>
                <w:szCs w:val="20"/>
                <w:color w:val="auto"/>
              </w:rPr>
            </w:pPr>
            <w:r>
              <w:rPr>
                <w:rFonts w:ascii="Arial" w:cs="Arial" w:eastAsia="Arial" w:hAnsi="Arial"/>
                <w:sz w:val="11"/>
                <w:szCs w:val="11"/>
                <w:color w:val="auto"/>
              </w:rPr>
              <w:t>48,877,806</w:t>
            </w:r>
          </w:p>
        </w:tc>
        <w:tc>
          <w:tcPr>
            <w:tcW w:w="280" w:type="dxa"/>
            <w:vAlign w:val="bottom"/>
          </w:tcPr>
          <w:p>
            <w:pPr>
              <w:spacing w:after="0"/>
              <w:rPr>
                <w:sz w:val="12"/>
                <w:szCs w:val="12"/>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5</w:t>
            </w:r>
          </w:p>
        </w:tc>
        <w:tc>
          <w:tcPr>
            <w:tcW w:w="26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690,814</w:t>
            </w:r>
          </w:p>
        </w:tc>
        <w:tc>
          <w:tcPr>
            <w:tcW w:w="2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(317,933 )</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(679 )</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372,207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-2202180</wp:posOffset>
            </wp:positionV>
            <wp:extent cx="4380230" cy="196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80230" cy="19685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-1370965</wp:posOffset>
            </wp:positionV>
            <wp:extent cx="4380230" cy="197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80230" cy="19748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-128270</wp:posOffset>
            </wp:positionV>
            <wp:extent cx="7683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-128270</wp:posOffset>
            </wp:positionV>
            <wp:extent cx="7683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-128270</wp:posOffset>
            </wp:positionV>
            <wp:extent cx="6858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-128270</wp:posOffset>
            </wp:positionV>
            <wp:extent cx="68580"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-128270</wp:posOffset>
            </wp:positionV>
            <wp:extent cx="68580"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(113,837 )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(86,075 )</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16,856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14,461</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Accretion of discount and amortization of premium on investments, net</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(818 )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Realized loss on investments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(1,489 )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(4,435 )</w:t>
            </w: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32,469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Accounts payable and accrued and other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(57,000 )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(67,927 )</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Purchases of available-for-sale securities</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(385,887 )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(227,282 )</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maturities of available-for-sale securities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248,309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264,841</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(47,111 )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(5,025 )</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(184,689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secondary offering, net of issuance costs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215,611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ATM offering, net of issuance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ESPP purchases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offering costs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(277 )</w:t>
            </w:r>
          </w:p>
        </w:tc>
      </w:tr>
      <w:tr>
        <w:trPr>
          <w:trHeight w:val="23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219,012</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62,914</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97,105</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40,237</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Reconciliation of cash, cash equivalents and restricted cash</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680" w:type="dxa"/>
            <w:vAlign w:val="bottom"/>
          </w:tcPr>
          <w:p>
            <w:pPr>
              <w:ind w:left="160"/>
              <w:spacing w:after="0"/>
              <w:rPr>
                <w:sz w:val="20"/>
                <w:szCs w:val="20"/>
                <w:color w:val="auto"/>
              </w:rPr>
            </w:pPr>
            <w:r>
              <w:rPr>
                <w:rFonts w:ascii="Arial" w:cs="Arial" w:eastAsia="Arial" w:hAnsi="Arial"/>
                <w:sz w:val="18"/>
                <w:szCs w:val="18"/>
                <w:color w:val="auto"/>
              </w:rPr>
              <w:t>to the balance sheets: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40,237</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8"/>
        </w:trPr>
        <w:tc>
          <w:tcPr>
            <w:tcW w:w="768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Supplemental disclosures of non-cash investing and</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7680" w:type="dxa"/>
            <w:vAlign w:val="bottom"/>
          </w:tcPr>
          <w:p>
            <w:pPr>
              <w:ind w:left="16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Acquisitions of property and equipment in accounts payable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-3813810</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-2862580</wp:posOffset>
            </wp:positionV>
            <wp:extent cx="6858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-1928495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-1285240</wp:posOffset>
            </wp:positionV>
            <wp:extent cx="1251585" cy="3175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51585" cy="3175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-496570</wp:posOffset>
            </wp:positionV>
            <wp:extent cx="1251585" cy="316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51585" cy="31686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 segment.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December 31, 2022, the Company had an accumulated deficit of $317.9 million and cash, cash equivalents, restricted cash and short-term investments of $354.9 million.</w:t>
      </w:r>
    </w:p>
    <w:p>
      <w:pPr>
        <w:spacing w:after="0" w:line="19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 ("U.S. GAAP").</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The COVID-19 pandemic has caused disruptions in the global economy and has affected and may in the future affect the Company’s business and operations in the future.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2022. The Company continues to evaluate the impact of the CARES Act on its financial position, results of operations and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Company’s financial statements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15" w:name="page116"/>
    <w:bookmarkEnd w:id="115"/>
    <w:p>
      <w:pPr>
        <w:ind w:right="140"/>
        <w:spacing w:after="0" w:line="259" w:lineRule="auto"/>
        <w:rPr>
          <w:sz w:val="20"/>
          <w:szCs w:val="20"/>
          <w:color w:val="auto"/>
        </w:rPr>
      </w:pPr>
      <w:r>
        <w:rPr>
          <w:rFonts w:ascii="Arial" w:cs="Arial" w:eastAsia="Arial" w:hAnsi="Arial"/>
          <w:sz w:val="18"/>
          <w:szCs w:val="18"/>
          <w:color w:val="auto"/>
        </w:rPr>
        <w:t>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and short-term investments. The Company maintains cash, cash equivalents and short-term investments with various high credit quality and are invested through banks and other financial institutions in the United States. Such deposits may be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Comprehensive loss consists of net loss and unrealized gains or losses on available-for-sale investments. The Company displays comprehensive loss and its components as part of the statements of operations and comprehensive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in active markets;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the quoted prices in active markets, that are observable either directly or indirectly; and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Unobservable inputs in which there is little or no market data, which require the reporting entity to develop its own assumptions.</w:t>
      </w:r>
    </w:p>
    <w:p>
      <w:pPr>
        <w:spacing w:after="0" w:line="23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carrying amounts of prepaid expenses and other current assets, accounts payable, accrued liabilities and other current liabilities are reasonable estimates of their fair value due to the short-term nature of these accounts.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Short-term Investments and Restricted Cash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The Company considers all highly liquid investments with insignificant interest rate risk and an original maturity of three months or less at the date of purchase to be cash equivalents. Cash includes demand deposits held in readily available checking accounts at a federally insured financial institution. Cash equivalents consist of money market funds.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Short-term investments consist of commercial debt securities, commercial paper and Government securities, classified as available-for-sale securities and have maturities of greater than three months but less than one year. The Company has classified most of its available-for-sale investment securities as current assets on the balance sheets because these are considered highly liquid securities and are available for use in current operations.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ind w:right="60"/>
        <w:spacing w:after="0" w:line="301" w:lineRule="auto"/>
        <w:rPr>
          <w:sz w:val="20"/>
          <w:szCs w:val="20"/>
          <w:color w:val="auto"/>
        </w:rPr>
      </w:pPr>
      <w:r>
        <w:rPr>
          <w:rFonts w:ascii="Arial" w:cs="Arial" w:eastAsia="Arial" w:hAnsi="Arial"/>
          <w:sz w:val="16"/>
          <w:szCs w:val="16"/>
          <w:color w:val="auto"/>
        </w:rPr>
        <w:t>carries these securities at fair value, and reports unrealized gains and losses as a separate component of accumulated other comprehensive loss. The cost of debt securities is adjusted for amortization of purchase premiums and accretion of discounts to maturity. Such amortization and accretion is included in interest income in the statements of operations and comprehensive loss. Realized gains and losses on sales of securities are determined using the specific identification method and recorded in other income (expense), net in the statement of operations and comprehensive loss.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is required to maintain letters of credit related to its office and lab space lease and the additional facility in South San Francisco that the Company plans to use for corporate offices, laboratories and manufacturing. This cash is the collateral for those letters of credit and per the terms of the leases, must remain in place until one to two months after the termination of the leases. As the remaining terms of the leases as of December 31, 2022 is greater than one year, the related restricted cash has been classified as non-current.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Property and equipment, which consist of leasehold improvements, furniture and fixtures, research equipment, computers and software and construction-in-progress are stated at cost less accumulated depreciation. Depreciation and amortization is calculated using the straight-line method over the estimated useful lives of the assets, which ranges from three to five years. Leasehold improvements are amortized over the remaining life of the lease for leasehold improvements at the time the asset is placed into service.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Through December 31, 2022, there has been no such impairment losses recorded by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salaries and other benefits of research and development personnel, including associated share-based compensation, costs related to research activities, preclinical studies, clinical trial, drug manufacturing and allocated overhead and facility-related expenses.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There has been no such liabilities recorded by the Company as of December 31, 2022.</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At the commencement date of a lease, the Company recognizes lease liabilities which represent its obligation to make lease payments, and right-of-use assets ("ROU assets") which represent its right to use the underlying asset during the lease term. The lease liability is measured at the present value of lease payments over the lease term. As the Company’s leases typically do not provide an implicit rate, the Company uses an incremental borrowing rate based on the information available at the lease commencement date. The ROU asset is measured at cost, which includes the initial measurement of the lease liability and initial direct costs incurred by the Company and excludes lease incentives. ROU assets are recorded in operating lease ROU assets and lease liabilities are recorded in operating lease liabilities, current and noncurrent in the balance sheets.</w:t>
      </w:r>
    </w:p>
    <w:p>
      <w:pPr>
        <w:spacing w:after="0" w:line="178"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Lease terms may include options to extend or terminate the lease when it is reasonably certain that the Company will exercise that option. Operating lease expense is recognized on a straight-line basis over the lease term. The Company does not recognize lease liabilities and ROU assets for short-term leases with terms of twelve months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Share-based compensation expense represents the cost of the grant-date fair value of employee, officer, director, and non-employee stock option, employee stock purchase plan, and restricted stock unit grants, estimated in accordance with the applicable accounting guidance, recognized using the straight-line method over the vesting period for service-based options, employee stock purchase plan rights and restricted stock units and using the graded vesting method for performance-based options. The vesting period generally approximates the expected service period of the awards. Forfeitures are recognized and accounted for as they occur.</w:t>
      </w:r>
    </w:p>
    <w:p>
      <w:pPr>
        <w:spacing w:after="0" w:line="18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fair value of stock options and employee stock purchase plan rights are estimated using a Black-Scholes option pricing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Options granted during the year have a maximum contractual term of ten years. The Company has limited historical stock option activity and therefore estimates the expected term of stock options granted using the simplified method, which represents the average of the contractual term of the stock option and its weighted-average vesting period. The expected term of the employee stock purchase plan rights equals the six-month look-back period. The expected volatility is based upon the historical volatility of a number of publicly traded companies in similar stages of clinical development. The Company has historically not declared or paid any dividends and does not currently expect to do so in the foreseeable future. The risk-free interest rates used are based on the U.S. Department of Treasury ("U.S. Treasury") yield in effect at the time of grant for zero-coupon U.S. Treasury notes with maturities approximately equal to the expected term of the stock options. The fair value of restricted stock units is based on the closing price of the Company's common stock as reported on The Nasdaq Global Market on the date of grant.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Company’s chief operating decision maker, its President and Chief Executive Officer, manages its operations and business as one operating segment for the purposes of allocating resources, makes operating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decisions and evaluates financial performance. No product revenue has been generated since inception and all assets are held in the United States.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unvested restricted stock options,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There were no significant updates to the recently issued accounting standards which may be applicable to the Company.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computation of the basic and diluted net loss per share (in thousands except share and per share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(113,837 )</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(86,075 )</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43,635,044</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32,901,002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weighted average unvested common stock</w:t>
            </w:r>
          </w:p>
        </w:tc>
        <w:tc>
          <w:tcPr>
            <w:tcW w:w="440" w:type="dxa"/>
            <w:vAlign w:val="bottom"/>
            <w:shd w:val="clear" w:color="auto" w:fill="CFF0FC"/>
          </w:tcPr>
          <w:p>
            <w:pPr>
              <w:spacing w:after="0"/>
              <w:rPr>
                <w:sz w:val="19"/>
                <w:szCs w:val="19"/>
                <w:color w:val="auto"/>
              </w:rPr>
            </w:pPr>
          </w:p>
        </w:tc>
        <w:tc>
          <w:tcPr>
            <w:tcW w:w="174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(3,322 )</w:t>
            </w:r>
          </w:p>
        </w:tc>
        <w:tc>
          <w:tcPr>
            <w:tcW w:w="700" w:type="dxa"/>
            <w:vAlign w:val="bottom"/>
            <w:shd w:val="clear" w:color="auto" w:fill="CFF0FC"/>
          </w:tcPr>
          <w:p>
            <w:pPr>
              <w:spacing w:after="0"/>
              <w:rPr>
                <w:sz w:val="19"/>
                <w:szCs w:val="19"/>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(44,119 )</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upon early exercise of common stock options</w:t>
            </w:r>
          </w:p>
        </w:tc>
        <w:tc>
          <w:tcPr>
            <w:tcW w:w="440" w:type="dxa"/>
            <w:vAlign w:val="bottom"/>
            <w:shd w:val="clear" w:color="auto" w:fill="CFF0FC"/>
          </w:tcPr>
          <w:p>
            <w:pPr>
              <w:spacing w:after="0"/>
              <w:rPr>
                <w:sz w:val="20"/>
                <w:szCs w:val="20"/>
                <w:color w:val="auto"/>
              </w:rPr>
            </w:pPr>
          </w:p>
        </w:tc>
        <w:tc>
          <w:tcPr>
            <w:tcW w:w="1740" w:type="dxa"/>
            <w:vAlign w:val="bottom"/>
            <w:gridSpan w:val="2"/>
            <w:vMerge w:val="continue"/>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used to compute net loss</w:t>
            </w: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43,631,722</w:t>
            </w:r>
          </w:p>
        </w:tc>
        <w:tc>
          <w:tcPr>
            <w:tcW w:w="3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32,856,883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60"/>
              <w:spacing w:after="0" w:line="203" w:lineRule="exact"/>
              <w:rPr>
                <w:sz w:val="20"/>
                <w:szCs w:val="20"/>
                <w:color w:val="auto"/>
              </w:rPr>
            </w:pPr>
            <w:r>
              <w:rPr>
                <w:rFonts w:ascii="Arial" w:cs="Arial" w:eastAsia="Arial" w:hAnsi="Arial"/>
                <w:sz w:val="18"/>
                <w:szCs w:val="18"/>
                <w:color w:val="auto"/>
              </w:rPr>
              <w:t>per share, basic and diluted</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-479425</wp:posOffset>
            </wp:positionV>
            <wp:extent cx="76835" cy="300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3003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24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5,519,275</w:t>
            </w: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4,204,686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356,728</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3"/>
              </w:rPr>
              <w:t>Unvested common stock upon early exercise of common stock options</w:t>
            </w:r>
          </w:p>
        </w:tc>
        <w:tc>
          <w:tcPr>
            <w:tcW w:w="244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5,876,511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4,220,867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40" w:type="dxa"/>
            <w:vAlign w:val="bottom"/>
            <w:vMerge w:val="restart"/>
          </w:tcPr>
          <w:p>
            <w:pPr>
              <w:jc w:val="right"/>
              <w:ind w:right="1890"/>
              <w:spacing w:after="0"/>
              <w:rPr>
                <w:sz w:val="20"/>
                <w:szCs w:val="20"/>
                <w:color w:val="auto"/>
              </w:rPr>
            </w:pPr>
            <w:r>
              <w:rPr>
                <w:rFonts w:ascii="Arial" w:cs="Arial" w:eastAsia="Arial" w:hAnsi="Arial"/>
                <w:sz w:val="18"/>
                <w:szCs w:val="18"/>
                <w:color w:val="auto"/>
              </w:rPr>
              <w:t>114</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3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-659765</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fair value of the Company’s financial instruments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10"/>
          </w:tcPr>
          <w:p>
            <w:pPr>
              <w:jc w:val="center"/>
              <w:ind w:left="838"/>
              <w:spacing w:after="0"/>
              <w:rPr>
                <w:sz w:val="20"/>
                <w:szCs w:val="20"/>
                <w:color w:val="auto"/>
              </w:rPr>
            </w:pPr>
            <w:r>
              <w:rPr>
                <w:rFonts w:ascii="Arial" w:cs="Arial" w:eastAsia="Arial" w:hAnsi="Arial"/>
                <w:sz w:val="14"/>
                <w:szCs w:val="14"/>
                <w:b w:val="1"/>
                <w:bCs w:val="1"/>
                <w:color w:val="auto"/>
                <w:w w:val="92"/>
              </w:rPr>
              <w:t>Fair Value Measurements Using</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52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6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Active Markets for</w:t>
            </w:r>
          </w:p>
        </w:tc>
        <w:tc>
          <w:tcPr>
            <w:tcW w:w="10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15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36,494</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65,409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Government securities</w:t>
            </w:r>
          </w:p>
        </w:tc>
        <w:tc>
          <w:tcPr>
            <w:tcW w:w="3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160,559</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160,559</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0" w:type="dxa"/>
            <w:vAlign w:val="bottom"/>
          </w:tcPr>
          <w:p>
            <w:pPr>
              <w:ind w:left="560"/>
              <w:spacing w:after="0"/>
              <w:rPr>
                <w:sz w:val="20"/>
                <w:szCs w:val="20"/>
                <w:color w:val="auto"/>
              </w:rPr>
            </w:pPr>
            <w:r>
              <w:rPr>
                <w:rFonts w:ascii="Arial" w:cs="Arial" w:eastAsia="Arial" w:hAnsi="Arial"/>
                <w:sz w:val="18"/>
                <w:szCs w:val="18"/>
                <w:color w:val="auto"/>
              </w:rPr>
              <w:t>Total short-term investments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314,649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314,649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82"/>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351,143</w:t>
            </w:r>
          </w:p>
        </w:tc>
        <w:tc>
          <w:tcPr>
            <w:tcW w:w="2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36,494</w:t>
            </w:r>
          </w:p>
        </w:tc>
        <w:tc>
          <w:tcPr>
            <w:tcW w:w="2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314,649</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gridSpan w:val="2"/>
            <w:shd w:val="clear" w:color="auto" w:fill="CFF0FC"/>
          </w:tcPr>
          <w:p>
            <w:pPr>
              <w:jc w:val="right"/>
              <w:ind w:right="8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right"/>
              <w:ind w:right="82"/>
              <w:spacing w:after="0"/>
              <w:rPr>
                <w:sz w:val="20"/>
                <w:szCs w:val="20"/>
                <w:color w:val="auto"/>
              </w:rPr>
            </w:pPr>
            <w:r>
              <w:rPr>
                <w:rFonts w:ascii="Arial" w:cs="Arial" w:eastAsia="Arial" w:hAnsi="Arial"/>
                <w:sz w:val="14"/>
                <w:szCs w:val="14"/>
                <w:b w:val="1"/>
                <w:bCs w:val="1"/>
                <w:color w:val="auto"/>
                <w:w w:val="94"/>
              </w:rPr>
              <w:t>Fair Value Measurements Using</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5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in 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60" w:type="dxa"/>
            <w:vAlign w:val="bottom"/>
          </w:tcPr>
          <w:p>
            <w:pPr>
              <w:spacing w:after="0"/>
              <w:rPr>
                <w:sz w:val="12"/>
                <w:szCs w:val="12"/>
                <w:color w:val="auto"/>
              </w:rPr>
            </w:pPr>
          </w:p>
        </w:tc>
        <w:tc>
          <w:tcPr>
            <w:tcW w:w="14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Unobservable 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57,018</w:t>
            </w:r>
          </w:p>
        </w:tc>
        <w:tc>
          <w:tcPr>
            <w:tcW w:w="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111,466</w:t>
            </w:r>
          </w:p>
        </w:tc>
        <w:tc>
          <w:tcPr>
            <w:tcW w:w="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111,466</w:t>
            </w:r>
          </w:p>
        </w:tc>
        <w:tc>
          <w:tcPr>
            <w:tcW w:w="80" w:type="dxa"/>
            <w:vAlign w:val="bottom"/>
          </w:tcPr>
          <w:p>
            <w:pPr>
              <w:spacing w:after="0"/>
              <w:rPr>
                <w:sz w:val="20"/>
                <w:szCs w:val="20"/>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21,272</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21,272</w:t>
            </w: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44,534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44,534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177,272</w:t>
            </w: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177,272</w:t>
            </w:r>
          </w:p>
        </w:tc>
        <w:tc>
          <w:tcPr>
            <w:tcW w:w="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0"/>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234,290</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177,272</w:t>
            </w:r>
          </w:p>
        </w:tc>
        <w:tc>
          <w:tcPr>
            <w:tcW w:w="80" w:type="dxa"/>
            <w:vAlign w:val="bottom"/>
          </w:tcPr>
          <w:p>
            <w:pPr>
              <w:spacing w:after="0"/>
              <w:rPr>
                <w:sz w:val="19"/>
                <w:szCs w:val="19"/>
                <w:color w:val="auto"/>
              </w:rPr>
            </w:pPr>
          </w:p>
        </w:tc>
        <w:tc>
          <w:tcPr>
            <w:tcW w:w="28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-3110865</wp:posOffset>
            </wp:positionV>
            <wp:extent cx="7683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-3110865</wp:posOffset>
            </wp:positionV>
            <wp:extent cx="6858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-3110865</wp:posOffset>
            </wp:positionV>
            <wp:extent cx="6858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-2485390</wp:posOffset>
            </wp:positionV>
            <wp:extent cx="7683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-2485390</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-2485390</wp:posOffset>
            </wp:positionV>
            <wp:extent cx="685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-2142490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-2125345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-2142490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-2125345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-2142490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-2125345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-205105</wp:posOffset>
            </wp:positionV>
            <wp:extent cx="3128645"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28645" cy="20574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Financial assets measured at fair value on a recurring basis consist of the Company’s cash equivalents and short-term investments. Cash equivalents consisted of money market funds and short-term investments consisted of commercial paper, corporate debt securities and Government securities. The Company obtains pricing information from its investment manager and generally determines the fair value of investment securities using standard observable inputs, including reported trades, broker/dealer quotes, and bids and/or offers.</w:t>
      </w:r>
    </w:p>
    <w:p>
      <w:pPr>
        <w:spacing w:after="0" w:line="18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Investments are classified as Level 1 within the fair value hierarchy if their quoted prices are available in active markets for identical securities. Investments in money market funds of $36.5 million and $57.0 million included in cash equivalents as of December 31, 2022 and 2021, respectively, were classified as Level 1 instruments.</w:t>
      </w:r>
    </w:p>
    <w:p>
      <w:pPr>
        <w:spacing w:after="0" w:line="184"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Investments in corporate debt securities, commercial paper and Government securities included in short-term investments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and use of estimates, that if changed, could significantly affect the Company’s financial position and results of operations.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investments as of December 31, 2022 and 2021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080" w:type="dxa"/>
            <w:vAlign w:val="bottom"/>
          </w:tcPr>
          <w:p>
            <w:pPr>
              <w:spacing w:after="0"/>
              <w:rPr>
                <w:sz w:val="11"/>
                <w:szCs w:val="11"/>
                <w:color w:val="auto"/>
              </w:rPr>
            </w:pPr>
          </w:p>
        </w:tc>
        <w:tc>
          <w:tcPr>
            <w:tcW w:w="17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8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41"/>
              <w:spacing w:after="0" w:line="133" w:lineRule="exact"/>
              <w:rPr>
                <w:sz w:val="20"/>
                <w:szCs w:val="20"/>
                <w:color w:val="auto"/>
              </w:rPr>
            </w:pPr>
            <w:r>
              <w:rPr>
                <w:rFonts w:ascii="Arial" w:cs="Arial" w:eastAsia="Arial" w:hAnsi="Arial"/>
                <w:sz w:val="14"/>
                <w:szCs w:val="14"/>
                <w:b w:val="1"/>
                <w:bCs w:val="1"/>
                <w:color w:val="auto"/>
                <w:w w:val="93"/>
              </w:rPr>
              <w:t>Unrealized</w:t>
            </w:r>
          </w:p>
        </w:tc>
        <w:tc>
          <w:tcPr>
            <w:tcW w:w="900" w:type="dxa"/>
            <w:vAlign w:val="bottom"/>
          </w:tcPr>
          <w:p>
            <w:pPr>
              <w:jc w:val="center"/>
              <w:ind w:left="119"/>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85"/>
        </w:trPr>
        <w:tc>
          <w:tcPr>
            <w:tcW w:w="4080" w:type="dxa"/>
            <w:vAlign w:val="bottom"/>
          </w:tcPr>
          <w:p>
            <w:pPr>
              <w:spacing w:after="0"/>
              <w:rPr>
                <w:sz w:val="16"/>
                <w:szCs w:val="16"/>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ind w:left="1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 year or less</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88,995</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88,681</w:t>
            </w:r>
          </w:p>
        </w:tc>
        <w:tc>
          <w:tcPr>
            <w:tcW w:w="100" w:type="dxa"/>
            <w:vAlign w:val="bottom"/>
            <w:shd w:val="clear" w:color="auto" w:fill="CFF0FC"/>
          </w:tcPr>
          <w:p>
            <w:pPr>
              <w:spacing w:after="0"/>
              <w:rPr>
                <w:sz w:val="20"/>
                <w:szCs w:val="20"/>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65,532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(123 )</w:t>
            </w: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65,409</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Government securities</w:t>
            </w: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160,801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(319 )</w:t>
            </w: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160,559</w:t>
            </w:r>
          </w:p>
        </w:tc>
        <w:tc>
          <w:tcPr>
            <w:tcW w:w="100" w:type="dxa"/>
            <w:vAlign w:val="bottom"/>
            <w:shd w:val="clear" w:color="auto" w:fill="CFF0FC"/>
          </w:tcPr>
          <w:p>
            <w:pPr>
              <w:spacing w:after="0"/>
              <w:rPr>
                <w:sz w:val="21"/>
                <w:szCs w:val="2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315,328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(762 )</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314,649</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8"/>
        </w:trPr>
        <w:tc>
          <w:tcPr>
            <w:tcW w:w="4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080" w:type="dxa"/>
            <w:vAlign w:val="bottom"/>
          </w:tcPr>
          <w:p>
            <w:pPr>
              <w:spacing w:after="0"/>
              <w:rPr>
                <w:sz w:val="11"/>
                <w:szCs w:val="11"/>
                <w:color w:val="auto"/>
              </w:rPr>
            </w:pPr>
          </w:p>
        </w:tc>
        <w:tc>
          <w:tcPr>
            <w:tcW w:w="17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1"/>
                <w:szCs w:val="11"/>
                <w:color w:val="auto"/>
              </w:rPr>
            </w:pPr>
          </w:p>
        </w:tc>
        <w:tc>
          <w:tcPr>
            <w:tcW w:w="98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41"/>
              <w:spacing w:after="0" w:line="133" w:lineRule="exact"/>
              <w:rPr>
                <w:sz w:val="20"/>
                <w:szCs w:val="20"/>
                <w:color w:val="auto"/>
              </w:rPr>
            </w:pPr>
            <w:r>
              <w:rPr>
                <w:rFonts w:ascii="Arial" w:cs="Arial" w:eastAsia="Arial" w:hAnsi="Arial"/>
                <w:sz w:val="14"/>
                <w:szCs w:val="14"/>
                <w:b w:val="1"/>
                <w:bCs w:val="1"/>
                <w:color w:val="auto"/>
                <w:w w:val="93"/>
              </w:rPr>
              <w:t>Unrealized</w:t>
            </w:r>
          </w:p>
        </w:tc>
        <w:tc>
          <w:tcPr>
            <w:tcW w:w="900" w:type="dxa"/>
            <w:vAlign w:val="bottom"/>
          </w:tcPr>
          <w:p>
            <w:pPr>
              <w:jc w:val="center"/>
              <w:ind w:left="119"/>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85"/>
        </w:trPr>
        <w:tc>
          <w:tcPr>
            <w:tcW w:w="4080" w:type="dxa"/>
            <w:vAlign w:val="bottom"/>
          </w:tcPr>
          <w:p>
            <w:pPr>
              <w:spacing w:after="0"/>
              <w:rPr>
                <w:sz w:val="16"/>
                <w:szCs w:val="16"/>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ind w:left="1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debt securities</w:t>
            </w: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 year or less</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111,548</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111,466</w:t>
            </w:r>
          </w:p>
        </w:tc>
        <w:tc>
          <w:tcPr>
            <w:tcW w:w="100" w:type="dxa"/>
            <w:vAlign w:val="bottom"/>
            <w:shd w:val="clear" w:color="auto" w:fill="CFF0FC"/>
          </w:tcPr>
          <w:p>
            <w:pPr>
              <w:spacing w:after="0"/>
              <w:rPr>
                <w:sz w:val="20"/>
                <w:szCs w:val="20"/>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securities</w:t>
            </w:r>
          </w:p>
        </w:tc>
        <w:tc>
          <w:tcPr>
            <w:tcW w:w="17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1 year or less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(68 )</w:t>
            </w: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44,534</w:t>
            </w:r>
          </w:p>
        </w:tc>
        <w:tc>
          <w:tcPr>
            <w:tcW w:w="100" w:type="dxa"/>
            <w:vAlign w:val="bottom"/>
            <w:shd w:val="clear" w:color="auto" w:fill="CFF0FC"/>
          </w:tcPr>
          <w:p>
            <w:pPr>
              <w:spacing w:after="0"/>
              <w:rPr>
                <w:sz w:val="21"/>
                <w:szCs w:val="2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177,422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(157 )</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-1311275</wp:posOffset>
            </wp:positionV>
            <wp:extent cx="76835"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-1311275</wp:posOffset>
            </wp:positionV>
            <wp:extent cx="7747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-1311275</wp:posOffset>
            </wp:positionV>
            <wp:extent cx="6858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7747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considers whether unrealized losses have resulted from a credit loss or other factors. The unrealized losses on the Company’s available-for-sale securities as of December 31, 2022 and 2021 were caused by fluctuations in market value and interest rates as a result of the economic environment and not credit risk. The Company concluded that an allowance for credit losses was unnecessary as of December 31, 2022 and 2021. It is neither management’s intention to sell nor is it more likely than not that the Company will be required to sell these investments prior to recovery of their cost basis or recovery of fair value, except for investments totaling $67.6 million that were sold with a realized loss of $0.3 million in January 2023. The Company recorded this $0.3 million as an impairment loss for the year ended December 31, 2022. Unrealized gains and losses are included in accumulated other comprehensive loss.</w:t>
      </w:r>
    </w:p>
    <w:p>
      <w:pPr>
        <w:spacing w:after="0" w:line="195"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The Company excludes accrued interest from both the fair value and the amortized cost basis of the available-for-sale debt securities for the purposes of identifying and measuring an impairment and to not measure an allowance for expected credit losses for accrued interest receivables. Accrued interest receivable is written off through net realized investment gains (losses) at the time the issuer of the bond defaults or is expected to default on payment. It is the Company's policy to present the accrued interest receivable balance as part of prepaid expenses and other current assets in the balance sheets. Accrued interest receivable related to short-term investments was $0.8 million and $1.0 million as of December 31, 2022 and 2021,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3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5,616</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00" w:type="dxa"/>
            <w:vAlign w:val="bottom"/>
            <w:shd w:val="clear" w:color="auto" w:fill="CFF0FC"/>
          </w:tcPr>
          <w:p>
            <w:pPr>
              <w:spacing w:after="0"/>
              <w:rPr>
                <w:sz w:val="20"/>
                <w:szCs w:val="20"/>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0"/>
                <w:szCs w:val="20"/>
                <w:color w:val="auto"/>
              </w:rPr>
            </w:pPr>
          </w:p>
        </w:tc>
      </w:tr>
      <w:tr>
        <w:trPr>
          <w:trHeight w:val="276"/>
        </w:trPr>
        <w:tc>
          <w:tcPr>
            <w:tcW w:w="4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prepaid expenses and other current assets</w:t>
            </w:r>
          </w:p>
        </w:tc>
        <w:tc>
          <w:tcPr>
            <w:tcW w:w="31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4"/>
        </w:trPr>
        <w:tc>
          <w:tcPr>
            <w:tcW w:w="4540" w:type="dxa"/>
            <w:vAlign w:val="bottom"/>
          </w:tcPr>
          <w:p>
            <w:pPr>
              <w:spacing w:after="0"/>
              <w:rPr>
                <w:sz w:val="24"/>
                <w:szCs w:val="24"/>
                <w:color w:val="auto"/>
              </w:rPr>
            </w:pPr>
          </w:p>
        </w:tc>
        <w:tc>
          <w:tcPr>
            <w:tcW w:w="3160" w:type="dxa"/>
            <w:vAlign w:val="bottom"/>
          </w:tcPr>
          <w:p>
            <w:pPr>
              <w:jc w:val="right"/>
              <w:ind w:right="1850"/>
              <w:spacing w:after="0"/>
              <w:rPr>
                <w:sz w:val="20"/>
                <w:szCs w:val="20"/>
                <w:color w:val="auto"/>
              </w:rPr>
            </w:pPr>
            <w:r>
              <w:rPr>
                <w:rFonts w:ascii="Arial" w:cs="Arial" w:eastAsia="Arial" w:hAnsi="Arial"/>
                <w:sz w:val="18"/>
                <w:szCs w:val="18"/>
                <w:color w:val="auto"/>
              </w:rPr>
              <w:t>116</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-496570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-479425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is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4,402</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Research equipment</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12,900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and software</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49,655</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and equipment</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67,732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(5,824 )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(3,187 )</w:t>
            </w:r>
          </w:p>
        </w:tc>
      </w:tr>
      <w:tr>
        <w:trPr>
          <w:trHeight w:val="27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property and equipment, net</w:t>
            </w:r>
          </w:p>
        </w:tc>
        <w:tc>
          <w:tcPr>
            <w:tcW w:w="102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61,908</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were $2.6 million and $1.8 million for the years ended December 31, 2022 and 2021,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6,691</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5,001</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and current liabilities</w:t>
            </w:r>
          </w:p>
        </w:tc>
        <w:tc>
          <w:tcPr>
            <w:tcW w:w="10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Total accrued and other liabilities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16,036</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Company has operating leases for its current corporate offices, laboratory space, manufacturing facility, and dedicated space in a vivarium in South San Francisco, California, as well as for an additional facility in South San Francisco that the Company plans to use for corporate offices, laboratories and manufacturing.</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11,220</w:t>
            </w:r>
          </w:p>
        </w:tc>
        <w:tc>
          <w:tcPr>
            <w:tcW w:w="30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4"/>
                <w:szCs w:val="24"/>
                <w:color w:val="auto"/>
                <w:vertAlign w:val="superscript"/>
              </w:rPr>
              <w:t>(1)</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lease expense</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11,727</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left="520" w:right="3560" w:hanging="511"/>
        <w:spacing w:after="0" w:line="289" w:lineRule="auto"/>
        <w:tabs>
          <w:tab w:leader="none" w:pos="243" w:val="left"/>
        </w:tabs>
        <w:numPr>
          <w:ilvl w:val="0"/>
          <w:numId w:val="51"/>
        </w:numPr>
        <w:rPr>
          <w:rFonts w:ascii="Arial" w:cs="Arial" w:eastAsia="Arial" w:hAnsi="Arial"/>
          <w:sz w:val="23"/>
          <w:szCs w:val="23"/>
          <w:color w:val="auto"/>
          <w:vertAlign w:val="superscript"/>
        </w:rPr>
      </w:pPr>
      <w:r>
        <w:rPr>
          <w:rFonts w:ascii="Arial" w:cs="Arial" w:eastAsia="Arial" w:hAnsi="Arial"/>
          <w:sz w:val="17"/>
          <w:szCs w:val="17"/>
          <w:color w:val="auto"/>
        </w:rPr>
        <w:t>Variable lease expense for the periods presented primarily included common area maintenance charges. Supplemental information related to operating leases were as follows (in thousands):</w:t>
      </w:r>
    </w:p>
    <w:p>
      <w:pPr>
        <w:jc w:val="center"/>
        <w:ind w:left="75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9525</wp:posOffset>
            </wp:positionV>
            <wp:extent cx="21774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ind w:left="8340"/>
        <w:spacing w:after="0"/>
        <w:tabs>
          <w:tab w:leader="none" w:pos="10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15240</wp:posOffset>
            </wp:positionV>
            <wp:extent cx="21774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700" w:val="left"/>
          <w:tab w:leader="none" w:pos="8840" w:val="left"/>
          <w:tab w:leader="none" w:pos="9540" w:val="left"/>
          <w:tab w:leader="none" w:pos="10700" w:val="left"/>
        </w:tabs>
        <w:rPr>
          <w:sz w:val="20"/>
          <w:szCs w:val="20"/>
          <w:color w:val="auto"/>
        </w:rPr>
      </w:pPr>
      <w:r>
        <w:rPr>
          <w:rFonts w:ascii="Arial" w:cs="Arial" w:eastAsia="Arial" w:hAnsi="Arial"/>
          <w:sz w:val="18"/>
          <w:szCs w:val="18"/>
          <w:color w:val="auto"/>
        </w:rPr>
        <w:t>Operating cash flows used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6,887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23495</wp:posOffset>
            </wp:positionV>
            <wp:extent cx="21774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77415" cy="26035"/>
                    </a:xfrm>
                    <a:prstGeom prst="rect">
                      <a:avLst/>
                    </a:prstGeom>
                    <a:noFill/>
                  </pic:spPr>
                </pic:pic>
              </a:graphicData>
            </a:graphic>
          </wp:anchor>
        </w:drawing>
      </w:r>
    </w:p>
    <w:p>
      <w:pPr>
        <w:spacing w:after="0" w:line="151"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The weighted-average remaining lease term was 10.8 years for the corporate office and laboratory space leases as of December 31, 2022. The corporate office lease includes an option to renew for an additional seven years. However, the renewal option was not included in the lease term for calculating the lease liability, as the renewal option allows the Company to maintain operational flexibility, and the Company was not reasonably certain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that it would exercise the renewal option at the time of the lease commencement. The weighted-average discount rate was 9.8% as of December 31, 2022.</w:t>
      </w:r>
    </w:p>
    <w:p>
      <w:pPr>
        <w:spacing w:after="0" w:line="14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There were $59.5 million and $18.7 million in right-of-use assets obtained in exchange for operating lease liabilities resulting from new leases and from modifications of existing leases, respectively, for the year ended December 31,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operating lease liabilities under existing operating leases as of December 31, 2022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237"/>
        </w:trPr>
        <w:tc>
          <w:tcPr>
            <w:tcW w:w="9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11,206</w:t>
            </w:r>
          </w:p>
        </w:tc>
        <w:tc>
          <w:tcPr>
            <w:tcW w:w="100" w:type="dxa"/>
            <w:vAlign w:val="bottom"/>
            <w:shd w:val="clear" w:color="auto" w:fill="CFF0FC"/>
          </w:tcPr>
          <w:p>
            <w:pPr>
              <w:spacing w:after="0"/>
              <w:rPr>
                <w:sz w:val="20"/>
                <w:szCs w:val="20"/>
                <w:color w:val="auto"/>
              </w:rPr>
            </w:pP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shd w:val="clear" w:color="auto" w:fill="CFF0FC"/>
          </w:tcPr>
          <w:p>
            <w:pPr>
              <w:spacing w:after="0"/>
              <w:rPr>
                <w:sz w:val="21"/>
                <w:szCs w:val="21"/>
                <w:color w:val="auto"/>
              </w:rPr>
            </w:pP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13,467</w:t>
            </w:r>
          </w:p>
        </w:tc>
        <w:tc>
          <w:tcPr>
            <w:tcW w:w="100" w:type="dxa"/>
            <w:vAlign w:val="bottom"/>
          </w:tcPr>
          <w:p>
            <w:pPr>
              <w:spacing w:after="0"/>
              <w:rPr>
                <w:sz w:val="20"/>
                <w:szCs w:val="20"/>
                <w:color w:val="auto"/>
              </w:rPr>
            </w:pPr>
          </w:p>
        </w:tc>
      </w:tr>
      <w:tr>
        <w:trPr>
          <w:trHeight w:val="24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13,917</w:t>
            </w:r>
          </w:p>
        </w:tc>
        <w:tc>
          <w:tcPr>
            <w:tcW w:w="100" w:type="dxa"/>
            <w:vAlign w:val="bottom"/>
            <w:shd w:val="clear" w:color="auto" w:fill="CFF0FC"/>
          </w:tcPr>
          <w:p>
            <w:pPr>
              <w:spacing w:after="0"/>
              <w:rPr>
                <w:sz w:val="21"/>
                <w:szCs w:val="21"/>
                <w:color w:val="auto"/>
              </w:rPr>
            </w:pP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87,290</w:t>
            </w:r>
          </w:p>
        </w:tc>
        <w:tc>
          <w:tcPr>
            <w:tcW w:w="100" w:type="dxa"/>
            <w:vAlign w:val="bottom"/>
          </w:tcPr>
          <w:p>
            <w:pPr>
              <w:spacing w:after="0"/>
              <w:rPr>
                <w:sz w:val="20"/>
                <w:szCs w:val="20"/>
                <w:color w:val="auto"/>
              </w:rPr>
            </w:pPr>
          </w:p>
        </w:tc>
      </w:tr>
      <w:tr>
        <w:trPr>
          <w:trHeight w:val="243"/>
        </w:trPr>
        <w:tc>
          <w:tcPr>
            <w:tcW w:w="90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151,584</w:t>
            </w:r>
          </w:p>
        </w:tc>
        <w:tc>
          <w:tcPr>
            <w:tcW w:w="100" w:type="dxa"/>
            <w:vAlign w:val="bottom"/>
            <w:shd w:val="clear" w:color="auto" w:fill="CFF0FC"/>
          </w:tcPr>
          <w:p>
            <w:pPr>
              <w:spacing w:after="0"/>
              <w:rPr>
                <w:sz w:val="21"/>
                <w:szCs w:val="21"/>
                <w:color w:val="auto"/>
              </w:rPr>
            </w:pPr>
          </w:p>
        </w:tc>
      </w:tr>
      <w:tr>
        <w:trPr>
          <w:trHeight w:val="237"/>
        </w:trPr>
        <w:tc>
          <w:tcPr>
            <w:tcW w:w="90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(60,813 )</w:t>
            </w:r>
          </w:p>
        </w:tc>
      </w:tr>
      <w:tr>
        <w:trPr>
          <w:trHeight w:val="24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tenant improvement receivable</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(7,837 )</w:t>
            </w:r>
          </w:p>
        </w:tc>
      </w:tr>
      <w:tr>
        <w:trPr>
          <w:trHeight w:val="236"/>
        </w:trPr>
        <w:tc>
          <w:tcPr>
            <w:tcW w:w="9000" w:type="dxa"/>
            <w:vAlign w:val="bottom"/>
            <w:tcBorders>
              <w:top w:val="single" w:sz="8" w:color="CFF0FC"/>
            </w:tcBorders>
          </w:tcPr>
          <w:p>
            <w:pPr>
              <w:ind w:left="30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82,934</w:t>
            </w:r>
          </w:p>
        </w:tc>
        <w:tc>
          <w:tcPr>
            <w:tcW w:w="100" w:type="dxa"/>
            <w:vAlign w:val="bottom"/>
            <w:tcBorders>
              <w:top w:val="single" w:sz="8" w:color="CFF0FC"/>
            </w:tcBorders>
          </w:tcPr>
          <w:p>
            <w:pPr>
              <w:spacing w:after="0"/>
              <w:rPr>
                <w:sz w:val="20"/>
                <w:szCs w:val="20"/>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9000" w:type="dxa"/>
            <w:vAlign w:val="bottom"/>
          </w:tcPr>
          <w:p>
            <w:pPr>
              <w:ind w:left="12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0"/>
                <w:szCs w:val="20"/>
                <w:color w:val="auto"/>
              </w:rPr>
            </w:pPr>
          </w:p>
        </w:tc>
      </w:tr>
      <w:tr>
        <w:trPr>
          <w:trHeight w:val="243"/>
        </w:trPr>
        <w:tc>
          <w:tcPr>
            <w:tcW w:w="9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00" w:type="dxa"/>
            <w:vAlign w:val="bottom"/>
          </w:tcPr>
          <w:p>
            <w:pPr>
              <w:ind w:left="300"/>
              <w:spacing w:after="0"/>
              <w:rPr>
                <w:sz w:val="20"/>
                <w:szCs w:val="20"/>
                <w:color w:val="auto"/>
              </w:rPr>
            </w:pPr>
            <w:r>
              <w:rPr>
                <w:rFonts w:ascii="Arial" w:cs="Arial" w:eastAsia="Arial" w:hAnsi="Arial"/>
                <w:sz w:val="18"/>
                <w:szCs w:val="18"/>
                <w:color w:val="auto"/>
              </w:rPr>
              <w:t>Total lease liability</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82,934</w:t>
            </w:r>
          </w:p>
        </w:tc>
        <w:tc>
          <w:tcPr>
            <w:tcW w:w="100" w:type="dxa"/>
            <w:vAlign w:val="bottom"/>
          </w:tcPr>
          <w:p>
            <w:pPr>
              <w:spacing w:after="0"/>
              <w:rPr>
                <w:sz w:val="20"/>
                <w:szCs w:val="20"/>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auto"/>
        </w:rPr>
        <w:t>In May 2018, the Company entered into a lease agreement for its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and an extension to the lease term through April 2026.</w:t>
      </w:r>
    </w:p>
    <w:p>
      <w:pPr>
        <w:spacing w:after="0" w:line="149"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May 2020, the Company signed a second amendment to the Initial Lease Agreement. The amended lease provides for an eight-year non-cancelable lease of additional office and laboratory space in the same building. The lease amendment for additional office and laboratory space provided for abatement of rent during the first three months of the lease and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 the lease for an additional seven-year term.</w:t>
      </w:r>
    </w:p>
    <w:p>
      <w:pPr>
        <w:spacing w:after="0" w:line="19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 January 2021, the Company signed a third amendment to the Initial Lease Agreement which provides for the lease of additional space in the same building. The lease amendment for this additional space commenced in April 2021 and expires in March 2024.</w:t>
      </w:r>
    </w:p>
    <w:p>
      <w:pPr>
        <w:spacing w:after="0" w:line="17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In October 2021, the Company signed a fourth amendment to the Initial Lease Agreement which provides for the lease of additional space in the same building. The lease for additional office and laboratory space provides for abatement of rent during the first two months of the lease and contains rent escalations during the term of the lease. The lease amendment of this additional space commenced in April 2022 and expires in January 2029. The lease amendment also includes this additional space in the Company’s option to extend the amended Initial Lease Agreement for an additional seven-year term. The other terms of the Initial Lease Agreement, as amended, remain unchanged.</w:t>
      </w:r>
    </w:p>
    <w:p>
      <w:pPr>
        <w:spacing w:after="0" w:line="176"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July 2021, the Company entered into a lease agreement for corporate office, manufacturing and laboratory space located in South San Francisco, California with an expiration date approximately twelve years after the lease's legal commencement date (the "Additional Lease Agreement"). The lease for this additional space and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3" w:name="page124"/>
    <w:bookmarkEnd w:id="123"/>
    <w:p>
      <w:pPr>
        <w:ind w:right="60"/>
        <w:spacing w:after="0" w:line="275" w:lineRule="auto"/>
        <w:rPr>
          <w:sz w:val="20"/>
          <w:szCs w:val="20"/>
          <w:color w:val="auto"/>
        </w:rPr>
      </w:pPr>
      <w:r>
        <w:rPr>
          <w:rFonts w:ascii="Arial" w:cs="Arial" w:eastAsia="Arial" w:hAnsi="Arial"/>
          <w:sz w:val="17"/>
          <w:szCs w:val="17"/>
          <w:color w:val="auto"/>
        </w:rPr>
        <w:t>Company's obligation to pay rent commenced in January 2022. In addition to base rent, the Company is responsible for payment of direct expenses, which include operating, insurance and tax expenses. The lease also provides for certain tenant improvement allowances of up to approximately $25.2 million for tenant improvements and certain infrastructure upgrades in connection with the initial buildout of the premises, approximately $4.4 million of which, if utilized, would need to be repaid by the Company over the lease term. In 2021, the Company delivered a security deposit in the form of a letter of credit of $1.6 million to the Landlord in connection with the Additional Lease Agreement.</w:t>
      </w:r>
    </w:p>
    <w:p>
      <w:pPr>
        <w:spacing w:after="0" w:line="176"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November 2021, the Company entered into an amendment to the Additional Lease Agreement. The lease amendment expressly includes manufacturing as a permitted use at the facility, clarifies that Silicon Valley Bank is an acceptable bank for purposes of issuing a letter of credit under the lease, revises the letter of credit transferability terms and replaces the form of letter of credit attached to the lease.</w:t>
      </w:r>
    </w:p>
    <w:p>
      <w:pPr>
        <w:spacing w:after="0" w:line="184"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In August 2022, the Company entered into fifth amendment to the Initial Lease Agreement and a second amendment to the Additional Lease Agreement for its existing facilities in South San Francisco, California. The fifth amendment to the Initial Lease Agreement includes an extension of the lease term for certain of the Company's existing facilities through July 31, 2030. The second amendment to the Additional Lease Agreement provides for approximately $15.0 million of additional tenant improvement allowances, in addition to the tenant improvement allowances of $25.2 million included in the original Additional Lease Agreement, and increases the base rent payments over the existing term of the lease.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Agreement</w:t>
      </w:r>
    </w:p>
    <w:p>
      <w:pPr>
        <w:spacing w:after="0" w:line="22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December 31, 2022 and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Company has $2.7 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 to 60 days of the annual expiration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and License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CRISPR Collaboration Agreement</w:t>
      </w:r>
    </w:p>
    <w:p>
      <w:pPr>
        <w:spacing w:after="0" w:line="12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On May 5, 2021, the Company entered into the CRISPR Agreement with CRISPR to co-develop and co-commercialize an engineered CAR NK product candidate targeting the CD70 tumor antigen and a second novel NK plus T cell product candidate. In addition, the Company has received licenses from CRISPR for three CRISPR-Cas9 gene editing targets and will receive a license from CRISPR for up to two more CRISPR-Cas9 gene editing targets that can be engineered into an unlimited number of its own NK cell products. CRISPR also has an option to co-develop and co-commercialize a future CAR NK program.</w:t>
      </w:r>
    </w:p>
    <w:p>
      <w:pPr>
        <w:spacing w:after="0" w:line="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 cell related activities, and Nkarta is responsible for NK cell related activities. The related impact of the cost sharing associated with the research and development activities is included in research and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4" w:name="page125"/>
    <w:bookmarkEnd w:id="124"/>
    <w:p>
      <w:pPr>
        <w:ind w:right="280"/>
        <w:spacing w:after="0" w:line="296" w:lineRule="auto"/>
        <w:rPr>
          <w:sz w:val="20"/>
          <w:szCs w:val="20"/>
          <w:color w:val="auto"/>
        </w:rPr>
      </w:pPr>
      <w:r>
        <w:rPr>
          <w:rFonts w:ascii="Arial" w:cs="Arial" w:eastAsia="Arial" w:hAnsi="Arial"/>
          <w:sz w:val="16"/>
          <w:szCs w:val="16"/>
          <w:color w:val="auto"/>
        </w:rPr>
        <w:t>development expense on the condensed statements of operations.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$4.2 million and $2.3 million for the years ended December 31, 2022 and 2021, respectively. As of December 31, 2022, the Company had a $1.3 million receivable under the research cost sharing provision, which is included as part of prepaid expenses and other current assets in the condensed balance sheet.</w:t>
      </w:r>
    </w:p>
    <w:p>
      <w:pPr>
        <w:spacing w:after="0" w:line="5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 xml:space="preserve">For </w:t>
      </w:r>
      <w:r>
        <w:rPr>
          <w:rFonts w:ascii="Arial" w:cs="Arial" w:eastAsia="Arial" w:hAnsi="Arial"/>
          <w:sz w:val="18"/>
          <w:szCs w:val="18"/>
          <w:color w:val="auto"/>
        </w:rPr>
        <w:t>ea</w:t>
      </w:r>
      <w:r>
        <w:rPr>
          <w:rFonts w:ascii="Arial" w:cs="Arial" w:eastAsia="Arial" w:hAnsi="Arial"/>
          <w:sz w:val="17"/>
          <w:szCs w:val="17"/>
          <w:color w:val="auto"/>
        </w:rPr>
        <w:t>ch non-collaboration product candidate incorporating a genome editing target licensed from CRISPR (a "CRISPR-licensed product candidate"), the Co</w:t>
      </w:r>
      <w:r>
        <w:rPr>
          <w:rFonts w:ascii="Arial" w:cs="Arial" w:eastAsia="Arial" w:hAnsi="Arial"/>
          <w:sz w:val="18"/>
          <w:szCs w:val="18"/>
          <w:color w:val="auto"/>
        </w:rPr>
        <w:t>mpany</w:t>
      </w:r>
      <w:r>
        <w:rPr>
          <w:rFonts w:ascii="Arial" w:cs="Arial" w:eastAsia="Arial" w:hAnsi="Arial"/>
          <w:sz w:val="17"/>
          <w:szCs w:val="17"/>
          <w:color w:val="auto"/>
        </w:rPr>
        <w:t xml:space="preserve"> would retain worldwide rights and may be required to make potential future payments based on the achievement of development and regulatory approval milestones totaling less than mid-twenty million dollars for each CRISPR-licensed product candidate, as well as tiered royalties up to the mid-single digits on net product sales of such product. Further, for each CRISPR-licensed product candidate targeting a specified tumor antigen, the Company may be required to make potential future payments based on the achievement of development and regulatory approval milestones totaling less than high-forty million dollars for each CRISPR-licensed product candidate targeting the specified tumor antigen, as well as tiered royalties up to the mid-single digits on net product sales of such product. As of December 31, 2022, the Company has not paid any amounts nor are any amounts owed by the Company under the CRISPR Agreement, and no milestones have been achieved.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MaxCyte License Agreement</w:t>
      </w:r>
    </w:p>
    <w:p>
      <w:pPr>
        <w:spacing w:after="0" w:line="121" w:lineRule="exact"/>
        <w:rPr>
          <w:sz w:val="20"/>
          <w:szCs w:val="20"/>
          <w:color w:val="auto"/>
        </w:rPr>
      </w:pPr>
    </w:p>
    <w:p>
      <w:pPr>
        <w:ind w:right="200" w:firstLine="509"/>
        <w:spacing w:after="0" w:line="342" w:lineRule="auto"/>
        <w:rPr>
          <w:sz w:val="20"/>
          <w:szCs w:val="20"/>
          <w:color w:val="auto"/>
        </w:rPr>
      </w:pPr>
      <w:r>
        <w:rPr>
          <w:rFonts w:ascii="Arial" w:cs="Arial" w:eastAsia="Arial" w:hAnsi="Arial"/>
          <w:sz w:val="16"/>
          <w:szCs w:val="16"/>
          <w:color w:val="auto"/>
        </w:rPr>
        <w:t>On October 26, 2021, the Company entered into a license agreement (the "MaxCyte Agreement") with MaxCyte, Inc. ("MaxCyte") to obtain non-exclusive clinical and commercial rights to use MaxCyte's cell loading technology to develop and commercialize in up to ten licensed products.</w:t>
      </w:r>
    </w:p>
    <w:p>
      <w:pPr>
        <w:spacing w:after="0" w:line="16"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color w:val="auto"/>
        </w:rPr>
        <w:t>In connection with the MaxCyte Agreement, the Company must pay to MaxCyte annual research license fees and commercialization license fees, ranging from $0.1 million to $0.3 million, for each instrument licensed by the Company. Further, the Company could be required to make milestone payments to MaxCyte upon completion of certain regulatory and commercial milestones related to the clinical development and commercialization of certain of the Company’s licensed products. The aggregate potential milestone payments range from $10 million to $13 million per licensed product. Additionally, the Company may be required to make net sales milestone payments totaling between $61.9 million to $116.8 million per licensed product. As of December 31, 2022, no milestones have been achieved.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Singapore and St. Jude Children’s License Agreement</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August 2016, the National University of Singapore ("NUS") and St. Jude Children’s Research Hospital ("St. Jude") and the Company entered into a license agreement under which NUS and St. Jude (the "Licensors") granted the Company an exclusive, royalty-bearing, worldwide license to its patent rights related to a method for expanding natural killer cells; a chimeric receptor with NKG2D specificity; and a method for supporting autonomous natural killer cell function ("NUS and St. Jude License Agreement"). The NUS and St. Jude License Agreement provides the Company with the rights to grant and authorize sublicenses to make, have made, use, sell, offer for sale and import products and otherwise exploit the patent rights.</w:t>
      </w:r>
    </w:p>
    <w:p>
      <w:pPr>
        <w:spacing w:after="0" w:line="161"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As consideration for the license, the Company made an upfront payment of $31,800 and issued NUS 250,000 shares of the Company’s common stock. The Company determined that the upfront payment (SGD 42,750) and value of the common stock issued ($2,500 based on fair value at time of issuance) as part of the license agreement would be expensed upon execution of the contract as the license was acquired for research and development purposes which does not have alternative future uses, and the underlying technology has not reached technological feasibility, hence the Company expensed these costs during 2016.</w:t>
      </w:r>
    </w:p>
    <w:p>
      <w:pPr>
        <w:spacing w:after="0" w:line="188"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In addition, the Company is required to pay an annual license maintenance fee of SGD 25,000, increasing to SGD 50,000 after year two of the agreement. Further, the Company could be required to make milestone payments to the Licensors upon completion of certain regulatory and commercial milestones related to the clinical development and commercialization of certain of the Company’s product candidates. The aggregate potential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5" w:name="page126"/>
    <w:bookmarkEnd w:id="125"/>
    <w:p>
      <w:pPr>
        <w:spacing w:after="0" w:line="291" w:lineRule="auto"/>
        <w:rPr>
          <w:sz w:val="20"/>
          <w:szCs w:val="20"/>
          <w:color w:val="auto"/>
        </w:rPr>
      </w:pPr>
      <w:r>
        <w:rPr>
          <w:rFonts w:ascii="Arial" w:cs="Arial" w:eastAsia="Arial" w:hAnsi="Arial"/>
          <w:sz w:val="16"/>
          <w:szCs w:val="16"/>
          <w:color w:val="auto"/>
        </w:rPr>
        <w:t>milestone payments are approximately SGD 5 million. The Company has also agreed to pay the Licensors royalties of 2.5% of net sales of products sold by the Company or through a sublicense. Additionally, the Company agreed to pay the Licensors a tiered percentage of sublicensing income (ranging from</w:t>
      </w:r>
    </w:p>
    <w:p>
      <w:pPr>
        <w:jc w:val="both"/>
        <w:ind w:right="60"/>
        <w:spacing w:after="0" w:line="277" w:lineRule="auto"/>
        <w:rPr>
          <w:sz w:val="20"/>
          <w:szCs w:val="20"/>
          <w:color w:val="auto"/>
        </w:rPr>
      </w:pPr>
      <w:r>
        <w:rPr>
          <w:rFonts w:ascii="Arial" w:cs="Arial" w:eastAsia="Arial" w:hAnsi="Arial"/>
          <w:sz w:val="17"/>
          <w:szCs w:val="17"/>
          <w:color w:val="auto"/>
        </w:rPr>
        <w:t>7.5% to 20%) based on the timing of capital raised and stage of clinical trials. The NUS and St. Jude License Agreement also includes certain performance objectives which obligate the Company to meet various milestones related to the clinical development and commercialization of certain of the Company’s product candidates over time for up to 120 months after the effective date of the NUS and St. Jude License Agreement.</w:t>
      </w:r>
    </w:p>
    <w:p>
      <w:pPr>
        <w:spacing w:after="0" w:line="173"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Company recorded $37,000 license maintenance fees included as part of research and development expenses for each of the years ended December 31, 2022 and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121" w:lineRule="exact"/>
        <w:rPr>
          <w:sz w:val="20"/>
          <w:szCs w:val="20"/>
          <w:color w:val="auto"/>
        </w:rPr>
      </w:pPr>
    </w:p>
    <w:p>
      <w:pPr>
        <w:jc w:val="both"/>
        <w:ind w:right="80" w:firstLine="509"/>
        <w:spacing w:after="0" w:line="257" w:lineRule="auto"/>
        <w:rPr>
          <w:sz w:val="20"/>
          <w:szCs w:val="20"/>
          <w:color w:val="auto"/>
        </w:rPr>
      </w:pPr>
      <w:r>
        <w:rPr>
          <w:rFonts w:ascii="Arial" w:cs="Arial" w:eastAsia="Arial" w:hAnsi="Arial"/>
          <w:sz w:val="18"/>
          <w:szCs w:val="18"/>
          <w:color w:val="auto"/>
        </w:rPr>
        <w:t>On January 1, 2018, the Company adopted a defined contribution 401(k) plan that is available to eligible employees. Under the terms of the plan, employees may make voluntary contributions as a percent of compensation, limited to the maximum amount allowable under federal tax regulations. As part of the plan, the Company elected to make non-matching contributions via mandatory 3% of compensation safe harbor nonelective contributions. The Company recognized $0.8 million and $0.6 million for expense related to the nonelective 401(k) contributions for the years ended December 31, 2022 and 2021,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Under the Amended and Restated Certificate of Incorporation dated July 14, 2020, the Company had a total of 100,000,000 authorized shares of common stock with a par value of $0.0001 per share and 54,350,179 authorized shares of preferred stock with a par value of $0.0001 per share.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On August 12, 2021, the Company filed a Registration Statement on Form S-3 (the "Shelf Registration Statement"), covering the offer and sale from time to time, pursuant to Rule 415 of the Securities Act of 1933, as amended (the "Securities Act"), of up to $500.0 million in aggregate offering price of shares of the Company’s common stock, shares of the Company’s preferred stock, debt securities, warrants, and rights and units. The Shelf Registration Statement was declared effective by the Securities and Exchange Commission (the "SEC") on September 2, 2021. The Shelf Registration Statement included a prospectus covering the offer and sale from time to time of up to $150.0 million in aggregate offering price of shares of the Company’s common stock through an “at-the-market” equity offering program (the "ATM Offering Program") with Cowen and Company, LLC, as sales agent. As of December 31, 2022, the Company has issued and sold 113,213 shares of its common stock pursuant to the ATM Offering Program, resulting in net proceeds of approximately $1.6 million, after deducting offering expenses.</w:t>
      </w:r>
    </w:p>
    <w:p>
      <w:pPr>
        <w:spacing w:after="0" w:line="17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April 28, 2022, the Company issued and sold 15,333,334 shares of its common stock in an underwritten public offering, including 2,000,000 shares associated with the full exercise of the underwriters’ option to purchase additional shares, at a price to the public of $15.00 per share. The total net proceeds to the Company from the offering were approximately $215.3 million, after deducting underwriting discounts and commissions and offering expenses. The shares were issued pursuant to the Company’s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Company granted options under its 2015 Equity Incentive Plan (the "2015 Plan"). The 2015 Plan allowed for the grant of incentive stock options, non-statutory stock options, stock appreciation rights, restricted stock unit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6" w:name="page127"/>
    <w:bookmarkEnd w:id="126"/>
    <w:p>
      <w:pPr>
        <w:ind w:right="40"/>
        <w:spacing w:after="0" w:line="301" w:lineRule="auto"/>
        <w:rPr>
          <w:sz w:val="20"/>
          <w:szCs w:val="20"/>
          <w:color w:val="auto"/>
        </w:rPr>
      </w:pPr>
      <w:r>
        <w:rPr>
          <w:rFonts w:ascii="Arial" w:cs="Arial" w:eastAsia="Arial" w:hAnsi="Arial"/>
          <w:sz w:val="16"/>
          <w:szCs w:val="16"/>
          <w:color w:val="auto"/>
        </w:rPr>
        <w:t>awards and other stock awards, although only stock options were awarded under the 2015 Plan. Awards could be made to officers, directors, employees, non-employee directors, and consultants of the Company. In connection with the Board of Directors’ and stockholders’ approval of the 2020 Plan, the 2015 Plan was terminated as to future awards and any options then outstanding under the 2015 Plan remained outstanding and effective. As of December 31, 2022, there were an aggregate of 1,344,048 shares of common stock issuable upon the exercise of outstanding options issued under the 2015 Plan.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Performance Incentive Plan</w:t>
      </w:r>
    </w:p>
    <w:p>
      <w:pPr>
        <w:spacing w:after="0" w:line="117" w:lineRule="exact"/>
        <w:rPr>
          <w:sz w:val="20"/>
          <w:szCs w:val="20"/>
          <w:color w:val="auto"/>
        </w:rPr>
      </w:pPr>
    </w:p>
    <w:p>
      <w:pPr>
        <w:ind w:right="340" w:firstLine="509"/>
        <w:spacing w:after="0" w:line="279" w:lineRule="auto"/>
        <w:rPr>
          <w:sz w:val="20"/>
          <w:szCs w:val="20"/>
          <w:color w:val="auto"/>
        </w:rPr>
      </w:pPr>
      <w:r>
        <w:rPr>
          <w:rFonts w:ascii="Arial" w:cs="Arial" w:eastAsia="Arial" w:hAnsi="Arial"/>
          <w:sz w:val="17"/>
          <w:szCs w:val="17"/>
          <w:color w:val="auto"/>
        </w:rPr>
        <w:t>The Company’s 2020 Performance Incentive Plan (the "2020 Plan") which was adopted by the Company’s board of directors in June 2020 and approved by the Company’s stockholders in July 2020, became effective upon the consummation of the IPO in July 2020. The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1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As of December 31, 2022, a total of 5,945,002 shares of the Company’s common stock were authorized for issuance with respect to awards granted under the 2020 Plan (this number of shares gives effect to the annual increases in the 2020 Plan share limit, as described in the next sentence).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1,775,102 shares was available for issuance under the 2020 Plan as of December 31, 2022.</w:t>
      </w:r>
    </w:p>
    <w:p>
      <w:pPr>
        <w:spacing w:after="0" w:line="17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summarizes the stock option activity during the year ended December 31, 2022 (in thousands, except number of shares, exercise prices and contractual term):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74"/>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57"/>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4,204,686</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w:t>
            </w:r>
          </w:p>
        </w:tc>
        <w:tc>
          <w:tcPr>
            <w:tcW w:w="1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2,327,820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(383,120 )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(630,111 )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21.99</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5,519,275</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2,337,753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expected to vest at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5,519,275</w:t>
            </w:r>
          </w:p>
        </w:tc>
        <w:tc>
          <w:tcPr>
            <w:tcW w:w="18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60" w:type="dxa"/>
            <w:vAlign w:val="bottom"/>
            <w:vMerge w:val="restart"/>
            <w:shd w:val="clear" w:color="auto" w:fill="CFF0FC"/>
          </w:tcPr>
          <w:p>
            <w:pPr>
              <w:spacing w:after="0"/>
              <w:rPr>
                <w:sz w:val="17"/>
                <w:szCs w:val="17"/>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vMerge w:val="restart"/>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December 31, 2022</w:t>
            </w:r>
          </w:p>
        </w:tc>
        <w:tc>
          <w:tcPr>
            <w:tcW w:w="142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vMerge w:val="continue"/>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136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-496570</wp:posOffset>
            </wp:positionV>
            <wp:extent cx="3034665"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034665" cy="20574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closing market price of the Company’s common stock on the applicable date for all in-the-money stock options.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information related to the Company’s stock options is summarized below (in thousands,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4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grant-date fair value of stock option grants per share</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FF0FC"/>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4,268</w:t>
            </w:r>
          </w:p>
        </w:tc>
        <w:tc>
          <w:tcPr>
            <w:tcW w:w="96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unit activity during the year ended December 31,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6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 shares</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grant date fair value</w:t>
            </w: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term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15"/>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389,388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(32,660 )</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356,728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2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Company’s 2020 Employee Stock Purchase Plan (the "ESPP"), which was adopted by the Company’s board of directors in June 2020 and approved by the Company’s stockholders in July 2020, became effective upon the consummation of the IPO. A total of 952,524 shares of the Company’s common stock were authorized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During 2022, 61,754 shares were issued under the ESPP resulting in aggregate cash proceeds of $0.4 million. There were no ESPP purchases in 2021. As of December 31, 2022, 890,770 shares remained available for issuance under the ESPP (after giving effect to share purchases made under the ESPP through and including the ESPP offering period that ended on November 30,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Restricted Stock Options</w:t>
      </w:r>
    </w:p>
    <w:p>
      <w:pPr>
        <w:spacing w:after="0" w:line="117"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Certain individuals were granted the ability to early exercise their stock options.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balance sheets and will be transferred into common stock and additional paid-in capital as the shares vest. Shares subject to repurchase by the Company were 508 shares and 16,181 shares, as of December 31, 2022 and 2021, respectively, and in each case the related liability recorded under other accrued and other current liabilities in the condensed balance sheets was insignificant.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 Company had reserved the following shares of common stock for future issuance: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20" w:type="dxa"/>
            <w:vAlign w:val="bottom"/>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00" w:type="dxa"/>
            <w:vAlign w:val="bottom"/>
          </w:tcPr>
          <w:p>
            <w:pPr>
              <w:spacing w:after="0"/>
              <w:rPr>
                <w:sz w:val="16"/>
                <w:szCs w:val="16"/>
                <w:color w:val="auto"/>
              </w:rPr>
            </w:pPr>
          </w:p>
        </w:tc>
        <w:tc>
          <w:tcPr>
            <w:tcW w:w="5740" w:type="dxa"/>
            <w:vAlign w:val="bottom"/>
            <w:gridSpan w:val="2"/>
          </w:tcPr>
          <w:p>
            <w:pPr>
              <w:jc w:val="right"/>
              <w:ind w:right="7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Common stock options and restricted stock units granted and outstanding</w:t>
            </w:r>
          </w:p>
        </w:tc>
        <w:tc>
          <w:tcPr>
            <w:tcW w:w="3820" w:type="dxa"/>
            <w:vAlign w:val="bottom"/>
            <w:shd w:val="clear" w:color="auto" w:fill="CFF0FC"/>
          </w:tcPr>
          <w:p>
            <w:pPr>
              <w:spacing w:after="0"/>
              <w:rPr>
                <w:sz w:val="20"/>
                <w:szCs w:val="20"/>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5,876,003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Reserved for future equity award grants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1,775,102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Reserved for future ESPP issuances</w:t>
            </w:r>
          </w:p>
        </w:tc>
        <w:tc>
          <w:tcPr>
            <w:tcW w:w="382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8,541,875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20" w:type="dxa"/>
            <w:vAlign w:val="bottom"/>
            <w:vMerge w:val="restart"/>
          </w:tcPr>
          <w:p>
            <w:pPr>
              <w:jc w:val="right"/>
              <w:ind w:right="3375"/>
              <w:spacing w:after="0"/>
              <w:rPr>
                <w:sz w:val="20"/>
                <w:szCs w:val="20"/>
                <w:color w:val="auto"/>
              </w:rPr>
            </w:pPr>
            <w:r>
              <w:rPr>
                <w:rFonts w:ascii="Arial" w:cs="Arial" w:eastAsia="Arial" w:hAnsi="Arial"/>
                <w:sz w:val="18"/>
                <w:szCs w:val="18"/>
                <w:color w:val="auto"/>
              </w:rPr>
              <w:t>123</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4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0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expense for the years ended December 31, 2022 and 2021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7,326</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6,719</w:t>
            </w:r>
          </w:p>
        </w:tc>
        <w:tc>
          <w:tcPr>
            <w:tcW w:w="100" w:type="dxa"/>
            <w:vAlign w:val="bottom"/>
            <w:shd w:val="clear" w:color="auto" w:fill="CFF0FC"/>
          </w:tcPr>
          <w:p>
            <w:pPr>
              <w:spacing w:after="0"/>
              <w:rPr>
                <w:sz w:val="20"/>
                <w:szCs w:val="20"/>
                <w:color w:val="auto"/>
              </w:rPr>
            </w:pP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9,530</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20"/>
                <w:szCs w:val="20"/>
                <w:color w:val="auto"/>
              </w:rPr>
            </w:pPr>
          </w:p>
        </w:tc>
      </w:tr>
      <w:tr>
        <w:trPr>
          <w:trHeight w:val="276"/>
        </w:trPr>
        <w:tc>
          <w:tcPr>
            <w:tcW w:w="7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16,856</w:t>
            </w:r>
          </w:p>
        </w:tc>
        <w:tc>
          <w:tcPr>
            <w:tcW w:w="2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total unrecognized compensation cost related to stock options was $34.2 million, which is expected to be recognized over a weighted-average remaining service period of 2.5 years as of December 31, 2022. The total unrecognized compensation cost related to restricted stock units was $3.7 million, which is expected to be recognized over a weighted-average remaining service period of 3.2 years as of December 31, 2022. As of December 31, 2022, there was $0.1 million of unrecognized compensation cost related to ESPP, which is expected to be recognized over a weighted-average remaining service period of .4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117"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fair value of stock options was estimated on the date of grant using the Black-Scholes option pricing model with the following range of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Year Ended December 31,</w:t>
            </w:r>
          </w:p>
        </w:tc>
        <w:tc>
          <w:tcPr>
            <w:tcW w:w="960" w:type="dxa"/>
            <w:vAlign w:val="bottom"/>
            <w:tcBorders>
              <w:bottom w:val="single" w:sz="8" w:color="auto"/>
            </w:tcBorders>
          </w:tcPr>
          <w:p>
            <w:pPr>
              <w:spacing w:after="0"/>
              <w:rPr>
                <w:sz w:val="16"/>
                <w:szCs w:val="16"/>
                <w:color w:val="auto"/>
              </w:rPr>
            </w:pPr>
          </w:p>
        </w:tc>
      </w:tr>
      <w:tr>
        <w:trPr>
          <w:trHeight w:val="169"/>
        </w:trPr>
        <w:tc>
          <w:tcPr>
            <w:tcW w:w="744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2022</w:t>
            </w:r>
          </w:p>
        </w:tc>
        <w:tc>
          <w:tcPr>
            <w:tcW w:w="198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Options</w:t>
            </w:r>
          </w:p>
        </w:tc>
        <w:tc>
          <w:tcPr>
            <w:tcW w:w="8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5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fair value</w:t>
            </w:r>
          </w:p>
        </w:tc>
        <w:tc>
          <w:tcPr>
            <w:tcW w:w="18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$5.99 - $18.44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$54.89</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960" w:type="dxa"/>
            <w:vAlign w:val="bottom"/>
          </w:tcPr>
          <w:p>
            <w:pPr>
              <w:ind w:left="20"/>
              <w:spacing w:after="0"/>
              <w:rPr>
                <w:sz w:val="20"/>
                <w:szCs w:val="20"/>
                <w:color w:val="auto"/>
              </w:rPr>
            </w:pPr>
            <w:r>
              <w:rPr>
                <w:rFonts w:ascii="Arial" w:cs="Arial" w:eastAsia="Arial" w:hAnsi="Arial"/>
                <w:sz w:val="18"/>
                <w:szCs w:val="18"/>
                <w:color w:val="auto"/>
              </w:rPr>
              <w:t>- 4.2%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960" w:type="dxa"/>
            <w:vAlign w:val="bottom"/>
          </w:tcPr>
          <w:p>
            <w:pPr>
              <w:ind w:left="20"/>
              <w:spacing w:after="0"/>
              <w:rPr>
                <w:sz w:val="20"/>
                <w:szCs w:val="20"/>
                <w:color w:val="auto"/>
              </w:rPr>
            </w:pPr>
            <w:r>
              <w:rPr>
                <w:rFonts w:ascii="Arial" w:cs="Arial" w:eastAsia="Arial" w:hAnsi="Arial"/>
                <w:sz w:val="18"/>
                <w:szCs w:val="18"/>
                <w:color w:val="auto"/>
              </w:rPr>
              <w:t>- 1.4%</w:t>
            </w: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- 78.9%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- 79.9%</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960" w:type="dxa"/>
            <w:vAlign w:val="bottom"/>
          </w:tcPr>
          <w:p>
            <w:pPr>
              <w:ind w:left="20"/>
              <w:spacing w:after="0"/>
              <w:rPr>
                <w:sz w:val="20"/>
                <w:szCs w:val="20"/>
                <w:color w:val="auto"/>
              </w:rPr>
            </w:pPr>
            <w:r>
              <w:rPr>
                <w:rFonts w:ascii="Arial" w:cs="Arial" w:eastAsia="Arial" w:hAnsi="Arial"/>
                <w:sz w:val="18"/>
                <w:szCs w:val="18"/>
                <w:color w:val="auto"/>
              </w:rPr>
              <w:t>- 6.1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960" w:type="dxa"/>
            <w:vAlign w:val="bottom"/>
          </w:tcPr>
          <w:p>
            <w:pPr>
              <w:ind w:left="20"/>
              <w:spacing w:after="0"/>
              <w:rPr>
                <w:sz w:val="20"/>
                <w:szCs w:val="20"/>
                <w:color w:val="auto"/>
              </w:rPr>
            </w:pPr>
            <w:r>
              <w:rPr>
                <w:rFonts w:ascii="Arial" w:cs="Arial" w:eastAsia="Arial" w:hAnsi="Arial"/>
                <w:sz w:val="18"/>
                <w:szCs w:val="18"/>
                <w:color w:val="auto"/>
              </w:rPr>
              <w:t>- 6.1</w:t>
            </w: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8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ESPP</w:t>
            </w: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- 4.7%</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63.8% - 151.9%</w:t>
            </w:r>
          </w:p>
        </w:tc>
        <w:tc>
          <w:tcPr>
            <w:tcW w:w="18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8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5"/>
              </w:rPr>
              <w:t>0.5</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255"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The Company recognizes compensation costs related to stock options granted to employees and nonemployees based on the estimated fair value of the awards on the date of grant, net of forfeitures. The Company generally recognizes grant-date fair value of stock options granted to employees and non-employee service providers on a straight-line basis over the requisite service period, which is generally the vesting term of the respective awards. The Company determines the fair value of stock options with a service and performance condition, or performance-based options, based on the fair value of the Company’s common stock on the date of grant. The Company accounts for the impact of forfeitures as they occur. For purposes of calculating share-based compensation, the Company estimates the fair value of stock options issued using a Black-Scholes option-pricing model. The determination of the fair value of share-based payment awards utilizing the Black-Scholes option-pricing model is affected by the Company’s stock price and a number of assumptions, including expected volatility, expected life, risk-free interest rate and expected dividends.</w:t>
      </w:r>
    </w:p>
    <w:p>
      <w:pPr>
        <w:spacing w:after="0" w:line="16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opted to use the “simplified method” for estimating the expected term of employee options, whereby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equals the average of the vesting term and the original contractual term of the option (generally 10 years).</w:t>
      </w:r>
    </w:p>
    <w:p>
      <w:pPr>
        <w:spacing w:after="0" w:line="170"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Due to the Company’s limited operating history and a lack of company specific historical and implied volatility data,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based its estimate of expected volatility on the historical volatilities of the common stock of comparable publicly traded biopharmaceutical companies over a period equal to the expected term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9" w:name="page130"/>
    <w:bookmarkEnd w:id="129"/>
    <w:p>
      <w:pPr>
        <w:ind w:right="720"/>
        <w:spacing w:after="0" w:line="277" w:lineRule="auto"/>
        <w:rPr>
          <w:sz w:val="20"/>
          <w:szCs w:val="20"/>
          <w:color w:val="auto"/>
        </w:rPr>
      </w:pPr>
      <w:r>
        <w:rPr>
          <w:rFonts w:ascii="Arial" w:cs="Arial" w:eastAsia="Arial" w:hAnsi="Arial"/>
          <w:sz w:val="18"/>
          <w:szCs w:val="18"/>
          <w:color w:val="auto"/>
        </w:rPr>
        <w:t>of the stock option grants. The comparable companies were chosen based on their similar size, stage in the life cycle, and financial leverage to the Company.</w:t>
      </w:r>
    </w:p>
    <w:p>
      <w:pPr>
        <w:spacing w:after="0" w:line="17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rate assumption is based on the U.S. Treasury instruments with maturities similar to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w:t>
      </w:r>
    </w:p>
    <w:p>
      <w:pPr>
        <w:spacing w:after="0" w:line="17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not issued any dividends and do not expect to issue dividends over the life of the options, as a result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dividend yield is zero.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Due to the Company’s net losses for the years ended December 31, 2022 and 2021, and since the Company has a full valuation allowance against deferred tax assets, there was no tax provision or benefit for income taxes recorded in the years presented other than minimum amounts required for state tax purposes.</w:t>
      </w:r>
    </w:p>
    <w:p>
      <w:pPr>
        <w:spacing w:after="0" w:line="18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 reconciliation on income taxes to the amount computed by applying the statutory federal income tax rate to the net loss is summarized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at statutory rates</w:t>
            </w: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(23,906</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14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(1,566 )</w:t>
            </w:r>
          </w:p>
        </w:tc>
        <w:tc>
          <w:tcPr>
            <w:tcW w:w="7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(1,005 )</w:t>
            </w:r>
          </w:p>
        </w:tc>
      </w:tr>
      <w:tr>
        <w:trPr>
          <w:trHeight w:val="24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Permanent items</w:t>
            </w:r>
          </w:p>
        </w:tc>
        <w:tc>
          <w:tcPr>
            <w:tcW w:w="1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FF0FC"/>
          </w:tcPr>
          <w:p>
            <w:pPr>
              <w:spacing w:after="0"/>
              <w:rPr>
                <w:sz w:val="21"/>
                <w:szCs w:val="21"/>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114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(3,426 )</w:t>
            </w:r>
          </w:p>
        </w:tc>
        <w:tc>
          <w:tcPr>
            <w:tcW w:w="7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(1,661 )</w:t>
            </w:r>
          </w:p>
        </w:tc>
      </w:tr>
      <w:tr>
        <w:trPr>
          <w:trHeight w:val="24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(515 )</w:t>
            </w:r>
          </w:p>
        </w:tc>
      </w:tr>
      <w:tr>
        <w:trPr>
          <w:trHeight w:val="237"/>
        </w:trPr>
        <w:tc>
          <w:tcPr>
            <w:tcW w:w="71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27,007</w:t>
            </w:r>
          </w:p>
        </w:tc>
        <w:tc>
          <w:tcPr>
            <w:tcW w:w="3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20,665</w:t>
            </w:r>
          </w:p>
        </w:tc>
        <w:tc>
          <w:tcPr>
            <w:tcW w:w="100" w:type="dxa"/>
            <w:vAlign w:val="bottom"/>
            <w:tcBorders>
              <w:bottom w:val="single" w:sz="8" w:color="CFF0FC"/>
            </w:tcBorders>
          </w:tcPr>
          <w:p>
            <w:pPr>
              <w:spacing w:after="0"/>
              <w:rPr>
                <w:sz w:val="20"/>
                <w:szCs w:val="20"/>
                <w:color w:val="auto"/>
              </w:rPr>
            </w:pPr>
          </w:p>
        </w:tc>
      </w:tr>
      <w:tr>
        <w:trPr>
          <w:trHeight w:val="276"/>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deferred tax assets are shown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300"/>
              <w:spacing w:after="0"/>
              <w:rPr>
                <w:sz w:val="20"/>
                <w:szCs w:val="20"/>
                <w:color w:val="auto"/>
              </w:rPr>
            </w:pPr>
            <w:r>
              <w:rPr>
                <w:rFonts w:ascii="Arial" w:cs="Arial" w:eastAsia="Arial" w:hAnsi="Arial"/>
                <w:sz w:val="18"/>
                <w:szCs w:val="18"/>
                <w:color w:val="auto"/>
              </w:rPr>
              <w:t>Net operating loss carry forwards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36,732</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33,767</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300"/>
              <w:spacing w:after="0"/>
              <w:rPr>
                <w:sz w:val="20"/>
                <w:szCs w:val="20"/>
                <w:color w:val="auto"/>
              </w:rPr>
            </w:pPr>
            <w:r>
              <w:rPr>
                <w:rFonts w:ascii="Arial" w:cs="Arial" w:eastAsia="Arial" w:hAnsi="Arial"/>
                <w:sz w:val="18"/>
                <w:szCs w:val="18"/>
                <w:color w:val="auto"/>
              </w:rPr>
              <w:t>Research and development credits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11,999</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Lease liability</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19,062</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Section 174 Capitalized R&amp;D</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17,352</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90,415</w:t>
            </w:r>
          </w:p>
        </w:tc>
        <w:tc>
          <w:tcPr>
            <w:tcW w:w="30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47,103</w:t>
            </w:r>
          </w:p>
        </w:tc>
        <w:tc>
          <w:tcPr>
            <w:tcW w:w="100" w:type="dxa"/>
            <w:vAlign w:val="bottom"/>
            <w:tcBorders>
              <w:top w:val="single" w:sz="8" w:color="CFF0FC"/>
            </w:tcBorders>
          </w:tcPr>
          <w:p>
            <w:pPr>
              <w:spacing w:after="0"/>
              <w:rPr>
                <w:sz w:val="20"/>
                <w:szCs w:val="20"/>
                <w:color w:val="auto"/>
              </w:rPr>
            </w:pPr>
          </w:p>
        </w:tc>
      </w:tr>
      <w:tr>
        <w:trPr>
          <w:trHeight w:val="243"/>
        </w:trPr>
        <w:tc>
          <w:tcPr>
            <w:tcW w:w="7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Valuation allowance for deferred tax assets</w:t>
            </w:r>
          </w:p>
        </w:tc>
        <w:tc>
          <w:tcPr>
            <w:tcW w:w="1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(71,368 )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(44,361 )</w:t>
            </w:r>
          </w:p>
        </w:tc>
      </w:tr>
      <w:tr>
        <w:trPr>
          <w:trHeight w:val="236"/>
        </w:trPr>
        <w:tc>
          <w:tcPr>
            <w:tcW w:w="732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Deferred tax assets, net of valuation allowance</w:t>
            </w:r>
          </w:p>
        </w:tc>
        <w:tc>
          <w:tcPr>
            <w:tcW w:w="1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19,047</w:t>
            </w:r>
          </w:p>
        </w:tc>
        <w:tc>
          <w:tcPr>
            <w:tcW w:w="30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Borders>
              <w:top w:val="single" w:sz="8" w:color="CFF0FC"/>
            </w:tcBorders>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300"/>
              <w:spacing w:after="0"/>
              <w:rPr>
                <w:sz w:val="20"/>
                <w:szCs w:val="20"/>
                <w:color w:val="auto"/>
              </w:rPr>
            </w:pPr>
            <w:r>
              <w:rPr>
                <w:rFonts w:ascii="Arial" w:cs="Arial" w:eastAsia="Arial" w:hAnsi="Arial"/>
                <w:sz w:val="18"/>
                <w:szCs w:val="18"/>
                <w:color w:val="auto"/>
              </w:rPr>
              <w:t>Right-of-use asset</w:t>
            </w:r>
          </w:p>
        </w:tc>
        <w:tc>
          <w:tcPr>
            <w:tcW w:w="1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(18,089 )</w:t>
            </w:r>
          </w:p>
        </w:tc>
        <w:tc>
          <w:tcPr>
            <w:tcW w:w="5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(2,471 )</w:t>
            </w:r>
          </w:p>
        </w:tc>
      </w:tr>
      <w:tr>
        <w:trPr>
          <w:trHeight w:val="243"/>
        </w:trPr>
        <w:tc>
          <w:tcPr>
            <w:tcW w:w="73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(958 )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(271 )</w:t>
            </w:r>
          </w:p>
        </w:tc>
      </w:tr>
      <w:tr>
        <w:trPr>
          <w:trHeight w:val="236"/>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-1130935</wp:posOffset>
            </wp:positionV>
            <wp:extent cx="68580"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-814070</wp:posOffset>
            </wp:positionV>
            <wp:extent cx="68580" cy="162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62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The Company has a net operating loss and has provided a valuation allowance against net deferred tax assets due to uncertainties regarding the Company’s ability to realize these assets. The valuation allowance increased by $27.0 million and $20.7 million as of December 31, 2022 and 2021, respectively.</w:t>
      </w:r>
    </w:p>
    <w:p>
      <w:pPr>
        <w:spacing w:after="0" w:line="76"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0" w:name="page131"/>
    <w:bookmarkEnd w:id="130"/>
    <w:p>
      <w:pPr>
        <w:ind w:right="180"/>
        <w:spacing w:after="0" w:line="259" w:lineRule="auto"/>
        <w:rPr>
          <w:sz w:val="20"/>
          <w:szCs w:val="20"/>
          <w:color w:val="auto"/>
        </w:rPr>
      </w:pPr>
      <w:r>
        <w:rPr>
          <w:rFonts w:ascii="Arial" w:cs="Arial" w:eastAsia="Arial" w:hAnsi="Arial"/>
          <w:sz w:val="18"/>
          <w:szCs w:val="18"/>
          <w:color w:val="auto"/>
        </w:rPr>
        <w:t>representing net future deductible amounts become deductible. Due to the Company’s history of losses, and lack of other positive evidence, the Company has determined that it is more likely than not that its net deferred tax assets will not be realized, and therefore, the net deferred tax assets are substantially offset by a valuation allowance at December 31, 2022 and 2021. The deferred tax assets were primarily comprised of federal and state tax net operating losses and tax credit carryforwards.</w:t>
      </w:r>
    </w:p>
    <w:p>
      <w:pPr>
        <w:spacing w:after="0" w:line="7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December 31, 2022, the Company had net operating loss ("NOL") carryforwards of approximately $153.3 million and $65.1 million, available to reduce future taxable income, if any, for federal and California state income tax purposes, respectively. Of the $153.3 million federal NOL carryforwards, $0.2 million and $3.0 million will begin expiring in 2035 and 2036, respectively, if not utilized, while $150.1 million can be carried forward indefinitely. The state NOL carryforwards will begin expiring in 2036, if not utilized.</w:t>
      </w:r>
    </w:p>
    <w:p>
      <w:pPr>
        <w:spacing w:after="0" w:line="187" w:lineRule="exact"/>
        <w:rPr>
          <w:sz w:val="20"/>
          <w:szCs w:val="20"/>
          <w:color w:val="auto"/>
        </w:rPr>
      </w:pPr>
    </w:p>
    <w:p>
      <w:pPr>
        <w:ind w:right="800" w:firstLine="509"/>
        <w:spacing w:after="0" w:line="342" w:lineRule="auto"/>
        <w:rPr>
          <w:sz w:val="20"/>
          <w:szCs w:val="20"/>
          <w:color w:val="auto"/>
        </w:rPr>
      </w:pPr>
      <w:r>
        <w:rPr>
          <w:rFonts w:ascii="Arial" w:cs="Arial" w:eastAsia="Arial" w:hAnsi="Arial"/>
          <w:sz w:val="16"/>
          <w:szCs w:val="16"/>
          <w:color w:val="auto"/>
        </w:rPr>
        <w:t>The Company also had federal and state research and development credit carry forwards of approximately $9.9 million and $5.6 million, respectively, at December 31, 2022. The federal credits will begin expiring in 2035 if not utilized. The California credits have no expiration date.</w:t>
      </w:r>
    </w:p>
    <w:p>
      <w:pPr>
        <w:spacing w:after="0" w:line="16"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Utilization of the NOL and research and development credit carryforwards may be subject to a substantial annual limitation due to ownership change limitations that may have occurred or that could occur in the future, as required by Section 382 of the Internal Revenue Code of 1986, as amended (the "Code"), as well as similar state provisions. The future utilization of the Company’s NOL and tax credit carryforwards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2019.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6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Company has not been audited by the Internal Revenue Service or any state income or franchise tax agency. As of December 31, 2022, its federal and state returns for the years ended 2015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 The balance of gross unrecognized tax benefits as of December 31, 2022 and 2021 was approximately $2.3 million and $1.4 million, respectively, all of which would affect the Company’s income tax expense if recognized, before consideration of the Company’s valuation allowance. The Company does not expect its unrecognized tax benefits to change significantly over the next 12 months. The Company recognizes interest and penalties accrued on any unrecognized tax benefits as a component of income tax expense. There was no interest and penalties for the years ended December 31, 2022 and 2021. The Company files income tax returns in the United States federal jurisdiction and the State of California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Company’s gross unrecognized tax benefits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the beginning of the year</w:t>
            </w:r>
          </w:p>
        </w:tc>
        <w:tc>
          <w:tcPr>
            <w:tcW w:w="26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w w:val="96"/>
              </w:rPr>
              <w:t>Increases (decreases) related to tax positions taken in prior years</w:t>
            </w:r>
          </w:p>
        </w:tc>
        <w:tc>
          <w:tcPr>
            <w:tcW w:w="2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Increases related to tax positions taken in current year</w:t>
            </w:r>
          </w:p>
        </w:tc>
        <w:tc>
          <w:tcPr>
            <w:tcW w:w="26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660" w:type="dxa"/>
            <w:vAlign w:val="bottom"/>
            <w:gridSpan w:val="2"/>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2,339</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0" w:type="dxa"/>
            <w:vAlign w:val="bottom"/>
            <w:vMerge w:val="restart"/>
          </w:tcPr>
          <w:p>
            <w:pPr>
              <w:jc w:val="right"/>
              <w:ind w:right="1830"/>
              <w:spacing w:after="0"/>
              <w:rPr>
                <w:sz w:val="20"/>
                <w:szCs w:val="20"/>
                <w:color w:val="auto"/>
              </w:rPr>
            </w:pPr>
            <w:r>
              <w:rPr>
                <w:rFonts w:ascii="Arial" w:cs="Arial" w:eastAsia="Arial" w:hAnsi="Arial"/>
                <w:sz w:val="18"/>
                <w:szCs w:val="18"/>
                <w:color w:val="auto"/>
              </w:rPr>
              <w:t>126</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0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-659130</wp:posOffset>
            </wp:positionV>
            <wp:extent cx="685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March 10, 2023, Silicon Valley Bank ("SVB") in the United States was closed by the California Department of Financial Protection and Innovation, which appointed the Federal Deposit Insurance Corporation ("FDIC") as receiver. On March 12, 2023, the U.S. Department of the Treasury, Federal Reserve, and FDIC jointly announced that the FDIC will complete its resolution of SVB in a manner that fully protects all depositors. As of March 10, 2023, we held $2.7 million in collateral money market accounts supporting letters of credit issued by SVB to the Landlord in connection with the Initial Lease Agreement and Additional Lease Agreement. We are working with the Landlord to replace the letters of credit issued by SVB with letters of credit from a different financial institution.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6"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Our management, with the participation of our Chief Executive Officer and Chief Financial and Business Officer, evaluated the effectiveness of our disclosure controls and procedures as of December 31, 2022. Based on this evaluation, our Chief Executive Officer and Chief Financial and Business Officer concluded that, as of December 31, 2022, our disclosure controls and procedures were effective at the reasonable assurance level.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70"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and Business Officer, regarding the effectiveness of our internal control over financial reporting using the criteria set forth by the Committee of Sponsoring Organizations of the Treadway Commission (COSO) in Internal Control - Integrated Framework (2013). Based on this evaluation, our management concluded that our internal control over financial reporting was effective as of December 31,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management, including our Chief Executive Officer and our Chief Financial and Business Officer, believes that our disclosure controls and procedures and internal control over financial reporting are designed to provide reasonable assurance of achieving their objectives and are effective at the reasonable assurance level.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33" w:name="page134"/>
    <w:bookmarkEnd w:id="133"/>
    <w:p>
      <w:pPr>
        <w:spacing w:after="0" w:line="269" w:lineRule="auto"/>
        <w:rPr>
          <w:sz w:val="20"/>
          <w:szCs w:val="20"/>
          <w:color w:val="auto"/>
        </w:rPr>
      </w:pPr>
      <w:r>
        <w:rPr>
          <w:rFonts w:ascii="Arial" w:cs="Arial" w:eastAsia="Arial" w:hAnsi="Arial"/>
          <w:sz w:val="17"/>
          <w:szCs w:val="17"/>
          <w:color w:val="auto"/>
        </w:rPr>
        <w:t>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the collusion of two or more people or by management override of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4" w:name="page135"/>
    <w:bookmarkEnd w:id="134"/>
    <w:p>
      <w:pPr>
        <w:jc w:val="center"/>
        <w:ind w:left="4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adopted a written code of business ethics that applies to our Chief Executive Officer and senior financial officers and a code of business conduct and ethics that applies to directors, executive officers, and employees. A current copy of each code is posted under “Corporate Governance” on our website at https://ir.nkartatx.com/. To the extent required by rules adopted by the Securities and Exchange Commission and The Nasdaq Stock Market LLC, we intend to promptly disclose future amendments to certain provisions of the code, or waivers of such provisions granted to executive officers and directors, on our website at www.nkartatx.com/.</w:t>
      </w:r>
    </w:p>
    <w:p>
      <w:pPr>
        <w:spacing w:after="0" w:line="80"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remaining information required by this Item will be set forth in the Company’s proxy statement to be filed with the Securities and Exchange Commission within 120 days after the Company’s fiscal year end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ind w:left="55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900" w:hanging="35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540" w:hanging="513"/>
        <w:spacing w:after="0"/>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Financial Statements in Part II Item 8 of this Annual Report on Form 10-K.</w:t>
      </w:r>
    </w:p>
    <w:p>
      <w:pPr>
        <w:spacing w:after="0" w:line="117" w:lineRule="exact"/>
        <w:rPr>
          <w:rFonts w:ascii="Arial" w:cs="Arial" w:eastAsia="Arial" w:hAnsi="Arial"/>
          <w:sz w:val="18"/>
          <w:szCs w:val="18"/>
          <w:color w:val="auto"/>
        </w:rPr>
      </w:pPr>
    </w:p>
    <w:p>
      <w:pPr>
        <w:ind w:left="1540" w:hanging="513"/>
        <w:spacing w:after="0" w:line="308" w:lineRule="auto"/>
        <w:tabs>
          <w:tab w:leader="none" w:pos="1540"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None. All financial statement schedules are omitted because they are not applicable, not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instructions or the requested information is included in the financial statements or notes thereto.</w:t>
      </w:r>
    </w:p>
    <w:p>
      <w:pPr>
        <w:spacing w:after="0" w:line="38" w:lineRule="exact"/>
        <w:rPr>
          <w:rFonts w:ascii="Arial" w:cs="Arial" w:eastAsia="Arial" w:hAnsi="Arial"/>
          <w:sz w:val="17"/>
          <w:szCs w:val="17"/>
          <w:color w:val="auto"/>
        </w:rPr>
      </w:pPr>
    </w:p>
    <w:p>
      <w:pPr>
        <w:ind w:left="1540" w:hanging="513"/>
        <w:spacing w:after="0"/>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report or incorporated herein by reference:</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37" w:right="759" w:bottom="1440" w:gutter="0" w:footer="0" w:header="0"/>
        </w:sectPr>
      </w:pPr>
    </w:p>
    <w:bookmarkStart w:id="136" w:name="page137"/>
    <w:bookmarkEnd w:id="136"/>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8"/>
              </w:rPr>
              <w:t>Incorporated by Reference</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60" w:type="dxa"/>
            <w:vAlign w:val="bottom"/>
          </w:tcPr>
          <w:p>
            <w:pPr>
              <w:jc w:val="right"/>
              <w:ind w:right="252"/>
              <w:spacing w:after="0" w:line="133"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60" w:type="dxa"/>
            <w:vAlign w:val="bottom"/>
            <w:gridSpan w:val="22"/>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68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1"/>
                <w:szCs w:val="11"/>
                <w:color w:val="auto"/>
              </w:rPr>
            </w:pP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1"/>
                <w:szCs w:val="11"/>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160" w:type="dxa"/>
            <w:vAlign w:val="bottom"/>
          </w:tcPr>
          <w:p>
            <w:pPr>
              <w:jc w:val="right"/>
              <w:ind w:right="69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0000FF"/>
            </w:tcBorders>
            <w:gridSpan w:val="18"/>
          </w:tcPr>
          <w:p>
            <w:pPr>
              <w:spacing w:after="0"/>
              <w:rPr>
                <w:rFonts w:ascii="Arial" w:cs="Arial" w:eastAsia="Arial" w:hAnsi="Arial"/>
                <w:sz w:val="18"/>
                <w:szCs w:val="18"/>
                <w:color w:val="0000FF"/>
                <w:w w:val="91"/>
              </w:rPr>
            </w:pPr>
            <w:hyperlink r:id="rId308">
              <w:r>
                <w:rPr>
                  <w:rFonts w:ascii="Arial" w:cs="Arial" w:eastAsia="Arial" w:hAnsi="Arial"/>
                  <w:sz w:val="18"/>
                  <w:szCs w:val="18"/>
                  <w:color w:val="0000FF"/>
                  <w:w w:val="91"/>
                </w:rPr>
                <w:t>Amended and Restated Certificate of Incorporation of</w:t>
              </w:r>
            </w:hyperlink>
          </w:p>
        </w:tc>
        <w:tc>
          <w:tcPr>
            <w:tcW w:w="60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3.1</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7/14/2020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308">
              <w:r>
                <w:rPr>
                  <w:rFonts w:ascii="Arial" w:cs="Arial" w:eastAsia="Arial" w:hAnsi="Arial"/>
                  <w:sz w:val="18"/>
                  <w:szCs w:val="18"/>
                  <w:color w:val="0000FF"/>
                  <w:w w:val="89"/>
                </w:rPr>
                <w:t>Nkarta, Inc.</w:t>
              </w:r>
            </w:hyperlink>
          </w:p>
        </w:tc>
        <w:tc>
          <w:tcPr>
            <w:tcW w:w="20" w:type="dxa"/>
            <w:vAlign w:val="bottom"/>
            <w:tcBorders>
              <w:bottom w:val="single" w:sz="8" w:color="0000EE"/>
            </w:tcBorders>
          </w:tcPr>
          <w:p>
            <w:pPr>
              <w:spacing w:after="0"/>
              <w:rPr>
                <w:sz w:val="17"/>
                <w:szCs w:val="17"/>
                <w:color w:val="auto"/>
              </w:rPr>
            </w:pPr>
          </w:p>
        </w:tc>
        <w:tc>
          <w:tcPr>
            <w:tcW w:w="3660" w:type="dxa"/>
            <w:vAlign w:val="bottom"/>
            <w:gridSpan w:val="2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60" w:type="dxa"/>
            <w:vAlign w:val="bottom"/>
          </w:tcPr>
          <w:p>
            <w:pPr>
              <w:jc w:val="right"/>
              <w:ind w:right="69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13"/>
          </w:tcPr>
          <w:p>
            <w:pPr>
              <w:spacing w:after="0"/>
              <w:rPr>
                <w:rFonts w:ascii="Arial" w:cs="Arial" w:eastAsia="Arial" w:hAnsi="Arial"/>
                <w:sz w:val="18"/>
                <w:szCs w:val="18"/>
                <w:color w:val="0000FF"/>
                <w:w w:val="90"/>
              </w:rPr>
            </w:pPr>
            <w:hyperlink r:id="rId309">
              <w:r>
                <w:rPr>
                  <w:rFonts w:ascii="Arial" w:cs="Arial" w:eastAsia="Arial" w:hAnsi="Arial"/>
                  <w:sz w:val="18"/>
                  <w:szCs w:val="18"/>
                  <w:color w:val="0000FF"/>
                  <w:w w:val="90"/>
                </w:rPr>
                <w:t>Amended and Restated Bylaws of Nkarta, Inc.</w:t>
              </w:r>
            </w:hyperlink>
          </w:p>
        </w:tc>
        <w:tc>
          <w:tcPr>
            <w:tcW w:w="20" w:type="dxa"/>
            <w:vAlign w:val="bottom"/>
            <w:tcBorders>
              <w:bottom w:val="single" w:sz="8" w:color="0000EE"/>
            </w:tcBorders>
          </w:tcPr>
          <w:p>
            <w:pPr>
              <w:spacing w:after="0"/>
              <w:rPr>
                <w:sz w:val="24"/>
                <w:szCs w:val="24"/>
                <w:color w:val="auto"/>
              </w:rPr>
            </w:pPr>
          </w:p>
        </w:tc>
        <w:tc>
          <w:tcPr>
            <w:tcW w:w="116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7/14/2020</w:t>
            </w:r>
          </w:p>
        </w:tc>
        <w:tc>
          <w:tcPr>
            <w:tcW w:w="0" w:type="dxa"/>
            <w:vAlign w:val="bottom"/>
          </w:tcPr>
          <w:p>
            <w:pPr>
              <w:spacing w:after="0"/>
              <w:rPr>
                <w:sz w:val="1"/>
                <w:szCs w:val="1"/>
                <w:color w:val="auto"/>
              </w:rPr>
            </w:pPr>
          </w:p>
        </w:tc>
      </w:tr>
      <w:tr>
        <w:trPr>
          <w:trHeight w:val="372"/>
        </w:trPr>
        <w:tc>
          <w:tcPr>
            <w:tcW w:w="1160" w:type="dxa"/>
            <w:vAlign w:val="bottom"/>
          </w:tcPr>
          <w:p>
            <w:pPr>
              <w:jc w:val="right"/>
              <w:ind w:right="69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FF"/>
            </w:tcBorders>
            <w:gridSpan w:val="17"/>
          </w:tcPr>
          <w:p>
            <w:pPr>
              <w:spacing w:after="0"/>
              <w:rPr>
                <w:rFonts w:ascii="Arial" w:cs="Arial" w:eastAsia="Arial" w:hAnsi="Arial"/>
                <w:sz w:val="18"/>
                <w:szCs w:val="18"/>
                <w:color w:val="0000FF"/>
                <w:w w:val="91"/>
              </w:rPr>
            </w:pPr>
            <w:hyperlink r:id="rId310">
              <w:r>
                <w:rPr>
                  <w:rFonts w:ascii="Arial" w:cs="Arial" w:eastAsia="Arial" w:hAnsi="Arial"/>
                  <w:sz w:val="18"/>
                  <w:szCs w:val="18"/>
                  <w:color w:val="0000FF"/>
                  <w:w w:val="91"/>
                </w:rPr>
                <w:t>Form of Common Stock Certificate of the Registrant.</w:t>
              </w:r>
            </w:hyperlink>
          </w:p>
        </w:tc>
        <w:tc>
          <w:tcPr>
            <w:tcW w:w="660" w:type="dxa"/>
            <w:vAlign w:val="bottom"/>
            <w:gridSpan w:val="11"/>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372"/>
        </w:trPr>
        <w:tc>
          <w:tcPr>
            <w:tcW w:w="1160" w:type="dxa"/>
            <w:vAlign w:val="bottom"/>
          </w:tcPr>
          <w:p>
            <w:pPr>
              <w:jc w:val="right"/>
              <w:ind w:right="69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25"/>
          </w:tcPr>
          <w:p>
            <w:pPr>
              <w:spacing w:after="0"/>
              <w:rPr>
                <w:rFonts w:ascii="Arial" w:cs="Arial" w:eastAsia="Arial" w:hAnsi="Arial"/>
                <w:sz w:val="18"/>
                <w:szCs w:val="18"/>
                <w:color w:val="0000FF"/>
                <w:w w:val="90"/>
              </w:rPr>
            </w:pPr>
            <w:hyperlink r:id="rId311">
              <w:r>
                <w:rPr>
                  <w:rFonts w:ascii="Arial" w:cs="Arial" w:eastAsia="Arial" w:hAnsi="Arial"/>
                  <w:sz w:val="18"/>
                  <w:szCs w:val="18"/>
                  <w:color w:val="0000FF"/>
                  <w:w w:val="90"/>
                </w:rPr>
                <w:t>Amended and Restated Investors’ Rights Agreement, dated</w:t>
              </w:r>
            </w:hyperlink>
          </w:p>
        </w:tc>
        <w:tc>
          <w:tcPr>
            <w:tcW w:w="20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11">
              <w:r>
                <w:rPr>
                  <w:rFonts w:ascii="Arial" w:cs="Arial" w:eastAsia="Arial" w:hAnsi="Arial"/>
                  <w:sz w:val="18"/>
                  <w:szCs w:val="18"/>
                  <w:color w:val="0000FF"/>
                  <w:w w:val="90"/>
                </w:rPr>
                <w:t>as of August 27, 2019, by and among Nkarta, Inc. and</w:t>
              </w:r>
            </w:hyperlink>
          </w:p>
        </w:tc>
        <w:tc>
          <w:tcPr>
            <w:tcW w:w="60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311">
              <w:r>
                <w:rPr>
                  <w:rFonts w:ascii="Arial" w:cs="Arial" w:eastAsia="Arial" w:hAnsi="Arial"/>
                  <w:sz w:val="18"/>
                  <w:szCs w:val="18"/>
                  <w:color w:val="0000FF"/>
                </w:rPr>
                <w:t>certain of its stockholders.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tcPr>
          <w:p>
            <w:pPr>
              <w:jc w:val="right"/>
              <w:ind w:right="69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28"/>
          </w:tcPr>
          <w:p>
            <w:pPr>
              <w:spacing w:after="0"/>
              <w:rPr>
                <w:rFonts w:ascii="Arial" w:cs="Arial" w:eastAsia="Arial" w:hAnsi="Arial"/>
                <w:sz w:val="18"/>
                <w:szCs w:val="18"/>
                <w:color w:val="0000FF"/>
              </w:rPr>
            </w:pPr>
            <w:hyperlink r:id="rId312">
              <w:r>
                <w:rPr>
                  <w:rFonts w:ascii="Arial" w:cs="Arial" w:eastAsia="Arial" w:hAnsi="Arial"/>
                  <w:sz w:val="18"/>
                  <w:szCs w:val="18"/>
                  <w:color w:val="0000FF"/>
                </w:rPr>
                <w:t>Description of Capital Stock</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4.3</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3/25/2021</w:t>
            </w: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632"/>
              <w:spacing w:after="0"/>
              <w:rPr>
                <w:sz w:val="20"/>
                <w:szCs w:val="20"/>
                <w:color w:val="auto"/>
              </w:rPr>
            </w:pPr>
            <w:r>
              <w:rPr>
                <w:rFonts w:ascii="Arial" w:cs="Arial" w:eastAsia="Arial" w:hAnsi="Arial"/>
                <w:sz w:val="18"/>
                <w:szCs w:val="18"/>
                <w:color w:val="auto"/>
                <w:w w:val="95"/>
              </w:rPr>
              <w:t>10.1</w:t>
            </w:r>
            <w:r>
              <w:rPr>
                <w:rFonts w:ascii="Arial" w:cs="Arial" w:eastAsia="Arial" w:hAnsi="Arial"/>
                <w:sz w:val="24"/>
                <w:szCs w:val="24"/>
                <w:color w:val="auto"/>
                <w:w w:val="95"/>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FF"/>
            </w:tcBorders>
            <w:gridSpan w:val="22"/>
          </w:tcPr>
          <w:p>
            <w:pPr>
              <w:spacing w:after="0"/>
              <w:rPr>
                <w:rFonts w:ascii="Arial" w:cs="Arial" w:eastAsia="Arial" w:hAnsi="Arial"/>
                <w:sz w:val="18"/>
                <w:szCs w:val="18"/>
                <w:color w:val="0000FF"/>
                <w:w w:val="93"/>
              </w:rPr>
            </w:pPr>
            <w:hyperlink r:id="rId313">
              <w:r>
                <w:rPr>
                  <w:rFonts w:ascii="Arial" w:cs="Arial" w:eastAsia="Arial" w:hAnsi="Arial"/>
                  <w:sz w:val="18"/>
                  <w:szCs w:val="18"/>
                  <w:color w:val="0000FF"/>
                  <w:w w:val="93"/>
                </w:rPr>
                <w:t>Form of Indemnification Agreement between Nkarta, Inc.</w:t>
              </w:r>
            </w:hyperlink>
          </w:p>
        </w:tc>
        <w:tc>
          <w:tcPr>
            <w:tcW w:w="30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10.1</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313">
              <w:r>
                <w:rPr>
                  <w:rFonts w:ascii="Arial" w:cs="Arial" w:eastAsia="Arial" w:hAnsi="Arial"/>
                  <w:sz w:val="18"/>
                  <w:szCs w:val="18"/>
                  <w:color w:val="0000FF"/>
                  <w:w w:val="89"/>
                </w:rPr>
                <w:t>and each of its directors and executive officers.</w:t>
              </w:r>
            </w:hyperlink>
          </w:p>
        </w:tc>
        <w:tc>
          <w:tcPr>
            <w:tcW w:w="114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60" w:type="dxa"/>
            <w:vAlign w:val="bottom"/>
          </w:tcPr>
          <w:p>
            <w:pPr>
              <w:jc w:val="right"/>
              <w:ind w:right="372"/>
              <w:spacing w:after="0"/>
              <w:rPr>
                <w:sz w:val="20"/>
                <w:szCs w:val="20"/>
                <w:color w:val="auto"/>
              </w:rPr>
            </w:pPr>
            <w:r>
              <w:rPr>
                <w:rFonts w:ascii="Arial" w:cs="Arial" w:eastAsia="Arial" w:hAnsi="Arial"/>
                <w:sz w:val="18"/>
                <w:szCs w:val="18"/>
                <w:color w:val="auto"/>
              </w:rPr>
              <w:t>10.2(A)</w:t>
            </w:r>
            <w:r>
              <w:rPr>
                <w:rFonts w:ascii="Arial" w:cs="Arial" w:eastAsia="Arial" w:hAnsi="Arial"/>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Borders>
              <w:bottom w:val="single" w:sz="8" w:color="0000FF"/>
            </w:tcBorders>
            <w:gridSpan w:val="6"/>
          </w:tcPr>
          <w:p>
            <w:pPr>
              <w:spacing w:after="0"/>
              <w:rPr>
                <w:rFonts w:ascii="Arial" w:cs="Arial" w:eastAsia="Arial" w:hAnsi="Arial"/>
                <w:sz w:val="18"/>
                <w:szCs w:val="18"/>
                <w:color w:val="0000FF"/>
                <w:w w:val="91"/>
              </w:rPr>
            </w:pPr>
            <w:hyperlink r:id="rId314">
              <w:r>
                <w:rPr>
                  <w:rFonts w:ascii="Arial" w:cs="Arial" w:eastAsia="Arial" w:hAnsi="Arial"/>
                  <w:sz w:val="18"/>
                  <w:szCs w:val="18"/>
                  <w:color w:val="0000FF"/>
                  <w:w w:val="91"/>
                </w:rPr>
                <w:t>2015 Equity Incentive Plan.</w:t>
              </w:r>
            </w:hyperlink>
          </w:p>
        </w:tc>
        <w:tc>
          <w:tcPr>
            <w:tcW w:w="2480" w:type="dxa"/>
            <w:vAlign w:val="bottom"/>
            <w:gridSpan w:val="22"/>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10.2</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6/19/2020</w:t>
            </w:r>
          </w:p>
        </w:tc>
        <w:tc>
          <w:tcPr>
            <w:tcW w:w="0" w:type="dxa"/>
            <w:vAlign w:val="bottom"/>
          </w:tcPr>
          <w:p>
            <w:pPr>
              <w:spacing w:after="0"/>
              <w:rPr>
                <w:sz w:val="1"/>
                <w:szCs w:val="1"/>
                <w:color w:val="auto"/>
              </w:rPr>
            </w:pPr>
          </w:p>
        </w:tc>
      </w:tr>
      <w:tr>
        <w:trPr>
          <w:trHeight w:val="372"/>
        </w:trPr>
        <w:tc>
          <w:tcPr>
            <w:tcW w:w="1160" w:type="dxa"/>
            <w:vAlign w:val="bottom"/>
          </w:tcPr>
          <w:p>
            <w:pPr>
              <w:jc w:val="right"/>
              <w:ind w:right="392"/>
              <w:spacing w:after="0"/>
              <w:rPr>
                <w:sz w:val="20"/>
                <w:szCs w:val="20"/>
                <w:color w:val="auto"/>
              </w:rPr>
            </w:pPr>
            <w:r>
              <w:rPr>
                <w:rFonts w:ascii="Arial" w:cs="Arial" w:eastAsia="Arial" w:hAnsi="Arial"/>
                <w:sz w:val="18"/>
                <w:szCs w:val="18"/>
                <w:color w:val="auto"/>
                <w:w w:val="97"/>
              </w:rPr>
              <w:t>10.2(B)</w:t>
            </w:r>
            <w:r>
              <w:rPr>
                <w:rFonts w:ascii="Arial" w:cs="Arial" w:eastAsia="Arial" w:hAnsi="Arial"/>
                <w:sz w:val="24"/>
                <w:szCs w:val="24"/>
                <w:color w:val="auto"/>
                <w:w w:val="97"/>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16"/>
          </w:tcPr>
          <w:p>
            <w:pPr>
              <w:spacing w:after="0"/>
              <w:rPr>
                <w:rFonts w:ascii="Arial" w:cs="Arial" w:eastAsia="Arial" w:hAnsi="Arial"/>
                <w:sz w:val="18"/>
                <w:szCs w:val="18"/>
                <w:color w:val="0000FF"/>
                <w:w w:val="93"/>
              </w:rPr>
            </w:pPr>
            <w:hyperlink r:id="rId315">
              <w:r>
                <w:rPr>
                  <w:rFonts w:ascii="Arial" w:cs="Arial" w:eastAsia="Arial" w:hAnsi="Arial"/>
                  <w:sz w:val="18"/>
                  <w:szCs w:val="18"/>
                  <w:color w:val="0000FF"/>
                  <w:w w:val="93"/>
                </w:rPr>
                <w:t>Form of Stock Option Agreement for 2015 Equity</w:t>
              </w:r>
            </w:hyperlink>
          </w:p>
        </w:tc>
        <w:tc>
          <w:tcPr>
            <w:tcW w:w="880" w:type="dxa"/>
            <w:vAlign w:val="bottom"/>
            <w:gridSpan w:val="12"/>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10.3</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315">
              <w:r>
                <w:rPr>
                  <w:rFonts w:ascii="Arial" w:cs="Arial" w:eastAsia="Arial" w:hAnsi="Arial"/>
                  <w:sz w:val="18"/>
                  <w:szCs w:val="18"/>
                  <w:color w:val="0000FF"/>
                </w:rPr>
                <w:t>Incentive 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372"/>
              <w:spacing w:after="0"/>
              <w:rPr>
                <w:sz w:val="20"/>
                <w:szCs w:val="20"/>
                <w:color w:val="auto"/>
              </w:rPr>
            </w:pPr>
            <w:r>
              <w:rPr>
                <w:rFonts w:ascii="Arial" w:cs="Arial" w:eastAsia="Arial" w:hAnsi="Arial"/>
                <w:sz w:val="18"/>
                <w:szCs w:val="18"/>
                <w:color w:val="auto"/>
              </w:rPr>
              <w:t>10.3(A)</w:t>
            </w:r>
            <w:r>
              <w:rPr>
                <w:rFonts w:ascii="Arial" w:cs="Arial" w:eastAsia="Arial" w:hAnsi="Arial"/>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Borders>
              <w:bottom w:val="single" w:sz="8" w:color="0000FF"/>
            </w:tcBorders>
            <w:gridSpan w:val="8"/>
          </w:tcPr>
          <w:p>
            <w:pPr>
              <w:spacing w:after="0"/>
              <w:rPr>
                <w:rFonts w:ascii="Arial" w:cs="Arial" w:eastAsia="Arial" w:hAnsi="Arial"/>
                <w:sz w:val="18"/>
                <w:szCs w:val="18"/>
                <w:color w:val="0000FF"/>
                <w:w w:val="89"/>
              </w:rPr>
            </w:pPr>
            <w:hyperlink r:id="rId316">
              <w:r>
                <w:rPr>
                  <w:rFonts w:ascii="Arial" w:cs="Arial" w:eastAsia="Arial" w:hAnsi="Arial"/>
                  <w:sz w:val="18"/>
                  <w:szCs w:val="18"/>
                  <w:color w:val="0000FF"/>
                  <w:w w:val="89"/>
                </w:rPr>
                <w:t>2020 Performance Incentive Plan.</w:t>
              </w:r>
            </w:hyperlink>
          </w:p>
        </w:tc>
        <w:tc>
          <w:tcPr>
            <w:tcW w:w="20" w:type="dxa"/>
            <w:vAlign w:val="bottom"/>
            <w:tcBorders>
              <w:bottom w:val="single" w:sz="8" w:color="0000EE"/>
            </w:tcBorders>
          </w:tcPr>
          <w:p>
            <w:pPr>
              <w:spacing w:after="0"/>
              <w:rPr>
                <w:sz w:val="24"/>
                <w:szCs w:val="24"/>
                <w:color w:val="auto"/>
              </w:rPr>
            </w:pPr>
          </w:p>
        </w:tc>
        <w:tc>
          <w:tcPr>
            <w:tcW w:w="2060" w:type="dxa"/>
            <w:vAlign w:val="bottom"/>
            <w:gridSpan w:val="19"/>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10.4</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371"/>
        </w:trPr>
        <w:tc>
          <w:tcPr>
            <w:tcW w:w="1160" w:type="dxa"/>
            <w:vAlign w:val="bottom"/>
          </w:tcPr>
          <w:p>
            <w:pPr>
              <w:jc w:val="right"/>
              <w:ind w:right="392"/>
              <w:spacing w:after="0"/>
              <w:rPr>
                <w:sz w:val="20"/>
                <w:szCs w:val="20"/>
                <w:color w:val="auto"/>
              </w:rPr>
            </w:pPr>
            <w:r>
              <w:rPr>
                <w:rFonts w:ascii="Arial" w:cs="Arial" w:eastAsia="Arial" w:hAnsi="Arial"/>
                <w:sz w:val="18"/>
                <w:szCs w:val="18"/>
                <w:color w:val="auto"/>
                <w:w w:val="97"/>
              </w:rPr>
              <w:t>10.3(B)</w:t>
            </w:r>
            <w:r>
              <w:rPr>
                <w:rFonts w:ascii="Arial" w:cs="Arial" w:eastAsia="Arial" w:hAnsi="Arial"/>
                <w:sz w:val="24"/>
                <w:szCs w:val="24"/>
                <w:color w:val="auto"/>
                <w:w w:val="97"/>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rFonts w:ascii="Arial" w:cs="Arial" w:eastAsia="Arial" w:hAnsi="Arial"/>
                <w:sz w:val="18"/>
                <w:szCs w:val="18"/>
                <w:color w:val="0000FF"/>
                <w:w w:val="92"/>
              </w:rPr>
            </w:pPr>
            <w:hyperlink r:id="rId317">
              <w:r>
                <w:rPr>
                  <w:rFonts w:ascii="Arial" w:cs="Arial" w:eastAsia="Arial" w:hAnsi="Arial"/>
                  <w:sz w:val="18"/>
                  <w:szCs w:val="18"/>
                  <w:color w:val="0000FF"/>
                  <w:w w:val="92"/>
                </w:rPr>
                <w:t>Form of Director Option Agreement between Nkarta, Inc.</w:t>
              </w:r>
            </w:hyperlink>
          </w:p>
        </w:tc>
        <w:tc>
          <w:tcPr>
            <w:tcW w:w="32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10.5</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8/20/2020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317">
              <w:r>
                <w:rPr>
                  <w:rFonts w:ascii="Arial" w:cs="Arial" w:eastAsia="Arial" w:hAnsi="Arial"/>
                  <w:sz w:val="18"/>
                  <w:szCs w:val="18"/>
                  <w:color w:val="0000FF"/>
                </w:rPr>
                <w:t>and certain of its directors.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392"/>
              <w:spacing w:after="0"/>
              <w:rPr>
                <w:sz w:val="20"/>
                <w:szCs w:val="20"/>
                <w:color w:val="auto"/>
              </w:rPr>
            </w:pPr>
            <w:r>
              <w:rPr>
                <w:rFonts w:ascii="Arial" w:cs="Arial" w:eastAsia="Arial" w:hAnsi="Arial"/>
                <w:sz w:val="18"/>
                <w:szCs w:val="18"/>
                <w:color w:val="auto"/>
                <w:w w:val="95"/>
              </w:rPr>
              <w:t>10.3(C)</w:t>
            </w:r>
            <w:r>
              <w:rPr>
                <w:rFonts w:ascii="Arial" w:cs="Arial" w:eastAsia="Arial" w:hAnsi="Arial"/>
                <w:sz w:val="24"/>
                <w:szCs w:val="24"/>
                <w:color w:val="auto"/>
                <w:w w:val="95"/>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2"/>
              </w:rPr>
              <w:t>Form of Director Option Agreement between Nkarta, Inc.</w:t>
            </w:r>
          </w:p>
        </w:tc>
        <w:tc>
          <w:tcPr>
            <w:tcW w:w="32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sz w:val="20"/>
                <w:szCs w:val="20"/>
                <w:color w:val="auto"/>
              </w:rPr>
            </w:pPr>
            <w:r>
              <w:rPr>
                <w:rFonts w:ascii="Arial" w:cs="Arial" w:eastAsia="Arial" w:hAnsi="Arial"/>
                <w:sz w:val="18"/>
                <w:szCs w:val="18"/>
                <w:color w:val="0000FF"/>
              </w:rPr>
              <w:t>and certain of its directors.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372"/>
              <w:spacing w:after="0"/>
              <w:rPr>
                <w:sz w:val="20"/>
                <w:szCs w:val="20"/>
                <w:color w:val="auto"/>
              </w:rPr>
            </w:pPr>
            <w:r>
              <w:rPr>
                <w:rFonts w:ascii="Arial" w:cs="Arial" w:eastAsia="Arial" w:hAnsi="Arial"/>
                <w:sz w:val="18"/>
                <w:szCs w:val="18"/>
                <w:color w:val="auto"/>
                <w:w w:val="98"/>
              </w:rPr>
              <w:t>10.3(D)</w:t>
            </w:r>
            <w:r>
              <w:rPr>
                <w:rFonts w:ascii="Arial" w:cs="Arial" w:eastAsia="Arial" w:hAnsi="Arial"/>
                <w:sz w:val="24"/>
                <w:szCs w:val="24"/>
                <w:color w:val="auto"/>
                <w:w w:val="98"/>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0"/>
          </w:tcPr>
          <w:p>
            <w:pPr>
              <w:spacing w:after="0"/>
              <w:rPr>
                <w:rFonts w:ascii="Arial" w:cs="Arial" w:eastAsia="Arial" w:hAnsi="Arial"/>
                <w:sz w:val="18"/>
                <w:szCs w:val="18"/>
                <w:color w:val="0000FF"/>
                <w:w w:val="92"/>
              </w:rPr>
            </w:pPr>
            <w:hyperlink r:id="rId318">
              <w:r>
                <w:rPr>
                  <w:rFonts w:ascii="Arial" w:cs="Arial" w:eastAsia="Arial" w:hAnsi="Arial"/>
                  <w:sz w:val="18"/>
                  <w:szCs w:val="18"/>
                  <w:color w:val="0000FF"/>
                  <w:w w:val="92"/>
                </w:rPr>
                <w:t>Form of non-qualified Stock Option Agreement between</w:t>
              </w:r>
            </w:hyperlink>
          </w:p>
        </w:tc>
        <w:tc>
          <w:tcPr>
            <w:tcW w:w="40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10.6</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8/20/2020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318">
              <w:r>
                <w:rPr>
                  <w:rFonts w:ascii="Arial" w:cs="Arial" w:eastAsia="Arial" w:hAnsi="Arial"/>
                  <w:sz w:val="18"/>
                  <w:szCs w:val="18"/>
                  <w:color w:val="0000FF"/>
                </w:rPr>
                <w:t>Nkarta, Inc. and certain of its officers and employees.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10.3(E)</w:t>
            </w:r>
            <w:r>
              <w:rPr>
                <w:rFonts w:ascii="Arial" w:cs="Arial" w:eastAsia="Arial" w:hAnsi="Arial"/>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2"/>
              </w:rPr>
              <w:t>Form of non-qualified Stock Option Agreement between</w:t>
            </w:r>
          </w:p>
        </w:tc>
        <w:tc>
          <w:tcPr>
            <w:tcW w:w="40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sz w:val="20"/>
                <w:szCs w:val="20"/>
                <w:color w:val="auto"/>
              </w:rPr>
            </w:pPr>
            <w:r>
              <w:rPr>
                <w:rFonts w:ascii="Arial" w:cs="Arial" w:eastAsia="Arial" w:hAnsi="Arial"/>
                <w:sz w:val="18"/>
                <w:szCs w:val="18"/>
                <w:color w:val="0000FF"/>
              </w:rPr>
              <w:t>Nkarta, Inc. and certain of its officers and employees.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10.3(F)</w:t>
            </w:r>
            <w:r>
              <w:rPr>
                <w:rFonts w:ascii="Arial" w:cs="Arial" w:eastAsia="Arial" w:hAnsi="Arial"/>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1"/>
              </w:rPr>
              <w:t>Form of Restricted Stock Unit Agreement between Nkarta,</w:t>
            </w:r>
          </w:p>
        </w:tc>
        <w:tc>
          <w:tcPr>
            <w:tcW w:w="24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sz w:val="20"/>
                <w:szCs w:val="20"/>
                <w:color w:val="auto"/>
              </w:rPr>
            </w:pPr>
            <w:r>
              <w:rPr>
                <w:rFonts w:ascii="Arial" w:cs="Arial" w:eastAsia="Arial" w:hAnsi="Arial"/>
                <w:sz w:val="18"/>
                <w:szCs w:val="18"/>
                <w:color w:val="0000FF"/>
              </w:rPr>
              <w:t>Inc. and certain of its officers and employees.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5"/>
              </w:rPr>
              <w:t>10.4</w:t>
            </w:r>
            <w:r>
              <w:rPr>
                <w:rFonts w:ascii="Arial" w:cs="Arial" w:eastAsia="Arial" w:hAnsi="Arial"/>
                <w:sz w:val="24"/>
                <w:szCs w:val="24"/>
                <w:color w:val="auto"/>
                <w:w w:val="95"/>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8"/>
              </w:rPr>
            </w:pPr>
            <w:hyperlink r:id="rId319">
              <w:r>
                <w:rPr>
                  <w:rFonts w:ascii="Arial" w:cs="Arial" w:eastAsia="Arial" w:hAnsi="Arial"/>
                  <w:sz w:val="18"/>
                  <w:szCs w:val="18"/>
                  <w:color w:val="0000FF"/>
                  <w:w w:val="88"/>
                </w:rPr>
                <w:t>2020 Employee Stock Purchase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60" w:type="dxa"/>
            <w:vAlign w:val="bottom"/>
            <w:gridSpan w:val="16"/>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10.5</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7/2/2020</w:t>
            </w:r>
          </w:p>
        </w:tc>
        <w:tc>
          <w:tcPr>
            <w:tcW w:w="0" w:type="dxa"/>
            <w:vAlign w:val="bottom"/>
          </w:tcPr>
          <w:p>
            <w:pPr>
              <w:spacing w:after="0"/>
              <w:rPr>
                <w:sz w:val="1"/>
                <w:szCs w:val="1"/>
                <w:color w:val="auto"/>
              </w:rPr>
            </w:pPr>
          </w:p>
        </w:tc>
      </w:tr>
      <w:tr>
        <w:trPr>
          <w:trHeight w:val="372"/>
        </w:trPr>
        <w:tc>
          <w:tcPr>
            <w:tcW w:w="1160" w:type="dxa"/>
            <w:vAlign w:val="bottom"/>
          </w:tcPr>
          <w:p>
            <w:pPr>
              <w:jc w:val="right"/>
              <w:ind w:right="632"/>
              <w:spacing w:after="0"/>
              <w:rPr>
                <w:sz w:val="20"/>
                <w:szCs w:val="20"/>
                <w:color w:val="auto"/>
              </w:rPr>
            </w:pPr>
            <w:r>
              <w:rPr>
                <w:rFonts w:ascii="Arial" w:cs="Arial" w:eastAsia="Arial" w:hAnsi="Arial"/>
                <w:sz w:val="18"/>
                <w:szCs w:val="18"/>
                <w:color w:val="auto"/>
                <w:w w:val="95"/>
              </w:rPr>
              <w:t>10.5</w:t>
            </w:r>
            <w:r>
              <w:rPr>
                <w:rFonts w:ascii="Arial" w:cs="Arial" w:eastAsia="Arial" w:hAnsi="Arial"/>
                <w:sz w:val="24"/>
                <w:szCs w:val="24"/>
                <w:color w:val="auto"/>
                <w:w w:val="95"/>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24"/>
          </w:tcPr>
          <w:p>
            <w:pPr>
              <w:spacing w:after="0"/>
              <w:rPr>
                <w:rFonts w:ascii="Arial" w:cs="Arial" w:eastAsia="Arial" w:hAnsi="Arial"/>
                <w:sz w:val="18"/>
                <w:szCs w:val="18"/>
                <w:color w:val="0000FF"/>
                <w:w w:val="92"/>
              </w:rPr>
            </w:pPr>
            <w:hyperlink r:id="rId320">
              <w:r>
                <w:rPr>
                  <w:rFonts w:ascii="Arial" w:cs="Arial" w:eastAsia="Arial" w:hAnsi="Arial"/>
                  <w:sz w:val="18"/>
                  <w:szCs w:val="18"/>
                  <w:color w:val="0000FF"/>
                  <w:w w:val="92"/>
                </w:rPr>
                <w:t>Nkarta, Inc. Non-Employee Director Compensation Policy,</w:t>
              </w:r>
            </w:hyperlink>
          </w:p>
        </w:tc>
        <w:tc>
          <w:tcPr>
            <w:tcW w:w="22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001-39370</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10.5</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3/17/2022</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28"/>
          </w:tcPr>
          <w:p>
            <w:pPr>
              <w:spacing w:after="0" w:line="196" w:lineRule="exact"/>
              <w:rPr>
                <w:rFonts w:ascii="Arial" w:cs="Arial" w:eastAsia="Arial" w:hAnsi="Arial"/>
                <w:sz w:val="18"/>
                <w:szCs w:val="18"/>
                <w:color w:val="0000FF"/>
              </w:rPr>
            </w:pPr>
            <w:hyperlink r:id="rId320">
              <w:r>
                <w:rPr>
                  <w:rFonts w:ascii="Arial" w:cs="Arial" w:eastAsia="Arial" w:hAnsi="Arial"/>
                  <w:sz w:val="18"/>
                  <w:szCs w:val="18"/>
                  <w:color w:val="0000FF"/>
                </w:rPr>
                <w:t>as amended on March 16, 2022.</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372"/>
              <w:spacing w:after="0"/>
              <w:rPr>
                <w:sz w:val="20"/>
                <w:szCs w:val="20"/>
                <w:color w:val="auto"/>
              </w:rPr>
            </w:pPr>
            <w:r>
              <w:rPr>
                <w:rFonts w:ascii="Arial" w:cs="Arial" w:eastAsia="Arial" w:hAnsi="Arial"/>
                <w:sz w:val="18"/>
                <w:szCs w:val="18"/>
                <w:color w:val="auto"/>
              </w:rPr>
              <w:t>10.6(A)</w:t>
            </w:r>
            <w:r>
              <w:rPr>
                <w:rFonts w:ascii="Arial" w:cs="Arial" w:eastAsia="Arial" w:hAnsi="Arial"/>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6"/>
            <w:shd w:val="clear" w:color="auto" w:fill="0000FF"/>
          </w:tcPr>
          <w:p>
            <w:pPr>
              <w:spacing w:after="0" w:line="20" w:lineRule="exact"/>
              <w:rPr>
                <w:sz w:val="1"/>
                <w:szCs w:val="1"/>
                <w:color w:val="auto"/>
              </w:rPr>
            </w:pPr>
          </w:p>
        </w:tc>
        <w:tc>
          <w:tcPr>
            <w:tcW w:w="1780" w:type="dxa"/>
            <w:vAlign w:val="bottom"/>
            <w:gridSpan w:val="12"/>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bottom w:val="single" w:sz="8" w:color="0000FF"/>
            </w:tcBorders>
            <w:gridSpan w:val="19"/>
          </w:tcPr>
          <w:p>
            <w:pPr>
              <w:spacing w:after="0"/>
              <w:rPr>
                <w:rFonts w:ascii="Arial" w:cs="Arial" w:eastAsia="Arial" w:hAnsi="Arial"/>
                <w:sz w:val="18"/>
                <w:szCs w:val="18"/>
                <w:color w:val="0000FF"/>
                <w:w w:val="91"/>
              </w:rPr>
            </w:pPr>
            <w:hyperlink r:id="rId321">
              <w:r>
                <w:rPr>
                  <w:rFonts w:ascii="Arial" w:cs="Arial" w:eastAsia="Arial" w:hAnsi="Arial"/>
                  <w:sz w:val="18"/>
                  <w:szCs w:val="18"/>
                  <w:color w:val="0000FF"/>
                  <w:w w:val="91"/>
                </w:rPr>
                <w:t>Employment Offer Letter between Nkarta, Inc. and Paul</w:t>
              </w:r>
            </w:hyperlink>
          </w:p>
        </w:tc>
        <w:tc>
          <w:tcPr>
            <w:tcW w:w="440" w:type="dxa"/>
            <w:vAlign w:val="bottom"/>
            <w:gridSpan w:val="9"/>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333-239301</w:t>
            </w:r>
          </w:p>
        </w:tc>
        <w:tc>
          <w:tcPr>
            <w:tcW w:w="9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10.6</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rFonts w:ascii="Arial" w:cs="Arial" w:eastAsia="Arial" w:hAnsi="Arial"/>
                <w:sz w:val="18"/>
                <w:szCs w:val="18"/>
                <w:color w:val="0000FF"/>
                <w:w w:val="85"/>
              </w:rPr>
            </w:pPr>
            <w:hyperlink r:id="rId321">
              <w:r>
                <w:rPr>
                  <w:rFonts w:ascii="Arial" w:cs="Arial" w:eastAsia="Arial" w:hAnsi="Arial"/>
                  <w:sz w:val="18"/>
                  <w:szCs w:val="18"/>
                  <w:color w:val="0000FF"/>
                  <w:w w:val="85"/>
                </w:rPr>
                <w:t>Hastings.</w:t>
              </w:r>
            </w:hyperlink>
          </w:p>
        </w:tc>
        <w:tc>
          <w:tcPr>
            <w:tcW w:w="3860" w:type="dxa"/>
            <w:vAlign w:val="bottom"/>
            <w:gridSpan w:val="27"/>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160" w:type="dxa"/>
            <w:vAlign w:val="bottom"/>
          </w:tcPr>
          <w:p>
            <w:pPr>
              <w:spacing w:after="0"/>
              <w:rPr>
                <w:sz w:val="24"/>
                <w:szCs w:val="24"/>
                <w:color w:val="auto"/>
              </w:rPr>
            </w:pPr>
          </w:p>
        </w:tc>
        <w:tc>
          <w:tcPr>
            <w:tcW w:w="4680" w:type="dxa"/>
            <w:vAlign w:val="bottom"/>
            <w:gridSpan w:val="30"/>
          </w:tcPr>
          <w:p>
            <w:pPr>
              <w:jc w:val="right"/>
              <w:ind w:right="80"/>
              <w:spacing w:after="0"/>
              <w:rPr>
                <w:sz w:val="20"/>
                <w:szCs w:val="20"/>
                <w:color w:val="auto"/>
              </w:rPr>
            </w:pPr>
            <w:r>
              <w:rPr>
                <w:rFonts w:ascii="Arial" w:cs="Arial" w:eastAsia="Arial" w:hAnsi="Arial"/>
                <w:sz w:val="18"/>
                <w:szCs w:val="18"/>
                <w:color w:val="auto"/>
              </w:rPr>
              <w:t>132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180" w:space="300"/>
            <w:col w:w="560"/>
          </w:cols>
          <w:pgMar w:left="320" w:top="337" w:right="5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76"/>
        </w:trPr>
        <w:tc>
          <w:tcPr>
            <w:tcW w:w="1280" w:type="dxa"/>
            <w:vAlign w:val="bottom"/>
          </w:tcPr>
          <w:p>
            <w:pPr>
              <w:ind w:left="40"/>
              <w:spacing w:after="0"/>
              <w:rPr>
                <w:sz w:val="20"/>
                <w:szCs w:val="20"/>
                <w:color w:val="auto"/>
              </w:rPr>
            </w:pPr>
            <w:r>
              <w:rPr>
                <w:rFonts w:ascii="Arial" w:cs="Arial" w:eastAsia="Arial" w:hAnsi="Arial"/>
                <w:sz w:val="18"/>
                <w:szCs w:val="18"/>
                <w:color w:val="auto"/>
              </w:rPr>
              <w:t>10.6(B)</w:t>
            </w:r>
            <w:r>
              <w:rPr>
                <w:rFonts w:ascii="Arial" w:cs="Arial" w:eastAsia="Arial" w:hAnsi="Arial"/>
                <w:sz w:val="24"/>
                <w:szCs w:val="24"/>
                <w:color w:val="auto"/>
                <w:vertAlign w:val="superscript"/>
              </w:rPr>
              <w:t>#</w:t>
            </w:r>
          </w:p>
        </w:tc>
        <w:tc>
          <w:tcPr>
            <w:tcW w:w="4000" w:type="dxa"/>
            <w:vAlign w:val="bottom"/>
            <w:tcBorders>
              <w:bottom w:val="single" w:sz="8" w:color="0000FF"/>
            </w:tcBorders>
            <w:gridSpan w:val="20"/>
          </w:tcPr>
          <w:p>
            <w:pPr>
              <w:spacing w:after="0"/>
              <w:rPr>
                <w:rFonts w:ascii="Arial" w:cs="Arial" w:eastAsia="Arial" w:hAnsi="Arial"/>
                <w:sz w:val="18"/>
                <w:szCs w:val="18"/>
                <w:color w:val="0000FF"/>
                <w:w w:val="92"/>
              </w:rPr>
            </w:pPr>
            <w:hyperlink r:id="rId323">
              <w:r>
                <w:rPr>
                  <w:rFonts w:ascii="Arial" w:cs="Arial" w:eastAsia="Arial" w:hAnsi="Arial"/>
                  <w:sz w:val="18"/>
                  <w:szCs w:val="18"/>
                  <w:color w:val="0000FF"/>
                  <w:w w:val="92"/>
                </w:rPr>
                <w:t>Employment Offer Letter between Nkarta, Inc. and Dr.</w:t>
              </w:r>
            </w:hyperlink>
          </w:p>
        </w:tc>
        <w:tc>
          <w:tcPr>
            <w:tcW w:w="32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2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23">
              <w:r>
                <w:rPr>
                  <w:rFonts w:ascii="Arial" w:cs="Arial" w:eastAsia="Arial" w:hAnsi="Arial"/>
                  <w:sz w:val="18"/>
                  <w:szCs w:val="18"/>
                  <w:color w:val="0000FF"/>
                  <w:w w:val="92"/>
                </w:rPr>
                <w:t>Nadir Mahmood</w:t>
              </w:r>
            </w:hyperlink>
          </w:p>
        </w:tc>
        <w:tc>
          <w:tcPr>
            <w:tcW w:w="20" w:type="dxa"/>
            <w:vAlign w:val="bottom"/>
            <w:tcBorders>
              <w:bottom w:val="single" w:sz="8" w:color="0000EE"/>
            </w:tcBorders>
          </w:tcPr>
          <w:p>
            <w:pPr>
              <w:spacing w:after="0"/>
              <w:rPr>
                <w:sz w:val="17"/>
                <w:szCs w:val="17"/>
                <w:color w:val="auto"/>
              </w:rPr>
            </w:pPr>
          </w:p>
        </w:tc>
        <w:tc>
          <w:tcPr>
            <w:tcW w:w="31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80" w:type="dxa"/>
            <w:vAlign w:val="bottom"/>
          </w:tcPr>
          <w:p>
            <w:pPr>
              <w:ind w:left="40"/>
              <w:spacing w:after="0"/>
              <w:rPr>
                <w:sz w:val="20"/>
                <w:szCs w:val="20"/>
                <w:color w:val="auto"/>
              </w:rPr>
            </w:pPr>
            <w:r>
              <w:rPr>
                <w:rFonts w:ascii="Arial" w:cs="Arial" w:eastAsia="Arial" w:hAnsi="Arial"/>
                <w:sz w:val="18"/>
                <w:szCs w:val="18"/>
                <w:color w:val="auto"/>
              </w:rPr>
              <w:t>10.6(C)</w:t>
            </w:r>
            <w:r>
              <w:rPr>
                <w:rFonts w:ascii="Arial" w:cs="Arial" w:eastAsia="Arial" w:hAnsi="Arial"/>
                <w:sz w:val="24"/>
                <w:szCs w:val="24"/>
                <w:color w:val="auto"/>
                <w:vertAlign w:val="superscript"/>
              </w:rPr>
              <w:t>#</w:t>
            </w:r>
          </w:p>
        </w:tc>
        <w:tc>
          <w:tcPr>
            <w:tcW w:w="4020" w:type="dxa"/>
            <w:vAlign w:val="bottom"/>
            <w:tcBorders>
              <w:bottom w:val="single" w:sz="8" w:color="0000FF"/>
            </w:tcBorders>
            <w:gridSpan w:val="21"/>
          </w:tcPr>
          <w:p>
            <w:pPr>
              <w:spacing w:after="0"/>
              <w:rPr>
                <w:rFonts w:ascii="Arial" w:cs="Arial" w:eastAsia="Arial" w:hAnsi="Arial"/>
                <w:sz w:val="18"/>
                <w:szCs w:val="18"/>
                <w:color w:val="0000FF"/>
                <w:w w:val="92"/>
              </w:rPr>
            </w:pPr>
            <w:hyperlink r:id="rId324">
              <w:r>
                <w:rPr>
                  <w:rFonts w:ascii="Arial" w:cs="Arial" w:eastAsia="Arial" w:hAnsi="Arial"/>
                  <w:sz w:val="18"/>
                  <w:szCs w:val="18"/>
                  <w:color w:val="0000FF"/>
                  <w:w w:val="92"/>
                </w:rPr>
                <w:t>First Amendment to Employment Offer Letter between</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6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24">
              <w:r>
                <w:rPr>
                  <w:rFonts w:ascii="Arial" w:cs="Arial" w:eastAsia="Arial" w:hAnsi="Arial"/>
                  <w:sz w:val="18"/>
                  <w:szCs w:val="18"/>
                  <w:color w:val="0000FF"/>
                  <w:w w:val="91"/>
                </w:rPr>
                <w:t>Nkarta, Inc. and Dr. Nadir Mahmood</w:t>
              </w:r>
            </w:hyperlink>
          </w:p>
        </w:tc>
        <w:tc>
          <w:tcPr>
            <w:tcW w:w="20" w:type="dxa"/>
            <w:vAlign w:val="bottom"/>
            <w:tcBorders>
              <w:bottom w:val="single" w:sz="8" w:color="0000EE"/>
            </w:tcBorders>
          </w:tcPr>
          <w:p>
            <w:pPr>
              <w:spacing w:after="0"/>
              <w:rPr>
                <w:sz w:val="17"/>
                <w:szCs w:val="17"/>
                <w:color w:val="auto"/>
              </w:rPr>
            </w:pPr>
          </w:p>
        </w:tc>
        <w:tc>
          <w:tcPr>
            <w:tcW w:w="1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80" w:type="dxa"/>
            <w:vAlign w:val="bottom"/>
          </w:tcPr>
          <w:p>
            <w:pPr>
              <w:ind w:left="40"/>
              <w:spacing w:after="0"/>
              <w:rPr>
                <w:sz w:val="20"/>
                <w:szCs w:val="20"/>
                <w:color w:val="auto"/>
              </w:rPr>
            </w:pPr>
            <w:r>
              <w:rPr>
                <w:rFonts w:ascii="Arial" w:cs="Arial" w:eastAsia="Arial" w:hAnsi="Arial"/>
                <w:sz w:val="18"/>
                <w:szCs w:val="18"/>
                <w:color w:val="auto"/>
              </w:rPr>
              <w:t>10.6(D)</w:t>
            </w:r>
            <w:r>
              <w:rPr>
                <w:rFonts w:ascii="Arial" w:cs="Arial" w:eastAsia="Arial" w:hAnsi="Arial"/>
                <w:sz w:val="24"/>
                <w:szCs w:val="24"/>
                <w:color w:val="auto"/>
                <w:vertAlign w:val="superscript"/>
              </w:rPr>
              <w:t>#</w:t>
            </w:r>
          </w:p>
        </w:tc>
        <w:tc>
          <w:tcPr>
            <w:tcW w:w="4000" w:type="dxa"/>
            <w:vAlign w:val="bottom"/>
            <w:tcBorders>
              <w:bottom w:val="single" w:sz="8" w:color="0000FF"/>
            </w:tcBorders>
            <w:gridSpan w:val="20"/>
          </w:tcPr>
          <w:p>
            <w:pPr>
              <w:spacing w:after="0"/>
              <w:rPr>
                <w:rFonts w:ascii="Arial" w:cs="Arial" w:eastAsia="Arial" w:hAnsi="Arial"/>
                <w:sz w:val="18"/>
                <w:szCs w:val="18"/>
                <w:color w:val="0000FF"/>
                <w:w w:val="92"/>
              </w:rPr>
            </w:pPr>
            <w:hyperlink r:id="rId325">
              <w:r>
                <w:rPr>
                  <w:rFonts w:ascii="Arial" w:cs="Arial" w:eastAsia="Arial" w:hAnsi="Arial"/>
                  <w:sz w:val="18"/>
                  <w:szCs w:val="18"/>
                  <w:color w:val="0000FF"/>
                  <w:w w:val="92"/>
                </w:rPr>
                <w:t>Employment Offer Letter between Nkarta, Inc. and Dr.</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325">
              <w:r>
                <w:rPr>
                  <w:rFonts w:ascii="Arial" w:cs="Arial" w:eastAsia="Arial" w:hAnsi="Arial"/>
                  <w:sz w:val="18"/>
                  <w:szCs w:val="18"/>
                  <w:color w:val="0000FF"/>
                </w:rPr>
                <w:t>Alicia Hager</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10.8</w:t>
            </w:r>
            <w:r>
              <w:rPr>
                <w:rFonts w:ascii="Arial" w:cs="Arial" w:eastAsia="Arial" w:hAnsi="Arial"/>
                <w:sz w:val="24"/>
                <w:szCs w:val="24"/>
                <w:color w:val="auto"/>
                <w:vertAlign w:val="superscript"/>
              </w:rPr>
              <w:t>#</w:t>
            </w: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80" w:type="dxa"/>
            <w:vAlign w:val="bottom"/>
            <w:vMerge w:val="continue"/>
          </w:tcPr>
          <w:p>
            <w:pPr>
              <w:spacing w:after="0"/>
              <w:rPr>
                <w:sz w:val="24"/>
                <w:szCs w:val="24"/>
                <w:color w:val="auto"/>
              </w:rPr>
            </w:pPr>
          </w:p>
        </w:tc>
        <w:tc>
          <w:tcPr>
            <w:tcW w:w="2220" w:type="dxa"/>
            <w:vAlign w:val="bottom"/>
            <w:tcBorders>
              <w:bottom w:val="single" w:sz="8" w:color="0000FF"/>
            </w:tcBorders>
            <w:gridSpan w:val="10"/>
          </w:tcPr>
          <w:p>
            <w:pPr>
              <w:spacing w:after="0"/>
              <w:rPr>
                <w:rFonts w:ascii="Arial" w:cs="Arial" w:eastAsia="Arial" w:hAnsi="Arial"/>
                <w:sz w:val="18"/>
                <w:szCs w:val="18"/>
                <w:color w:val="0000FF"/>
                <w:w w:val="89"/>
              </w:rPr>
            </w:pPr>
            <w:hyperlink r:id="rId326">
              <w:r>
                <w:rPr>
                  <w:rFonts w:ascii="Arial" w:cs="Arial" w:eastAsia="Arial" w:hAnsi="Arial"/>
                  <w:sz w:val="18"/>
                  <w:szCs w:val="18"/>
                  <w:color w:val="0000FF"/>
                  <w:w w:val="89"/>
                </w:rPr>
                <w:t>Form of Severance Agreement</w:t>
              </w:r>
            </w:hyperlink>
          </w:p>
        </w:tc>
        <w:tc>
          <w:tcPr>
            <w:tcW w:w="20" w:type="dxa"/>
            <w:vAlign w:val="bottom"/>
            <w:tcBorders>
              <w:bottom w:val="single" w:sz="8" w:color="0000EE"/>
            </w:tcBorders>
          </w:tcPr>
          <w:p>
            <w:pPr>
              <w:spacing w:after="0"/>
              <w:rPr>
                <w:sz w:val="24"/>
                <w:szCs w:val="24"/>
                <w:color w:val="auto"/>
              </w:rPr>
            </w:pPr>
          </w:p>
        </w:tc>
        <w:tc>
          <w:tcPr>
            <w:tcW w:w="20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10.9</w:t>
            </w:r>
          </w:p>
        </w:tc>
        <w:tc>
          <w:tcPr>
            <w:tcW w:w="3800" w:type="dxa"/>
            <w:vAlign w:val="bottom"/>
            <w:tcBorders>
              <w:bottom w:val="single" w:sz="8" w:color="0000FF"/>
            </w:tcBorders>
            <w:gridSpan w:val="18"/>
          </w:tcPr>
          <w:p>
            <w:pPr>
              <w:spacing w:after="0"/>
              <w:rPr>
                <w:rFonts w:ascii="Arial" w:cs="Arial" w:eastAsia="Arial" w:hAnsi="Arial"/>
                <w:sz w:val="18"/>
                <w:szCs w:val="18"/>
                <w:color w:val="0000FF"/>
                <w:w w:val="91"/>
              </w:rPr>
            </w:pPr>
            <w:hyperlink r:id="rId327">
              <w:r>
                <w:rPr>
                  <w:rFonts w:ascii="Arial" w:cs="Arial" w:eastAsia="Arial" w:hAnsi="Arial"/>
                  <w:sz w:val="18"/>
                  <w:szCs w:val="18"/>
                  <w:color w:val="0000FF"/>
                  <w:w w:val="91"/>
                </w:rPr>
                <w:t>Exclusive License Agreement between Nkarta, Inc.,</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327">
              <w:r>
                <w:rPr>
                  <w:rFonts w:ascii="Arial" w:cs="Arial" w:eastAsia="Arial" w:hAnsi="Arial"/>
                  <w:sz w:val="18"/>
                  <w:szCs w:val="18"/>
                  <w:color w:val="0000FF"/>
                  <w:w w:val="90"/>
                </w:rPr>
                <w:t>National University of Singapore and St. Jude Research</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27">
              <w:r>
                <w:rPr>
                  <w:rFonts w:ascii="Arial" w:cs="Arial" w:eastAsia="Arial" w:hAnsi="Arial"/>
                  <w:sz w:val="18"/>
                  <w:szCs w:val="18"/>
                  <w:color w:val="0000FF"/>
                  <w:w w:val="92"/>
                </w:rPr>
                <w:t>Hospital, Inc.</w:t>
              </w:r>
            </w:hyperlink>
          </w:p>
        </w:tc>
        <w:tc>
          <w:tcPr>
            <w:tcW w:w="20" w:type="dxa"/>
            <w:vAlign w:val="bottom"/>
            <w:tcBorders>
              <w:bottom w:val="single" w:sz="8" w:color="0000EE"/>
            </w:tcBorders>
          </w:tcPr>
          <w:p>
            <w:pPr>
              <w:spacing w:after="0"/>
              <w:rPr>
                <w:sz w:val="17"/>
                <w:szCs w:val="17"/>
                <w:color w:val="auto"/>
              </w:rPr>
            </w:pPr>
          </w:p>
        </w:tc>
        <w:tc>
          <w:tcPr>
            <w:tcW w:w="3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10.10(A)</w:t>
            </w:r>
          </w:p>
        </w:tc>
        <w:tc>
          <w:tcPr>
            <w:tcW w:w="4060" w:type="dxa"/>
            <w:vAlign w:val="bottom"/>
            <w:tcBorders>
              <w:bottom w:val="single" w:sz="8" w:color="0000FF"/>
            </w:tcBorders>
            <w:gridSpan w:val="24"/>
          </w:tcPr>
          <w:p>
            <w:pPr>
              <w:spacing w:after="0"/>
              <w:rPr>
                <w:rFonts w:ascii="Arial" w:cs="Arial" w:eastAsia="Arial" w:hAnsi="Arial"/>
                <w:sz w:val="18"/>
                <w:szCs w:val="18"/>
                <w:color w:val="0000FF"/>
                <w:w w:val="90"/>
              </w:rPr>
            </w:pPr>
            <w:hyperlink r:id="rId328">
              <w:r>
                <w:rPr>
                  <w:rFonts w:ascii="Arial" w:cs="Arial" w:eastAsia="Arial" w:hAnsi="Arial"/>
                  <w:sz w:val="18"/>
                  <w:szCs w:val="18"/>
                  <w:color w:val="0000FF"/>
                  <w:w w:val="90"/>
                </w:rPr>
                <w:t>Lease Agreement, dated May 29, 2018, by and between</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320" w:type="dxa"/>
            <w:vAlign w:val="bottom"/>
            <w:gridSpan w:val="30"/>
          </w:tcPr>
          <w:p>
            <w:pPr>
              <w:spacing w:after="0" w:line="196" w:lineRule="exact"/>
              <w:rPr>
                <w:rFonts w:ascii="Arial" w:cs="Arial" w:eastAsia="Arial" w:hAnsi="Arial"/>
                <w:sz w:val="18"/>
                <w:szCs w:val="18"/>
                <w:color w:val="0000FF"/>
              </w:rPr>
            </w:pPr>
            <w:hyperlink r:id="rId328">
              <w:r>
                <w:rPr>
                  <w:rFonts w:ascii="Arial" w:cs="Arial" w:eastAsia="Arial" w:hAnsi="Arial"/>
                  <w:sz w:val="18"/>
                  <w:szCs w:val="18"/>
                  <w:color w:val="0000FF"/>
                </w:rPr>
                <w:t>Nkarta, Inc. and HCP Life Science REIT, Inc.</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10.10(B)</w:t>
            </w:r>
          </w:p>
        </w:tc>
        <w:tc>
          <w:tcPr>
            <w:tcW w:w="3980" w:type="dxa"/>
            <w:vAlign w:val="bottom"/>
            <w:tcBorders>
              <w:bottom w:val="single" w:sz="8" w:color="0000FF"/>
            </w:tcBorders>
            <w:gridSpan w:val="19"/>
          </w:tcPr>
          <w:p>
            <w:pPr>
              <w:spacing w:after="0"/>
              <w:rPr>
                <w:rFonts w:ascii="Arial" w:cs="Arial" w:eastAsia="Arial" w:hAnsi="Arial"/>
                <w:sz w:val="18"/>
                <w:szCs w:val="18"/>
                <w:color w:val="0000FF"/>
                <w:w w:val="92"/>
              </w:rPr>
            </w:pPr>
            <w:hyperlink r:id="rId329">
              <w:r>
                <w:rPr>
                  <w:rFonts w:ascii="Arial" w:cs="Arial" w:eastAsia="Arial" w:hAnsi="Arial"/>
                  <w:sz w:val="18"/>
                  <w:szCs w:val="18"/>
                  <w:color w:val="0000FF"/>
                  <w:w w:val="92"/>
                </w:rPr>
                <w:t>First Amendment to Lease Agreement, dated April 24,</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29">
              <w:r>
                <w:rPr>
                  <w:rFonts w:ascii="Arial" w:cs="Arial" w:eastAsia="Arial" w:hAnsi="Arial"/>
                  <w:sz w:val="18"/>
                  <w:szCs w:val="18"/>
                  <w:color w:val="0000FF"/>
                  <w:w w:val="91"/>
                </w:rPr>
                <w:t>2019, by and between Nkarta, Inc. and HCP Life Science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329">
              <w:r>
                <w:rPr>
                  <w:rFonts w:ascii="Arial" w:cs="Arial" w:eastAsia="Arial" w:hAnsi="Arial"/>
                  <w:sz w:val="18"/>
                  <w:szCs w:val="18"/>
                  <w:color w:val="0000FF"/>
                  <w:w w:val="92"/>
                </w:rPr>
                <w:t>REIT, Inc.</w:t>
              </w:r>
            </w:hyperlink>
          </w:p>
        </w:tc>
        <w:tc>
          <w:tcPr>
            <w:tcW w:w="20" w:type="dxa"/>
            <w:vAlign w:val="bottom"/>
            <w:tcBorders>
              <w:bottom w:val="single" w:sz="8" w:color="0000EE"/>
            </w:tcBorders>
          </w:tcPr>
          <w:p>
            <w:pPr>
              <w:spacing w:after="0"/>
              <w:rPr>
                <w:sz w:val="17"/>
                <w:szCs w:val="17"/>
                <w:color w:val="auto"/>
              </w:rPr>
            </w:pPr>
          </w:p>
        </w:tc>
        <w:tc>
          <w:tcPr>
            <w:tcW w:w="3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10.10(C)</w:t>
            </w:r>
          </w:p>
        </w:tc>
        <w:tc>
          <w:tcPr>
            <w:tcW w:w="4040" w:type="dxa"/>
            <w:vAlign w:val="bottom"/>
            <w:tcBorders>
              <w:bottom w:val="single" w:sz="8" w:color="0000FF"/>
            </w:tcBorders>
            <w:gridSpan w:val="22"/>
          </w:tcPr>
          <w:p>
            <w:pPr>
              <w:spacing w:after="0"/>
              <w:rPr>
                <w:rFonts w:ascii="Arial" w:cs="Arial" w:eastAsia="Arial" w:hAnsi="Arial"/>
                <w:sz w:val="18"/>
                <w:szCs w:val="18"/>
                <w:color w:val="0000FF"/>
                <w:w w:val="90"/>
              </w:rPr>
            </w:pPr>
            <w:hyperlink r:id="rId330">
              <w:r>
                <w:rPr>
                  <w:rFonts w:ascii="Arial" w:cs="Arial" w:eastAsia="Arial" w:hAnsi="Arial"/>
                  <w:sz w:val="18"/>
                  <w:szCs w:val="18"/>
                  <w:color w:val="0000FF"/>
                  <w:w w:val="90"/>
                </w:rPr>
                <w:t>Second Amendment to Lease Agreement, dated May 5,</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30">
              <w:r>
                <w:rPr>
                  <w:rFonts w:ascii="Arial" w:cs="Arial" w:eastAsia="Arial" w:hAnsi="Arial"/>
                  <w:sz w:val="18"/>
                  <w:szCs w:val="18"/>
                  <w:color w:val="0000FF"/>
                  <w:w w:val="91"/>
                </w:rPr>
                <w:t>2020, by and between Nkarta, Inc. and HCP Life Science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330">
              <w:r>
                <w:rPr>
                  <w:rFonts w:ascii="Arial" w:cs="Arial" w:eastAsia="Arial" w:hAnsi="Arial"/>
                  <w:sz w:val="18"/>
                  <w:szCs w:val="18"/>
                  <w:color w:val="0000FF"/>
                  <w:w w:val="92"/>
                </w:rPr>
                <w:t>REIT, Inc.</w:t>
              </w:r>
            </w:hyperlink>
          </w:p>
        </w:tc>
        <w:tc>
          <w:tcPr>
            <w:tcW w:w="20" w:type="dxa"/>
            <w:vAlign w:val="bottom"/>
            <w:tcBorders>
              <w:bottom w:val="single" w:sz="8" w:color="0000EE"/>
            </w:tcBorders>
          </w:tcPr>
          <w:p>
            <w:pPr>
              <w:spacing w:after="0"/>
              <w:rPr>
                <w:sz w:val="17"/>
                <w:szCs w:val="17"/>
                <w:color w:val="auto"/>
              </w:rPr>
            </w:pPr>
          </w:p>
        </w:tc>
        <w:tc>
          <w:tcPr>
            <w:tcW w:w="3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80" w:type="dxa"/>
            <w:vAlign w:val="bottom"/>
          </w:tcPr>
          <w:p>
            <w:pPr>
              <w:ind w:left="40"/>
              <w:spacing w:after="0"/>
              <w:rPr>
                <w:sz w:val="20"/>
                <w:szCs w:val="20"/>
                <w:color w:val="auto"/>
              </w:rPr>
            </w:pPr>
            <w:r>
              <w:rPr>
                <w:rFonts w:ascii="Arial" w:cs="Arial" w:eastAsia="Arial" w:hAnsi="Arial"/>
                <w:sz w:val="18"/>
                <w:szCs w:val="18"/>
                <w:color w:val="auto"/>
              </w:rPr>
              <w:t>10.10(D)</w:t>
            </w:r>
          </w:p>
        </w:tc>
        <w:tc>
          <w:tcPr>
            <w:tcW w:w="4240" w:type="dxa"/>
            <w:vAlign w:val="bottom"/>
            <w:tcBorders>
              <w:bottom w:val="single" w:sz="8" w:color="0000FF"/>
            </w:tcBorders>
            <w:gridSpan w:val="28"/>
          </w:tcPr>
          <w:p>
            <w:pPr>
              <w:spacing w:after="0"/>
              <w:rPr>
                <w:rFonts w:ascii="Arial" w:cs="Arial" w:eastAsia="Arial" w:hAnsi="Arial"/>
                <w:sz w:val="18"/>
                <w:szCs w:val="18"/>
                <w:color w:val="0000FF"/>
                <w:w w:val="90"/>
              </w:rPr>
            </w:pPr>
            <w:hyperlink r:id="rId331">
              <w:r>
                <w:rPr>
                  <w:rFonts w:ascii="Arial" w:cs="Arial" w:eastAsia="Arial" w:hAnsi="Arial"/>
                  <w:sz w:val="18"/>
                  <w:szCs w:val="18"/>
                  <w:color w:val="0000FF"/>
                  <w:w w:val="90"/>
                </w:rPr>
                <w:t>Third Amendment to Lease Agreement, dated January 14,</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31">
              <w:r>
                <w:rPr>
                  <w:rFonts w:ascii="Arial" w:cs="Arial" w:eastAsia="Arial" w:hAnsi="Arial"/>
                  <w:sz w:val="18"/>
                  <w:szCs w:val="18"/>
                  <w:color w:val="0000FF"/>
                  <w:w w:val="91"/>
                </w:rPr>
                <w:t>2021, by and between Nkarta, Inc. and HCP Life Science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331">
              <w:r>
                <w:rPr>
                  <w:rFonts w:ascii="Arial" w:cs="Arial" w:eastAsia="Arial" w:hAnsi="Arial"/>
                  <w:sz w:val="18"/>
                  <w:szCs w:val="18"/>
                  <w:color w:val="0000FF"/>
                  <w:w w:val="92"/>
                </w:rPr>
                <w:t>REIT, Inc.</w:t>
              </w:r>
            </w:hyperlink>
          </w:p>
        </w:tc>
        <w:tc>
          <w:tcPr>
            <w:tcW w:w="20" w:type="dxa"/>
            <w:vAlign w:val="bottom"/>
            <w:tcBorders>
              <w:bottom w:val="single" w:sz="8" w:color="0000EE"/>
            </w:tcBorders>
          </w:tcPr>
          <w:p>
            <w:pPr>
              <w:spacing w:after="0"/>
              <w:rPr>
                <w:sz w:val="17"/>
                <w:szCs w:val="17"/>
                <w:color w:val="auto"/>
              </w:rPr>
            </w:pPr>
          </w:p>
        </w:tc>
        <w:tc>
          <w:tcPr>
            <w:tcW w:w="3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80" w:type="dxa"/>
            <w:vAlign w:val="bottom"/>
          </w:tcPr>
          <w:p>
            <w:pPr>
              <w:ind w:left="40"/>
              <w:spacing w:after="0"/>
              <w:rPr>
                <w:sz w:val="20"/>
                <w:szCs w:val="20"/>
                <w:color w:val="auto"/>
              </w:rPr>
            </w:pPr>
            <w:r>
              <w:rPr>
                <w:rFonts w:ascii="Arial" w:cs="Arial" w:eastAsia="Arial" w:hAnsi="Arial"/>
                <w:sz w:val="18"/>
                <w:szCs w:val="18"/>
                <w:color w:val="auto"/>
              </w:rPr>
              <w:t>10.10(E)</w:t>
            </w:r>
          </w:p>
        </w:tc>
        <w:tc>
          <w:tcPr>
            <w:tcW w:w="4320" w:type="dxa"/>
            <w:vAlign w:val="bottom"/>
            <w:tcBorders>
              <w:bottom w:val="single" w:sz="8" w:color="0000FF"/>
            </w:tcBorders>
            <w:gridSpan w:val="30"/>
          </w:tcPr>
          <w:p>
            <w:pPr>
              <w:spacing w:after="0"/>
              <w:rPr>
                <w:rFonts w:ascii="Arial" w:cs="Arial" w:eastAsia="Arial" w:hAnsi="Arial"/>
                <w:sz w:val="18"/>
                <w:szCs w:val="18"/>
                <w:color w:val="0000FF"/>
                <w:w w:val="90"/>
              </w:rPr>
            </w:pPr>
            <w:hyperlink r:id="rId332">
              <w:r>
                <w:rPr>
                  <w:rFonts w:ascii="Arial" w:cs="Arial" w:eastAsia="Arial" w:hAnsi="Arial"/>
                  <w:sz w:val="18"/>
                  <w:szCs w:val="18"/>
                  <w:color w:val="0000FF"/>
                  <w:w w:val="90"/>
                </w:rPr>
                <w:t>Fourth Amendment to Lease Agreement, dated October 19,</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32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332">
              <w:r>
                <w:rPr>
                  <w:rFonts w:ascii="Arial" w:cs="Arial" w:eastAsia="Arial" w:hAnsi="Arial"/>
                  <w:sz w:val="18"/>
                  <w:szCs w:val="18"/>
                  <w:color w:val="0000FF"/>
                  <w:w w:val="90"/>
                </w:rPr>
                <w:t>2021, by and between the Registrant and HCP Life Science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332">
              <w:r>
                <w:rPr>
                  <w:rFonts w:ascii="Arial" w:cs="Arial" w:eastAsia="Arial" w:hAnsi="Arial"/>
                  <w:sz w:val="18"/>
                  <w:szCs w:val="18"/>
                  <w:color w:val="0000FF"/>
                  <w:w w:val="92"/>
                </w:rPr>
                <w:t>REIT, Inc.</w:t>
              </w:r>
            </w:hyperlink>
          </w:p>
        </w:tc>
        <w:tc>
          <w:tcPr>
            <w:tcW w:w="20" w:type="dxa"/>
            <w:vAlign w:val="bottom"/>
            <w:tcBorders>
              <w:bottom w:val="single" w:sz="8" w:color="0000EE"/>
            </w:tcBorders>
          </w:tcPr>
          <w:p>
            <w:pPr>
              <w:spacing w:after="0"/>
              <w:rPr>
                <w:sz w:val="17"/>
                <w:szCs w:val="17"/>
                <w:color w:val="auto"/>
              </w:rPr>
            </w:pPr>
          </w:p>
        </w:tc>
        <w:tc>
          <w:tcPr>
            <w:tcW w:w="3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Arial" w:cs="Arial" w:eastAsia="Arial" w:hAnsi="Arial"/>
                <w:sz w:val="18"/>
                <w:szCs w:val="18"/>
                <w:color w:val="auto"/>
              </w:rPr>
              <w:t>10.10(F)</w:t>
            </w:r>
          </w:p>
        </w:tc>
        <w:tc>
          <w:tcPr>
            <w:tcW w:w="4140" w:type="dxa"/>
            <w:vAlign w:val="bottom"/>
            <w:tcBorders>
              <w:bottom w:val="single" w:sz="8" w:color="0000FF"/>
            </w:tcBorders>
            <w:gridSpan w:val="26"/>
          </w:tcPr>
          <w:p>
            <w:pPr>
              <w:spacing w:after="0"/>
              <w:rPr>
                <w:rFonts w:ascii="Arial" w:cs="Arial" w:eastAsia="Arial" w:hAnsi="Arial"/>
                <w:sz w:val="18"/>
                <w:szCs w:val="18"/>
                <w:color w:val="0000FF"/>
                <w:w w:val="91"/>
              </w:rPr>
            </w:pPr>
            <w:hyperlink r:id="rId333">
              <w:r>
                <w:rPr>
                  <w:rFonts w:ascii="Arial" w:cs="Arial" w:eastAsia="Arial" w:hAnsi="Arial"/>
                  <w:sz w:val="18"/>
                  <w:szCs w:val="18"/>
                  <w:color w:val="0000FF"/>
                  <w:w w:val="91"/>
                </w:rPr>
                <w:t>Fifth Amendment to Lease Agreement, dated August 11,</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33">
              <w:r>
                <w:rPr>
                  <w:rFonts w:ascii="Arial" w:cs="Arial" w:eastAsia="Arial" w:hAnsi="Arial"/>
                  <w:sz w:val="18"/>
                  <w:szCs w:val="18"/>
                  <w:color w:val="0000FF"/>
                  <w:w w:val="91"/>
                </w:rPr>
                <w:t>2022, by and between Nkarta, Inc. and HCP Life Science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333">
              <w:r>
                <w:rPr>
                  <w:rFonts w:ascii="Arial" w:cs="Arial" w:eastAsia="Arial" w:hAnsi="Arial"/>
                  <w:sz w:val="18"/>
                  <w:szCs w:val="18"/>
                  <w:color w:val="0000FF"/>
                  <w:w w:val="92"/>
                </w:rPr>
                <w:t>REIT, Inc.</w:t>
              </w:r>
            </w:hyperlink>
          </w:p>
        </w:tc>
        <w:tc>
          <w:tcPr>
            <w:tcW w:w="20" w:type="dxa"/>
            <w:vAlign w:val="bottom"/>
            <w:tcBorders>
              <w:bottom w:val="single" w:sz="8" w:color="0000EE"/>
            </w:tcBorders>
          </w:tcPr>
          <w:p>
            <w:pPr>
              <w:spacing w:after="0"/>
              <w:rPr>
                <w:sz w:val="17"/>
                <w:szCs w:val="17"/>
                <w:color w:val="auto"/>
              </w:rPr>
            </w:pPr>
          </w:p>
        </w:tc>
        <w:tc>
          <w:tcPr>
            <w:tcW w:w="3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40"/>
              <w:spacing w:after="0"/>
              <w:rPr>
                <w:sz w:val="20"/>
                <w:szCs w:val="20"/>
                <w:color w:val="auto"/>
              </w:rPr>
            </w:pPr>
            <w:r>
              <w:rPr>
                <w:rFonts w:ascii="Arial" w:cs="Arial" w:eastAsia="Arial" w:hAnsi="Arial"/>
                <w:sz w:val="18"/>
                <w:szCs w:val="18"/>
                <w:color w:val="auto"/>
              </w:rPr>
              <w:t>10.11(A)</w:t>
            </w:r>
          </w:p>
        </w:tc>
        <w:tc>
          <w:tcPr>
            <w:tcW w:w="4320" w:type="dxa"/>
            <w:vAlign w:val="bottom"/>
            <w:tcBorders>
              <w:bottom w:val="single" w:sz="8" w:color="0000FF"/>
            </w:tcBorders>
            <w:gridSpan w:val="30"/>
          </w:tcPr>
          <w:p>
            <w:pPr>
              <w:spacing w:after="0"/>
              <w:rPr>
                <w:rFonts w:ascii="Arial" w:cs="Arial" w:eastAsia="Arial" w:hAnsi="Arial"/>
                <w:sz w:val="18"/>
                <w:szCs w:val="18"/>
                <w:color w:val="0000FF"/>
                <w:w w:val="90"/>
              </w:rPr>
            </w:pPr>
            <w:hyperlink r:id="rId334">
              <w:r>
                <w:rPr>
                  <w:rFonts w:ascii="Arial" w:cs="Arial" w:eastAsia="Arial" w:hAnsi="Arial"/>
                  <w:sz w:val="18"/>
                  <w:szCs w:val="18"/>
                  <w:color w:val="0000FF"/>
                  <w:w w:val="90"/>
                </w:rPr>
                <w:t>Lease, dated July 9, 2021, by and between Nkarta, Inc. and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180" w:type="dxa"/>
            <w:vAlign w:val="bottom"/>
            <w:tcBorders>
              <w:bottom w:val="single" w:sz="8" w:color="0000FF"/>
            </w:tcBorders>
            <w:gridSpan w:val="6"/>
          </w:tcPr>
          <w:p>
            <w:pPr>
              <w:spacing w:after="0" w:line="196" w:lineRule="exact"/>
              <w:rPr>
                <w:rFonts w:ascii="Arial" w:cs="Arial" w:eastAsia="Arial" w:hAnsi="Arial"/>
                <w:sz w:val="18"/>
                <w:szCs w:val="18"/>
                <w:color w:val="0000FF"/>
                <w:w w:val="95"/>
              </w:rPr>
            </w:pPr>
            <w:hyperlink r:id="rId334">
              <w:r>
                <w:rPr>
                  <w:rFonts w:ascii="Arial" w:cs="Arial" w:eastAsia="Arial" w:hAnsi="Arial"/>
                  <w:sz w:val="18"/>
                  <w:szCs w:val="18"/>
                  <w:color w:val="0000FF"/>
                  <w:w w:val="95"/>
                </w:rPr>
                <w:t>HCP BTC, LLC</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80" w:type="dxa"/>
            <w:vAlign w:val="bottom"/>
          </w:tcPr>
          <w:p>
            <w:pPr>
              <w:ind w:left="40"/>
              <w:spacing w:after="0"/>
              <w:rPr>
                <w:sz w:val="20"/>
                <w:szCs w:val="20"/>
                <w:color w:val="auto"/>
              </w:rPr>
            </w:pPr>
            <w:r>
              <w:rPr>
                <w:rFonts w:ascii="Arial" w:cs="Arial" w:eastAsia="Arial" w:hAnsi="Arial"/>
                <w:sz w:val="18"/>
                <w:szCs w:val="18"/>
                <w:color w:val="auto"/>
              </w:rPr>
              <w:t>10.11(B)</w:t>
            </w:r>
          </w:p>
        </w:tc>
        <w:tc>
          <w:tcPr>
            <w:tcW w:w="4100" w:type="dxa"/>
            <w:vAlign w:val="bottom"/>
            <w:tcBorders>
              <w:bottom w:val="single" w:sz="8" w:color="0000FF"/>
            </w:tcBorders>
            <w:gridSpan w:val="25"/>
          </w:tcPr>
          <w:p>
            <w:pPr>
              <w:spacing w:after="0"/>
              <w:rPr>
                <w:rFonts w:ascii="Arial" w:cs="Arial" w:eastAsia="Arial" w:hAnsi="Arial"/>
                <w:sz w:val="18"/>
                <w:szCs w:val="18"/>
                <w:color w:val="0000FF"/>
                <w:w w:val="91"/>
              </w:rPr>
            </w:pPr>
            <w:hyperlink r:id="rId335">
              <w:r>
                <w:rPr>
                  <w:rFonts w:ascii="Arial" w:cs="Arial" w:eastAsia="Arial" w:hAnsi="Arial"/>
                  <w:sz w:val="18"/>
                  <w:szCs w:val="18"/>
                  <w:color w:val="0000FF"/>
                  <w:w w:val="91"/>
                </w:rPr>
                <w:t>First Amendment to Lease, dated November 5, 2021, by</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35">
              <w:r>
                <w:rPr>
                  <w:rFonts w:ascii="Arial" w:cs="Arial" w:eastAsia="Arial" w:hAnsi="Arial"/>
                  <w:sz w:val="18"/>
                  <w:szCs w:val="18"/>
                  <w:color w:val="0000FF"/>
                  <w:w w:val="91"/>
                </w:rPr>
                <w:t>and between Nkarta, Inc. and HCP BTC, LLC</w:t>
              </w:r>
            </w:hyperlink>
          </w:p>
        </w:tc>
        <w:tc>
          <w:tcPr>
            <w:tcW w:w="20" w:type="dxa"/>
            <w:vAlign w:val="bottom"/>
            <w:tcBorders>
              <w:bottom w:val="single" w:sz="8" w:color="0000EE"/>
            </w:tcBorders>
          </w:tcPr>
          <w:p>
            <w:pPr>
              <w:spacing w:after="0"/>
              <w:rPr>
                <w:sz w:val="17"/>
                <w:szCs w:val="17"/>
                <w:color w:val="auto"/>
              </w:rPr>
            </w:pPr>
          </w:p>
        </w:tc>
        <w:tc>
          <w:tcPr>
            <w:tcW w:w="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80" w:type="dxa"/>
            <w:vAlign w:val="bottom"/>
          </w:tcPr>
          <w:p>
            <w:pPr>
              <w:spacing w:after="0"/>
              <w:rPr>
                <w:sz w:val="20"/>
                <w:szCs w:val="20"/>
                <w:color w:val="auto"/>
              </w:rPr>
            </w:pPr>
            <w:r>
              <w:rPr>
                <w:rFonts w:ascii="Arial" w:cs="Arial" w:eastAsia="Arial" w:hAnsi="Arial"/>
                <w:sz w:val="18"/>
                <w:szCs w:val="18"/>
                <w:color w:val="auto"/>
              </w:rPr>
              <w:t>10.11(C)</w:t>
            </w:r>
          </w:p>
        </w:tc>
        <w:tc>
          <w:tcPr>
            <w:tcW w:w="4140" w:type="dxa"/>
            <w:vAlign w:val="bottom"/>
            <w:tcBorders>
              <w:bottom w:val="single" w:sz="8" w:color="0000FF"/>
            </w:tcBorders>
            <w:gridSpan w:val="26"/>
          </w:tcPr>
          <w:p>
            <w:pPr>
              <w:spacing w:after="0"/>
              <w:rPr>
                <w:rFonts w:ascii="Arial" w:cs="Arial" w:eastAsia="Arial" w:hAnsi="Arial"/>
                <w:sz w:val="18"/>
                <w:szCs w:val="18"/>
                <w:color w:val="0000FF"/>
                <w:w w:val="90"/>
              </w:rPr>
            </w:pPr>
            <w:hyperlink r:id="rId336">
              <w:r>
                <w:rPr>
                  <w:rFonts w:ascii="Arial" w:cs="Arial" w:eastAsia="Arial" w:hAnsi="Arial"/>
                  <w:sz w:val="18"/>
                  <w:szCs w:val="18"/>
                  <w:color w:val="0000FF"/>
                  <w:w w:val="90"/>
                </w:rPr>
                <w:t>Second Amendment to Lease, dated August 11, 2022, by</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36">
              <w:r>
                <w:rPr>
                  <w:rFonts w:ascii="Arial" w:cs="Arial" w:eastAsia="Arial" w:hAnsi="Arial"/>
                  <w:sz w:val="18"/>
                  <w:szCs w:val="18"/>
                  <w:color w:val="0000FF"/>
                  <w:w w:val="91"/>
                </w:rPr>
                <w:t>and between Nkarta, Inc. and HCP BTC, LLC</w:t>
              </w:r>
            </w:hyperlink>
          </w:p>
        </w:tc>
        <w:tc>
          <w:tcPr>
            <w:tcW w:w="20" w:type="dxa"/>
            <w:vAlign w:val="bottom"/>
            <w:tcBorders>
              <w:bottom w:val="single" w:sz="8" w:color="0000EE"/>
            </w:tcBorders>
          </w:tcPr>
          <w:p>
            <w:pPr>
              <w:spacing w:after="0"/>
              <w:rPr>
                <w:sz w:val="17"/>
                <w:szCs w:val="17"/>
                <w:color w:val="auto"/>
              </w:rPr>
            </w:pPr>
          </w:p>
        </w:tc>
        <w:tc>
          <w:tcPr>
            <w:tcW w:w="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280" w:type="dxa"/>
            <w:vAlign w:val="bottom"/>
          </w:tcPr>
          <w:p>
            <w:pPr>
              <w:ind w:left="40"/>
              <w:spacing w:after="0"/>
              <w:rPr>
                <w:sz w:val="20"/>
                <w:szCs w:val="20"/>
                <w:color w:val="auto"/>
              </w:rPr>
            </w:pPr>
            <w:r>
              <w:rPr>
                <w:rFonts w:ascii="Arial" w:cs="Arial" w:eastAsia="Arial" w:hAnsi="Arial"/>
                <w:sz w:val="18"/>
                <w:szCs w:val="18"/>
                <w:color w:val="auto"/>
              </w:rPr>
              <w:t>10.12(A)**</w:t>
            </w:r>
          </w:p>
        </w:tc>
        <w:tc>
          <w:tcPr>
            <w:tcW w:w="4300" w:type="dxa"/>
            <w:vAlign w:val="bottom"/>
            <w:tcBorders>
              <w:bottom w:val="single" w:sz="8" w:color="0000FF"/>
            </w:tcBorders>
            <w:gridSpan w:val="29"/>
          </w:tcPr>
          <w:p>
            <w:pPr>
              <w:spacing w:after="0"/>
              <w:rPr>
                <w:rFonts w:ascii="Arial" w:cs="Arial" w:eastAsia="Arial" w:hAnsi="Arial"/>
                <w:sz w:val="18"/>
                <w:szCs w:val="18"/>
                <w:color w:val="0000FF"/>
                <w:w w:val="91"/>
              </w:rPr>
            </w:pPr>
            <w:hyperlink r:id="rId337">
              <w:r>
                <w:rPr>
                  <w:rFonts w:ascii="Arial" w:cs="Arial" w:eastAsia="Arial" w:hAnsi="Arial"/>
                  <w:sz w:val="18"/>
                  <w:szCs w:val="18"/>
                  <w:color w:val="0000FF"/>
                  <w:w w:val="91"/>
                </w:rPr>
                <w:t>Research Collaboration Agreement, dated May 5, 2021,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06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337">
              <w:r>
                <w:rPr>
                  <w:rFonts w:ascii="Arial" w:cs="Arial" w:eastAsia="Arial" w:hAnsi="Arial"/>
                  <w:sz w:val="18"/>
                  <w:szCs w:val="18"/>
                  <w:color w:val="0000FF"/>
                  <w:w w:val="90"/>
                </w:rPr>
                <w:t>and between Nkarta, Inc. and CRISPR Therapeutics AG</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280" w:type="dxa"/>
            <w:vAlign w:val="bottom"/>
          </w:tcPr>
          <w:p>
            <w:pPr>
              <w:spacing w:after="0"/>
              <w:rPr>
                <w:sz w:val="20"/>
                <w:szCs w:val="20"/>
                <w:color w:val="auto"/>
              </w:rPr>
            </w:pPr>
            <w:r>
              <w:rPr>
                <w:rFonts w:ascii="Arial" w:cs="Arial" w:eastAsia="Arial" w:hAnsi="Arial"/>
                <w:sz w:val="18"/>
                <w:szCs w:val="18"/>
                <w:color w:val="auto"/>
              </w:rPr>
              <w:t>10.12(B)**</w:t>
            </w:r>
          </w:p>
        </w:tc>
        <w:tc>
          <w:tcPr>
            <w:tcW w:w="3580" w:type="dxa"/>
            <w:vAlign w:val="bottom"/>
            <w:tcBorders>
              <w:bottom w:val="single" w:sz="8" w:color="0000FF"/>
            </w:tcBorders>
            <w:gridSpan w:val="17"/>
          </w:tcPr>
          <w:p>
            <w:pPr>
              <w:spacing w:after="0"/>
              <w:rPr>
                <w:rFonts w:ascii="Arial" w:cs="Arial" w:eastAsia="Arial" w:hAnsi="Arial"/>
                <w:sz w:val="18"/>
                <w:szCs w:val="18"/>
                <w:color w:val="0000FF"/>
                <w:w w:val="91"/>
              </w:rPr>
            </w:pPr>
            <w:hyperlink r:id="rId338">
              <w:r>
                <w:rPr>
                  <w:rFonts w:ascii="Arial" w:cs="Arial" w:eastAsia="Arial" w:hAnsi="Arial"/>
                  <w:sz w:val="18"/>
                  <w:szCs w:val="18"/>
                  <w:color w:val="0000FF"/>
                  <w:w w:val="91"/>
                </w:rPr>
                <w:t>Amendment No. 1 to the Research Collaboration</w:t>
              </w:r>
            </w:hyperlink>
          </w:p>
        </w:tc>
        <w:tc>
          <w:tcPr>
            <w:tcW w:w="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6" w:lineRule="exact"/>
              <w:rPr>
                <w:rFonts w:ascii="Arial" w:cs="Arial" w:eastAsia="Arial" w:hAnsi="Arial"/>
                <w:sz w:val="18"/>
                <w:szCs w:val="18"/>
                <w:color w:val="0000FF"/>
                <w:w w:val="92"/>
              </w:rPr>
            </w:pPr>
            <w:hyperlink r:id="rId338">
              <w:r>
                <w:rPr>
                  <w:rFonts w:ascii="Arial" w:cs="Arial" w:eastAsia="Arial" w:hAnsi="Arial"/>
                  <w:sz w:val="18"/>
                  <w:szCs w:val="18"/>
                  <w:color w:val="0000FF"/>
                  <w:w w:val="92"/>
                </w:rPr>
                <w:t>Agreement, dated May 4,</w:t>
              </w:r>
            </w:hyperlink>
          </w:p>
        </w:tc>
        <w:tc>
          <w:tcPr>
            <w:tcW w:w="24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5/13/2021</w:t>
            </w:r>
          </w:p>
        </w:tc>
      </w:tr>
      <w:tr>
        <w:trPr>
          <w:trHeight w:val="60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5/13/2021</w:t>
            </w:r>
          </w:p>
        </w:tc>
      </w:tr>
      <w:tr>
        <w:trPr>
          <w:trHeight w:val="60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5/13/2021</w:t>
            </w:r>
          </w:p>
        </w:tc>
      </w:tr>
      <w:tr>
        <w:trPr>
          <w:trHeight w:val="60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01/13/2021</w:t>
            </w:r>
          </w:p>
        </w:tc>
      </w:tr>
      <w:tr>
        <w:trPr>
          <w:trHeight w:val="392"/>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333-239301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6/19/2020</w:t>
            </w:r>
          </w:p>
        </w:tc>
      </w:tr>
      <w:tr>
        <w:trPr>
          <w:trHeight w:val="82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333-239301</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6/19/2020</w:t>
            </w:r>
          </w:p>
        </w:tc>
      </w:tr>
      <w:tr>
        <w:trPr>
          <w:trHeight w:val="60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333-239301</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6/19/2020</w:t>
            </w:r>
          </w:p>
        </w:tc>
      </w:tr>
      <w:tr>
        <w:trPr>
          <w:trHeight w:val="82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5"/>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333-239301</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6/19/2020</w:t>
            </w:r>
          </w:p>
        </w:tc>
      </w:tr>
      <w:tr>
        <w:trPr>
          <w:trHeight w:val="82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10.10(D)</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3/25/2021</w:t>
            </w:r>
          </w:p>
        </w:tc>
      </w:tr>
      <w:tr>
        <w:trPr>
          <w:trHeight w:val="82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10/22/2021</w:t>
            </w:r>
          </w:p>
        </w:tc>
      </w:tr>
      <w:tr>
        <w:trPr>
          <w:trHeight w:val="82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90"/>
              <w:spacing w:after="0"/>
              <w:rPr>
                <w:sz w:val="20"/>
                <w:szCs w:val="20"/>
                <w:color w:val="auto"/>
              </w:rPr>
            </w:pPr>
            <w:r>
              <w:rPr>
                <w:rFonts w:ascii="Arial" w:cs="Arial" w:eastAsia="Arial" w:hAnsi="Arial"/>
                <w:sz w:val="18"/>
                <w:szCs w:val="18"/>
                <w:color w:val="auto"/>
                <w:w w:val="89"/>
              </w:rPr>
              <w:t>8/11/2022</w:t>
            </w:r>
          </w:p>
        </w:tc>
      </w:tr>
      <w:tr>
        <w:trPr>
          <w:trHeight w:val="91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7/14/2021</w:t>
            </w:r>
          </w:p>
        </w:tc>
      </w:tr>
      <w:tr>
        <w:trPr>
          <w:trHeight w:val="60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11/10/2021</w:t>
            </w:r>
          </w:p>
        </w:tc>
      </w:tr>
      <w:tr>
        <w:trPr>
          <w:trHeight w:val="60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08/11/2022</w:t>
            </w:r>
          </w:p>
        </w:tc>
      </w:tr>
      <w:tr>
        <w:trPr>
          <w:trHeight w:val="702"/>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8/12/2021</w:t>
            </w:r>
          </w:p>
        </w:tc>
      </w:tr>
      <w:tr>
        <w:trPr>
          <w:trHeight w:val="608"/>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001-39370</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5/12/2022</w:t>
            </w:r>
          </w:p>
        </w:tc>
      </w:tr>
    </w:tbl>
    <w:p>
      <w:pPr>
        <w:sectPr>
          <w:pgSz w:w="11900" w:h="16838" w:orient="portrait"/>
          <w:cols w:equalWidth="0" w:num="2">
            <w:col w:w="5740" w:space="200"/>
            <w:col w:w="4179"/>
          </w:cols>
          <w:pgMar w:left="340" w:top="268" w:right="1440" w:bottom="1440" w:gutter="0" w:footer="0" w:header="0"/>
        </w:sectPr>
      </w:pPr>
    </w:p>
    <w:bookmarkStart w:id="138" w:name="page139"/>
    <w:bookmarkEnd w:id="138"/>
    <w:p>
      <w:pPr>
        <w:ind w:left="1300"/>
        <w:spacing w:after="0"/>
        <w:rPr>
          <w:rFonts w:ascii="Arial" w:cs="Arial" w:eastAsia="Arial" w:hAnsi="Arial"/>
          <w:sz w:val="18"/>
          <w:szCs w:val="18"/>
          <w:u w:val="single" w:color="auto"/>
          <w:color w:val="0000FF"/>
        </w:rPr>
      </w:pPr>
      <w:hyperlink r:id="rId338">
        <w:r>
          <w:rPr>
            <w:rFonts w:ascii="Arial" w:cs="Arial" w:eastAsia="Arial" w:hAnsi="Arial"/>
            <w:sz w:val="18"/>
            <w:szCs w:val="18"/>
            <w:u w:val="single" w:color="auto"/>
            <w:color w:val="0000FF"/>
          </w:rPr>
          <w:t>2022, by and between Nkarta, Inc. and CRISPR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-10160</wp:posOffset>
            </wp:positionV>
            <wp:extent cx="22180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2218055" cy="8890"/>
                    </a:xfrm>
                    <a:prstGeom prst="rect">
                      <a:avLst/>
                    </a:prstGeom>
                    <a:noFill/>
                  </pic:spPr>
                </pic:pic>
              </a:graphicData>
            </a:graphic>
          </wp:anchor>
        </w:drawing>
      </w:r>
    </w:p>
    <w:p>
      <w:pPr>
        <w:spacing w:after="0" w:line="3" w:lineRule="exact"/>
        <w:rPr>
          <w:sz w:val="20"/>
          <w:szCs w:val="20"/>
          <w:color w:val="auto"/>
        </w:rPr>
      </w:pPr>
    </w:p>
    <w:p>
      <w:pPr>
        <w:ind w:left="1300"/>
        <w:spacing w:after="0"/>
        <w:rPr>
          <w:rFonts w:ascii="Arial" w:cs="Arial" w:eastAsia="Arial" w:hAnsi="Arial"/>
          <w:sz w:val="18"/>
          <w:szCs w:val="18"/>
          <w:u w:val="single" w:color="auto"/>
          <w:color w:val="0000FF"/>
        </w:rPr>
      </w:pPr>
      <w:hyperlink r:id="rId338">
        <w:r>
          <w:rPr>
            <w:rFonts w:ascii="Arial" w:cs="Arial" w:eastAsia="Arial" w:hAnsi="Arial"/>
            <w:sz w:val="18"/>
            <w:szCs w:val="18"/>
            <w:u w:val="single" w:color="auto"/>
            <w:color w:val="0000FF"/>
          </w:rPr>
          <w:t>Therapeutics AG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7835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ind w:left="4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40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4"/>
              </w:rPr>
              <w:t>Certification of Principal Executive Officer Pursuant to</w:t>
            </w:r>
          </w:p>
        </w:tc>
        <w:tc>
          <w:tcPr>
            <w:tcW w:w="280" w:type="dxa"/>
            <w:vAlign w:val="bottom"/>
            <w:gridSpan w:val="4"/>
          </w:tcPr>
          <w:p>
            <w:pPr>
              <w:spacing w:after="0"/>
              <w:rPr>
                <w:sz w:val="24"/>
                <w:szCs w:val="24"/>
                <w:color w:val="auto"/>
              </w:rPr>
            </w:pP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Rules 13a-14(a) and 15d-14(a) under the Securities</w:t>
            </w:r>
          </w:p>
        </w:tc>
        <w:tc>
          <w:tcPr>
            <w:tcW w:w="580" w:type="dxa"/>
            <w:vAlign w:val="bottom"/>
            <w:gridSpan w:val="6"/>
          </w:tcPr>
          <w:p>
            <w:pPr>
              <w:spacing w:after="0"/>
              <w:rPr>
                <w:sz w:val="17"/>
                <w:szCs w:val="17"/>
                <w:color w:val="auto"/>
              </w:rPr>
            </w:pPr>
          </w:p>
        </w:tc>
        <w:tc>
          <w:tcPr>
            <w:tcW w:w="52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 302</w:t>
            </w:r>
          </w:p>
        </w:tc>
        <w:tc>
          <w:tcPr>
            <w:tcW w:w="52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52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3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Certification of Principal Financial Officer Pursuant to</w:t>
            </w:r>
          </w:p>
        </w:tc>
        <w:tc>
          <w:tcPr>
            <w:tcW w:w="340" w:type="dxa"/>
            <w:vAlign w:val="bottom"/>
            <w:gridSpan w:val="5"/>
          </w:tcPr>
          <w:p>
            <w:pPr>
              <w:spacing w:after="0"/>
              <w:rPr>
                <w:sz w:val="24"/>
                <w:szCs w:val="24"/>
                <w:color w:val="auto"/>
              </w:rPr>
            </w:pP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Rules 13a-14(a) and 15d-14(a) under the Securities</w:t>
            </w:r>
          </w:p>
        </w:tc>
        <w:tc>
          <w:tcPr>
            <w:tcW w:w="580" w:type="dxa"/>
            <w:vAlign w:val="bottom"/>
            <w:gridSpan w:val="6"/>
          </w:tcPr>
          <w:p>
            <w:pPr>
              <w:spacing w:after="0"/>
              <w:rPr>
                <w:sz w:val="17"/>
                <w:szCs w:val="17"/>
                <w:color w:val="auto"/>
              </w:rPr>
            </w:pPr>
          </w:p>
        </w:tc>
        <w:tc>
          <w:tcPr>
            <w:tcW w:w="52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 302</w:t>
            </w:r>
          </w:p>
        </w:tc>
        <w:tc>
          <w:tcPr>
            <w:tcW w:w="52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52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32+</w:t>
            </w:r>
          </w:p>
        </w:tc>
        <w:tc>
          <w:tcPr>
            <w:tcW w:w="41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4"/>
              </w:rPr>
              <w:t>Certification of Principal Executive Officer and Principal</w:t>
            </w:r>
          </w:p>
        </w:tc>
        <w:tc>
          <w:tcPr>
            <w:tcW w:w="140" w:type="dxa"/>
            <w:vAlign w:val="bottom"/>
          </w:tcPr>
          <w:p>
            <w:pPr>
              <w:spacing w:after="0"/>
              <w:rPr>
                <w:sz w:val="24"/>
                <w:szCs w:val="24"/>
                <w:color w:val="auto"/>
              </w:rPr>
            </w:pP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196"/>
        </w:trPr>
        <w:tc>
          <w:tcPr>
            <w:tcW w:w="128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1"/>
              </w:rPr>
              <w:t>Financial Officer Pursuant to 18 U.S.C. Section 1350, as</w:t>
            </w:r>
          </w:p>
        </w:tc>
        <w:tc>
          <w:tcPr>
            <w:tcW w:w="200" w:type="dxa"/>
            <w:vAlign w:val="bottom"/>
            <w:gridSpan w:val="2"/>
          </w:tcPr>
          <w:p>
            <w:pPr>
              <w:spacing w:after="0"/>
              <w:rPr>
                <w:sz w:val="17"/>
                <w:szCs w:val="17"/>
                <w:color w:val="auto"/>
              </w:rPr>
            </w:pPr>
          </w:p>
        </w:tc>
        <w:tc>
          <w:tcPr>
            <w:tcW w:w="52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Adopted Pursuant to Section 906 of the Sarbanes-Oxley</w:t>
            </w:r>
          </w:p>
        </w:tc>
        <w:tc>
          <w:tcPr>
            <w:tcW w:w="240" w:type="dxa"/>
            <w:vAlign w:val="bottom"/>
            <w:gridSpan w:val="3"/>
          </w:tcPr>
          <w:p>
            <w:pPr>
              <w:spacing w:after="0"/>
              <w:rPr>
                <w:sz w:val="17"/>
                <w:szCs w:val="17"/>
                <w:color w:val="auto"/>
              </w:rPr>
            </w:pPr>
          </w:p>
        </w:tc>
        <w:tc>
          <w:tcPr>
            <w:tcW w:w="52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Arial" w:cs="Arial" w:eastAsia="Arial" w:hAnsi="Arial"/>
                <w:sz w:val="18"/>
                <w:szCs w:val="18"/>
                <w:color w:val="0000FF"/>
              </w:rPr>
              <w:t>Act of 2002.</w:t>
            </w:r>
          </w:p>
        </w:tc>
        <w:tc>
          <w:tcPr>
            <w:tcW w:w="52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432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392"/>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43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377"/>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4320" w:type="dxa"/>
            <w:vAlign w:val="bottom"/>
            <w:gridSpan w:val="9"/>
          </w:tcPr>
          <w:p>
            <w:pPr>
              <w:spacing w:after="0"/>
              <w:rPr>
                <w:sz w:val="20"/>
                <w:szCs w:val="20"/>
                <w:color w:val="auto"/>
              </w:rPr>
            </w:pPr>
            <w:r>
              <w:rPr>
                <w:rFonts w:ascii="Arial" w:cs="Arial" w:eastAsia="Arial" w:hAnsi="Arial"/>
                <w:sz w:val="18"/>
                <w:szCs w:val="18"/>
                <w:color w:val="auto"/>
                <w:w w:val="97"/>
              </w:rPr>
              <w:t>Inline XBRL Taxonomy Extension Calculation Linkbase</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200" w:type="dxa"/>
            <w:vAlign w:val="bottom"/>
          </w:tcPr>
          <w:p>
            <w:pPr>
              <w:spacing w:after="0"/>
              <w:rPr>
                <w:sz w:val="20"/>
                <w:szCs w:val="20"/>
                <w:color w:val="auto"/>
              </w:rPr>
            </w:pPr>
          </w:p>
        </w:tc>
      </w:tr>
      <w:tr>
        <w:trPr>
          <w:trHeight w:val="377"/>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43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200" w:type="dxa"/>
            <w:vAlign w:val="bottom"/>
          </w:tcPr>
          <w:p>
            <w:pPr>
              <w:spacing w:after="0"/>
              <w:rPr>
                <w:sz w:val="20"/>
                <w:szCs w:val="20"/>
                <w:color w:val="auto"/>
              </w:rPr>
            </w:pPr>
          </w:p>
        </w:tc>
      </w:tr>
      <w:tr>
        <w:trPr>
          <w:trHeight w:val="377"/>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43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200" w:type="dxa"/>
            <w:vAlign w:val="bottom"/>
          </w:tcPr>
          <w:p>
            <w:pPr>
              <w:spacing w:after="0"/>
              <w:rPr>
                <w:sz w:val="20"/>
                <w:szCs w:val="20"/>
                <w:color w:val="auto"/>
              </w:rPr>
            </w:pPr>
          </w:p>
        </w:tc>
      </w:tr>
      <w:tr>
        <w:trPr>
          <w:trHeight w:val="377"/>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4320" w:type="dxa"/>
            <w:vAlign w:val="bottom"/>
            <w:gridSpan w:val="9"/>
          </w:tcPr>
          <w:p>
            <w:pPr>
              <w:spacing w:after="0"/>
              <w:rPr>
                <w:sz w:val="20"/>
                <w:szCs w:val="20"/>
                <w:color w:val="auto"/>
              </w:rPr>
            </w:pPr>
            <w:r>
              <w:rPr>
                <w:rFonts w:ascii="Arial" w:cs="Arial" w:eastAsia="Arial" w:hAnsi="Arial"/>
                <w:sz w:val="18"/>
                <w:szCs w:val="18"/>
                <w:color w:val="auto"/>
                <w:w w:val="95"/>
              </w:rPr>
              <w:t>Inline XBRL Taxonomy Extension Presentation Linkbase</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200" w:type="dxa"/>
            <w:vAlign w:val="bottom"/>
          </w:tcPr>
          <w:p>
            <w:pPr>
              <w:spacing w:after="0"/>
              <w:rPr>
                <w:sz w:val="20"/>
                <w:szCs w:val="20"/>
                <w:color w:val="auto"/>
              </w:rPr>
            </w:pPr>
          </w:p>
        </w:tc>
      </w:tr>
      <w:tr>
        <w:trPr>
          <w:trHeight w:val="377"/>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432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w:t>
            </w:r>
          </w:p>
        </w:tc>
        <w:tc>
          <w:tcPr>
            <w:tcW w:w="5200" w:type="dxa"/>
            <w:vAlign w:val="bottom"/>
          </w:tcPr>
          <w:p>
            <w:pPr>
              <w:ind w:left="5080"/>
              <w:spacing w:after="0"/>
              <w:rPr>
                <w:sz w:val="20"/>
                <w:szCs w:val="20"/>
                <w:color w:val="auto"/>
              </w:rPr>
            </w:pPr>
            <w:r>
              <w:rPr>
                <w:rFonts w:ascii="Arial" w:cs="Arial" w:eastAsia="Arial" w:hAnsi="Arial"/>
                <w:sz w:val="18"/>
                <w:szCs w:val="18"/>
                <w:color w:val="auto"/>
                <w:w w:val="82"/>
              </w:rPr>
              <w:t>X</w:t>
            </w:r>
          </w:p>
        </w:tc>
      </w:tr>
      <w:tr>
        <w:trPr>
          <w:trHeight w:val="230"/>
        </w:trPr>
        <w:tc>
          <w:tcPr>
            <w:tcW w:w="1280" w:type="dxa"/>
            <w:vAlign w:val="bottom"/>
          </w:tcPr>
          <w:p>
            <w:pPr>
              <w:spacing w:after="0"/>
              <w:rPr>
                <w:sz w:val="20"/>
                <w:szCs w:val="20"/>
                <w:color w:val="auto"/>
              </w:rPr>
            </w:pPr>
          </w:p>
        </w:tc>
        <w:tc>
          <w:tcPr>
            <w:tcW w:w="4320" w:type="dxa"/>
            <w:vAlign w:val="bottom"/>
            <w:gridSpan w:val="9"/>
          </w:tcPr>
          <w:p>
            <w:pPr>
              <w:spacing w:after="0"/>
              <w:rPr>
                <w:sz w:val="20"/>
                <w:szCs w:val="20"/>
                <w:color w:val="auto"/>
              </w:rPr>
            </w:pPr>
            <w:r>
              <w:rPr>
                <w:rFonts w:ascii="Arial" w:cs="Arial" w:eastAsia="Arial" w:hAnsi="Arial"/>
                <w:sz w:val="18"/>
                <w:szCs w:val="18"/>
                <w:color w:val="auto"/>
              </w:rPr>
              <w:t>XBRL and contained in Exhibit 101)</w:t>
            </w:r>
          </w:p>
        </w:tc>
        <w:tc>
          <w:tcPr>
            <w:tcW w:w="5200" w:type="dxa"/>
            <w:vAlign w:val="bottom"/>
          </w:tcPr>
          <w:p>
            <w:pPr>
              <w:spacing w:after="0"/>
              <w:rPr>
                <w:sz w:val="20"/>
                <w:szCs w:val="20"/>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50" w:lineRule="exact"/>
        <w:rPr>
          <w:sz w:val="20"/>
          <w:szCs w:val="20"/>
          <w:color w:val="auto"/>
        </w:rPr>
      </w:pPr>
    </w:p>
    <w:p>
      <w:pPr>
        <w:ind w:firstLine="8"/>
        <w:spacing w:after="0" w:line="269" w:lineRule="auto"/>
        <w:tabs>
          <w:tab w:leader="none" w:pos="14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Annual Report on Form 10-K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 w:lineRule="exact"/>
        <w:rPr>
          <w:rFonts w:ascii="Arial" w:cs="Arial" w:eastAsia="Arial" w:hAnsi="Arial"/>
          <w:sz w:val="17"/>
          <w:szCs w:val="17"/>
          <w:color w:val="auto"/>
        </w:rPr>
      </w:pPr>
    </w:p>
    <w:p>
      <w:pPr>
        <w:ind w:right="560"/>
        <w:spacing w:after="0" w:line="290" w:lineRule="auto"/>
        <w:rPr>
          <w:rFonts w:ascii="Arial" w:cs="Arial" w:eastAsia="Arial" w:hAnsi="Arial"/>
          <w:sz w:val="17"/>
          <w:szCs w:val="17"/>
          <w:color w:val="auto"/>
        </w:rPr>
      </w:pPr>
      <w:r>
        <w:rPr>
          <w:rFonts w:ascii="Arial" w:cs="Arial" w:eastAsia="Arial" w:hAnsi="Arial"/>
          <w:sz w:val="17"/>
          <w:szCs w:val="17"/>
          <w:color w:val="auto"/>
        </w:rPr>
        <w:t>** Portions of this exhibit have been omitted in accordance with Item 601(b)(10)(iv) of Regulation S-K. The Company undertakes to provide to the Securities and Exchange Commission or its staff, if requested and on a supplemental basis, an unredacted copy of this exhibit.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39" w:name="page140"/>
    <w:bookmarkEnd w:id="139"/>
    <w:p>
      <w:pPr>
        <w:spacing w:after="0" w:line="5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Nkarta, Inc.</w:t>
            </w:r>
          </w:p>
        </w:tc>
        <w:tc>
          <w:tcPr>
            <w:tcW w:w="4180" w:type="dxa"/>
            <w:vAlign w:val="bottom"/>
          </w:tcPr>
          <w:p>
            <w:pPr>
              <w:spacing w:after="0"/>
              <w:rPr>
                <w:sz w:val="20"/>
                <w:szCs w:val="20"/>
                <w:color w:val="auto"/>
              </w:rPr>
            </w:pPr>
          </w:p>
        </w:tc>
      </w:tr>
      <w:tr>
        <w:trPr>
          <w:trHeight w:val="473"/>
        </w:trPr>
        <w:tc>
          <w:tcPr>
            <w:tcW w:w="3520" w:type="dxa"/>
            <w:vAlign w:val="bottom"/>
          </w:tcPr>
          <w:p>
            <w:pPr>
              <w:spacing w:after="0"/>
              <w:rPr>
                <w:sz w:val="20"/>
                <w:szCs w:val="20"/>
                <w:color w:val="auto"/>
              </w:rPr>
            </w:pPr>
            <w:r>
              <w:rPr>
                <w:rFonts w:ascii="Arial" w:cs="Arial" w:eastAsia="Arial" w:hAnsi="Arial"/>
                <w:sz w:val="18"/>
                <w:szCs w:val="18"/>
                <w:color w:val="auto"/>
              </w:rPr>
              <w:t>Date: March 16, 2023</w:t>
            </w:r>
          </w:p>
        </w:tc>
        <w:tc>
          <w:tcPr>
            <w:tcW w:w="352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180" w:type="dxa"/>
            <w:vAlign w:val="bottom"/>
          </w:tcPr>
          <w:p>
            <w:pPr>
              <w:jc w:val="center"/>
              <w:ind w:right="1070"/>
              <w:spacing w:after="0"/>
              <w:rPr>
                <w:sz w:val="20"/>
                <w:szCs w:val="20"/>
                <w:color w:val="auto"/>
              </w:rPr>
            </w:pPr>
            <w:r>
              <w:rPr>
                <w:rFonts w:ascii="Arial" w:cs="Arial" w:eastAsia="Arial" w:hAnsi="Arial"/>
                <w:sz w:val="18"/>
                <w:szCs w:val="18"/>
                <w:color w:val="auto"/>
                <w:w w:val="89"/>
              </w:rPr>
              <w:t>/s/ Paul J. Hastings</w:t>
            </w:r>
          </w:p>
        </w:tc>
      </w:tr>
      <w:tr>
        <w:trPr>
          <w:trHeight w:val="209"/>
        </w:trPr>
        <w:tc>
          <w:tcPr>
            <w:tcW w:w="3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tcPr>
          <w:p>
            <w:pPr>
              <w:jc w:val="center"/>
              <w:ind w:right="1070"/>
              <w:spacing w:after="0"/>
              <w:rPr>
                <w:sz w:val="20"/>
                <w:szCs w:val="20"/>
                <w:color w:val="auto"/>
              </w:rPr>
            </w:pPr>
            <w:r>
              <w:rPr>
                <w:rFonts w:ascii="Arial" w:cs="Arial" w:eastAsia="Arial" w:hAnsi="Arial"/>
                <w:sz w:val="18"/>
                <w:szCs w:val="18"/>
                <w:color w:val="auto"/>
                <w:w w:val="87"/>
              </w:rPr>
              <w:t>Paul J. Hastings</w:t>
            </w:r>
          </w:p>
        </w:tc>
      </w:tr>
      <w:tr>
        <w:trPr>
          <w:trHeight w:val="230"/>
        </w:trPr>
        <w:tc>
          <w:tcPr>
            <w:tcW w:w="35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80" w:type="dxa"/>
            <w:vAlign w:val="bottom"/>
          </w:tcPr>
          <w:p>
            <w:pPr>
              <w:jc w:val="center"/>
              <w:ind w:right="1070"/>
              <w:spacing w:after="0"/>
              <w:rPr>
                <w:sz w:val="20"/>
                <w:szCs w:val="20"/>
                <w:color w:val="auto"/>
              </w:rPr>
            </w:pPr>
            <w:r>
              <w:rPr>
                <w:rFonts w:ascii="Arial" w:cs="Arial" w:eastAsia="Arial" w:hAnsi="Arial"/>
                <w:sz w:val="18"/>
                <w:szCs w:val="18"/>
                <w:color w:val="auto"/>
                <w:w w:val="95"/>
              </w:rPr>
              <w:t>Chief Executive Officer</w:t>
            </w:r>
          </w:p>
        </w:tc>
      </w:tr>
    </w:tbl>
    <w:p>
      <w:pPr>
        <w:spacing w:after="0" w:line="200" w:lineRule="exact"/>
        <w:rPr>
          <w:sz w:val="20"/>
          <w:szCs w:val="20"/>
          <w:color w:val="auto"/>
        </w:rPr>
      </w:pPr>
    </w:p>
    <w:p>
      <w:pPr>
        <w:spacing w:after="0" w:line="27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p>
      <w:pPr>
        <w:ind w:left="1560"/>
        <w:spacing w:after="0"/>
        <w:tabs>
          <w:tab w:leader="none" w:pos="6120" w:val="left"/>
          <w:tab w:leader="none" w:pos="98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92" w:orient="portrait"/>
          <w:cols w:equalWidth="0" w:num="1">
            <w:col w:w="11240"/>
          </w:cols>
          <w:pgMar w:left="320" w:top="337" w:right="339" w:bottom="0" w:gutter="0" w:footer="0" w:header="0"/>
        </w:sectPr>
      </w:pP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Paul J. Hastings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Nadir Mahmood, Ph.D.</w:t>
      </w:r>
    </w:p>
    <w:p>
      <w:pPr>
        <w:spacing w:after="0" w:line="200" w:lineRule="exact"/>
        <w:rPr>
          <w:sz w:val="20"/>
          <w:szCs w:val="20"/>
          <w:color w:val="auto"/>
        </w:rPr>
      </w:pPr>
    </w:p>
    <w:p>
      <w:pPr>
        <w:spacing w:after="0" w:line="2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 Fouad Azzam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Fouad Azzam, Ph.D., MBA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Ali Behbahani, M.D., MBA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 Michael Dybbs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Dybbs, Ph.D.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Simeon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Simeon George, M.D., MBA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 Leone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Leone Patterson, MBA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Zachary Scheiner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Zachary Scheiner, Ph.D.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Laura Shawver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571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Laura Shawver, Ph.D.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jc w:val="center"/>
              <w:ind w:right="690"/>
              <w:spacing w:after="0"/>
              <w:rPr>
                <w:sz w:val="20"/>
                <w:szCs w:val="20"/>
                <w:color w:val="auto"/>
              </w:rPr>
            </w:pPr>
            <w:r>
              <w:rPr>
                <w:rFonts w:ascii="Arial" w:cs="Arial" w:eastAsia="Arial" w:hAnsi="Arial"/>
                <w:sz w:val="18"/>
                <w:szCs w:val="18"/>
                <w:color w:val="auto"/>
                <w:w w:val="93"/>
              </w:rPr>
              <w:t>Chief Executive Officer and Director</w:t>
            </w:r>
          </w:p>
        </w:tc>
        <w:tc>
          <w:tcPr>
            <w:tcW w:w="1920" w:type="dxa"/>
            <w:vAlign w:val="bottom"/>
          </w:tcPr>
          <w:p>
            <w:pPr>
              <w:ind w:left="780"/>
              <w:spacing w:after="0"/>
              <w:rPr>
                <w:sz w:val="20"/>
                <w:szCs w:val="20"/>
                <w:color w:val="auto"/>
              </w:rPr>
            </w:pPr>
            <w:r>
              <w:rPr>
                <w:rFonts w:ascii="Arial" w:cs="Arial" w:eastAsia="Arial" w:hAnsi="Arial"/>
                <w:sz w:val="18"/>
                <w:szCs w:val="18"/>
                <w:color w:val="auto"/>
                <w:w w:val="89"/>
              </w:rPr>
              <w:t>March 16, 2023</w:t>
            </w:r>
          </w:p>
        </w:tc>
      </w:tr>
      <w:tr>
        <w:trPr>
          <w:trHeight w:val="445"/>
        </w:trPr>
        <w:tc>
          <w:tcPr>
            <w:tcW w:w="4020" w:type="dxa"/>
            <w:vAlign w:val="bottom"/>
          </w:tcPr>
          <w:p>
            <w:pPr>
              <w:jc w:val="center"/>
              <w:ind w:right="690"/>
              <w:spacing w:after="0"/>
              <w:rPr>
                <w:sz w:val="20"/>
                <w:szCs w:val="20"/>
                <w:color w:val="auto"/>
              </w:rPr>
            </w:pPr>
            <w:r>
              <w:rPr>
                <w:rFonts w:ascii="Arial" w:cs="Arial" w:eastAsia="Arial" w:hAnsi="Arial"/>
                <w:sz w:val="18"/>
                <w:szCs w:val="18"/>
                <w:color w:val="auto"/>
                <w:w w:val="93"/>
              </w:rPr>
              <w:t>(Principal Executive Officer)</w:t>
            </w:r>
          </w:p>
        </w:tc>
        <w:tc>
          <w:tcPr>
            <w:tcW w:w="1920" w:type="dxa"/>
            <w:vAlign w:val="bottom"/>
          </w:tcPr>
          <w:p>
            <w:pPr>
              <w:spacing w:after="0"/>
              <w:rPr>
                <w:sz w:val="24"/>
                <w:szCs w:val="24"/>
                <w:color w:val="auto"/>
              </w:rPr>
            </w:pPr>
          </w:p>
        </w:tc>
      </w:tr>
      <w:tr>
        <w:trPr>
          <w:trHeight w:val="891"/>
        </w:trPr>
        <w:tc>
          <w:tcPr>
            <w:tcW w:w="4020" w:type="dxa"/>
            <w:vAlign w:val="bottom"/>
          </w:tcPr>
          <w:p>
            <w:pPr>
              <w:jc w:val="center"/>
              <w:ind w:right="690"/>
              <w:spacing w:after="0"/>
              <w:rPr>
                <w:sz w:val="20"/>
                <w:szCs w:val="20"/>
                <w:color w:val="auto"/>
              </w:rPr>
            </w:pPr>
            <w:r>
              <w:rPr>
                <w:rFonts w:ascii="Arial" w:cs="Arial" w:eastAsia="Arial" w:hAnsi="Arial"/>
                <w:sz w:val="18"/>
                <w:szCs w:val="18"/>
                <w:color w:val="auto"/>
                <w:w w:val="92"/>
              </w:rPr>
              <w:t>Chief Financial and Business Officer</w:t>
            </w:r>
          </w:p>
        </w:tc>
        <w:tc>
          <w:tcPr>
            <w:tcW w:w="1920" w:type="dxa"/>
            <w:vAlign w:val="bottom"/>
          </w:tcPr>
          <w:p>
            <w:pPr>
              <w:ind w:left="780"/>
              <w:spacing w:after="0"/>
              <w:rPr>
                <w:sz w:val="20"/>
                <w:szCs w:val="20"/>
                <w:color w:val="auto"/>
              </w:rPr>
            </w:pPr>
            <w:r>
              <w:rPr>
                <w:rFonts w:ascii="Arial" w:cs="Arial" w:eastAsia="Arial" w:hAnsi="Arial"/>
                <w:sz w:val="18"/>
                <w:szCs w:val="18"/>
                <w:color w:val="auto"/>
                <w:w w:val="89"/>
              </w:rPr>
              <w:t>March 16, 2023</w:t>
            </w:r>
          </w:p>
        </w:tc>
      </w:tr>
      <w:tr>
        <w:trPr>
          <w:trHeight w:val="446"/>
        </w:trPr>
        <w:tc>
          <w:tcPr>
            <w:tcW w:w="4020" w:type="dxa"/>
            <w:vAlign w:val="bottom"/>
          </w:tcPr>
          <w:p>
            <w:pPr>
              <w:jc w:val="center"/>
              <w:ind w:right="690"/>
              <w:spacing w:after="0"/>
              <w:rPr>
                <w:sz w:val="20"/>
                <w:szCs w:val="20"/>
                <w:color w:val="auto"/>
              </w:rPr>
            </w:pPr>
            <w:r>
              <w:rPr>
                <w:rFonts w:ascii="Arial" w:cs="Arial" w:eastAsia="Arial" w:hAnsi="Arial"/>
                <w:sz w:val="18"/>
                <w:szCs w:val="18"/>
                <w:color w:val="auto"/>
                <w:w w:val="93"/>
              </w:rPr>
              <w:t>(Principal Financial and Accounting Officer)</w:t>
            </w:r>
          </w:p>
        </w:tc>
        <w:tc>
          <w:tcPr>
            <w:tcW w:w="1920" w:type="dxa"/>
            <w:vAlign w:val="bottom"/>
          </w:tcPr>
          <w:p>
            <w:pPr>
              <w:spacing w:after="0"/>
              <w:rPr>
                <w:sz w:val="24"/>
                <w:szCs w:val="24"/>
                <w:color w:val="auto"/>
              </w:rPr>
            </w:pPr>
          </w:p>
        </w:tc>
      </w:tr>
      <w:tr>
        <w:trPr>
          <w:trHeight w:val="675"/>
        </w:trPr>
        <w:tc>
          <w:tcPr>
            <w:tcW w:w="4020" w:type="dxa"/>
            <w:vAlign w:val="bottom"/>
          </w:tcPr>
          <w:p>
            <w:pPr>
              <w:jc w:val="center"/>
              <w:ind w:right="6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80"/>
              <w:spacing w:after="0"/>
              <w:rPr>
                <w:sz w:val="20"/>
                <w:szCs w:val="20"/>
                <w:color w:val="auto"/>
              </w:rPr>
            </w:pPr>
            <w:r>
              <w:rPr>
                <w:rFonts w:ascii="Arial" w:cs="Arial" w:eastAsia="Arial" w:hAnsi="Arial"/>
                <w:sz w:val="18"/>
                <w:szCs w:val="18"/>
                <w:color w:val="auto"/>
                <w:w w:val="89"/>
              </w:rPr>
              <w:t>March 16,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20"/>
        <w:spacing w:after="0"/>
        <w:tabs>
          <w:tab w:leader="none" w:pos="4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20"/>
        <w:spacing w:after="0"/>
        <w:tabs>
          <w:tab w:leader="none" w:pos="4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20"/>
        <w:spacing w:after="0"/>
        <w:tabs>
          <w:tab w:leader="none" w:pos="4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20"/>
        <w:spacing w:after="0"/>
        <w:tabs>
          <w:tab w:leader="none" w:pos="4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20"/>
        <w:spacing w:after="0"/>
        <w:tabs>
          <w:tab w:leader="none" w:pos="4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320"/>
        <w:spacing w:after="0"/>
        <w:tabs>
          <w:tab w:leader="none" w:pos="47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16, 2023</w:t>
      </w:r>
    </w:p>
    <w:p>
      <w:pPr>
        <w:spacing w:after="0" w:line="668" w:lineRule="exact"/>
        <w:rPr>
          <w:sz w:val="20"/>
          <w:szCs w:val="20"/>
          <w:color w:val="auto"/>
        </w:rPr>
      </w:pPr>
    </w:p>
    <w:p>
      <w:pPr>
        <w:sectPr>
          <w:pgSz w:w="11900" w:h="16892" w:orient="portrait"/>
          <w:cols w:equalWidth="0" w:num="2">
            <w:col w:w="3940" w:space="720"/>
            <w:col w:w="6580"/>
          </w:cols>
          <w:pgMar w:left="320" w:top="337"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Angela Thedinga</w:t>
            </w:r>
          </w:p>
        </w:tc>
        <w:tc>
          <w:tcPr>
            <w:tcW w:w="430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1440"/>
              <w:spacing w:after="0"/>
              <w:rPr>
                <w:sz w:val="20"/>
                <w:szCs w:val="20"/>
                <w:color w:val="auto"/>
              </w:rPr>
            </w:pPr>
            <w:r>
              <w:rPr>
                <w:rFonts w:ascii="Arial" w:cs="Arial" w:eastAsia="Arial" w:hAnsi="Arial"/>
                <w:sz w:val="18"/>
                <w:szCs w:val="18"/>
                <w:color w:val="auto"/>
                <w:w w:val="89"/>
              </w:rPr>
              <w:t>March 16, 2023</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Angela Thedinga</w:t>
            </w:r>
          </w:p>
        </w:tc>
        <w:tc>
          <w:tcPr>
            <w:tcW w:w="430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ectPr>
          <w:pgSz w:w="11900" w:h="16892" w:orient="portrait"/>
          <w:cols w:equalWidth="0" w:num="1">
            <w:col w:w="11240"/>
          </w:cols>
          <w:pgMar w:left="320" w:top="337" w:right="339" w:bottom="0" w:gutter="0" w:footer="0" w:header="0"/>
          <w:type w:val="continuous"/>
        </w:sectPr>
      </w:pPr>
    </w:p>
    <w:bookmarkStart w:id="140" w:name="page141"/>
    <w:bookmarkEnd w:id="140"/>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19"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10.3(C)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2020 PERFORMANCE INCENTIVE PLAN</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NOTICE OF GRANT OF STOCK OPTION</w:t>
      </w:r>
    </w:p>
    <w:p>
      <w:pPr>
        <w:spacing w:after="0" w:line="22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Nkarta,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pursuant to its 2020 Performance Incentive Plan, as may be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granted on the Date of Grant set forth below (the “</w:t>
      </w:r>
      <w:r>
        <w:rPr>
          <w:rFonts w:ascii="Arial" w:cs="Arial" w:eastAsia="Arial" w:hAnsi="Arial"/>
          <w:sz w:val="18"/>
          <w:szCs w:val="18"/>
          <w:b w:val="1"/>
          <w:bCs w:val="1"/>
          <w:i w:val="1"/>
          <w:iCs w:val="1"/>
          <w:color w:val="auto"/>
        </w:rPr>
        <w:t>Award Date</w:t>
      </w:r>
      <w:r>
        <w:rPr>
          <w:rFonts w:ascii="Arial" w:cs="Arial" w:eastAsia="Arial" w:hAnsi="Arial"/>
          <w:sz w:val="18"/>
          <w:szCs w:val="18"/>
          <w:color w:val="auto"/>
        </w:rPr>
        <w:t>”) to the award recipient listed below (the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 a nonqualified stock option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the number of shares of the Corporation’s Common Stock set forth below at a price per share equal to the Exercise Price per Share set forth below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The Option is subject to all of the terms and conditions set forth in this Notice of Grant of Stock Option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as well as in the Plan and the Terms and Conditions of Director Stock Option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each of which is incorporated herein by this reference. Unless otherwise defined in this Grant Notice or in the Terms, capitalized terms used in this Grant Notice or in the Terms are used as defined in the Plan.</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6800" w:type="dxa"/>
            <w:vAlign w:val="bottom"/>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8"/>
                <w:szCs w:val="18"/>
                <w:b w:val="1"/>
                <w:bCs w:val="1"/>
                <w:color w:val="auto"/>
              </w:rPr>
              <w:t>Award Number:</w:t>
            </w:r>
          </w:p>
        </w:tc>
        <w:tc>
          <w:tcPr>
            <w:tcW w:w="6800" w:type="dxa"/>
            <w:vAlign w:val="bottom"/>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800" w:type="dxa"/>
            <w:vAlign w:val="bottom"/>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6800" w:type="dxa"/>
            <w:vAlign w:val="bottom"/>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6800" w:type="dxa"/>
            <w:vAlign w:val="bottom"/>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413"/>
        </w:trPr>
        <w:tc>
          <w:tcPr>
            <w:tcW w:w="3920" w:type="dxa"/>
            <w:vAlign w:val="bottom"/>
          </w:tcPr>
          <w:p>
            <w:pPr>
              <w:spacing w:after="0"/>
              <w:rPr>
                <w:sz w:val="20"/>
                <w:szCs w:val="20"/>
                <w:color w:val="auto"/>
              </w:rPr>
            </w:pPr>
            <w:r>
              <w:rPr>
                <w:rFonts w:ascii="Arial" w:cs="Arial" w:eastAsia="Arial" w:hAnsi="Arial"/>
                <w:sz w:val="18"/>
                <w:szCs w:val="18"/>
                <w:b w:val="1"/>
                <w:bCs w:val="1"/>
                <w:color w:val="auto"/>
              </w:rPr>
              <w:t>Total Exercise Price</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6800" w:type="dxa"/>
            <w:vAlign w:val="bottom"/>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397"/>
        </w:trPr>
        <w:tc>
          <w:tcPr>
            <w:tcW w:w="3920" w:type="dxa"/>
            <w:vAlign w:val="bottom"/>
          </w:tcPr>
          <w:p>
            <w:pPr>
              <w:spacing w:after="0"/>
              <w:rPr>
                <w:sz w:val="20"/>
                <w:szCs w:val="20"/>
                <w:color w:val="auto"/>
              </w:rPr>
            </w:pPr>
            <w:r>
              <w:rPr>
                <w:rFonts w:ascii="Arial" w:cs="Arial" w:eastAsia="Arial" w:hAnsi="Arial"/>
                <w:sz w:val="18"/>
                <w:szCs w:val="18"/>
                <w:b w:val="1"/>
                <w:bCs w:val="1"/>
                <w:color w:val="auto"/>
                <w:w w:val="96"/>
              </w:rPr>
              <w:t>Total Number of Shares Subject to the Option</w:t>
            </w:r>
            <w:r>
              <w:rPr>
                <w:rFonts w:ascii="Arial" w:cs="Arial" w:eastAsia="Arial" w:hAnsi="Arial"/>
                <w:sz w:val="24"/>
                <w:szCs w:val="24"/>
                <w:b w:val="1"/>
                <w:bCs w:val="1"/>
                <w:color w:val="auto"/>
                <w:w w:val="96"/>
                <w:vertAlign w:val="superscript"/>
              </w:rPr>
              <w:t>1</w:t>
            </w:r>
            <w:r>
              <w:rPr>
                <w:rFonts w:ascii="Arial" w:cs="Arial" w:eastAsia="Arial" w:hAnsi="Arial"/>
                <w:sz w:val="18"/>
                <w:szCs w:val="18"/>
                <w:b w:val="1"/>
                <w:bCs w:val="1"/>
                <w:color w:val="auto"/>
                <w:w w:val="96"/>
              </w:rPr>
              <w:t>:</w:t>
            </w:r>
          </w:p>
        </w:tc>
        <w:tc>
          <w:tcPr>
            <w:tcW w:w="6800" w:type="dxa"/>
            <w:vAlign w:val="bottom"/>
            <w:vMerge w:val="restart"/>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6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3920" w:type="dxa"/>
            <w:vAlign w:val="bottom"/>
          </w:tcPr>
          <w:p>
            <w:pPr>
              <w:spacing w:after="0"/>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6800" w:type="dxa"/>
            <w:vAlign w:val="bottom"/>
          </w:tcPr>
          <w:p>
            <w:pPr>
              <w:ind w:left="28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275"/>
        </w:trPr>
        <w:tc>
          <w:tcPr>
            <w:tcW w:w="3920" w:type="dxa"/>
            <w:vAlign w:val="bottom"/>
          </w:tcPr>
          <w:p>
            <w:pPr>
              <w:spacing w:after="0"/>
              <w:rPr>
                <w:sz w:val="23"/>
                <w:szCs w:val="23"/>
                <w:color w:val="auto"/>
              </w:rPr>
            </w:pPr>
          </w:p>
        </w:tc>
        <w:tc>
          <w:tcPr>
            <w:tcW w:w="6800" w:type="dxa"/>
            <w:vAlign w:val="bottom"/>
          </w:tcPr>
          <w:p>
            <w:pPr>
              <w:ind w:left="280"/>
              <w:spacing w:after="0"/>
              <w:rPr>
                <w:sz w:val="20"/>
                <w:szCs w:val="20"/>
                <w:color w:val="auto"/>
              </w:rPr>
            </w:pPr>
            <w:r>
              <w:rPr>
                <w:rFonts w:ascii="Arial" w:cs="Arial" w:eastAsia="Arial" w:hAnsi="Arial"/>
                <w:sz w:val="18"/>
                <w:szCs w:val="18"/>
                <w:color w:val="auto"/>
                <w:w w:val="92"/>
              </w:rPr>
              <w:t>[100% of the shares will vest on the first to occur of (i) the first anniversary of the date of</w:t>
            </w:r>
          </w:p>
        </w:tc>
        <w:tc>
          <w:tcPr>
            <w:tcW w:w="0" w:type="dxa"/>
            <w:vAlign w:val="bottom"/>
          </w:tcPr>
          <w:p>
            <w:pPr>
              <w:spacing w:after="0"/>
              <w:rPr>
                <w:sz w:val="1"/>
                <w:szCs w:val="1"/>
                <w:color w:val="auto"/>
              </w:rPr>
            </w:pPr>
          </w:p>
        </w:tc>
      </w:tr>
      <w:tr>
        <w:trPr>
          <w:trHeight w:val="216"/>
        </w:trPr>
        <w:tc>
          <w:tcPr>
            <w:tcW w:w="3920" w:type="dxa"/>
            <w:vAlign w:val="bottom"/>
          </w:tcPr>
          <w:p>
            <w:pPr>
              <w:spacing w:after="0" w:line="216" w:lineRule="exact"/>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24"/>
                <w:szCs w:val="24"/>
                <w:b w:val="1"/>
                <w:bCs w:val="1"/>
                <w:color w:val="auto"/>
                <w:vertAlign w:val="superscript"/>
              </w:rPr>
              <w:t>1,2</w:t>
            </w:r>
            <w:r>
              <w:rPr>
                <w:rFonts w:ascii="Arial" w:cs="Arial" w:eastAsia="Arial" w:hAnsi="Arial"/>
                <w:sz w:val="18"/>
                <w:szCs w:val="18"/>
                <w:b w:val="1"/>
                <w:bCs w:val="1"/>
                <w:color w:val="auto"/>
              </w:rPr>
              <w:t>:</w:t>
            </w:r>
          </w:p>
        </w:tc>
        <w:tc>
          <w:tcPr>
            <w:tcW w:w="6800" w:type="dxa"/>
            <w:vAlign w:val="bottom"/>
          </w:tcPr>
          <w:p>
            <w:pPr>
              <w:ind w:left="280"/>
              <w:spacing w:after="0"/>
              <w:rPr>
                <w:sz w:val="20"/>
                <w:szCs w:val="20"/>
                <w:color w:val="auto"/>
              </w:rPr>
            </w:pPr>
            <w:r>
              <w:rPr>
                <w:rFonts w:ascii="Arial" w:cs="Arial" w:eastAsia="Arial" w:hAnsi="Arial"/>
                <w:sz w:val="18"/>
                <w:szCs w:val="18"/>
                <w:color w:val="auto"/>
                <w:w w:val="91"/>
              </w:rPr>
              <w:t>grant of the award, or (ii) on the day immediately preceding the first annual meeting of the</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6800" w:type="dxa"/>
            <w:vAlign w:val="bottom"/>
          </w:tcPr>
          <w:p>
            <w:pPr>
              <w:ind w:left="280"/>
              <w:spacing w:after="0"/>
              <w:rPr>
                <w:sz w:val="20"/>
                <w:szCs w:val="20"/>
                <w:color w:val="auto"/>
              </w:rPr>
            </w:pPr>
            <w:r>
              <w:rPr>
                <w:rFonts w:ascii="Arial" w:cs="Arial" w:eastAsia="Arial" w:hAnsi="Arial"/>
                <w:sz w:val="18"/>
                <w:szCs w:val="18"/>
                <w:color w:val="auto"/>
              </w:rPr>
              <w:t>Company's stockholders to occur after the date of grant of the award]</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By accepting the Option (by clicking “sign”, “accept” or similar acknowledgement of acceptance through the Company’s stock plan recordkeeping system which may be administered by the Company or through a third party on behalf of the Company), the Grantee (1) signs this Grant Notice electronically, which acceptance shall be valid and effective to bind the Grantee to this Grant Notice and shall be treated, for purposes of validity, enforceability and admissibility, the same as Grantee’s hand-written signature to this Grant Notice, (2) agrees to be bound by the terms and conditions of the Plan, the Terms, and this Grant Notice and accepts the Option on and subject to such terms and conditions, (3) acknowledges having received and having reviewed in their entirety the Plan, the Terms, this Grant Notice, and the Prospectus for the Plan, (4) acknowledges having had an opportunity to obtain the advice of counsel (to the extent Grantee believed it was appropriate to consult with counsel) prior to executing this Grant Notice, (5) represents that he or she fully understands all provisions of the Plan, the Terms, and this Grant Notice, and (6) agrees to accept as binding, conclusive and final all decisions or interpretations of the Administrator upon any questions arising under the Plan, the Terms, and this Grant Notice.</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NKARTA,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257175</wp:posOffset>
            </wp:positionV>
            <wp:extent cx="3566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0"/>
          <w:szCs w:val="20"/>
          <w:color w:val="auto"/>
        </w:rPr>
        <w:t>NKARTA, INC.</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2020 PERFORMANCE INCENTIVE PLAN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TERMS AND CONDITIONS OF DIRECTOR STOCK OPTION</w:t>
      </w:r>
    </w:p>
    <w:p>
      <w:pPr>
        <w:spacing w:after="0" w:line="205"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w:t>
      </w:r>
      <w:r>
        <w:rPr>
          <w:rFonts w:ascii="Arial" w:cs="Arial" w:eastAsia="Arial" w:hAnsi="Arial"/>
          <w:sz w:val="22"/>
          <w:szCs w:val="22"/>
          <w:b w:val="1"/>
          <w:bCs w:val="1"/>
          <w:color w:val="auto"/>
        </w:rPr>
        <w:t>.</w:t>
      </w:r>
    </w:p>
    <w:p>
      <w:pPr>
        <w:spacing w:after="0" w:line="21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These Terms and Conditions of Director Stock Option (these “</w:t>
      </w:r>
      <w:r>
        <w:rPr>
          <w:rFonts w:ascii="Arial" w:cs="Arial" w:eastAsia="Arial" w:hAnsi="Arial"/>
          <w:sz w:val="20"/>
          <w:szCs w:val="20"/>
          <w:b w:val="1"/>
          <w:bCs w:val="1"/>
          <w:color w:val="auto"/>
        </w:rPr>
        <w:t>Terms</w:t>
      </w:r>
      <w:r>
        <w:rPr>
          <w:rFonts w:ascii="Arial" w:cs="Arial" w:eastAsia="Arial" w:hAnsi="Arial"/>
          <w:sz w:val="20"/>
          <w:szCs w:val="20"/>
          <w:color w:val="auto"/>
        </w:rPr>
        <w:t>”) apply to a particular stock option (the “</w:t>
      </w:r>
      <w:r>
        <w:rPr>
          <w:rFonts w:ascii="Arial" w:cs="Arial" w:eastAsia="Arial" w:hAnsi="Arial"/>
          <w:sz w:val="20"/>
          <w:szCs w:val="20"/>
          <w:b w:val="1"/>
          <w:bCs w:val="1"/>
          <w:color w:val="auto"/>
        </w:rPr>
        <w:t>Option</w:t>
      </w:r>
      <w:r>
        <w:rPr>
          <w:rFonts w:ascii="Arial" w:cs="Arial" w:eastAsia="Arial" w:hAnsi="Arial"/>
          <w:sz w:val="20"/>
          <w:szCs w:val="20"/>
          <w:color w:val="auto"/>
        </w:rPr>
        <w:t>”) if incorporated by reference in the Notice of Grant of Stock Option (the “</w:t>
      </w:r>
      <w:r>
        <w:rPr>
          <w:rFonts w:ascii="Arial" w:cs="Arial" w:eastAsia="Arial" w:hAnsi="Arial"/>
          <w:sz w:val="20"/>
          <w:szCs w:val="20"/>
          <w:b w:val="1"/>
          <w:bCs w:val="1"/>
          <w:color w:val="auto"/>
        </w:rPr>
        <w:t>Grant Notice</w:t>
      </w:r>
      <w:r>
        <w:rPr>
          <w:rFonts w:ascii="Arial" w:cs="Arial" w:eastAsia="Arial" w:hAnsi="Arial"/>
          <w:sz w:val="20"/>
          <w:szCs w:val="20"/>
          <w:color w:val="auto"/>
        </w:rPr>
        <w:t>”) corresponding to that particular grant. The recipient of the Option identified in the Grant Notice is referred to as the “</w:t>
      </w:r>
      <w:r>
        <w:rPr>
          <w:rFonts w:ascii="Arial" w:cs="Arial" w:eastAsia="Arial" w:hAnsi="Arial"/>
          <w:sz w:val="20"/>
          <w:szCs w:val="20"/>
          <w:b w:val="1"/>
          <w:bCs w:val="1"/>
          <w:color w:val="auto"/>
        </w:rPr>
        <w:t>Director</w:t>
      </w:r>
      <w:r>
        <w:rPr>
          <w:rFonts w:ascii="Arial" w:cs="Arial" w:eastAsia="Arial" w:hAnsi="Arial"/>
          <w:sz w:val="20"/>
          <w:szCs w:val="20"/>
          <w:color w:val="auto"/>
        </w:rPr>
        <w:t>.” The per share exercise price of the Option as set forth in the Grant Notice is referred to as the “</w:t>
      </w:r>
      <w:r>
        <w:rPr>
          <w:rFonts w:ascii="Arial" w:cs="Arial" w:eastAsia="Arial" w:hAnsi="Arial"/>
          <w:sz w:val="20"/>
          <w:szCs w:val="20"/>
          <w:b w:val="1"/>
          <w:bCs w:val="1"/>
          <w:color w:val="auto"/>
        </w:rPr>
        <w:t>Exercise Price</w:t>
      </w:r>
      <w:r>
        <w:rPr>
          <w:rFonts w:ascii="Arial" w:cs="Arial" w:eastAsia="Arial" w:hAnsi="Arial"/>
          <w:sz w:val="20"/>
          <w:szCs w:val="20"/>
          <w:color w:val="auto"/>
        </w:rPr>
        <w:t>.” The effective date of grant of the Option as set forth in the Grant Notice is referred to as the “</w:t>
      </w:r>
      <w:r>
        <w:rPr>
          <w:rFonts w:ascii="Arial" w:cs="Arial" w:eastAsia="Arial" w:hAnsi="Arial"/>
          <w:sz w:val="20"/>
          <w:szCs w:val="20"/>
          <w:b w:val="1"/>
          <w:bCs w:val="1"/>
          <w:color w:val="auto"/>
        </w:rPr>
        <w:t>Award Date</w:t>
      </w:r>
      <w:r>
        <w:rPr>
          <w:rFonts w:ascii="Arial" w:cs="Arial" w:eastAsia="Arial" w:hAnsi="Arial"/>
          <w:sz w:val="20"/>
          <w:szCs w:val="20"/>
          <w:color w:val="auto"/>
        </w:rPr>
        <w:t>.” The exercise price and the number of shares covered by the Option are subject to adjustment under Section 7.1 of the Plan.</w:t>
      </w:r>
    </w:p>
    <w:p>
      <w:pPr>
        <w:spacing w:after="0" w:line="184" w:lineRule="exact"/>
        <w:rPr>
          <w:sz w:val="20"/>
          <w:szCs w:val="20"/>
          <w:color w:val="auto"/>
        </w:rPr>
      </w:pPr>
    </w:p>
    <w:p>
      <w:pPr>
        <w:jc w:val="both"/>
        <w:ind w:right="20" w:firstLine="749"/>
        <w:spacing w:after="0" w:line="248" w:lineRule="auto"/>
        <w:rPr>
          <w:sz w:val="20"/>
          <w:szCs w:val="20"/>
          <w:color w:val="auto"/>
        </w:rPr>
      </w:pPr>
      <w:r>
        <w:rPr>
          <w:rFonts w:ascii="Arial" w:cs="Arial" w:eastAsia="Arial" w:hAnsi="Arial"/>
          <w:sz w:val="20"/>
          <w:szCs w:val="20"/>
          <w:color w:val="auto"/>
        </w:rPr>
        <w:t>The Option was granted under and subject to the Nkarta, Inc. 2020 Performance Incentive Plan (the “</w:t>
      </w:r>
      <w:r>
        <w:rPr>
          <w:rFonts w:ascii="Arial" w:cs="Arial" w:eastAsia="Arial" w:hAnsi="Arial"/>
          <w:sz w:val="20"/>
          <w:szCs w:val="20"/>
          <w:b w:val="1"/>
          <w:bCs w:val="1"/>
          <w:color w:val="auto"/>
        </w:rPr>
        <w:t>Plan</w:t>
      </w:r>
      <w:r>
        <w:rPr>
          <w:rFonts w:ascii="Arial" w:cs="Arial" w:eastAsia="Arial" w:hAnsi="Arial"/>
          <w:sz w:val="20"/>
          <w:szCs w:val="20"/>
          <w:color w:val="auto"/>
        </w:rPr>
        <w:t>”). Capitalized terms are defined in the Plan if not defined herein. The Option has been granted to the Director in addition to, and not in lieu of, any other form of compensation otherwise payable or to be paid to the Director. The Grant Notice and these Terms are collectively referred to as the “Option Agreement” applicable to the Option.</w:t>
      </w:r>
    </w:p>
    <w:p>
      <w:pPr>
        <w:spacing w:after="0" w:line="179"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 Limits on Exercise; Incentive Stock Option Status</w:t>
      </w:r>
      <w:r>
        <w:rPr>
          <w:rFonts w:ascii="Arial" w:cs="Arial" w:eastAsia="Arial" w:hAnsi="Arial"/>
          <w:sz w:val="22"/>
          <w:szCs w:val="22"/>
          <w:b w:val="1"/>
          <w:bCs w:val="1"/>
          <w:color w:val="auto"/>
        </w:rPr>
        <w:t>.</w:t>
      </w:r>
    </w:p>
    <w:p>
      <w:pPr>
        <w:spacing w:after="0" w:line="211" w:lineRule="exact"/>
        <w:rPr>
          <w:sz w:val="20"/>
          <w:szCs w:val="20"/>
          <w:color w:val="auto"/>
        </w:rPr>
      </w:pPr>
    </w:p>
    <w:p>
      <w:pPr>
        <w:ind w:right="340" w:firstLine="749"/>
        <w:spacing w:after="0" w:line="253" w:lineRule="auto"/>
        <w:rPr>
          <w:sz w:val="20"/>
          <w:szCs w:val="20"/>
          <w:color w:val="auto"/>
        </w:rPr>
      </w:pPr>
      <w:r>
        <w:rPr>
          <w:rFonts w:ascii="Arial" w:cs="Arial" w:eastAsia="Arial" w:hAnsi="Arial"/>
          <w:sz w:val="20"/>
          <w:szCs w:val="20"/>
          <w:b w:val="1"/>
          <w:bCs w:val="1"/>
          <w:color w:val="auto"/>
        </w:rPr>
        <w:t xml:space="preserve">2.1 Vesting in General. </w:t>
      </w:r>
      <w:r>
        <w:rPr>
          <w:rFonts w:ascii="Arial" w:cs="Arial" w:eastAsia="Arial" w:hAnsi="Arial"/>
          <w:sz w:val="20"/>
          <w:szCs w:val="20"/>
          <w:color w:val="auto"/>
        </w:rPr>
        <w:t>Subject to Sections 2.2 and 5 below, the Option shall vest and become exercisable in percentage</w:t>
      </w:r>
      <w:r>
        <w:rPr>
          <w:rFonts w:ascii="Arial" w:cs="Arial" w:eastAsia="Arial" w:hAnsi="Arial"/>
          <w:sz w:val="20"/>
          <w:szCs w:val="20"/>
          <w:b w:val="1"/>
          <w:bCs w:val="1"/>
          <w:color w:val="auto"/>
        </w:rPr>
        <w:t xml:space="preserve"> </w:t>
      </w:r>
      <w:r>
        <w:rPr>
          <w:rFonts w:ascii="Arial" w:cs="Arial" w:eastAsia="Arial" w:hAnsi="Arial"/>
          <w:sz w:val="20"/>
          <w:szCs w:val="20"/>
          <w:color w:val="auto"/>
        </w:rPr>
        <w:t>installments of the aggregate number of shares subject to the Option as set forth on the cover page of this Option Agreement. The Option may be exercised only to the extent the Option is vested and exercisable.</w:t>
      </w:r>
    </w:p>
    <w:p>
      <w:pPr>
        <w:spacing w:after="0" w:line="177" w:lineRule="exact"/>
        <w:rPr>
          <w:sz w:val="20"/>
          <w:szCs w:val="20"/>
          <w:color w:val="auto"/>
        </w:rPr>
      </w:pPr>
    </w:p>
    <w:p>
      <w:pPr>
        <w:ind w:right="140" w:firstLine="749"/>
        <w:spacing w:after="0" w:line="262" w:lineRule="auto"/>
        <w:rPr>
          <w:sz w:val="20"/>
          <w:szCs w:val="20"/>
          <w:color w:val="auto"/>
        </w:rPr>
      </w:pPr>
      <w:r>
        <w:rPr>
          <w:rFonts w:ascii="Arial" w:cs="Arial" w:eastAsia="Arial" w:hAnsi="Arial"/>
          <w:sz w:val="19"/>
          <w:szCs w:val="19"/>
          <w:b w:val="1"/>
          <w:bCs w:val="1"/>
          <w:color w:val="auto"/>
        </w:rPr>
        <w:t xml:space="preserve">2.2 Change in Control Event. </w:t>
      </w:r>
      <w:r>
        <w:rPr>
          <w:rFonts w:ascii="Arial" w:cs="Arial" w:eastAsia="Arial" w:hAnsi="Arial"/>
          <w:sz w:val="19"/>
          <w:szCs w:val="19"/>
          <w:color w:val="auto"/>
        </w:rPr>
        <w:t>Notwithstanding any other provision to the contrary contained herein or in the Plan,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occurrence of a Change in Control Event, the Option, to the extent then outstanding and unvested, shall accelerate and become fully vested and exercisable as of (or, as may be necessary to effectuate the purposes of this acceleration, immediately prior to) the date of the Change in Control Event. For purposes of the Option, a “</w:t>
      </w:r>
      <w:r>
        <w:rPr>
          <w:rFonts w:ascii="Arial" w:cs="Arial" w:eastAsia="Arial" w:hAnsi="Arial"/>
          <w:sz w:val="19"/>
          <w:szCs w:val="19"/>
          <w:b w:val="1"/>
          <w:bCs w:val="1"/>
          <w:color w:val="auto"/>
        </w:rPr>
        <w:t>Change in Control Event</w:t>
      </w:r>
      <w:r>
        <w:rPr>
          <w:rFonts w:ascii="Arial" w:cs="Arial" w:eastAsia="Arial" w:hAnsi="Arial"/>
          <w:sz w:val="19"/>
          <w:szCs w:val="19"/>
          <w:color w:val="auto"/>
        </w:rPr>
        <w:t>” shall be deemed to have occurred as of the first day, after the Award Date, that any one or more of the following conditions shall have been satisfied:</w:t>
      </w:r>
    </w:p>
    <w:p>
      <w:pPr>
        <w:spacing w:after="0" w:line="177" w:lineRule="exact"/>
        <w:rPr>
          <w:sz w:val="20"/>
          <w:szCs w:val="20"/>
          <w:color w:val="auto"/>
        </w:rPr>
      </w:pPr>
    </w:p>
    <w:p>
      <w:pPr>
        <w:ind w:left="1500" w:right="200" w:hanging="690"/>
        <w:spacing w:after="0" w:line="271" w:lineRule="auto"/>
        <w:tabs>
          <w:tab w:leader="none" w:pos="12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 “</w:t>
      </w:r>
      <w:r>
        <w:rPr>
          <w:rFonts w:ascii="Arial" w:cs="Arial" w:eastAsia="Arial" w:hAnsi="Arial"/>
          <w:sz w:val="18"/>
          <w:szCs w:val="18"/>
          <w:b w:val="1"/>
          <w:bCs w:val="1"/>
          <w:color w:val="auto"/>
        </w:rPr>
        <w:t>Person</w:t>
      </w:r>
      <w:r>
        <w:rPr>
          <w:rFonts w:ascii="Arial" w:cs="Arial" w:eastAsia="Arial" w:hAnsi="Arial"/>
          <w:sz w:val="18"/>
          <w:szCs w:val="18"/>
          <w:color w:val="auto"/>
        </w:rPr>
        <w:t>”) of beneficial ownership (within the meaning of Rule 13d-3 promulgated under the Exchange Act) of 30% or more of either (1) the then-outstanding shares of Common Stock of the Corporation (the “</w:t>
      </w:r>
      <w:r>
        <w:rPr>
          <w:rFonts w:ascii="Arial" w:cs="Arial" w:eastAsia="Arial" w:hAnsi="Arial"/>
          <w:sz w:val="18"/>
          <w:szCs w:val="18"/>
          <w:b w:val="1"/>
          <w:bCs w:val="1"/>
          <w:color w:val="auto"/>
        </w:rPr>
        <w:t>Outstanding Corporation Common Stock</w:t>
      </w:r>
      <w:r>
        <w:rPr>
          <w:rFonts w:ascii="Arial" w:cs="Arial" w:eastAsia="Arial" w:hAnsi="Arial"/>
          <w:sz w:val="18"/>
          <w:szCs w:val="18"/>
          <w:color w:val="auto"/>
        </w:rPr>
        <w:t>”) or (2) the combined voting power of the then-outstanding voting securities of the Corporation entitled to vote generally in the election of directors (the “</w:t>
      </w:r>
      <w:r>
        <w:rPr>
          <w:rFonts w:ascii="Arial" w:cs="Arial" w:eastAsia="Arial" w:hAnsi="Arial"/>
          <w:sz w:val="18"/>
          <w:szCs w:val="18"/>
          <w:b w:val="1"/>
          <w:bCs w:val="1"/>
          <w:color w:val="auto"/>
        </w:rPr>
        <w:t>Outstanding Corporation Voting Securities</w:t>
      </w:r>
      <w:r>
        <w:rPr>
          <w:rFonts w:ascii="Arial" w:cs="Arial" w:eastAsia="Arial" w:hAnsi="Arial"/>
          <w:sz w:val="18"/>
          <w:szCs w:val="18"/>
          <w:color w:val="auto"/>
        </w:rPr>
        <w:t>”); provided, however, that, for purposes of this definition, the following acquisitions shall not constitute a Change in Control Event; (A) any acquisition directly from the Corporation, (B) any acquisition by the Corporation, (C) any acquisition by any employee benefit plan (or related trust) sponsored or maintained by the Corporation or any affiliate of the Corporation or a successor, or (D) any acquisition by any entity pursuant to a transaction that complies with Sections (c)(1), (2) and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left="743" w:hanging="690"/>
        <w:spacing w:after="0" w:line="313" w:lineRule="auto"/>
        <w:tabs>
          <w:tab w:leader="none" w:pos="444"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Individuals who, as of the Award Date, constitute the Board (the “</w:t>
      </w:r>
      <w:r>
        <w:rPr>
          <w:rFonts w:ascii="Arial" w:cs="Arial" w:eastAsia="Arial" w:hAnsi="Arial"/>
          <w:sz w:val="16"/>
          <w:szCs w:val="16"/>
          <w:b w:val="1"/>
          <w:bCs w:val="1"/>
          <w:color w:val="auto"/>
        </w:rPr>
        <w:t>Incumbent Board</w:t>
      </w:r>
      <w:r>
        <w:rPr>
          <w:rFonts w:ascii="Arial" w:cs="Arial" w:eastAsia="Arial" w:hAnsi="Arial"/>
          <w:sz w:val="16"/>
          <w:szCs w:val="16"/>
          <w:color w:val="auto"/>
        </w:rPr>
        <w:t>”) cease for any reason to constitute at least a majority of the Board; provided, however, that any individual becoming a director subsequent to the Award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39" w:lineRule="exact"/>
        <w:rPr>
          <w:rFonts w:ascii="Arial" w:cs="Arial" w:eastAsia="Arial" w:hAnsi="Arial"/>
          <w:sz w:val="16"/>
          <w:szCs w:val="16"/>
          <w:color w:val="auto"/>
        </w:rPr>
      </w:pPr>
    </w:p>
    <w:p>
      <w:pPr>
        <w:ind w:left="743" w:right="40" w:hanging="690"/>
        <w:spacing w:after="0" w:line="268" w:lineRule="auto"/>
        <w:tabs>
          <w:tab w:leader="none" w:pos="4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in each case unless, following such Business Combination, (1) all or substantially all of the individuals and entities that were the beneficial owners of the Outstanding Corporation Common Stock and the Outstanding Corporation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 Parent, as defined above) in substantially the same proportions as their ownership immediately prior to such Business Combination of the Outstanding Corporation Common Stock and the Outstanding Corporation Voting Securities, as the case may be, (2) no Person (excluding any entity resulting from such Business Combination or a Parent or any employee benefit plan (or related trust) of the Corporation or such entity resulting from such Business Combination or Parent) beneficially owns, directly or indirectly, 30% or more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84" w:lineRule="exact"/>
        <w:rPr>
          <w:rFonts w:ascii="Arial" w:cs="Arial" w:eastAsia="Arial" w:hAnsi="Arial"/>
          <w:sz w:val="18"/>
          <w:szCs w:val="18"/>
          <w:color w:val="auto"/>
        </w:rPr>
      </w:pPr>
    </w:p>
    <w:p>
      <w:pPr>
        <w:ind w:left="743" w:right="180" w:hanging="690"/>
        <w:spacing w:after="0" w:line="287" w:lineRule="auto"/>
        <w:tabs>
          <w:tab w:leader="none" w:pos="444" w:val="left"/>
        </w:tabs>
        <w:numPr>
          <w:ilvl w:val="0"/>
          <w:numId w:val="57"/>
        </w:numPr>
        <w:rPr>
          <w:rFonts w:ascii="Arial" w:cs="Arial" w:eastAsia="Arial" w:hAnsi="Arial"/>
          <w:sz w:val="19"/>
          <w:szCs w:val="19"/>
          <w:color w:val="auto"/>
        </w:rPr>
      </w:pPr>
      <w:r>
        <w:rPr>
          <w:rFonts w:ascii="Arial" w:cs="Arial" w:eastAsia="Arial" w:hAnsi="Arial"/>
          <w:sz w:val="19"/>
          <w:szCs w:val="19"/>
          <w:color w:val="auto"/>
        </w:rPr>
        <w:t>Approval by the stockholders of the Corporation of a complete liquidation or dissolution of the Corporation other than in the context of a transaction that does not constitute a Change in Control Event under clause (c) above.</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 xml:space="preserve">2.3  Limits on Exercise; Incentive Stock Option Status. </w:t>
      </w:r>
      <w:r>
        <w:rPr>
          <w:rFonts w:ascii="Arial" w:cs="Arial" w:eastAsia="Arial" w:hAnsi="Arial"/>
          <w:sz w:val="20"/>
          <w:szCs w:val="20"/>
          <w:color w:val="auto"/>
        </w:rPr>
        <w:t>The following limits shall apply with respect to the Option:</w:t>
      </w:r>
    </w:p>
    <w:p>
      <w:pPr>
        <w:spacing w:after="0" w:line="222" w:lineRule="exact"/>
        <w:rPr>
          <w:sz w:val="20"/>
          <w:szCs w:val="20"/>
          <w:color w:val="auto"/>
        </w:rPr>
      </w:pPr>
    </w:p>
    <w:p>
      <w:pPr>
        <w:ind w:left="383" w:right="200" w:hanging="383"/>
        <w:spacing w:after="0" w:line="250" w:lineRule="auto"/>
        <w:tabs>
          <w:tab w:leader="none" w:pos="38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Cumulative Exercisability</w:t>
      </w:r>
      <w:r>
        <w:rPr>
          <w:rFonts w:ascii="Arial" w:cs="Arial" w:eastAsia="Arial" w:hAnsi="Arial"/>
          <w:sz w:val="20"/>
          <w:szCs w:val="20"/>
          <w:color w:val="auto"/>
        </w:rPr>
        <w:t>. To the extent that the Option is vested and exercisable, the Director has the right to exercise the Option (to the extent not previously exercised), and such right shall continue, until the expiration or earlier termination of the Option.</w:t>
      </w:r>
    </w:p>
    <w:p>
      <w:pPr>
        <w:spacing w:after="0" w:line="185" w:lineRule="exact"/>
        <w:rPr>
          <w:rFonts w:ascii="Arial" w:cs="Arial" w:eastAsia="Arial" w:hAnsi="Arial"/>
          <w:sz w:val="20"/>
          <w:szCs w:val="20"/>
          <w:color w:val="auto"/>
        </w:rPr>
      </w:pPr>
    </w:p>
    <w:p>
      <w:pPr>
        <w:ind w:left="383" w:hanging="383"/>
        <w:spacing w:after="0"/>
        <w:tabs>
          <w:tab w:leader="none" w:pos="38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 Fractional Shares</w:t>
      </w:r>
      <w:r>
        <w:rPr>
          <w:rFonts w:ascii="Arial" w:cs="Arial" w:eastAsia="Arial" w:hAnsi="Arial"/>
          <w:sz w:val="20"/>
          <w:szCs w:val="20"/>
          <w:color w:val="auto"/>
        </w:rPr>
        <w:t>. Fractional share interests shall be disregarded, but may be 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297815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5" w:right="339" w:bottom="1440" w:gutter="0" w:footer="0" w:header="0"/>
        </w:sectPr>
      </w:pPr>
    </w:p>
    <w:bookmarkStart w:id="144" w:name="page145"/>
    <w:bookmarkEnd w:id="144"/>
    <w:p>
      <w:pPr>
        <w:ind w:left="1140" w:hanging="383"/>
        <w:spacing w:after="0" w:line="317" w:lineRule="auto"/>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Minimum Exercise</w:t>
      </w:r>
      <w:r>
        <w:rPr>
          <w:rFonts w:ascii="Arial" w:cs="Arial" w:eastAsia="Arial" w:hAnsi="Arial"/>
          <w:sz w:val="18"/>
          <w:szCs w:val="18"/>
          <w:color w:val="auto"/>
        </w:rPr>
        <w:t>. No fewer than 100 shares of Common Stock (subject to adjustment under Section 7.1 of the Plan) may be purchased at any one time, unless the number purchased is the total number at the time exercisable under the Option.</w:t>
      </w:r>
    </w:p>
    <w:p>
      <w:pPr>
        <w:spacing w:after="0" w:line="129" w:lineRule="exact"/>
        <w:rPr>
          <w:rFonts w:ascii="Arial" w:cs="Arial" w:eastAsia="Arial" w:hAnsi="Arial"/>
          <w:sz w:val="18"/>
          <w:szCs w:val="18"/>
          <w:color w:val="auto"/>
        </w:rPr>
      </w:pPr>
    </w:p>
    <w:p>
      <w:pPr>
        <w:ind w:left="1140" w:right="200" w:hanging="383"/>
        <w:spacing w:after="0" w:line="260" w:lineRule="auto"/>
        <w:tabs>
          <w:tab w:leader="none" w:pos="1140"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Nonqualified Stock Option</w:t>
      </w:r>
      <w:r>
        <w:rPr>
          <w:rFonts w:ascii="Arial" w:cs="Arial" w:eastAsia="Arial" w:hAnsi="Arial"/>
          <w:sz w:val="20"/>
          <w:szCs w:val="20"/>
          <w:color w:val="auto"/>
        </w:rPr>
        <w:t>. The Option is a nonqualified stock option and is not, and shall not be, an incentive stock option within the meaning of Section 422 of the Code.</w:t>
      </w:r>
    </w:p>
    <w:p>
      <w:pPr>
        <w:spacing w:after="0" w:line="166" w:lineRule="exact"/>
        <w:rPr>
          <w:rFonts w:ascii="Arial" w:cs="Arial" w:eastAsia="Arial" w:hAnsi="Arial"/>
          <w:sz w:val="20"/>
          <w:szCs w:val="20"/>
          <w:color w:val="auto"/>
        </w:rPr>
      </w:pPr>
    </w:p>
    <w:p>
      <w:pPr>
        <w:ind w:left="760" w:hanging="752"/>
        <w:spacing w:after="0"/>
        <w:tabs>
          <w:tab w:leader="none" w:pos="7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Continuance of Board Service Required; No Service Commitment</w:t>
      </w:r>
      <w:r>
        <w:rPr>
          <w:rFonts w:ascii="Arial" w:cs="Arial" w:eastAsia="Arial" w:hAnsi="Arial"/>
          <w:sz w:val="22"/>
          <w:szCs w:val="22"/>
          <w:b w:val="1"/>
          <w:bCs w:val="1"/>
          <w:color w:val="auto"/>
        </w:rPr>
        <w:t>.</w:t>
      </w:r>
    </w:p>
    <w:p>
      <w:pPr>
        <w:spacing w:after="0" w:line="217" w:lineRule="exact"/>
        <w:rPr>
          <w:sz w:val="20"/>
          <w:szCs w:val="20"/>
          <w:color w:val="auto"/>
        </w:rPr>
      </w:pPr>
    </w:p>
    <w:p>
      <w:pPr>
        <w:ind w:firstLine="396"/>
        <w:spacing w:after="0" w:line="259" w:lineRule="auto"/>
        <w:rPr>
          <w:sz w:val="20"/>
          <w:szCs w:val="20"/>
          <w:color w:val="auto"/>
        </w:rPr>
      </w:pPr>
      <w:r>
        <w:rPr>
          <w:rFonts w:ascii="Arial" w:cs="Arial" w:eastAsia="Arial" w:hAnsi="Arial"/>
          <w:sz w:val="19"/>
          <w:szCs w:val="19"/>
          <w:color w:val="auto"/>
        </w:rPr>
        <w:t>The vesting schedule requires the Director’s continued service on the Board through each applicable vesting date as a condition to the vesting of the applicable installment of the Option and the rights and benefits under this Option Agreement. Service for only a portion of the vesting period, even if a substantial portion, will not entitle the Director to any proportionate vesting or avoid or mitigate a termination of rights and benefits upon or following a termination of services as provided in Section 5 below or under the Plan. Nothing contained in this Option Agreement or the Plan constitutes a continued service commitment by the Corporation or interferes with the right of the Corporation to increase or decrease the compensation of the Director from the rate in existence at any time.</w:t>
      </w:r>
    </w:p>
    <w:p>
      <w:pPr>
        <w:spacing w:after="0" w:line="168" w:lineRule="exact"/>
        <w:rPr>
          <w:sz w:val="20"/>
          <w:szCs w:val="20"/>
          <w:color w:val="auto"/>
        </w:rPr>
      </w:pPr>
    </w:p>
    <w:p>
      <w:pPr>
        <w:ind w:left="760" w:hanging="752"/>
        <w:spacing w:after="0"/>
        <w:tabs>
          <w:tab w:leader="none" w:pos="7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Method of Exercise of Option</w:t>
      </w:r>
      <w:r>
        <w:rPr>
          <w:rFonts w:ascii="Arial" w:cs="Arial" w:eastAsia="Arial" w:hAnsi="Arial"/>
          <w:sz w:val="22"/>
          <w:szCs w:val="22"/>
          <w:b w:val="1"/>
          <w:bCs w:val="1"/>
          <w:color w:val="auto"/>
        </w:rPr>
        <w:t>.</w:t>
      </w:r>
    </w:p>
    <w:p>
      <w:pPr>
        <w:spacing w:after="0" w:line="217" w:lineRule="exact"/>
        <w:rPr>
          <w:sz w:val="20"/>
          <w:szCs w:val="20"/>
          <w:color w:val="auto"/>
        </w:rPr>
      </w:pPr>
    </w:p>
    <w:p>
      <w:pPr>
        <w:ind w:right="80" w:firstLine="749"/>
        <w:spacing w:after="0" w:line="316" w:lineRule="auto"/>
        <w:rPr>
          <w:sz w:val="20"/>
          <w:szCs w:val="20"/>
          <w:color w:val="auto"/>
        </w:rPr>
      </w:pPr>
      <w:r>
        <w:rPr>
          <w:rFonts w:ascii="Arial" w:cs="Arial" w:eastAsia="Arial" w:hAnsi="Arial"/>
          <w:sz w:val="18"/>
          <w:szCs w:val="18"/>
          <w:color w:val="auto"/>
        </w:rPr>
        <w:t>The Option shall be exercisable by the delivery to the Secretary of the Corporation (or such other person as the Administrator may require pursuant to such administrative exercise procedures as the Administrator may implement from time to time) of:</w:t>
      </w:r>
    </w:p>
    <w:p>
      <w:pPr>
        <w:spacing w:after="0" w:line="130" w:lineRule="exact"/>
        <w:rPr>
          <w:sz w:val="20"/>
          <w:szCs w:val="20"/>
          <w:color w:val="auto"/>
        </w:rPr>
      </w:pPr>
    </w:p>
    <w:p>
      <w:pPr>
        <w:ind w:left="1140" w:hanging="383"/>
        <w:spacing w:after="0" w:line="260" w:lineRule="auto"/>
        <w:tabs>
          <w:tab w:leader="none" w:pos="11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176" w:lineRule="exact"/>
        <w:rPr>
          <w:rFonts w:ascii="Arial" w:cs="Arial" w:eastAsia="Arial" w:hAnsi="Arial"/>
          <w:sz w:val="20"/>
          <w:szCs w:val="20"/>
          <w:color w:val="auto"/>
        </w:rPr>
      </w:pPr>
    </w:p>
    <w:p>
      <w:pPr>
        <w:ind w:left="1140" w:right="620" w:hanging="383"/>
        <w:spacing w:after="0" w:line="260" w:lineRule="auto"/>
        <w:tabs>
          <w:tab w:leader="none" w:pos="11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payment in full for the Exercise Price of the shares to be purchased in cash, check or by electronic funds transfer to the Corporation;</w:t>
      </w:r>
    </w:p>
    <w:p>
      <w:pPr>
        <w:spacing w:after="0" w:line="176" w:lineRule="exact"/>
        <w:rPr>
          <w:rFonts w:ascii="Arial" w:cs="Arial" w:eastAsia="Arial" w:hAnsi="Arial"/>
          <w:sz w:val="20"/>
          <w:szCs w:val="20"/>
          <w:color w:val="auto"/>
        </w:rPr>
      </w:pPr>
    </w:p>
    <w:p>
      <w:pPr>
        <w:ind w:left="1140" w:hanging="383"/>
        <w:spacing w:after="0"/>
        <w:tabs>
          <w:tab w:leader="none" w:pos="11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written statements or agreements required pursuant to Section 8.1 of the Plan; and</w:t>
      </w:r>
    </w:p>
    <w:p>
      <w:pPr>
        <w:spacing w:after="0" w:line="215" w:lineRule="exact"/>
        <w:rPr>
          <w:rFonts w:ascii="Arial" w:cs="Arial" w:eastAsia="Arial" w:hAnsi="Arial"/>
          <w:sz w:val="20"/>
          <w:szCs w:val="20"/>
          <w:color w:val="auto"/>
        </w:rPr>
      </w:pPr>
    </w:p>
    <w:p>
      <w:pPr>
        <w:ind w:left="1140" w:hanging="383"/>
        <w:spacing w:after="0"/>
        <w:tabs>
          <w:tab w:leader="none" w:pos="11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satisfaction of the tax withholding provisions of Section 8.5 of the Plan.</w:t>
      </w:r>
    </w:p>
    <w:p>
      <w:pPr>
        <w:spacing w:after="0" w:line="216" w:lineRule="exact"/>
        <w:rPr>
          <w:sz w:val="20"/>
          <w:szCs w:val="20"/>
          <w:color w:val="auto"/>
        </w:rPr>
      </w:pPr>
    </w:p>
    <w:p>
      <w:pPr>
        <w:ind w:right="140" w:firstLine="749"/>
        <w:spacing w:after="0" w:line="250" w:lineRule="auto"/>
        <w:rPr>
          <w:sz w:val="20"/>
          <w:szCs w:val="20"/>
          <w:color w:val="auto"/>
        </w:rPr>
      </w:pPr>
      <w:r>
        <w:rPr>
          <w:rFonts w:ascii="Arial" w:cs="Arial" w:eastAsia="Arial" w:hAnsi="Arial"/>
          <w:sz w:val="20"/>
          <w:szCs w:val="20"/>
          <w:color w:val="auto"/>
        </w:rPr>
        <w:t>The Administrator also may, but is not required to, authorize a non-cash payment alternative by one or more of the following methods (subject in each case to compliance with all applicable laws, rules, regulations and listing requirements and further subject to such rules as the Administrator may adopt as to any such payment method):</w:t>
      </w:r>
    </w:p>
    <w:p>
      <w:pPr>
        <w:spacing w:after="0" w:line="186" w:lineRule="exact"/>
        <w:rPr>
          <w:sz w:val="20"/>
          <w:szCs w:val="20"/>
          <w:color w:val="auto"/>
        </w:rPr>
      </w:pPr>
    </w:p>
    <w:p>
      <w:pPr>
        <w:ind w:left="1140" w:hanging="383"/>
        <w:spacing w:after="0"/>
        <w:tabs>
          <w:tab w:leader="none" w:pos="11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notice and third party payment in such manner as may be authorized by the Administrator;</w:t>
      </w:r>
    </w:p>
    <w:p>
      <w:pPr>
        <w:spacing w:after="0" w:line="215" w:lineRule="exact"/>
        <w:rPr>
          <w:rFonts w:ascii="Arial" w:cs="Arial" w:eastAsia="Arial" w:hAnsi="Arial"/>
          <w:sz w:val="20"/>
          <w:szCs w:val="20"/>
          <w:color w:val="auto"/>
        </w:rPr>
      </w:pPr>
    </w:p>
    <w:p>
      <w:pPr>
        <w:ind w:left="1140" w:right="20" w:hanging="383"/>
        <w:spacing w:after="0" w:line="260" w:lineRule="auto"/>
        <w:tabs>
          <w:tab w:leader="none" w:pos="11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shares of Common Stock already owned by the Director, valued at their fair market value (as determined under the Plan) on the exercise date;</w:t>
      </w:r>
    </w:p>
    <w:p>
      <w:pPr>
        <w:spacing w:after="0" w:line="176" w:lineRule="exact"/>
        <w:rPr>
          <w:rFonts w:ascii="Arial" w:cs="Arial" w:eastAsia="Arial" w:hAnsi="Arial"/>
          <w:sz w:val="20"/>
          <w:szCs w:val="20"/>
          <w:color w:val="auto"/>
        </w:rPr>
      </w:pPr>
    </w:p>
    <w:p>
      <w:pPr>
        <w:ind w:left="1140" w:right="140" w:hanging="383"/>
        <w:spacing w:after="0" w:line="260" w:lineRule="auto"/>
        <w:tabs>
          <w:tab w:leader="none" w:pos="11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reduction in the number of shares of Common Stock otherwise deliverable to the Director (valued at their fair market value on the exercise date, as determined under the Plan) pursuant to the exercise of the Option; or</w:t>
      </w:r>
    </w:p>
    <w:p>
      <w:pPr>
        <w:spacing w:after="0" w:line="176" w:lineRule="exact"/>
        <w:rPr>
          <w:rFonts w:ascii="Arial" w:cs="Arial" w:eastAsia="Arial" w:hAnsi="Arial"/>
          <w:sz w:val="20"/>
          <w:szCs w:val="20"/>
          <w:color w:val="auto"/>
        </w:rPr>
      </w:pPr>
    </w:p>
    <w:p>
      <w:pPr>
        <w:ind w:left="1140" w:right="20" w:hanging="383"/>
        <w:spacing w:after="0" w:line="260" w:lineRule="auto"/>
        <w:tabs>
          <w:tab w:leader="none" w:pos="11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“cashless exercise” with a third party who provides simultaneous financing for the purposes of (or who otherwise facilitates) the exercise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5" w:name="page146"/>
    <w:bookmarkEnd w:id="145"/>
    <w:p>
      <w:pPr>
        <w:ind w:left="760" w:hanging="752"/>
        <w:spacing w:after="0"/>
        <w:tabs>
          <w:tab w:leader="none" w:pos="7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Early Termination of Option; Acceleration on Death/Disability</w:t>
      </w:r>
      <w:r>
        <w:rPr>
          <w:rFonts w:ascii="Arial" w:cs="Arial" w:eastAsia="Arial" w:hAnsi="Arial"/>
          <w:sz w:val="22"/>
          <w:szCs w:val="22"/>
          <w:b w:val="1"/>
          <w:bCs w:val="1"/>
          <w:color w:val="auto"/>
        </w:rPr>
        <w:t>.</w:t>
      </w:r>
    </w:p>
    <w:p>
      <w:pPr>
        <w:spacing w:after="0" w:line="207" w:lineRule="exact"/>
        <w:rPr>
          <w:sz w:val="20"/>
          <w:szCs w:val="20"/>
          <w:color w:val="auto"/>
        </w:rPr>
      </w:pPr>
    </w:p>
    <w:p>
      <w:pPr>
        <w:ind w:right="100" w:firstLine="749"/>
        <w:spacing w:after="0" w:line="256" w:lineRule="auto"/>
        <w:rPr>
          <w:sz w:val="20"/>
          <w:szCs w:val="20"/>
          <w:color w:val="auto"/>
        </w:rPr>
      </w:pPr>
      <w:r>
        <w:rPr>
          <w:rFonts w:ascii="Arial" w:cs="Arial" w:eastAsia="Arial" w:hAnsi="Arial"/>
          <w:sz w:val="22"/>
          <w:szCs w:val="22"/>
          <w:b w:val="1"/>
          <w:bCs w:val="1"/>
          <w:color w:val="auto"/>
        </w:rPr>
        <w:t>5.1 Expiration Date</w:t>
      </w:r>
      <w:r>
        <w:rPr>
          <w:rFonts w:ascii="Arial" w:cs="Arial" w:eastAsia="Arial" w:hAnsi="Arial"/>
          <w:sz w:val="22"/>
          <w:szCs w:val="22"/>
          <w:color w:val="auto"/>
        </w:rPr>
        <w:t>. Subject to earlier termination as provided below in this Section 5, the Option will terminate</w:t>
      </w:r>
      <w:r>
        <w:rPr>
          <w:rFonts w:ascii="Arial" w:cs="Arial" w:eastAsia="Arial" w:hAnsi="Arial"/>
          <w:sz w:val="22"/>
          <w:szCs w:val="22"/>
          <w:b w:val="1"/>
          <w:bCs w:val="1"/>
          <w:color w:val="auto"/>
        </w:rPr>
        <w:t xml:space="preserve"> </w:t>
      </w:r>
      <w:r>
        <w:rPr>
          <w:rFonts w:ascii="Arial" w:cs="Arial" w:eastAsia="Arial" w:hAnsi="Arial"/>
          <w:sz w:val="22"/>
          <w:szCs w:val="22"/>
          <w:color w:val="auto"/>
        </w:rPr>
        <w:t>on the “Expiration Date” set forth in the Grant Notice (the “</w:t>
      </w:r>
      <w:r>
        <w:rPr>
          <w:rFonts w:ascii="Arial" w:cs="Arial" w:eastAsia="Arial" w:hAnsi="Arial"/>
          <w:sz w:val="22"/>
          <w:szCs w:val="22"/>
          <w:b w:val="1"/>
          <w:bCs w:val="1"/>
          <w:color w:val="auto"/>
        </w:rPr>
        <w:t>Expiration Date</w:t>
      </w:r>
      <w:r>
        <w:rPr>
          <w:rFonts w:ascii="Arial" w:cs="Arial" w:eastAsia="Arial" w:hAnsi="Arial"/>
          <w:sz w:val="22"/>
          <w:szCs w:val="22"/>
          <w:color w:val="auto"/>
        </w:rPr>
        <w:t>”).</w:t>
      </w:r>
    </w:p>
    <w:p>
      <w:pPr>
        <w:spacing w:after="0" w:line="162" w:lineRule="exact"/>
        <w:rPr>
          <w:sz w:val="20"/>
          <w:szCs w:val="20"/>
          <w:color w:val="auto"/>
        </w:rPr>
      </w:pPr>
    </w:p>
    <w:p>
      <w:pPr>
        <w:ind w:right="300" w:firstLine="749"/>
        <w:spacing w:after="0" w:line="256" w:lineRule="auto"/>
        <w:rPr>
          <w:sz w:val="20"/>
          <w:szCs w:val="20"/>
          <w:color w:val="auto"/>
        </w:rPr>
      </w:pPr>
      <w:r>
        <w:rPr>
          <w:rFonts w:ascii="Arial" w:cs="Arial" w:eastAsia="Arial" w:hAnsi="Arial"/>
          <w:sz w:val="22"/>
          <w:szCs w:val="22"/>
          <w:b w:val="1"/>
          <w:bCs w:val="1"/>
          <w:color w:val="auto"/>
        </w:rPr>
        <w:t xml:space="preserve">5.2 Possible Termination of Option upon Certain Corporate Events. </w:t>
      </w:r>
      <w:r>
        <w:rPr>
          <w:rFonts w:ascii="Arial" w:cs="Arial" w:eastAsia="Arial" w:hAnsi="Arial"/>
          <w:sz w:val="22"/>
          <w:szCs w:val="22"/>
          <w:color w:val="auto"/>
        </w:rPr>
        <w:t>The Option is subject to termination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certain corporate events as provided in Section 7.2 of the Plan.</w:t>
      </w:r>
    </w:p>
    <w:p>
      <w:pPr>
        <w:spacing w:after="0" w:line="162" w:lineRule="exact"/>
        <w:rPr>
          <w:sz w:val="20"/>
          <w:szCs w:val="20"/>
          <w:color w:val="auto"/>
        </w:rPr>
      </w:pPr>
    </w:p>
    <w:p>
      <w:pPr>
        <w:ind w:firstLine="749"/>
        <w:spacing w:after="0" w:line="239" w:lineRule="auto"/>
        <w:rPr>
          <w:sz w:val="20"/>
          <w:szCs w:val="20"/>
          <w:color w:val="auto"/>
        </w:rPr>
      </w:pPr>
      <w:r>
        <w:rPr>
          <w:rFonts w:ascii="Arial" w:cs="Arial" w:eastAsia="Arial" w:hAnsi="Arial"/>
          <w:sz w:val="22"/>
          <w:szCs w:val="22"/>
          <w:b w:val="1"/>
          <w:bCs w:val="1"/>
          <w:color w:val="auto"/>
        </w:rPr>
        <w:t xml:space="preserve">5.3 Termination of Option upon a Termination of Director’s Services. </w:t>
      </w:r>
      <w:r>
        <w:rPr>
          <w:rFonts w:ascii="Arial" w:cs="Arial" w:eastAsia="Arial" w:hAnsi="Arial"/>
          <w:sz w:val="22"/>
          <w:szCs w:val="22"/>
          <w:color w:val="auto"/>
        </w:rPr>
        <w:t>Subject to earlier termination on the</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Date of the Option or pursuant to Section 5.2 above, if the Director ceases to be a member of the Board, the following rules shall apply (the last day that the Director is serving as a member of the Board is referred to as the Director’s “</w:t>
      </w:r>
      <w:r>
        <w:rPr>
          <w:rFonts w:ascii="Arial" w:cs="Arial" w:eastAsia="Arial" w:hAnsi="Arial"/>
          <w:sz w:val="22"/>
          <w:szCs w:val="22"/>
          <w:b w:val="1"/>
          <w:bCs w:val="1"/>
          <w:color w:val="auto"/>
        </w:rPr>
        <w:t>Severance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w:t>
      </w:r>
    </w:p>
    <w:p>
      <w:pPr>
        <w:spacing w:after="0" w:line="191" w:lineRule="exact"/>
        <w:rPr>
          <w:sz w:val="20"/>
          <w:szCs w:val="20"/>
          <w:color w:val="auto"/>
        </w:rPr>
      </w:pPr>
    </w:p>
    <w:p>
      <w:pPr>
        <w:ind w:left="1140" w:hanging="383"/>
        <w:spacing w:after="0" w:line="260" w:lineRule="auto"/>
        <w:tabs>
          <w:tab w:leader="none" w:pos="11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other than as expressly provided below in this Section 5.3, (a) the Director will have until the date that is 3 months after his or her Severance Date to exercise the Option (or portion thereof) to the extent that it was vested on the Severance Date, (b) the Option, to the extent not vested on the Severance Date, shall terminate on the Severance Date, and (c) the Option, to the extent exercisable for the 3-month period following the Severance Date and not exercised during such period, shall terminate at the close of business on the last day of the 3-month period; and</w:t>
      </w:r>
    </w:p>
    <w:p>
      <w:pPr>
        <w:spacing w:after="0" w:line="180" w:lineRule="exact"/>
        <w:rPr>
          <w:rFonts w:ascii="Arial" w:cs="Arial" w:eastAsia="Arial" w:hAnsi="Arial"/>
          <w:sz w:val="19"/>
          <w:szCs w:val="19"/>
          <w:color w:val="auto"/>
        </w:rPr>
      </w:pPr>
    </w:p>
    <w:p>
      <w:pPr>
        <w:ind w:left="1140" w:right="60" w:hanging="383"/>
        <w:spacing w:after="0" w:line="321" w:lineRule="auto"/>
        <w:tabs>
          <w:tab w:leader="none" w:pos="1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Director ceases to be a member of the Board due to the Director’s death or Total Disability (as defined below), (a) the Option, to the extent then outstanding and unvested, shall accelerate and be fully vested on the Director’s Severance Date, (b) the Director (or his or her beneficiary or personal representative, as the case may be) will have until the date that is 12 months after the Director’s Severance Date to exercise the Option, and (c) the Option, to the extent not exercised during the 12-month period following the Severance Date, shall terminate at the close of business on the last day of the 12-month period.</w:t>
      </w:r>
    </w:p>
    <w:p>
      <w:pPr>
        <w:spacing w:after="0" w:line="127" w:lineRule="exact"/>
        <w:rPr>
          <w:sz w:val="20"/>
          <w:szCs w:val="20"/>
          <w:color w:val="auto"/>
        </w:rPr>
      </w:pPr>
    </w:p>
    <w:p>
      <w:pPr>
        <w:ind w:right="20" w:firstLine="749"/>
        <w:spacing w:after="0" w:line="267" w:lineRule="auto"/>
        <w:rPr>
          <w:sz w:val="20"/>
          <w:szCs w:val="20"/>
          <w:color w:val="auto"/>
        </w:rPr>
      </w:pPr>
      <w:r>
        <w:rPr>
          <w:rFonts w:ascii="Arial" w:cs="Arial" w:eastAsia="Arial" w:hAnsi="Arial"/>
          <w:sz w:val="20"/>
          <w:szCs w:val="20"/>
          <w:color w:val="auto"/>
        </w:rPr>
        <w:t>For purposes of the Option, “</w:t>
      </w:r>
      <w:r>
        <w:rPr>
          <w:rFonts w:ascii="Arial" w:cs="Arial" w:eastAsia="Arial" w:hAnsi="Arial"/>
          <w:sz w:val="20"/>
          <w:szCs w:val="20"/>
          <w:b w:val="1"/>
          <w:bCs w:val="1"/>
          <w:color w:val="auto"/>
        </w:rPr>
        <w:t>Total Disability</w:t>
      </w:r>
      <w:r>
        <w:rPr>
          <w:rFonts w:ascii="Arial" w:cs="Arial" w:eastAsia="Arial" w:hAnsi="Arial"/>
          <w:sz w:val="20"/>
          <w:szCs w:val="20"/>
          <w:color w:val="auto"/>
        </w:rPr>
        <w:t>” means a “permanent and total disability” (within the meaning of Section 22(e)(3) of the Code or as otherwise determined by the Administrator).</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all events the Option is subject to earlier termination on the Expiration Date of the Option or as contemplated by Section 5.2.</w:t>
      </w:r>
    </w:p>
    <w:p>
      <w:pPr>
        <w:spacing w:after="0" w:line="228"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w:t>
      </w:r>
      <w:r>
        <w:rPr>
          <w:rFonts w:ascii="Arial" w:cs="Arial" w:eastAsia="Arial" w:hAnsi="Arial"/>
          <w:sz w:val="22"/>
          <w:szCs w:val="22"/>
          <w:color w:val="auto"/>
        </w:rPr>
        <w:t>.</w:t>
      </w:r>
    </w:p>
    <w:p>
      <w:pPr>
        <w:spacing w:after="0" w:line="217" w:lineRule="exact"/>
        <w:rPr>
          <w:sz w:val="20"/>
          <w:szCs w:val="20"/>
          <w:color w:val="auto"/>
        </w:rPr>
      </w:pPr>
    </w:p>
    <w:p>
      <w:pPr>
        <w:ind w:right="140" w:firstLine="749"/>
        <w:spacing w:after="0" w:line="260" w:lineRule="auto"/>
        <w:rPr>
          <w:sz w:val="20"/>
          <w:szCs w:val="20"/>
          <w:color w:val="auto"/>
        </w:rPr>
      </w:pPr>
      <w:r>
        <w:rPr>
          <w:rFonts w:ascii="Arial" w:cs="Arial" w:eastAsia="Arial" w:hAnsi="Arial"/>
          <w:sz w:val="20"/>
          <w:szCs w:val="20"/>
          <w:color w:val="auto"/>
        </w:rPr>
        <w:t>The Option and any other rights of the Director under this Option Agreement or the Plan are nontransferable and exercisable only by the Director, except as set forth in Section 5.7 of the Plan.</w:t>
      </w:r>
    </w:p>
    <w:p>
      <w:pPr>
        <w:spacing w:after="0" w:line="166"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w:t>
      </w:r>
    </w:p>
    <w:p>
      <w:pPr>
        <w:spacing w:after="0" w:line="217" w:lineRule="exact"/>
        <w:rPr>
          <w:sz w:val="20"/>
          <w:szCs w:val="20"/>
          <w:color w:val="auto"/>
        </w:rPr>
      </w:pPr>
    </w:p>
    <w:p>
      <w:pPr>
        <w:ind w:right="60" w:firstLine="749"/>
        <w:spacing w:after="0" w:line="243" w:lineRule="auto"/>
        <w:rPr>
          <w:sz w:val="20"/>
          <w:szCs w:val="20"/>
          <w:color w:val="auto"/>
        </w:rPr>
      </w:pPr>
      <w:r>
        <w:rPr>
          <w:rFonts w:ascii="Arial" w:cs="Arial" w:eastAsia="Arial" w:hAnsi="Arial"/>
          <w:sz w:val="20"/>
          <w:szCs w:val="20"/>
          <w:color w:val="auto"/>
        </w:rPr>
        <w:t>Any notice to be given under the terms of this Option Agreement shall be in writing and addressed to the Corporation at its principal office to the attention of the Secretary, and to the Director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Director is no longer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146" w:name="page147"/>
    <w:bookmarkEnd w:id="146"/>
    <w:p>
      <w:pPr>
        <w:ind w:right="120"/>
        <w:spacing w:after="0" w:line="261" w:lineRule="auto"/>
        <w:rPr>
          <w:sz w:val="20"/>
          <w:szCs w:val="20"/>
          <w:color w:val="auto"/>
        </w:rPr>
      </w:pPr>
      <w:r>
        <w:rPr>
          <w:rFonts w:ascii="Arial" w:cs="Arial" w:eastAsia="Arial" w:hAnsi="Arial"/>
          <w:sz w:val="20"/>
          <w:szCs w:val="20"/>
          <w:color w:val="auto"/>
        </w:rPr>
        <w:t>by the Corporation or a Subsidiary, shall be deemed to have been duly given five business days after the date mailed in accordance with the foregoing provisions of this Section 7.</w:t>
      </w:r>
    </w:p>
    <w:p>
      <w:pPr>
        <w:spacing w:after="0" w:line="165"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w:t>
      </w:r>
    </w:p>
    <w:p>
      <w:pPr>
        <w:spacing w:after="0" w:line="217" w:lineRule="exact"/>
        <w:rPr>
          <w:sz w:val="20"/>
          <w:szCs w:val="20"/>
          <w:color w:val="auto"/>
        </w:rPr>
      </w:pPr>
    </w:p>
    <w:p>
      <w:pPr>
        <w:ind w:right="20" w:firstLine="749"/>
        <w:spacing w:after="0" w:line="243" w:lineRule="auto"/>
        <w:rPr>
          <w:sz w:val="20"/>
          <w:szCs w:val="20"/>
          <w:color w:val="auto"/>
        </w:rPr>
      </w:pPr>
      <w:r>
        <w:rPr>
          <w:rFonts w:ascii="Arial" w:cs="Arial" w:eastAsia="Arial" w:hAnsi="Arial"/>
          <w:sz w:val="20"/>
          <w:szCs w:val="20"/>
          <w:color w:val="auto"/>
        </w:rPr>
        <w:t xml:space="preserve">The Option and all rights of the Director under this Option Agreement are subject to the terms and conditions of the Plan, incorporated herein by this reference. The Director agrees to be bound by the terms of the Plan and this Option Agreement. The Director acknowledges having read and understanding the Plan, the Prospectus for the Plan, and this Option Agreement. Unless otherwise expressly provided in other sections of this Option Agreement, provisions of the Plan that confer discretionary authority on the Board or the Administrator do not and shall not be deemed to create any rights in the Director unless such rights are expressly set forth herein or are otherwise in the sole discretion of the Board or the Administrator so conferred by appropriate action of the Board or the Administrator under the Plan </w:t>
      </w:r>
      <w:r>
        <w:rPr>
          <w:rFonts w:ascii="Arial" w:cs="Arial" w:eastAsia="Arial" w:hAnsi="Arial"/>
          <w:sz w:val="20"/>
          <w:szCs w:val="20"/>
          <w:u w:val="single" w:color="auto"/>
          <w:color w:val="auto"/>
        </w:rPr>
        <w:t>after</w:t>
      </w:r>
      <w:r>
        <w:rPr>
          <w:rFonts w:ascii="Arial" w:cs="Arial" w:eastAsia="Arial" w:hAnsi="Arial"/>
          <w:sz w:val="20"/>
          <w:szCs w:val="20"/>
          <w:color w:val="auto"/>
        </w:rPr>
        <w:t xml:space="preserve"> the date hereof.</w:t>
      </w:r>
    </w:p>
    <w:p>
      <w:pPr>
        <w:spacing w:after="0" w:line="182"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w:t>
      </w:r>
    </w:p>
    <w:p>
      <w:pPr>
        <w:spacing w:after="0" w:line="217" w:lineRule="exact"/>
        <w:rPr>
          <w:sz w:val="20"/>
          <w:szCs w:val="20"/>
          <w:color w:val="auto"/>
        </w:rPr>
      </w:pPr>
    </w:p>
    <w:p>
      <w:pPr>
        <w:ind w:right="180" w:firstLine="749"/>
        <w:spacing w:after="0" w:line="243" w:lineRule="auto"/>
        <w:rPr>
          <w:sz w:val="20"/>
          <w:szCs w:val="20"/>
          <w:color w:val="auto"/>
        </w:rPr>
      </w:pPr>
      <w:r>
        <w:rPr>
          <w:rFonts w:ascii="Arial" w:cs="Arial" w:eastAsia="Arial" w:hAnsi="Arial"/>
          <w:sz w:val="20"/>
          <w:szCs w:val="20"/>
          <w:color w:val="auto"/>
        </w:rPr>
        <w:t>This Option Agreement and the Plan together constitute the entire agreement and supersede all prior understandings and agreements, written or oral, of the parties hereto with respect to the subject matter hereof. The Plan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Director hereunder, but no such waiver shall operate as or be construed to be a subsequent waiver of the same provision or a waiver of any other provision hereof.</w:t>
      </w:r>
    </w:p>
    <w:p>
      <w:pPr>
        <w:spacing w:after="0" w:line="185"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w:t>
      </w:r>
    </w:p>
    <w:p>
      <w:pPr>
        <w:spacing w:after="0" w:line="217" w:lineRule="exact"/>
        <w:rPr>
          <w:sz w:val="20"/>
          <w:szCs w:val="20"/>
          <w:color w:val="auto"/>
        </w:rPr>
      </w:pPr>
    </w:p>
    <w:p>
      <w:pPr>
        <w:ind w:right="380" w:firstLine="749"/>
        <w:spacing w:after="0" w:line="260" w:lineRule="auto"/>
        <w:rPr>
          <w:sz w:val="20"/>
          <w:szCs w:val="20"/>
          <w:color w:val="auto"/>
        </w:rPr>
      </w:pPr>
      <w:r>
        <w:rPr>
          <w:rFonts w:ascii="Arial" w:cs="Arial" w:eastAsia="Arial" w:hAnsi="Arial"/>
          <w:sz w:val="20"/>
          <w:szCs w:val="20"/>
          <w:color w:val="auto"/>
        </w:rPr>
        <w:t>This Option Agreement shall be governed by and construed and enforced in accordance with the laws of the State of Delaware without regard to conflict of law principles thereunder.</w:t>
      </w:r>
    </w:p>
    <w:p>
      <w:pPr>
        <w:spacing w:after="0" w:line="166"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of this Agreement</w:t>
      </w:r>
      <w:r>
        <w:rPr>
          <w:rFonts w:ascii="Arial" w:cs="Arial" w:eastAsia="Arial" w:hAnsi="Arial"/>
          <w:sz w:val="22"/>
          <w:szCs w:val="22"/>
          <w:b w:val="1"/>
          <w:bCs w:val="1"/>
          <w:color w:val="auto"/>
        </w:rPr>
        <w:t>.</w:t>
      </w:r>
    </w:p>
    <w:p>
      <w:pPr>
        <w:spacing w:after="0" w:line="217" w:lineRule="exact"/>
        <w:rPr>
          <w:sz w:val="20"/>
          <w:szCs w:val="20"/>
          <w:color w:val="auto"/>
        </w:rPr>
      </w:pPr>
    </w:p>
    <w:p>
      <w:pPr>
        <w:ind w:right="520" w:firstLine="749"/>
        <w:spacing w:after="0" w:line="287" w:lineRule="auto"/>
        <w:rPr>
          <w:sz w:val="20"/>
          <w:szCs w:val="20"/>
          <w:color w:val="auto"/>
        </w:rPr>
      </w:pPr>
      <w:r>
        <w:rPr>
          <w:rFonts w:ascii="Arial" w:cs="Arial" w:eastAsia="Arial" w:hAnsi="Arial"/>
          <w:sz w:val="19"/>
          <w:szCs w:val="19"/>
          <w:color w:val="auto"/>
        </w:rPr>
        <w:t>Subject to the Corporation’s right to terminate the Option pursuant to Section 7.2 of the Plan, this Option Agreement shall be assumed by, be binding upon and inure to the benefit of any successor or successors to the Corporation.</w:t>
      </w:r>
    </w:p>
    <w:p>
      <w:pPr>
        <w:spacing w:after="0" w:line="142"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Signatures and Counterparts</w:t>
      </w:r>
      <w:r>
        <w:rPr>
          <w:rFonts w:ascii="Arial" w:cs="Arial" w:eastAsia="Arial" w:hAnsi="Arial"/>
          <w:sz w:val="22"/>
          <w:szCs w:val="22"/>
          <w:b w:val="1"/>
          <w:bCs w:val="1"/>
          <w:color w:val="auto"/>
        </w:rPr>
        <w:t>.</w:t>
      </w:r>
    </w:p>
    <w:p>
      <w:pPr>
        <w:spacing w:after="0" w:line="217" w:lineRule="exact"/>
        <w:rPr>
          <w:sz w:val="20"/>
          <w:szCs w:val="20"/>
          <w:color w:val="auto"/>
        </w:rPr>
      </w:pPr>
    </w:p>
    <w:p>
      <w:pPr>
        <w:ind w:firstLine="749"/>
        <w:spacing w:after="0" w:line="273" w:lineRule="auto"/>
        <w:rPr>
          <w:sz w:val="20"/>
          <w:szCs w:val="20"/>
          <w:color w:val="auto"/>
        </w:rPr>
      </w:pPr>
      <w:r>
        <w:rPr>
          <w:rFonts w:ascii="Arial" w:cs="Arial" w:eastAsia="Arial" w:hAnsi="Arial"/>
          <w:sz w:val="18"/>
          <w:szCs w:val="18"/>
          <w:color w:val="auto"/>
        </w:rPr>
        <w:t>The Grant Notice may be signed and/or transmitted in one or more counterparts by facsimile, e-mail of a .PDF, .TIF, .GIF, .JPG or similar attachment or using electronic signature technology (e.g., via DocuSign or similar electronic signature technology), all of which will be considered one and the same agreement and will become effective when one or more counterparts have been signed by each of the parties hereto and delivered to the other parties, it being understood that all parties need not sign the same counterpart, and that any such signed electronic record shall be valid and as effective to bind the party so signing as a paper copy bearing such party’s hand-written signature. To the extent a party signs the Grant Notice using electronic signature technology, by clicking “sign” (or similar acknowledgement of acceptance), such party is signing the Grant Notice electronically. Electronic signatures appearing on the Grant Notice shall be treated, for purposes of validity, enforceability and admissibility, the same as hand-written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7" w:name="page148"/>
    <w:bookmarkEnd w:id="147"/>
    <w:p>
      <w:pPr>
        <w:ind w:left="760" w:hanging="752"/>
        <w:spacing w:after="0"/>
        <w:tabs>
          <w:tab w:leader="none" w:pos="7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Headings</w:t>
      </w:r>
      <w:r>
        <w:rPr>
          <w:rFonts w:ascii="Arial" w:cs="Arial" w:eastAsia="Arial" w:hAnsi="Arial"/>
          <w:sz w:val="22"/>
          <w:szCs w:val="22"/>
          <w:b w:val="1"/>
          <w:bCs w:val="1"/>
          <w:color w:val="auto"/>
        </w:rPr>
        <w:t>.</w:t>
      </w:r>
    </w:p>
    <w:p>
      <w:pPr>
        <w:spacing w:after="0" w:line="217" w:lineRule="exact"/>
        <w:rPr>
          <w:sz w:val="20"/>
          <w:szCs w:val="20"/>
          <w:color w:val="auto"/>
        </w:rPr>
      </w:pPr>
    </w:p>
    <w:p>
      <w:pPr>
        <w:ind w:right="100" w:firstLine="749"/>
        <w:spacing w:after="0" w:line="260" w:lineRule="auto"/>
        <w:rPr>
          <w:sz w:val="20"/>
          <w:szCs w:val="20"/>
          <w:color w:val="auto"/>
        </w:rPr>
      </w:pPr>
      <w:r>
        <w:rPr>
          <w:rFonts w:ascii="Arial" w:cs="Arial" w:eastAsia="Arial" w:hAnsi="Arial"/>
          <w:sz w:val="20"/>
          <w:szCs w:val="20"/>
          <w:color w:val="auto"/>
        </w:rPr>
        <w:t>The section headings of this Option Agreement are for convenience of reference only and shall not be deemed to alter or affect any provision hereof.</w:t>
      </w:r>
    </w:p>
    <w:p>
      <w:pPr>
        <w:spacing w:after="0" w:line="166" w:lineRule="exact"/>
        <w:rPr>
          <w:sz w:val="20"/>
          <w:szCs w:val="20"/>
          <w:color w:val="auto"/>
        </w:rPr>
      </w:pPr>
    </w:p>
    <w:p>
      <w:pPr>
        <w:ind w:left="760" w:hanging="752"/>
        <w:spacing w:after="0"/>
        <w:tabs>
          <w:tab w:leader="none" w:pos="7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w:t>
      </w:r>
    </w:p>
    <w:p>
      <w:pPr>
        <w:spacing w:after="0" w:line="217" w:lineRule="exact"/>
        <w:rPr>
          <w:sz w:val="20"/>
          <w:szCs w:val="20"/>
          <w:color w:val="auto"/>
        </w:rPr>
      </w:pPr>
    </w:p>
    <w:p>
      <w:pPr>
        <w:ind w:right="220" w:firstLine="749"/>
        <w:spacing w:after="0" w:line="246" w:lineRule="auto"/>
        <w:rPr>
          <w:sz w:val="20"/>
          <w:szCs w:val="20"/>
          <w:color w:val="auto"/>
        </w:rPr>
      </w:pPr>
      <w:r>
        <w:rPr>
          <w:rFonts w:ascii="Arial" w:cs="Arial" w:eastAsia="Arial" w:hAnsi="Arial"/>
          <w:sz w:val="20"/>
          <w:szCs w:val="20"/>
          <w:color w:val="auto"/>
        </w:rPr>
        <w:t>The Option is subject to the terms of the Corporation’s recoupment, clawback or similar policy as it may be in effect from time to time, as well as any similar provisions of applicable law, any of which could in certain circumstances require forfeiture of the Option and repayment or forfeiture of any shares of Common Stock or other cash or property received with respect to the Option (including any value received from a disposition of the shares acquired upon exercise of the Option).</w:t>
      </w:r>
    </w:p>
    <w:p>
      <w:pPr>
        <w:spacing w:after="0" w:line="180" w:lineRule="exact"/>
        <w:rPr>
          <w:sz w:val="20"/>
          <w:szCs w:val="20"/>
          <w:color w:val="auto"/>
        </w:rPr>
      </w:pPr>
    </w:p>
    <w:p>
      <w:pPr>
        <w:ind w:left="760" w:hanging="752"/>
        <w:spacing w:after="0"/>
        <w:tabs>
          <w:tab w:leader="none" w:pos="7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b w:val="1"/>
          <w:bCs w:val="1"/>
          <w:color w:val="auto"/>
        </w:rPr>
        <w:t>.</w:t>
      </w:r>
    </w:p>
    <w:p>
      <w:pPr>
        <w:spacing w:after="0" w:line="217" w:lineRule="exact"/>
        <w:rPr>
          <w:sz w:val="20"/>
          <w:szCs w:val="20"/>
          <w:color w:val="auto"/>
        </w:rPr>
      </w:pPr>
    </w:p>
    <w:p>
      <w:pPr>
        <w:ind w:firstLine="749"/>
        <w:spacing w:after="0" w:line="257" w:lineRule="auto"/>
        <w:rPr>
          <w:sz w:val="20"/>
          <w:szCs w:val="20"/>
          <w:color w:val="auto"/>
        </w:rPr>
      </w:pPr>
      <w:r>
        <w:rPr>
          <w:rFonts w:ascii="Arial" w:cs="Arial" w:eastAsia="Arial" w:hAnsi="Arial"/>
          <w:sz w:val="19"/>
          <w:szCs w:val="19"/>
          <w:color w:val="auto"/>
        </w:rPr>
        <w:t>The Director is hereby advised to consult with his or her own tax, legal and/or investment advisors with respect to any advice the Director may determine is needed or appropriate with respect to the Option (including, without limitation, to determine the foreign, state, local, estate and/or gift tax consequences with respect to the Option and any shares that may be acquired upon exercise of the Option). Neither the Corporation nor any of its officers, directors, affiliates or advisors makes any representation (except for the terms and conditions expressly set forth in this Option Agreement) or recommendation with respect to the Option. Except for the withholding rights contemplated by Section 4 above and Section 8.5 of the Plan, the Director is solely responsible for any and all tax liability that may arise with respect to the Option and any shares that may be acquired upon exercise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10.3(E)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2020 PERFORMANCE INCENTIVE PLAN</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NOTICE OF GRANT OF STOCK OPTION</w:t>
      </w:r>
    </w:p>
    <w:p>
      <w:pPr>
        <w:spacing w:after="0" w:line="22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Nkarta,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pursuant to its 2020 Performance Incentive Plan, as may be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granted on the Date of Grant set forth below (the “</w:t>
      </w:r>
      <w:r>
        <w:rPr>
          <w:rFonts w:ascii="Arial" w:cs="Arial" w:eastAsia="Arial" w:hAnsi="Arial"/>
          <w:sz w:val="17"/>
          <w:szCs w:val="17"/>
          <w:b w:val="1"/>
          <w:bCs w:val="1"/>
          <w:i w:val="1"/>
          <w:iCs w:val="1"/>
          <w:color w:val="auto"/>
        </w:rPr>
        <w:t>Award Date</w:t>
      </w:r>
      <w:r>
        <w:rPr>
          <w:rFonts w:ascii="Arial" w:cs="Arial" w:eastAsia="Arial" w:hAnsi="Arial"/>
          <w:sz w:val="17"/>
          <w:szCs w:val="17"/>
          <w:color w:val="auto"/>
        </w:rPr>
        <w:t>”) to the award recipient listed below (the “</w:t>
      </w:r>
      <w:r>
        <w:rPr>
          <w:rFonts w:ascii="Arial" w:cs="Arial" w:eastAsia="Arial" w:hAnsi="Arial"/>
          <w:sz w:val="17"/>
          <w:szCs w:val="17"/>
          <w:b w:val="1"/>
          <w:bCs w:val="1"/>
          <w:i w:val="1"/>
          <w:iCs w:val="1"/>
          <w:color w:val="auto"/>
        </w:rPr>
        <w:t>Grantee</w:t>
      </w:r>
      <w:r>
        <w:rPr>
          <w:rFonts w:ascii="Arial" w:cs="Arial" w:eastAsia="Arial" w:hAnsi="Arial"/>
          <w:sz w:val="17"/>
          <w:szCs w:val="17"/>
          <w:color w:val="auto"/>
        </w:rPr>
        <w:t>”), a nonqualified stock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number of shares of the Corporation’s Common Stock set forth below at a price per share equal to the Exercise Price per Share set forth below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The Option is subject to all of the terms and conditions set forth in this Notice of Grant of Stock Option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xml:space="preserve">”), as well as in the Plan and the Terms and Conditions of Nonqualified Stock Option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each of which is incorporated herein by this reference. Unless otherwise defined in this Grant Notice or in the Terms, capitalized terms used in this Grant Notice or in the Terms are used as defined in the Plan.</w:t>
      </w:r>
    </w:p>
    <w:p>
      <w:pPr>
        <w:sectPr>
          <w:pgSz w:w="11900" w:h="16838" w:orient="portrait"/>
          <w:cols w:equalWidth="0" w:num="1">
            <w:col w:w="11240"/>
          </w:cols>
          <w:pgMar w:left="320" w:top="115" w:right="339" w:bottom="1440" w:gutter="0" w:footer="0" w:header="0"/>
        </w:sectPr>
      </w:pP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Grantee: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 Number: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of Grant: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Commencement Date: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Price per Share: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Exercise Price</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Number of Shares Subject to the Option</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Date</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24"/>
          <w:szCs w:val="24"/>
          <w:b w:val="1"/>
          <w:bCs w:val="1"/>
          <w:color w:val="auto"/>
          <w:vertAlign w:val="superscript"/>
        </w:rPr>
        <w:t>1,2</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9" w:lineRule="exact"/>
        <w:rPr>
          <w:sz w:val="20"/>
          <w:szCs w:val="20"/>
          <w:color w:val="auto"/>
        </w:rPr>
      </w:pPr>
    </w:p>
    <w:p>
      <w:pPr>
        <w:jc w:val="both"/>
        <w:ind w:right="960"/>
        <w:spacing w:after="0" w:line="263" w:lineRule="auto"/>
        <w:rPr>
          <w:sz w:val="20"/>
          <w:szCs w:val="20"/>
          <w:color w:val="auto"/>
        </w:rPr>
      </w:pPr>
      <w:r>
        <w:rPr>
          <w:rFonts w:ascii="Arial" w:cs="Arial" w:eastAsia="Arial" w:hAnsi="Arial"/>
          <w:sz w:val="18"/>
          <w:szCs w:val="18"/>
          <w:color w:val="auto"/>
        </w:rPr>
        <w:t>[25% of the shares will vest on the one-year anniversary of the Vesting Commencement Date above and then 1/48th monthly thereafter for the remaining 36 months]</w:t>
      </w:r>
    </w:p>
    <w:p>
      <w:pPr>
        <w:spacing w:after="0" w:line="197" w:lineRule="exact"/>
        <w:rPr>
          <w:sz w:val="20"/>
          <w:szCs w:val="20"/>
          <w:color w:val="auto"/>
        </w:rPr>
      </w:pPr>
    </w:p>
    <w:p>
      <w:pPr>
        <w:sectPr>
          <w:pgSz w:w="11900" w:h="16838" w:orient="portrait"/>
          <w:cols w:equalWidth="0" w:num="2">
            <w:col w:w="4460" w:space="720"/>
            <w:col w:w="6060"/>
          </w:cols>
          <w:pgMar w:left="320" w:top="115" w:right="339" w:bottom="1440" w:gutter="0" w:footer="0" w:header="0"/>
          <w:type w:val="continuous"/>
        </w:sectPr>
      </w:pPr>
    </w:p>
    <w:p>
      <w:pPr>
        <w:jc w:val="both"/>
        <w:ind w:firstLine="749"/>
        <w:spacing w:after="0" w:line="289" w:lineRule="auto"/>
        <w:rPr>
          <w:sz w:val="20"/>
          <w:szCs w:val="20"/>
          <w:color w:val="auto"/>
        </w:rPr>
      </w:pPr>
      <w:r>
        <w:rPr>
          <w:rFonts w:ascii="Arial" w:cs="Arial" w:eastAsia="Arial" w:hAnsi="Arial"/>
          <w:sz w:val="16"/>
          <w:szCs w:val="16"/>
          <w:color w:val="auto"/>
        </w:rPr>
        <w:t>By accepting the Option (by clicking “sign”, “accept” or similar acknowledgement of acceptance through the Company’s stock plan recordkeeping system which may be administered by the Company or through a third party on behalf of the Company), the Grantee (1) signs this Grant Notice electronically, which acceptance shall be valid and effective to bind the Grantee to this Grant Notice and shall be treated, for purposes of validity, enforceability and admissibility, the same as Grantee’s hand-written signature to this Grant Notice, (2) agrees to be bound by the terms and conditions of the Plan, the Terms, and this Grant Notice and accepts the Option on and subject to such terms and conditions, (3) acknowledges having received and having reviewed in their entirety the Plan, the Terms, this Grant Notice, and the Prospectus for the Plan, (4) acknowledges having had an opportunity to obtain the advice of counsel (to the extent Grantee believed it was appropriate to consult with counsel) prior to executing this Grant Notice, (5) represents that he or she fully understands all provisions of the Plan, the Terms, and this Grant Notice, and (6) agrees to accept as binding, conclusive and final all decisions or interpretations of the Administrator upon any questions arising under the Plan, the Terms, and this Grant Notice.</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NKARTA,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257175</wp:posOffset>
            </wp:positionV>
            <wp:extent cx="36347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9" w:name="page150"/>
    <w:bookmarkEnd w:id="149"/>
    <w:p>
      <w:pPr>
        <w:ind w:left="4660"/>
        <w:spacing w:after="0"/>
        <w:rPr>
          <w:sz w:val="20"/>
          <w:szCs w:val="20"/>
          <w:color w:val="auto"/>
        </w:rPr>
      </w:pPr>
      <w:r>
        <w:rPr>
          <w:rFonts w:ascii="Arial" w:cs="Arial" w:eastAsia="Arial" w:hAnsi="Arial"/>
          <w:sz w:val="18"/>
          <w:szCs w:val="18"/>
          <w:color w:val="auto"/>
        </w:rPr>
        <w:t>NKARTA, INC.</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2020 PERFORMANCE INCENTIVE PLAN</w:t>
      </w:r>
    </w:p>
    <w:p>
      <w:pPr>
        <w:spacing w:after="0" w:line="14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STOCK OPTION AGREEMENT</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TERMS AND CONDITIONS OF NONQUALIFIED STOCK OPTION</w:t>
      </w:r>
    </w:p>
    <w:p>
      <w:pPr>
        <w:spacing w:after="0" w:line="154" w:lineRule="exact"/>
        <w:rPr>
          <w:sz w:val="20"/>
          <w:szCs w:val="20"/>
          <w:color w:val="auto"/>
        </w:rPr>
      </w:pPr>
    </w:p>
    <w:p>
      <w:pPr>
        <w:ind w:left="380" w:hanging="378"/>
        <w:spacing w:after="0"/>
        <w:tabs>
          <w:tab w:leader="none" w:pos="380" w:val="left"/>
        </w:tabs>
        <w:numPr>
          <w:ilvl w:val="0"/>
          <w:numId w:val="7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w:t>
      </w:r>
    </w:p>
    <w:p>
      <w:pPr>
        <w:spacing w:after="0" w:line="148"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color w:val="auto"/>
        </w:rPr>
        <w:t>These Terms and Conditions of Nonqualified Stock Option (these “Terms”) apply to a particular stock option (the “Option”) if incorporated by reference in the Notice of Grant of Stock Option (the “Grant Notice”) corresponding to that particular grant. The recipient of the Option identified in the Grant Notice is referred to as the “Grantee.” The per share exercise price of the Option as set forth in the Grant Notice is referred to as the “Exercise Price.” The effective date of grant of the Option as set forth in the Grant Notice is referred to as the “Award Date.” The exercise price and the number of shares covered by the Option are subject to adjustment under Section 7.1 of the Plan.</w:t>
      </w:r>
    </w:p>
    <w:p>
      <w:pPr>
        <w:spacing w:after="0" w:line="109"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The Option was granted under and subject to the Nkarta, Inc. 2020 Performance Incentive Plan (the “Plan”). Capitalized terms are defined in the Plan if not defined herein. The Option has been granted to the Grantee in addition to, and not in lieu of, any other form of compensation otherwise payable or to be paid to the Grantee. The Grant Notice and these Terms are collectively referred to as the “Option Agreement” applicable to the Option.</w:t>
      </w:r>
    </w:p>
    <w:p>
      <w:pPr>
        <w:spacing w:after="0" w:line="115" w:lineRule="exact"/>
        <w:rPr>
          <w:sz w:val="20"/>
          <w:szCs w:val="20"/>
          <w:color w:val="auto"/>
        </w:rPr>
      </w:pPr>
    </w:p>
    <w:p>
      <w:pPr>
        <w:ind w:left="380" w:hanging="378"/>
        <w:spacing w:after="0"/>
        <w:tabs>
          <w:tab w:leader="none" w:pos="380" w:val="left"/>
        </w:tabs>
        <w:numPr>
          <w:ilvl w:val="0"/>
          <w:numId w:val="7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Vesting; Limits on Exercise; Incentive Stock Option Status.</w:t>
      </w:r>
    </w:p>
    <w:p>
      <w:pPr>
        <w:spacing w:after="0" w:line="148"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The Option shall vest and become exercisable in percentage installments of the aggregate number of shares subject to the Option as set forth on the Grant Notice. The Option may be exercised only to the extent the Option is vested and exercisable.</w:t>
      </w:r>
    </w:p>
    <w:p>
      <w:pPr>
        <w:spacing w:after="0" w:line="103" w:lineRule="exact"/>
        <w:rPr>
          <w:sz w:val="20"/>
          <w:szCs w:val="20"/>
          <w:color w:val="auto"/>
        </w:rPr>
      </w:pPr>
    </w:p>
    <w:p>
      <w:pPr>
        <w:ind w:right="40" w:firstLine="376"/>
        <w:spacing w:after="0" w:line="277" w:lineRule="auto"/>
        <w:tabs>
          <w:tab w:leader="none" w:pos="482" w:val="left"/>
        </w:tabs>
        <w:numPr>
          <w:ilvl w:val="1"/>
          <w:numId w:val="77"/>
        </w:numPr>
        <w:rPr>
          <w:rFonts w:ascii="Arial" w:cs="Arial" w:eastAsia="Arial" w:hAnsi="Arial"/>
          <w:sz w:val="18"/>
          <w:szCs w:val="18"/>
          <w:color w:val="auto"/>
        </w:rPr>
      </w:pPr>
      <w:r>
        <w:rPr>
          <w:rFonts w:ascii="Arial" w:cs="Arial" w:eastAsia="Arial" w:hAnsi="Arial"/>
          <w:sz w:val="18"/>
          <w:szCs w:val="18"/>
          <w:color w:val="auto"/>
        </w:rPr>
        <w:t>Cumulative Exercisability. To the extent that the Option is vested and exercisable, the Grantee has the right to exercise the Option (to the extent not previously exercised), and such right shall continue, until the expiration or earlier termination of the Option.</w:t>
      </w:r>
    </w:p>
    <w:p>
      <w:pPr>
        <w:spacing w:after="0" w:line="102" w:lineRule="exact"/>
        <w:rPr>
          <w:rFonts w:ascii="Arial" w:cs="Arial" w:eastAsia="Arial" w:hAnsi="Arial"/>
          <w:sz w:val="18"/>
          <w:szCs w:val="18"/>
          <w:color w:val="auto"/>
        </w:rPr>
      </w:pPr>
    </w:p>
    <w:p>
      <w:pPr>
        <w:ind w:left="480" w:hanging="104"/>
        <w:spacing w:after="0"/>
        <w:tabs>
          <w:tab w:leader="none" w:pos="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 Fractional Shares. Fractional share interests shall be disregarded, but may be cumulated.</w:t>
      </w:r>
    </w:p>
    <w:p>
      <w:pPr>
        <w:spacing w:after="0" w:line="144" w:lineRule="exact"/>
        <w:rPr>
          <w:rFonts w:ascii="Arial" w:cs="Arial" w:eastAsia="Arial" w:hAnsi="Arial"/>
          <w:sz w:val="18"/>
          <w:szCs w:val="18"/>
          <w:color w:val="auto"/>
        </w:rPr>
      </w:pPr>
    </w:p>
    <w:p>
      <w:pPr>
        <w:ind w:right="40" w:firstLine="376"/>
        <w:spacing w:after="0" w:line="277" w:lineRule="auto"/>
        <w:tabs>
          <w:tab w:leader="none" w:pos="482" w:val="left"/>
        </w:tabs>
        <w:numPr>
          <w:ilvl w:val="1"/>
          <w:numId w:val="77"/>
        </w:numPr>
        <w:rPr>
          <w:rFonts w:ascii="Arial" w:cs="Arial" w:eastAsia="Arial" w:hAnsi="Arial"/>
          <w:sz w:val="18"/>
          <w:szCs w:val="18"/>
          <w:color w:val="auto"/>
        </w:rPr>
      </w:pPr>
      <w:r>
        <w:rPr>
          <w:rFonts w:ascii="Arial" w:cs="Arial" w:eastAsia="Arial" w:hAnsi="Arial"/>
          <w:sz w:val="18"/>
          <w:szCs w:val="18"/>
          <w:color w:val="auto"/>
        </w:rPr>
        <w:t>Minimum Exercise. No fewer than 100 shares of Common Stock (subject to adjustment under Section 7.1 of the Plan) may be purchased at any one time, unless the number purchased is the total number at the time exercisable under the Option.</w:t>
      </w:r>
    </w:p>
    <w:p>
      <w:pPr>
        <w:spacing w:after="0" w:line="102" w:lineRule="exact"/>
        <w:rPr>
          <w:rFonts w:ascii="Arial" w:cs="Arial" w:eastAsia="Arial" w:hAnsi="Arial"/>
          <w:sz w:val="18"/>
          <w:szCs w:val="18"/>
          <w:color w:val="auto"/>
        </w:rPr>
      </w:pPr>
    </w:p>
    <w:p>
      <w:pPr>
        <w:ind w:right="40" w:firstLine="376"/>
        <w:spacing w:after="0" w:line="277" w:lineRule="auto"/>
        <w:tabs>
          <w:tab w:leader="none" w:pos="482"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Nonqualified Stock Option. The Option is a nonqualified stock option and is not, and shall not be, an incentive stock option within the meaning of Section 422 of the Code.</w:t>
      </w:r>
    </w:p>
    <w:p>
      <w:pPr>
        <w:spacing w:after="0" w:line="98" w:lineRule="exact"/>
        <w:rPr>
          <w:rFonts w:ascii="Arial" w:cs="Arial" w:eastAsia="Arial" w:hAnsi="Arial"/>
          <w:sz w:val="18"/>
          <w:szCs w:val="18"/>
          <w:color w:val="auto"/>
        </w:rPr>
      </w:pPr>
    </w:p>
    <w:p>
      <w:pPr>
        <w:ind w:left="380" w:hanging="378"/>
        <w:spacing w:after="0"/>
        <w:tabs>
          <w:tab w:leader="none" w:pos="380" w:val="left"/>
        </w:tabs>
        <w:numPr>
          <w:ilvl w:val="0"/>
          <w:numId w:val="7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Continuance of Employment/Service Required; No Employment/Service Commitment.</w:t>
      </w:r>
    </w:p>
    <w:p>
      <w:pPr>
        <w:spacing w:after="0" w:line="148" w:lineRule="exact"/>
        <w:rPr>
          <w:rFonts w:ascii="Arial" w:cs="Arial" w:eastAsia="Arial" w:hAnsi="Arial"/>
          <w:sz w:val="18"/>
          <w:szCs w:val="18"/>
          <w:b w:val="1"/>
          <w:bCs w:val="1"/>
          <w:u w:val="single" w:color="auto"/>
          <w:color w:val="auto"/>
        </w:rPr>
      </w:pPr>
    </w:p>
    <w:p>
      <w:pPr>
        <w:ind w:left="380"/>
        <w:spacing w:after="0"/>
        <w:rPr>
          <w:rFonts w:ascii="Arial" w:cs="Arial" w:eastAsia="Arial" w:hAnsi="Arial"/>
          <w:sz w:val="18"/>
          <w:szCs w:val="18"/>
          <w:b w:val="1"/>
          <w:bCs w:val="1"/>
          <w:u w:val="single" w:color="auto"/>
          <w:color w:val="auto"/>
        </w:rPr>
      </w:pPr>
      <w:r>
        <w:rPr>
          <w:rFonts w:ascii="Arial" w:cs="Arial" w:eastAsia="Arial" w:hAnsi="Arial"/>
          <w:sz w:val="16"/>
          <w:szCs w:val="16"/>
          <w:color w:val="auto"/>
        </w:rPr>
        <w:t>The vesting schedule applicable to the Option requires continued employment or service through each applicable vesting date as a condition to</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vesting of the applicable installment of the Option and the rights and benefits under this Option Agreement. Employment or service for only a portion of the vesting period, even if a substantial portion, will not entitle the Grantee to any proportionate vesting or avoid or mitigate a termination of rights and benefits upon or following a termination of employment or services as provided in Section 5 below or under the Plan.</w:t>
      </w:r>
    </w:p>
    <w:p>
      <w:pPr>
        <w:spacing w:after="0" w:line="105"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Nothing contained in this Option Agreement or the Plan constitutes a continued employment or service commitment by the Corporation or any of its Subsidiaries, affects the Grantee’s status, if he or she is an employee, as an employee at will who is subject to termination without cause, confers upon the Grantee any right to remain employed by or in service to the Corporation or any Subsidiary, interferes in any way with the right of the Corporation or any Subsidiary at any time to terminate such employment or service, or affects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150" w:name="page151"/>
    <w:bookmarkEnd w:id="150"/>
    <w:p>
      <w:pPr>
        <w:ind w:right="180"/>
        <w:spacing w:after="0" w:line="277" w:lineRule="auto"/>
        <w:rPr>
          <w:sz w:val="20"/>
          <w:szCs w:val="20"/>
          <w:color w:val="auto"/>
        </w:rPr>
      </w:pPr>
      <w:r>
        <w:rPr>
          <w:rFonts w:ascii="Arial" w:cs="Arial" w:eastAsia="Arial" w:hAnsi="Arial"/>
          <w:sz w:val="18"/>
          <w:szCs w:val="18"/>
          <w:color w:val="auto"/>
        </w:rPr>
        <w:t>right of the Corporation or any Subsidiary to increase or decrease the Grantee’s other compensation. Nothing in this paragraph, however, is intended to adversely affect any independent contractual right of the Grantee without his/her consent thereto.</w:t>
      </w:r>
    </w:p>
    <w:p>
      <w:pPr>
        <w:spacing w:after="0" w:line="99" w:lineRule="exact"/>
        <w:rPr>
          <w:sz w:val="20"/>
          <w:szCs w:val="20"/>
          <w:color w:val="auto"/>
        </w:rPr>
      </w:pPr>
    </w:p>
    <w:p>
      <w:pPr>
        <w:ind w:left="380" w:hanging="378"/>
        <w:spacing w:after="0"/>
        <w:tabs>
          <w:tab w:leader="none" w:pos="380" w:val="left"/>
        </w:tabs>
        <w:numPr>
          <w:ilvl w:val="0"/>
          <w:numId w:val="7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Method of Exercise of Option.</w:t>
      </w:r>
    </w:p>
    <w:p>
      <w:pPr>
        <w:spacing w:after="0" w:line="148" w:lineRule="exact"/>
        <w:rPr>
          <w:sz w:val="20"/>
          <w:szCs w:val="20"/>
          <w:color w:val="auto"/>
        </w:rPr>
      </w:pPr>
    </w:p>
    <w:p>
      <w:pPr>
        <w:ind w:right="540" w:firstLine="374"/>
        <w:spacing w:after="0" w:line="308" w:lineRule="auto"/>
        <w:rPr>
          <w:sz w:val="20"/>
          <w:szCs w:val="20"/>
          <w:color w:val="auto"/>
        </w:rPr>
      </w:pPr>
      <w:r>
        <w:rPr>
          <w:rFonts w:ascii="Arial" w:cs="Arial" w:eastAsia="Arial" w:hAnsi="Arial"/>
          <w:sz w:val="17"/>
          <w:szCs w:val="17"/>
          <w:color w:val="auto"/>
        </w:rPr>
        <w:t>The Option shall be exercisable by the delivery to the Secretary of the Corporation (or such other person as the Administrator may require pursuant to such administrative exercise procedures as the Administrator may implement from time to time) of:</w:t>
      </w:r>
    </w:p>
    <w:p>
      <w:pPr>
        <w:spacing w:after="0" w:line="79" w:lineRule="exact"/>
        <w:rPr>
          <w:sz w:val="20"/>
          <w:szCs w:val="20"/>
          <w:color w:val="auto"/>
        </w:rPr>
      </w:pPr>
    </w:p>
    <w:p>
      <w:pPr>
        <w:ind w:right="460" w:firstLine="376"/>
        <w:spacing w:after="0" w:line="277" w:lineRule="auto"/>
        <w:tabs>
          <w:tab w:leader="none" w:pos="4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written notice stating the number of shares of Common Stock to be purchased pursuant to the Option or by the completion of such other administrative exercise procedures as the Administrator may require from time to time;</w:t>
      </w:r>
    </w:p>
    <w:p>
      <w:pPr>
        <w:spacing w:after="0" w:line="102" w:lineRule="exact"/>
        <w:rPr>
          <w:rFonts w:ascii="Arial" w:cs="Arial" w:eastAsia="Arial" w:hAnsi="Arial"/>
          <w:sz w:val="18"/>
          <w:szCs w:val="18"/>
          <w:color w:val="auto"/>
        </w:rPr>
      </w:pPr>
    </w:p>
    <w:p>
      <w:pPr>
        <w:ind w:left="480" w:hanging="104"/>
        <w:spacing w:after="0"/>
        <w:tabs>
          <w:tab w:leader="none" w:pos="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payment in full for the Exercise Price of the shares to be purchased in cash, check or by electronic funds transfer to the Corporation;</w:t>
      </w:r>
    </w:p>
    <w:p>
      <w:pPr>
        <w:spacing w:after="0" w:line="155" w:lineRule="exact"/>
        <w:rPr>
          <w:rFonts w:ascii="Arial" w:cs="Arial" w:eastAsia="Arial" w:hAnsi="Arial"/>
          <w:sz w:val="17"/>
          <w:szCs w:val="17"/>
          <w:color w:val="auto"/>
        </w:rPr>
      </w:pPr>
    </w:p>
    <w:p>
      <w:pPr>
        <w:ind w:left="480" w:hanging="104"/>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written statements or agreements required pursuant to Section 8.1 of the Plan; and</w:t>
      </w:r>
    </w:p>
    <w:p>
      <w:pPr>
        <w:spacing w:after="0" w:line="157" w:lineRule="exact"/>
        <w:rPr>
          <w:rFonts w:ascii="Arial" w:cs="Arial" w:eastAsia="Arial" w:hAnsi="Arial"/>
          <w:sz w:val="18"/>
          <w:szCs w:val="18"/>
          <w:color w:val="auto"/>
        </w:rPr>
      </w:pPr>
    </w:p>
    <w:p>
      <w:pPr>
        <w:ind w:left="480" w:hanging="104"/>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satisfaction of the tax withholding provisions of Section 8.5 of the Plan.</w:t>
      </w:r>
    </w:p>
    <w:p>
      <w:pPr>
        <w:spacing w:after="0" w:line="158"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The Administrator also may, but is not required to, authorize a non-cash payment alternative by one or more of the following methods (subject in each case to compliance with all applicable laws, rules, regulations and listing requirements and further subject to such rules as the Administrator may adopt as to any such payment method):</w:t>
      </w:r>
    </w:p>
    <w:p>
      <w:pPr>
        <w:spacing w:after="0" w:line="103" w:lineRule="exact"/>
        <w:rPr>
          <w:sz w:val="20"/>
          <w:szCs w:val="20"/>
          <w:color w:val="auto"/>
        </w:rPr>
      </w:pPr>
    </w:p>
    <w:p>
      <w:pPr>
        <w:ind w:left="480" w:hanging="104"/>
        <w:spacing w:after="0"/>
        <w:tabs>
          <w:tab w:leader="none" w:pos="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notice and third party payment in such manner as may be authorized by the Administrator;</w:t>
      </w:r>
    </w:p>
    <w:p>
      <w:pPr>
        <w:spacing w:after="0" w:line="157" w:lineRule="exact"/>
        <w:rPr>
          <w:rFonts w:ascii="Arial" w:cs="Arial" w:eastAsia="Arial" w:hAnsi="Arial"/>
          <w:sz w:val="18"/>
          <w:szCs w:val="18"/>
          <w:color w:val="auto"/>
        </w:rPr>
      </w:pPr>
    </w:p>
    <w:p>
      <w:pPr>
        <w:ind w:left="480" w:hanging="104"/>
        <w:spacing w:after="0"/>
        <w:tabs>
          <w:tab w:leader="none" w:pos="4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shares of Common Stock already owned by the Grantee, valued at their fair market value (as determined under the Plan) on the exercise date;</w:t>
      </w:r>
    </w:p>
    <w:p>
      <w:pPr>
        <w:spacing w:after="0" w:line="180" w:lineRule="exact"/>
        <w:rPr>
          <w:rFonts w:ascii="Arial" w:cs="Arial" w:eastAsia="Arial" w:hAnsi="Arial"/>
          <w:sz w:val="16"/>
          <w:szCs w:val="16"/>
          <w:color w:val="auto"/>
        </w:rPr>
      </w:pPr>
    </w:p>
    <w:p>
      <w:pPr>
        <w:ind w:right="280" w:firstLine="376"/>
        <w:spacing w:after="0" w:line="277" w:lineRule="auto"/>
        <w:tabs>
          <w:tab w:leader="none" w:pos="48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reduction in the number of shares of Common Stock otherwise deliverable to the Grantee (valued at their fair market value on the exercise date, as determined under the Plan) pursuant to the exercise of the Option; or</w:t>
      </w:r>
    </w:p>
    <w:p>
      <w:pPr>
        <w:spacing w:after="0" w:line="89" w:lineRule="exact"/>
        <w:rPr>
          <w:rFonts w:ascii="Arial" w:cs="Arial" w:eastAsia="Arial" w:hAnsi="Arial"/>
          <w:sz w:val="18"/>
          <w:szCs w:val="18"/>
          <w:color w:val="auto"/>
        </w:rPr>
      </w:pPr>
    </w:p>
    <w:p>
      <w:pPr>
        <w:ind w:right="180" w:firstLine="376"/>
        <w:spacing w:after="0" w:line="277" w:lineRule="auto"/>
        <w:tabs>
          <w:tab w:leader="none" w:pos="48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“cashless exercise” with a third party who provides simultaneous financing for the purposes of (or who otherwise facilitates) the exercise of the Option.</w:t>
      </w:r>
    </w:p>
    <w:p>
      <w:pPr>
        <w:spacing w:after="0" w:line="98" w:lineRule="exact"/>
        <w:rPr>
          <w:rFonts w:ascii="Arial" w:cs="Arial" w:eastAsia="Arial" w:hAnsi="Arial"/>
          <w:sz w:val="18"/>
          <w:szCs w:val="18"/>
          <w:color w:val="auto"/>
        </w:rPr>
      </w:pPr>
    </w:p>
    <w:p>
      <w:pPr>
        <w:ind w:left="380" w:hanging="378"/>
        <w:spacing w:after="0"/>
        <w:tabs>
          <w:tab w:leader="none" w:pos="380" w:val="left"/>
        </w:tabs>
        <w:numPr>
          <w:ilvl w:val="0"/>
          <w:numId w:val="8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Early Termination of Option.</w:t>
      </w:r>
    </w:p>
    <w:p>
      <w:pPr>
        <w:spacing w:after="0" w:line="161" w:lineRule="exact"/>
        <w:rPr>
          <w:rFonts w:ascii="Arial" w:cs="Arial" w:eastAsia="Arial" w:hAnsi="Arial"/>
          <w:sz w:val="18"/>
          <w:szCs w:val="18"/>
          <w:b w:val="1"/>
          <w:bCs w:val="1"/>
          <w:u w:val="single" w:color="auto"/>
          <w:color w:val="auto"/>
        </w:rPr>
      </w:pPr>
    </w:p>
    <w:p>
      <w:pPr>
        <w:ind w:left="380" w:right="220"/>
        <w:spacing w:after="0" w:line="277"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5.1 Expiration Date. Subject to earlier termination as provided below in this Section 5, the Option will terminate on the “Expiration Date” set forth in the Grant Notice (the “Expiration Date”).</w:t>
      </w:r>
    </w:p>
    <w:p>
      <w:pPr>
        <w:spacing w:after="0" w:line="89" w:lineRule="exact"/>
        <w:rPr>
          <w:rFonts w:ascii="Arial" w:cs="Arial" w:eastAsia="Arial" w:hAnsi="Arial"/>
          <w:sz w:val="18"/>
          <w:szCs w:val="18"/>
          <w:b w:val="1"/>
          <w:bCs w:val="1"/>
          <w:u w:val="single" w:color="auto"/>
          <w:color w:val="auto"/>
        </w:rPr>
      </w:pPr>
    </w:p>
    <w:p>
      <w:pPr>
        <w:ind w:left="380" w:right="240"/>
        <w:spacing w:after="0" w:line="275" w:lineRule="auto"/>
        <w:rPr>
          <w:rFonts w:ascii="Arial" w:cs="Arial" w:eastAsia="Arial" w:hAnsi="Arial"/>
          <w:sz w:val="18"/>
          <w:szCs w:val="18"/>
          <w:b w:val="1"/>
          <w:bCs w:val="1"/>
          <w:u w:val="single" w:color="auto"/>
          <w:color w:val="auto"/>
        </w:rPr>
      </w:pPr>
      <w:r>
        <w:rPr>
          <w:rFonts w:ascii="Arial" w:cs="Arial" w:eastAsia="Arial" w:hAnsi="Arial"/>
          <w:sz w:val="17"/>
          <w:szCs w:val="17"/>
          <w:color w:val="auto"/>
        </w:rPr>
        <w:t>5.2 Possible Termination of Option upon Certain Corporate Events. The Option is subject to termination in connection with certain corporate events as provided in Section 7.2 of the Plan. 5.3 Termination of Option upon a Termination of Grantee’s Employment or Services. Subject to earlier termination on the Expiration Date of the Option or pursuant to Section 5.2 above, if the Grantee ceases to be employed by or ceases to provide services to the Corporation or a Subsidiary, the following rules shall apply (the last day that the Grantee is employed by or provides services to the Corporation or a Subsidiary is referred to as the Grantee’s “Severance Date”):</w:t>
      </w:r>
    </w:p>
    <w:p>
      <w:pPr>
        <w:spacing w:after="0" w:line="108" w:lineRule="exact"/>
        <w:rPr>
          <w:rFonts w:ascii="Arial" w:cs="Arial" w:eastAsia="Arial" w:hAnsi="Arial"/>
          <w:sz w:val="18"/>
          <w:szCs w:val="18"/>
          <w:b w:val="1"/>
          <w:bCs w:val="1"/>
          <w:u w:val="single" w:color="auto"/>
          <w:color w:val="auto"/>
        </w:rPr>
      </w:pPr>
    </w:p>
    <w:p>
      <w:pPr>
        <w:ind w:left="1120" w:right="60" w:firstLine="5"/>
        <w:spacing w:after="0" w:line="257" w:lineRule="auto"/>
        <w:tabs>
          <w:tab w:leader="none" w:pos="12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other than as expressly provided below in this Section 5.3, (a) the Grantee will have until the date that is 3 months after his or her Severance Date to exercise the Option (or portion thereof) to the extent that it was vested on the Severance Date, (b) the Option, to the extent not vested on the Severance Date, shall terminate on the Severance Date, and (c) the Option, to the extent exercisable for the 3-month period following the Severance Date and not exercised during such period, shall terminate at the close of business on the last day of the 3-month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151" w:name="page152"/>
    <w:bookmarkEnd w:id="151"/>
    <w:p>
      <w:pPr>
        <w:ind w:left="1620" w:hanging="115"/>
        <w:spacing w:after="0"/>
        <w:tabs>
          <w:tab w:leader="none" w:pos="16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termination of the Grantee’s employment or services is the result of the Grantee’s death or Total Disability (as defined below),</w:t>
      </w:r>
    </w:p>
    <w:p>
      <w:pPr>
        <w:spacing w:after="0" w:line="46" w:lineRule="exact"/>
        <w:rPr>
          <w:rFonts w:ascii="Arial" w:cs="Arial" w:eastAsia="Arial" w:hAnsi="Arial"/>
          <w:sz w:val="16"/>
          <w:szCs w:val="16"/>
          <w:color w:val="auto"/>
        </w:rPr>
      </w:pPr>
    </w:p>
    <w:p>
      <w:pPr>
        <w:ind w:left="1500" w:right="60"/>
        <w:spacing w:after="0" w:line="253" w:lineRule="auto"/>
        <w:rPr>
          <w:rFonts w:ascii="Arial" w:cs="Arial" w:eastAsia="Arial" w:hAnsi="Arial"/>
          <w:sz w:val="16"/>
          <w:szCs w:val="16"/>
          <w:color w:val="auto"/>
        </w:rPr>
      </w:pPr>
      <w:r>
        <w:rPr>
          <w:rFonts w:ascii="Arial" w:cs="Arial" w:eastAsia="Arial" w:hAnsi="Arial"/>
          <w:sz w:val="18"/>
          <w:szCs w:val="18"/>
          <w:color w:val="auto"/>
        </w:rPr>
        <w:t>(a) the Grantee (or his beneficiary or personal representative, as the case may be) will have until the date that is 12 months after the Grantee’s Severance Date to exercise the Option (or portion thereof) to the extent that it was vested on the Severance Date, (b) the Option, to the extent not vested on the Severance Date, shall terminate on the Severance Date, and (c) the Option, to the extent exercisable for the 12-month period following the Severance Date and not exercised during such period, shall terminate at the close of business on the last day of the 12-month period;</w:t>
      </w:r>
    </w:p>
    <w:p>
      <w:pPr>
        <w:spacing w:after="0" w:line="123" w:lineRule="exact"/>
        <w:rPr>
          <w:rFonts w:ascii="Arial" w:cs="Arial" w:eastAsia="Arial" w:hAnsi="Arial"/>
          <w:sz w:val="16"/>
          <w:szCs w:val="16"/>
          <w:color w:val="auto"/>
        </w:rPr>
      </w:pPr>
    </w:p>
    <w:p>
      <w:pPr>
        <w:ind w:left="1500" w:right="140" w:firstLine="5"/>
        <w:spacing w:after="0" w:line="277" w:lineRule="auto"/>
        <w:tabs>
          <w:tab w:leader="none" w:pos="16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Grantee’s employment or services are terminated by the Corporation or a Subsidiary for Cause (as defined below), the Option (whether vested or not) shall terminate on the Severance Date.</w:t>
      </w:r>
    </w:p>
    <w:p>
      <w:pPr>
        <w:spacing w:after="0" w:line="8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For purposes of the Option, “Total Disability” means a “permanent and total disability” (within the meaning of Section 22(e)(3) of the Code or as otherwise determined by the Administrator).</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the Option, “Cause” means that the Grantee:</w:t>
      </w:r>
    </w:p>
    <w:p>
      <w:pPr>
        <w:spacing w:after="0" w:line="158" w:lineRule="exact"/>
        <w:rPr>
          <w:sz w:val="20"/>
          <w:szCs w:val="20"/>
          <w:color w:val="auto"/>
        </w:rPr>
      </w:pPr>
    </w:p>
    <w:p>
      <w:pPr>
        <w:ind w:left="760" w:right="60" w:hanging="3"/>
        <w:spacing w:after="0" w:line="308" w:lineRule="auto"/>
        <w:tabs>
          <w:tab w:leader="none" w:pos="10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has been negligent in the discharge of his or her duties to the Corporation or any of its Subsidiaries, has refused to perform stated or assigned duties or is incompetent in or (other than by reason of a disability or analogous condition) incapable of performing those duties;</w:t>
      </w:r>
    </w:p>
    <w:p>
      <w:pPr>
        <w:spacing w:after="0" w:line="65" w:lineRule="exact"/>
        <w:rPr>
          <w:rFonts w:ascii="Arial" w:cs="Arial" w:eastAsia="Arial" w:hAnsi="Arial"/>
          <w:sz w:val="17"/>
          <w:szCs w:val="17"/>
          <w:color w:val="auto"/>
        </w:rPr>
      </w:pPr>
    </w:p>
    <w:p>
      <w:pPr>
        <w:ind w:left="760" w:right="40" w:hanging="3"/>
        <w:spacing w:after="0" w:line="301" w:lineRule="auto"/>
        <w:tabs>
          <w:tab w:leader="none" w:pos="1015" w:val="left"/>
        </w:tabs>
        <w:numPr>
          <w:ilvl w:val="0"/>
          <w:numId w:val="82"/>
        </w:numPr>
        <w:rPr>
          <w:rFonts w:ascii="Arial" w:cs="Arial" w:eastAsia="Arial" w:hAnsi="Arial"/>
          <w:sz w:val="16"/>
          <w:szCs w:val="16"/>
          <w:color w:val="auto"/>
        </w:rPr>
      </w:pPr>
      <w:r>
        <w:rPr>
          <w:rFonts w:ascii="Arial" w:cs="Arial" w:eastAsia="Arial" w:hAnsi="Arial"/>
          <w:sz w:val="16"/>
          <w:szCs w:val="16"/>
          <w:color w:val="auto"/>
        </w:rPr>
        <w:t>has been dishonest or committed or engaged in an act of theft, embezzlement or fraud, a breach of confidentiality, an unauthorized disclosure or use of inside information, customer lists, trade secrets or other confidential information; has breached a fiduciary duty, or willfully and materially violated any other duty, law, rule, regulation or policy of the Corporation, any of its Subsidiaries or any affiliate of the Corporation or any of its Subsidiaries; or has been convicted of a felony or misdemeanor (other than minor traffic violations or similar offenses);</w:t>
      </w:r>
    </w:p>
    <w:p>
      <w:pPr>
        <w:spacing w:after="0" w:line="89" w:lineRule="exact"/>
        <w:rPr>
          <w:rFonts w:ascii="Arial" w:cs="Arial" w:eastAsia="Arial" w:hAnsi="Arial"/>
          <w:sz w:val="16"/>
          <w:szCs w:val="16"/>
          <w:color w:val="auto"/>
        </w:rPr>
      </w:pPr>
    </w:p>
    <w:p>
      <w:pPr>
        <w:ind w:left="760" w:right="860" w:hanging="3"/>
        <w:spacing w:after="0" w:line="277" w:lineRule="auto"/>
        <w:tabs>
          <w:tab w:leader="none" w:pos="10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has materially breached any of the provisions of any agreement with the Corporation, any of its Subsidiaries or any affiliate of the Corporation or any of its Subsidiaries; or</w:t>
      </w:r>
    </w:p>
    <w:p>
      <w:pPr>
        <w:spacing w:after="0" w:line="102" w:lineRule="exact"/>
        <w:rPr>
          <w:rFonts w:ascii="Arial" w:cs="Arial" w:eastAsia="Arial" w:hAnsi="Arial"/>
          <w:sz w:val="18"/>
          <w:szCs w:val="18"/>
          <w:color w:val="auto"/>
        </w:rPr>
      </w:pPr>
    </w:p>
    <w:p>
      <w:pPr>
        <w:ind w:left="760" w:right="20" w:hanging="3"/>
        <w:spacing w:after="0" w:line="257" w:lineRule="auto"/>
        <w:tabs>
          <w:tab w:leader="none" w:pos="10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has engaged in unfair competition with, or otherwise acted intentionally in a manner injurious to the reputation, business or assets of, the Corporation, any of its Subsidiaries or any affiliate of the Corporation or any of its Subsidiaries; has improperly induced a vendor or customer to break or terminate any contract with the Corporation, any of its Subsidiaries or any affiliate of the Corporation or any of its Subsidiaries; or has induced a principal for whom the Corporation, any of its Subsidiaries or any affiliate of the Corporation or any of its Subsidiaries acts as agent to terminate such agency relationship.</w:t>
      </w:r>
    </w:p>
    <w:p>
      <w:pPr>
        <w:spacing w:after="0" w:line="107" w:lineRule="exact"/>
        <w:rPr>
          <w:sz w:val="20"/>
          <w:szCs w:val="20"/>
          <w:color w:val="auto"/>
        </w:rPr>
      </w:pPr>
    </w:p>
    <w:p>
      <w:pPr>
        <w:ind w:right="800" w:firstLine="749"/>
        <w:spacing w:after="0" w:line="342" w:lineRule="auto"/>
        <w:rPr>
          <w:sz w:val="20"/>
          <w:szCs w:val="20"/>
          <w:color w:val="auto"/>
        </w:rPr>
      </w:pPr>
      <w:r>
        <w:rPr>
          <w:rFonts w:ascii="Arial" w:cs="Arial" w:eastAsia="Arial" w:hAnsi="Arial"/>
          <w:sz w:val="16"/>
          <w:szCs w:val="16"/>
          <w:color w:val="auto"/>
        </w:rPr>
        <w:t>In all events the Option is subject to earlier termination on the Expiration Date of the Option or as contemplated by Section 5.2. The Administrator shall be the sole judge of whether the Grantee continues to render employment or services for purposes of this Option Agreement.</w:t>
      </w:r>
    </w:p>
    <w:p>
      <w:pPr>
        <w:spacing w:after="0" w:line="52" w:lineRule="exact"/>
        <w:rPr>
          <w:sz w:val="20"/>
          <w:szCs w:val="20"/>
          <w:color w:val="auto"/>
        </w:rPr>
      </w:pPr>
    </w:p>
    <w:p>
      <w:pPr>
        <w:ind w:left="760" w:hanging="378"/>
        <w:spacing w:after="0"/>
        <w:tabs>
          <w:tab w:leader="none" w:pos="760" w:val="left"/>
        </w:tabs>
        <w:numPr>
          <w:ilvl w:val="0"/>
          <w:numId w:val="8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Non-Transferability.</w:t>
      </w:r>
    </w:p>
    <w:p>
      <w:pPr>
        <w:spacing w:after="0" w:line="162" w:lineRule="exact"/>
        <w:rPr>
          <w:sz w:val="20"/>
          <w:szCs w:val="20"/>
          <w:color w:val="auto"/>
        </w:rPr>
      </w:pPr>
    </w:p>
    <w:p>
      <w:pPr>
        <w:ind w:left="380" w:right="20" w:firstLine="374"/>
        <w:spacing w:after="0" w:line="277" w:lineRule="auto"/>
        <w:rPr>
          <w:sz w:val="20"/>
          <w:szCs w:val="20"/>
          <w:color w:val="auto"/>
        </w:rPr>
      </w:pPr>
      <w:r>
        <w:rPr>
          <w:rFonts w:ascii="Arial" w:cs="Arial" w:eastAsia="Arial" w:hAnsi="Arial"/>
          <w:sz w:val="18"/>
          <w:szCs w:val="18"/>
          <w:color w:val="auto"/>
        </w:rPr>
        <w:t>The Option and any other rights of the Grantee under this Option Agreement or the Plan are nontransferable and exercisable only by the Grantee, except as set forth in Section 5.7 of the Plan.</w:t>
      </w:r>
    </w:p>
    <w:p>
      <w:pPr>
        <w:spacing w:after="0" w:line="85" w:lineRule="exact"/>
        <w:rPr>
          <w:sz w:val="20"/>
          <w:szCs w:val="20"/>
          <w:color w:val="auto"/>
        </w:rPr>
      </w:pPr>
    </w:p>
    <w:p>
      <w:pPr>
        <w:ind w:left="760" w:hanging="378"/>
        <w:spacing w:after="0"/>
        <w:tabs>
          <w:tab w:leader="none" w:pos="760" w:val="left"/>
        </w:tabs>
        <w:numPr>
          <w:ilvl w:val="0"/>
          <w:numId w:val="8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Notices.</w:t>
      </w:r>
    </w:p>
    <w:p>
      <w:pPr>
        <w:spacing w:after="0" w:line="162" w:lineRule="exact"/>
        <w:rPr>
          <w:sz w:val="20"/>
          <w:szCs w:val="20"/>
          <w:color w:val="auto"/>
        </w:rPr>
      </w:pPr>
    </w:p>
    <w:p>
      <w:pPr>
        <w:ind w:left="380" w:right="20" w:firstLine="374"/>
        <w:spacing w:after="0" w:line="257" w:lineRule="auto"/>
        <w:rPr>
          <w:sz w:val="20"/>
          <w:szCs w:val="20"/>
          <w:color w:val="auto"/>
        </w:rPr>
      </w:pPr>
      <w:r>
        <w:rPr>
          <w:rFonts w:ascii="Arial" w:cs="Arial" w:eastAsia="Arial" w:hAnsi="Arial"/>
          <w:sz w:val="18"/>
          <w:szCs w:val="18"/>
          <w:color w:val="auto"/>
        </w:rPr>
        <w:t>Any notice to be given under the terms of this Option Agreement shall be in writing and addressed to the Corporation at its principal office to the attention of the Secretary, and to the Grantee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2" w:name="page153"/>
    <w:bookmarkEnd w:id="152"/>
    <w:p>
      <w:pPr>
        <w:ind w:right="180"/>
        <w:spacing w:after="0" w:line="308" w:lineRule="auto"/>
        <w:rPr>
          <w:sz w:val="20"/>
          <w:szCs w:val="20"/>
          <w:color w:val="auto"/>
        </w:rPr>
      </w:pPr>
      <w:r>
        <w:rPr>
          <w:rFonts w:ascii="Arial" w:cs="Arial" w:eastAsia="Arial" w:hAnsi="Arial"/>
          <w:sz w:val="17"/>
          <w:szCs w:val="17"/>
          <w:color w:val="auto"/>
        </w:rPr>
        <w:t>notice shall be given only when received, but if the Grantee is no longer employed by the Corporation or a Subsidiary, shall be deemed to have been duly given five business days after the date mailed in accordance with the foregoing provisions of this Section 7.</w:t>
      </w:r>
    </w:p>
    <w:p>
      <w:pPr>
        <w:spacing w:after="0" w:line="75" w:lineRule="exact"/>
        <w:rPr>
          <w:sz w:val="20"/>
          <w:szCs w:val="20"/>
          <w:color w:val="auto"/>
        </w:rPr>
      </w:pPr>
    </w:p>
    <w:p>
      <w:pPr>
        <w:ind w:left="380" w:hanging="378"/>
        <w:spacing w:after="0"/>
        <w:tabs>
          <w:tab w:leader="none" w:pos="380" w:val="left"/>
        </w:tabs>
        <w:numPr>
          <w:ilvl w:val="0"/>
          <w:numId w:val="8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Plan.</w:t>
      </w:r>
    </w:p>
    <w:p>
      <w:pPr>
        <w:spacing w:after="0" w:line="148"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The Option and all rights of the Grantee under this Option Agreement are subject to the terms and conditions of the Plan, incorporated herein by this reference. The Grantee agrees to be bound by the terms of the Plan and this Option Agreement. The Grantee acknowledges having read and understanding the Plan, the Prospectus for the Plan, and this Option Agreement. Unless otherwise expressly provided in other sections of this Option Agreement, provisions of the Plan that confer discretionary authority on the Board or the Administrator do not and shall not be deemed to create any rights in the Grantee unless such rights are expressly set forth herein or are otherwise in the sole discretion of the Board or the Administrator so conferred by appropriate action of the Board or the Administrator under the Plan after the date hereof.</w:t>
      </w:r>
    </w:p>
    <w:p>
      <w:pPr>
        <w:spacing w:after="0" w:line="106" w:lineRule="exact"/>
        <w:rPr>
          <w:sz w:val="20"/>
          <w:szCs w:val="20"/>
          <w:color w:val="auto"/>
        </w:rPr>
      </w:pPr>
    </w:p>
    <w:p>
      <w:pPr>
        <w:ind w:left="380" w:hanging="378"/>
        <w:spacing w:after="0"/>
        <w:tabs>
          <w:tab w:leader="none" w:pos="380" w:val="left"/>
        </w:tabs>
        <w:numPr>
          <w:ilvl w:val="0"/>
          <w:numId w:val="8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Entire Agreement.</w:t>
      </w:r>
    </w:p>
    <w:p>
      <w:pPr>
        <w:spacing w:after="0" w:line="162"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This Option Agreement and the Plan together constitute the entire agreement and supersede all prior understandings and agreements, written or oral, of the parties hereto with respect to the subject matter hereof. The Plan and this Option Agreement may be amended pursuant to Section 8.6 of the Plan. Such amendment must be in writing and signed by the Corporation. The Corporation may, however, unilaterally waive any provision hereof in writing to the extent such waiver does not adversely affect the interests of the Grantee hereunder, but no such waiver shall operate as or be construed to be a subsequent waiver of the same provision or a waiver of any other provision hereof.</w:t>
      </w:r>
    </w:p>
    <w:p>
      <w:pPr>
        <w:spacing w:after="0" w:line="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10.</w:t>
      </w:r>
      <w:r>
        <w:rPr>
          <w:sz w:val="20"/>
          <w:szCs w:val="20"/>
          <w:color w:val="auto"/>
        </w:rPr>
        <w:tab/>
      </w:r>
      <w:r>
        <w:rPr>
          <w:rFonts w:ascii="Arial" w:cs="Arial" w:eastAsia="Arial" w:hAnsi="Arial"/>
          <w:sz w:val="16"/>
          <w:szCs w:val="16"/>
          <w:b w:val="1"/>
          <w:bCs w:val="1"/>
          <w:u w:val="single" w:color="auto"/>
          <w:color w:val="auto"/>
        </w:rPr>
        <w:t>Governing Law.</w:t>
      </w:r>
    </w:p>
    <w:p>
      <w:pPr>
        <w:spacing w:after="0" w:line="162"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This Option Agreement shall be governed by and construed and enforced in accordance with the laws of the State of Delaware without regard to conflict of law principles thereunder.</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11.</w:t>
      </w:r>
      <w:r>
        <w:rPr>
          <w:sz w:val="20"/>
          <w:szCs w:val="20"/>
          <w:color w:val="auto"/>
        </w:rPr>
        <w:tab/>
      </w:r>
      <w:r>
        <w:rPr>
          <w:rFonts w:ascii="Arial" w:cs="Arial" w:eastAsia="Arial" w:hAnsi="Arial"/>
          <w:sz w:val="16"/>
          <w:szCs w:val="16"/>
          <w:b w:val="1"/>
          <w:bCs w:val="1"/>
          <w:u w:val="single" w:color="auto"/>
          <w:color w:val="auto"/>
        </w:rPr>
        <w:t>Effect of this Agreement.</w:t>
      </w:r>
    </w:p>
    <w:p>
      <w:pPr>
        <w:spacing w:after="0" w:line="148"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Subject to the Corporation’s right to terminate the Option pursuant to Section 7.2 of the Plan, this Option Agreement shall be assumed by, be binding upon and inure to the benefit of any successor or successors to the Corporation.</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12.</w:t>
      </w:r>
      <w:r>
        <w:rPr>
          <w:sz w:val="20"/>
          <w:szCs w:val="20"/>
          <w:color w:val="auto"/>
        </w:rPr>
        <w:tab/>
      </w:r>
      <w:r>
        <w:rPr>
          <w:rFonts w:ascii="Arial" w:cs="Arial" w:eastAsia="Arial" w:hAnsi="Arial"/>
          <w:sz w:val="16"/>
          <w:szCs w:val="16"/>
          <w:b w:val="1"/>
          <w:bCs w:val="1"/>
          <w:u w:val="single" w:color="auto"/>
          <w:color w:val="auto"/>
        </w:rPr>
        <w:t>Counterparts.</w:t>
      </w:r>
    </w:p>
    <w:p>
      <w:pPr>
        <w:spacing w:after="0" w:line="162"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This Option Agreement may be executed simultaneously in any number of counterparts, each of which shall be deemed an original but all of which together shall constitute one and the same instrument.</w:t>
      </w:r>
    </w:p>
    <w:p>
      <w:pPr>
        <w:spacing w:after="0" w:line="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13.</w:t>
      </w:r>
      <w:r>
        <w:rPr>
          <w:sz w:val="20"/>
          <w:szCs w:val="20"/>
          <w:color w:val="auto"/>
        </w:rPr>
        <w:tab/>
      </w:r>
      <w:r>
        <w:rPr>
          <w:rFonts w:ascii="Arial" w:cs="Arial" w:eastAsia="Arial" w:hAnsi="Arial"/>
          <w:sz w:val="15"/>
          <w:szCs w:val="15"/>
          <w:b w:val="1"/>
          <w:bCs w:val="1"/>
          <w:u w:val="single" w:color="auto"/>
          <w:color w:val="auto"/>
        </w:rPr>
        <w:t>Section Headings.</w:t>
      </w:r>
    </w:p>
    <w:p>
      <w:pPr>
        <w:spacing w:after="0" w:line="162"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The section headings of this Option Agreement are for convenience of reference only and shall not be deemed to alter or affect any provision hereof.</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14.</w:t>
      </w:r>
      <w:r>
        <w:rPr>
          <w:sz w:val="20"/>
          <w:szCs w:val="20"/>
          <w:color w:val="auto"/>
        </w:rPr>
        <w:tab/>
      </w:r>
      <w:r>
        <w:rPr>
          <w:rFonts w:ascii="Arial" w:cs="Arial" w:eastAsia="Arial" w:hAnsi="Arial"/>
          <w:sz w:val="16"/>
          <w:szCs w:val="16"/>
          <w:b w:val="1"/>
          <w:bCs w:val="1"/>
          <w:u w:val="single" w:color="auto"/>
          <w:color w:val="auto"/>
        </w:rPr>
        <w:t>Clawback Policy.</w:t>
      </w:r>
    </w:p>
    <w:p>
      <w:pPr>
        <w:spacing w:after="0" w:line="14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Option is subject to the terms of the Corporation’s recoupment, clawback or similar policy as it may be in effect from time to time, as well as any similar provisions of applicable law, any of which could in certain circumstances require forfeiture of the Option and repayment or forfeiture of any shares of Common Stock or other cash or property received with respect to the Option (including any value received from a disposition of the shares acquired upon exercise of the Option).</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15.</w:t>
      </w:r>
      <w:r>
        <w:rPr>
          <w:sz w:val="20"/>
          <w:szCs w:val="20"/>
          <w:color w:val="auto"/>
        </w:rPr>
        <w:tab/>
      </w:r>
      <w:r>
        <w:rPr>
          <w:rFonts w:ascii="Arial" w:cs="Arial" w:eastAsia="Arial" w:hAnsi="Arial"/>
          <w:sz w:val="16"/>
          <w:szCs w:val="16"/>
          <w:b w:val="1"/>
          <w:bCs w:val="1"/>
          <w:u w:val="single" w:color="auto"/>
          <w:color w:val="auto"/>
        </w:rPr>
        <w:t>No Advice Regarding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99060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153" w:name="page154"/>
    <w:bookmarkEnd w:id="153"/>
    <w:p>
      <w:pPr>
        <w:ind w:firstLine="374"/>
        <w:spacing w:after="0" w:line="254" w:lineRule="auto"/>
        <w:rPr>
          <w:sz w:val="20"/>
          <w:szCs w:val="20"/>
          <w:color w:val="auto"/>
        </w:rPr>
      </w:pPr>
      <w:r>
        <w:rPr>
          <w:rFonts w:ascii="Arial" w:cs="Arial" w:eastAsia="Arial" w:hAnsi="Arial"/>
          <w:sz w:val="18"/>
          <w:szCs w:val="18"/>
          <w:color w:val="auto"/>
        </w:rPr>
        <w:t>The Grantee is hereby advised to consult with his or her own tax, legal and/or investment advisors with respect to any advice the Grantee may determine is needed or appropriate with respect to the Option (including, without limitation, to determine the foreign, state, local, estate and/or gift tax consequences with respect to the Option and any shares that may be acquired upon exercise of the Option). Neither the Corporation nor any of its officers, directors, affiliates or advisors makes any representation (except for the terms and conditions expressly set forth in this Option Agreement) or recommendation with respect to the Option. Except for the withholding rights contemplated by Section 4 above and Section 8.5 of the Plan, the Grantee is solely responsible for any and all tax liability that may arise with respect to the Option and any shares that may be acquired upon exercise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76835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25" w:right="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color w:val="auto"/>
        </w:rPr>
        <w:t>EXHIBIT 10.3(F)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RESTRICTED STOCK UNITS</w:t>
      </w:r>
    </w:p>
    <w:p>
      <w:pPr>
        <w:spacing w:after="0" w:line="238" w:lineRule="exact"/>
        <w:rPr>
          <w:sz w:val="20"/>
          <w:szCs w:val="20"/>
          <w:color w:val="auto"/>
        </w:rPr>
      </w:pPr>
    </w:p>
    <w:p>
      <w:pPr>
        <w:ind w:right="20" w:firstLine="1497"/>
        <w:spacing w:after="0" w:line="273" w:lineRule="auto"/>
        <w:rPr>
          <w:sz w:val="20"/>
          <w:szCs w:val="20"/>
          <w:color w:val="auto"/>
        </w:rPr>
      </w:pPr>
      <w:r>
        <w:rPr>
          <w:rFonts w:ascii="Arial" w:cs="Arial" w:eastAsia="Arial" w:hAnsi="Arial"/>
          <w:sz w:val="17"/>
          <w:szCs w:val="17"/>
          <w:color w:val="auto"/>
        </w:rPr>
        <w:t>Nkarta,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pursuant to its 2020 Performance Incentive Plan, as may be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granted on the Date of Grant set forth below (the “</w:t>
      </w:r>
      <w:r>
        <w:rPr>
          <w:rFonts w:ascii="Arial" w:cs="Arial" w:eastAsia="Arial" w:hAnsi="Arial"/>
          <w:sz w:val="17"/>
          <w:szCs w:val="17"/>
          <w:b w:val="1"/>
          <w:bCs w:val="1"/>
          <w:i w:val="1"/>
          <w:iCs w:val="1"/>
          <w:color w:val="auto"/>
        </w:rPr>
        <w:t>Award Date</w:t>
      </w:r>
      <w:r>
        <w:rPr>
          <w:rFonts w:ascii="Arial" w:cs="Arial" w:eastAsia="Arial" w:hAnsi="Arial"/>
          <w:sz w:val="17"/>
          <w:szCs w:val="17"/>
          <w:color w:val="auto"/>
        </w:rPr>
        <w:t>”) to the award recipient listed below (the “</w:t>
      </w:r>
      <w:r>
        <w:rPr>
          <w:rFonts w:ascii="Arial" w:cs="Arial" w:eastAsia="Arial" w:hAnsi="Arial"/>
          <w:sz w:val="17"/>
          <w:szCs w:val="17"/>
          <w:b w:val="1"/>
          <w:bCs w:val="1"/>
          <w:i w:val="1"/>
          <w:iCs w:val="1"/>
          <w:color w:val="auto"/>
        </w:rPr>
        <w:t>Grantee</w:t>
      </w:r>
      <w:r>
        <w:rPr>
          <w:rFonts w:ascii="Arial" w:cs="Arial" w:eastAsia="Arial" w:hAnsi="Arial"/>
          <w:sz w:val="17"/>
          <w:szCs w:val="17"/>
          <w:color w:val="auto"/>
        </w:rPr>
        <w:t>”), an award of restricted stock units (each, an “</w:t>
      </w:r>
      <w:r>
        <w:rPr>
          <w:rFonts w:ascii="Arial" w:cs="Arial" w:eastAsia="Arial" w:hAnsi="Arial"/>
          <w:sz w:val="17"/>
          <w:szCs w:val="17"/>
          <w:b w:val="1"/>
          <w:bCs w:val="1"/>
          <w:i w:val="1"/>
          <w:iCs w:val="1"/>
          <w:color w:val="auto"/>
        </w:rPr>
        <w:t>RSU</w:t>
      </w:r>
      <w:r>
        <w:rPr>
          <w:rFonts w:ascii="Arial" w:cs="Arial" w:eastAsia="Arial" w:hAnsi="Arial"/>
          <w:sz w:val="17"/>
          <w:szCs w:val="17"/>
          <w:i w:val="1"/>
          <w:iCs w:val="1"/>
          <w:color w:val="auto"/>
        </w:rPr>
        <w: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set forth in this Notice of Grant of Restricted Stock Units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xml:space="preserve">”), as well as in the Plan and the Terms and Conditions of Restricted Stock Units attached hereto as </w:t>
      </w:r>
      <w:r>
        <w:rPr>
          <w:rFonts w:ascii="Arial" w:cs="Arial" w:eastAsia="Arial" w:hAnsi="Arial"/>
          <w:sz w:val="17"/>
          <w:szCs w:val="17"/>
          <w:b w:val="1"/>
          <w:bCs w:val="1"/>
          <w:color w:val="auto"/>
        </w:rPr>
        <w:t xml:space="preserve">Exhibit A </w:t>
      </w:r>
      <w:r>
        <w:rPr>
          <w:rFonts w:ascii="Arial" w:cs="Arial" w:eastAsia="Arial" w:hAnsi="Arial"/>
          <w:sz w:val="17"/>
          <w:szCs w:val="17"/>
          <w:color w:val="auto"/>
        </w:rPr>
        <w:t>(the “</w:t>
      </w:r>
      <w:r>
        <w:rPr>
          <w:rFonts w:ascii="Arial" w:cs="Arial" w:eastAsia="Arial" w:hAnsi="Arial"/>
          <w:sz w:val="17"/>
          <w:szCs w:val="17"/>
          <w:b w:val="1"/>
          <w:bCs w:val="1"/>
          <w:i w:val="1"/>
          <w:iCs w:val="1"/>
          <w:color w:val="auto"/>
        </w:rPr>
        <w:t>Terms</w:t>
      </w:r>
      <w:r>
        <w:rPr>
          <w:rFonts w:ascii="Arial" w:cs="Arial" w:eastAsia="Arial" w:hAnsi="Arial"/>
          <w:sz w:val="17"/>
          <w:szCs w:val="17"/>
          <w:color w:val="auto"/>
        </w:rPr>
        <w:t>”), each of which is incorporated herein by this reference. Unless otherwise defined in this Grant Notice or in the Terms,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used in this Grant Notice or in the Terms are used as defined in the Plan.</w:t>
      </w:r>
    </w:p>
    <w:p>
      <w:pPr>
        <w:sectPr>
          <w:pgSz w:w="11900" w:h="16838" w:orient="portrait"/>
          <w:cols w:equalWidth="0" w:num="1">
            <w:col w:w="11240"/>
          </w:cols>
          <w:pgMar w:left="320" w:top="118" w:right="339" w:bottom="1440" w:gutter="0" w:footer="0" w:header="0"/>
        </w:sectPr>
      </w:pP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Grantee: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 Number:</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of Grant: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Commencement Date:</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Number of RSUs Subject to the Award: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[One quarter (1/4) of the Award will vest on each of the one (1) year, two (2) year, three (3) year, and four (4) year anniversaries of the Vesting Commencement Date, such that all of the Award shall be vested on the four (4) year anniversary of the Vesting Commencement Date, subject in each case to the Grantee continuing to be an Eligible Person through each such date]</w:t>
      </w:r>
    </w:p>
    <w:p>
      <w:pPr>
        <w:spacing w:after="0" w:line="200" w:lineRule="exact"/>
        <w:rPr>
          <w:sz w:val="20"/>
          <w:szCs w:val="20"/>
          <w:color w:val="auto"/>
        </w:rPr>
      </w:pPr>
    </w:p>
    <w:p>
      <w:pPr>
        <w:sectPr>
          <w:pgSz w:w="11900" w:h="16838" w:orient="portrait"/>
          <w:cols w:equalWidth="0" w:num="2">
            <w:col w:w="3640" w:space="720"/>
            <w:col w:w="6880"/>
          </w:cols>
          <w:pgMar w:left="320" w:top="118" w:right="339" w:bottom="1440" w:gutter="0" w:footer="0" w:header="0"/>
          <w:type w:val="continuous"/>
        </w:sectPr>
      </w:pPr>
    </w:p>
    <w:p>
      <w:pPr>
        <w:spacing w:after="0" w:line="1" w:lineRule="exact"/>
        <w:rPr>
          <w:sz w:val="20"/>
          <w:szCs w:val="20"/>
          <w:color w:val="auto"/>
        </w:rPr>
      </w:pPr>
    </w:p>
    <w:p>
      <w:pPr>
        <w:ind w:right="40" w:firstLine="1497"/>
        <w:spacing w:after="0" w:line="269" w:lineRule="auto"/>
        <w:rPr>
          <w:sz w:val="20"/>
          <w:szCs w:val="20"/>
          <w:color w:val="auto"/>
        </w:rPr>
      </w:pPr>
      <w:r>
        <w:rPr>
          <w:rFonts w:ascii="Arial" w:cs="Arial" w:eastAsia="Arial" w:hAnsi="Arial"/>
          <w:sz w:val="17"/>
          <w:szCs w:val="17"/>
          <w:color w:val="auto"/>
        </w:rPr>
        <w:t>By accepting the Award (by clicking “sign”, “accept” or similar acknowledgement of acceptance through the Company’s stock plan recordkeeping system which may be administered by the Company or through a third party on behalf of the Company), the Grantee (1) signs this Grant Notice electronically, which acceptance shall be valid and effective to bind the Grantee to this Grant Notice and shall be treated, for purposes of validity, enforceability and admissibility, the same as Grantee’s hand-written signature to this Grant Notice, (2) agrees to be bound by the terms and conditions of the Plan, the Terms (including, without limitation, the tax withholding provisions of Section 8 of the Terms), and this Grant Notice and accepts the Award on and subject to such terms and conditions, (3) acknowledges having received and having reviewed in their entirety the Plan, the Terms, this Grant Notice, and the Prospectus for the Plan, (4) acknowledges having had an opportunity to obtain the advice of counsel (to the extent Grantee believed it was appropriate to consult with counsel) prior to executing this Grant Notice, (5) represents that he or she fully understands all provisions of the Plan, the Terms, and this Grant Notice, and (6) agrees to accept as binding, conclusive and final all decisions or interpretations of the Administrator upon any questions arising under the Plan, the Terms, and this Grant Notice.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NKARTA,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257175</wp:posOffset>
            </wp:positionV>
            <wp:extent cx="363474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3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5" w:name="page156"/>
    <w:bookmarkEnd w:id="155"/>
    <w:p>
      <w:pPr>
        <w:jc w:val="center"/>
        <w:ind w:right="380"/>
        <w:spacing w:after="0"/>
        <w:rPr>
          <w:sz w:val="20"/>
          <w:szCs w:val="20"/>
          <w:color w:val="auto"/>
        </w:rPr>
      </w:pPr>
      <w:r>
        <w:rPr>
          <w:rFonts w:ascii="Arial" w:cs="Arial" w:eastAsia="Arial" w:hAnsi="Arial"/>
          <w:sz w:val="18"/>
          <w:szCs w:val="18"/>
          <w:color w:val="auto"/>
        </w:rPr>
        <w:t>NKARTA, INC.</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2020 PERFORMANCE INCENTIVE PLAN</w:t>
      </w:r>
    </w:p>
    <w:p>
      <w:pPr>
        <w:spacing w:after="0" w:line="14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TERMS AND CONDITIONS OF RESTRICTED STOCK UNITS</w:t>
      </w:r>
    </w:p>
    <w:p>
      <w:pPr>
        <w:spacing w:after="0" w:line="154" w:lineRule="exact"/>
        <w:rPr>
          <w:sz w:val="20"/>
          <w:szCs w:val="20"/>
          <w:color w:val="auto"/>
        </w:rPr>
      </w:pPr>
    </w:p>
    <w:p>
      <w:pPr>
        <w:ind w:left="380" w:hanging="378"/>
        <w:spacing w:after="0"/>
        <w:tabs>
          <w:tab w:leader="none" w:pos="380" w:val="left"/>
        </w:tabs>
        <w:numPr>
          <w:ilvl w:val="0"/>
          <w:numId w:val="8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w:t>
      </w:r>
    </w:p>
    <w:p>
      <w:pPr>
        <w:spacing w:after="0" w:line="162" w:lineRule="exact"/>
        <w:rPr>
          <w:sz w:val="20"/>
          <w:szCs w:val="20"/>
          <w:color w:val="auto"/>
        </w:rPr>
      </w:pPr>
    </w:p>
    <w:p>
      <w:pPr>
        <w:ind w:right="80" w:firstLine="374"/>
        <w:spacing w:after="0" w:line="301" w:lineRule="auto"/>
        <w:rPr>
          <w:sz w:val="20"/>
          <w:szCs w:val="20"/>
          <w:color w:val="auto"/>
        </w:rPr>
      </w:pPr>
      <w:r>
        <w:rPr>
          <w:rFonts w:ascii="Arial" w:cs="Arial" w:eastAsia="Arial" w:hAnsi="Arial"/>
          <w:sz w:val="16"/>
          <w:szCs w:val="16"/>
          <w:color w:val="auto"/>
        </w:rPr>
        <w:t>These Terms and Conditions of Restricted Stock Units (these “Terms”) apply to a particular award of restricted stock units (each, an “RSU,” and collectively, the “Award”) if incorporated by reference in the Notice of Grant of Restricted Stock Units (the “Grant Notice”) corresponding to that particular grant. The recipient of the Award identified in the Grant Notice is referred to as the “Grantee.” The effective date of the Award as set forth in the Grant Notice is referred to as the “Award Date.” The RSUs covered by the Award are subject to adjustment under Section 7.1 of the Plan.</w:t>
      </w:r>
    </w:p>
    <w:p>
      <w:pPr>
        <w:spacing w:after="0" w:line="76" w:lineRule="exact"/>
        <w:rPr>
          <w:sz w:val="20"/>
          <w:szCs w:val="20"/>
          <w:color w:val="auto"/>
        </w:rPr>
      </w:pPr>
    </w:p>
    <w:p>
      <w:pPr>
        <w:ind w:right="100" w:firstLine="374"/>
        <w:spacing w:after="0" w:line="311" w:lineRule="auto"/>
        <w:rPr>
          <w:sz w:val="20"/>
          <w:szCs w:val="20"/>
          <w:color w:val="auto"/>
        </w:rPr>
      </w:pPr>
      <w:r>
        <w:rPr>
          <w:rFonts w:ascii="Arial" w:cs="Arial" w:eastAsia="Arial" w:hAnsi="Arial"/>
          <w:sz w:val="16"/>
          <w:szCs w:val="16"/>
          <w:color w:val="auto"/>
        </w:rPr>
        <w:t>The Award was granted under and subject to the Nkarta, Inc. 2020 Performance Incentive Plan (the “Plan”). Capitalized terms are defined in the Plan if not defined herein. The Award has been granted to the Grantee in addition to, and not in lieu of, any other form of compensation otherwise payable or to be paid to the Grantee. The Grant Notice and these Terms are collectively referred to as the “RSU Agreement” applicable to the Award.</w:t>
      </w:r>
    </w:p>
    <w:p>
      <w:pPr>
        <w:spacing w:after="0" w:line="77" w:lineRule="exact"/>
        <w:rPr>
          <w:sz w:val="20"/>
          <w:szCs w:val="20"/>
          <w:color w:val="auto"/>
        </w:rPr>
      </w:pPr>
    </w:p>
    <w:p>
      <w:pPr>
        <w:ind w:left="380" w:hanging="378"/>
        <w:spacing w:after="0"/>
        <w:tabs>
          <w:tab w:leader="none" w:pos="380" w:val="left"/>
        </w:tabs>
        <w:numPr>
          <w:ilvl w:val="0"/>
          <w:numId w:val="8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Vesting.</w:t>
      </w:r>
    </w:p>
    <w:p>
      <w:pPr>
        <w:spacing w:after="0" w:line="162"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Award shall vest and become nonforfeitable in percentage installments of the aggregate number of RSUs subject to the Award as set forth on the Grant Notice.</w:t>
      </w:r>
    </w:p>
    <w:p>
      <w:pPr>
        <w:spacing w:after="0" w:line="85" w:lineRule="exact"/>
        <w:rPr>
          <w:sz w:val="20"/>
          <w:szCs w:val="20"/>
          <w:color w:val="auto"/>
        </w:rPr>
      </w:pPr>
    </w:p>
    <w:p>
      <w:pPr>
        <w:ind w:left="380" w:hanging="378"/>
        <w:spacing w:after="0"/>
        <w:tabs>
          <w:tab w:leader="none" w:pos="380" w:val="left"/>
        </w:tabs>
        <w:numPr>
          <w:ilvl w:val="0"/>
          <w:numId w:val="8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Dividend and Voting Rights.</w:t>
      </w:r>
    </w:p>
    <w:p>
      <w:pPr>
        <w:spacing w:after="0" w:line="27" w:lineRule="exact"/>
        <w:rPr>
          <w:rFonts w:ascii="Arial" w:cs="Arial" w:eastAsia="Arial" w:hAnsi="Arial"/>
          <w:sz w:val="18"/>
          <w:szCs w:val="18"/>
          <w:b w:val="1"/>
          <w:bCs w:val="1"/>
          <w:u w:val="single" w:color="auto"/>
          <w:color w:val="auto"/>
        </w:rPr>
      </w:pPr>
    </w:p>
    <w:p>
      <w:pPr>
        <w:ind w:left="380" w:right="120"/>
        <w:spacing w:after="0" w:line="253"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3.1 Limitations on Rights Associated with RSUs. The Grantee shall have no rights as a stockholder of the Corporation, no dividend rights (except as expressly provided in Section 3.2 with respect to Dividend Equivalent Rights) and no voting rights, with respect to the RSUs and any shares of Common Stock underlying or issuable in respect of such RSUs until such shares of Common Stock are actually issued to and held of record by the Grantee. No adjustments will be made for dividends or other rights of a holder for which the record date is prior to the date of issuance of such shares.</w:t>
      </w:r>
    </w:p>
    <w:p>
      <w:pPr>
        <w:spacing w:after="0" w:line="123" w:lineRule="exact"/>
        <w:rPr>
          <w:rFonts w:ascii="Arial" w:cs="Arial" w:eastAsia="Arial" w:hAnsi="Arial"/>
          <w:sz w:val="18"/>
          <w:szCs w:val="18"/>
          <w:b w:val="1"/>
          <w:bCs w:val="1"/>
          <w:u w:val="single" w:color="auto"/>
          <w:color w:val="auto"/>
        </w:rPr>
      </w:pPr>
    </w:p>
    <w:p>
      <w:pPr>
        <w:jc w:val="both"/>
        <w:ind w:left="380" w:right="260"/>
        <w:spacing w:after="0" w:line="287" w:lineRule="auto"/>
        <w:rPr>
          <w:rFonts w:ascii="Arial" w:cs="Arial" w:eastAsia="Arial" w:hAnsi="Arial"/>
          <w:sz w:val="18"/>
          <w:szCs w:val="18"/>
          <w:b w:val="1"/>
          <w:bCs w:val="1"/>
          <w:u w:val="single" w:color="auto"/>
          <w:color w:val="auto"/>
        </w:rPr>
      </w:pPr>
      <w:r>
        <w:rPr>
          <w:rFonts w:ascii="Arial" w:cs="Arial" w:eastAsia="Arial" w:hAnsi="Arial"/>
          <w:sz w:val="16"/>
          <w:szCs w:val="16"/>
          <w:color w:val="auto"/>
        </w:rPr>
        <w:t>3.2 Dividend Equivalent Rights Distributions. As of any date that the Corporation pays an ordinary cash dividend on its Common Stock, the Corporation shall credit the Grantee with an additional number of RSUs equal to (i) the per share cash dividend paid by the Corporation on its Common Stock on such date, multiplied by (ii) the total number of RSUs (including any dividend equivalents previously credited hereunder)</w:t>
      </w:r>
    </w:p>
    <w:p>
      <w:pPr>
        <w:spacing w:after="0" w:line="2" w:lineRule="exact"/>
        <w:rPr>
          <w:rFonts w:ascii="Arial" w:cs="Arial" w:eastAsia="Arial" w:hAnsi="Arial"/>
          <w:sz w:val="18"/>
          <w:szCs w:val="18"/>
          <w:b w:val="1"/>
          <w:bCs w:val="1"/>
          <w:u w:val="single" w:color="auto"/>
          <w:color w:val="auto"/>
        </w:rPr>
      </w:pPr>
    </w:p>
    <w:p>
      <w:pPr>
        <w:ind w:left="380"/>
        <w:spacing w:after="0" w:line="252"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(with such total number adjusted pursuant to Section 7.1 of the Plan) subject to the Award as of the related dividend payment record date, divided by (iii) the fair market value of a share of Common Stock on the date of payment of such dividend. Any RSUs credited pursuant to the foregoing provisions of this Section 3.2 shall be subject to the same vesting, payment and other terms, conditions and restrictions as the original RSUs to which they relate. No crediting of RSUs shall be made pursuant to this Section 3.2 with respect to (i) any RSUs which, as of such record date, have either been paid pursuant to Section 5 or terminated pursuant to Section 6 or (ii) any cash dividend or distribution as to which an adjustment is made pursuant to Section 7.2 of the Plan.</w:t>
      </w:r>
    </w:p>
    <w:p>
      <w:pPr>
        <w:spacing w:after="0" w:line="122" w:lineRule="exact"/>
        <w:rPr>
          <w:rFonts w:ascii="Arial" w:cs="Arial" w:eastAsia="Arial" w:hAnsi="Arial"/>
          <w:sz w:val="18"/>
          <w:szCs w:val="18"/>
          <w:b w:val="1"/>
          <w:bCs w:val="1"/>
          <w:u w:val="single" w:color="auto"/>
          <w:color w:val="auto"/>
        </w:rPr>
      </w:pPr>
    </w:p>
    <w:p>
      <w:pPr>
        <w:ind w:left="380" w:hanging="378"/>
        <w:spacing w:after="0"/>
        <w:tabs>
          <w:tab w:leader="none" w:pos="380" w:val="left"/>
        </w:tabs>
        <w:numPr>
          <w:ilvl w:val="0"/>
          <w:numId w:val="8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Continuance of Employment/Service Required; No Employment/Service Commitment.</w:t>
      </w:r>
    </w:p>
    <w:p>
      <w:pPr>
        <w:spacing w:after="0" w:line="148" w:lineRule="exact"/>
        <w:rPr>
          <w:sz w:val="20"/>
          <w:szCs w:val="20"/>
          <w:color w:val="auto"/>
        </w:rPr>
      </w:pPr>
    </w:p>
    <w:p>
      <w:pPr>
        <w:ind w:right="160" w:firstLine="374"/>
        <w:spacing w:after="0" w:line="301" w:lineRule="auto"/>
        <w:rPr>
          <w:sz w:val="20"/>
          <w:szCs w:val="20"/>
          <w:color w:val="auto"/>
        </w:rPr>
      </w:pPr>
      <w:r>
        <w:rPr>
          <w:rFonts w:ascii="Arial" w:cs="Arial" w:eastAsia="Arial" w:hAnsi="Arial"/>
          <w:sz w:val="16"/>
          <w:szCs w:val="16"/>
          <w:color w:val="auto"/>
        </w:rPr>
        <w:t>The vesting schedule applicable to the Award requires continued employment or service through each applicable vesting date as a condition to the vesting of the applicable installment of the Award and the rights and benefits under this RSU Agreement. Employment or service for only a portion of the vesting period, even if a substantial portion, will not entitle the Grantee to any proportionate vesting or avoid or mitigate a termination of rights and benefits upon or following a termination of employment or services as provided in Section 6 below or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215900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156" w:name="page157"/>
    <w:bookmarkEnd w:id="156"/>
    <w:p>
      <w:pPr>
        <w:ind w:right="160" w:firstLine="374"/>
        <w:spacing w:after="0" w:line="273" w:lineRule="auto"/>
        <w:rPr>
          <w:sz w:val="20"/>
          <w:szCs w:val="20"/>
          <w:color w:val="auto"/>
        </w:rPr>
      </w:pPr>
      <w:r>
        <w:rPr>
          <w:rFonts w:ascii="Arial" w:cs="Arial" w:eastAsia="Arial" w:hAnsi="Arial"/>
          <w:sz w:val="17"/>
          <w:szCs w:val="17"/>
          <w:color w:val="auto"/>
        </w:rPr>
        <w:t>Nothing contained in this RSU Agreement or the Plan constitutes a continued employment or service commitment by the Corporation or any of its Subsidiaries, affects the Grantee’s status, if he or she is an employee, as an employee at will who is subject to termination without cause, confers upon the Grantee any right to remain employed by or in service to the Corporation or any Subsidiary, interferes in any way with the right of the Corporation or any Subsidiary at any time to terminate such employment or service, or affects the right of the Corporation or any Subsidiary to increase or decrease the Grantee’s other compensation. Nothing in this paragraph, however, is intended to adversely affect any independent contractual right of the Grantee without his/her consent thereto.</w:t>
      </w:r>
    </w:p>
    <w:p>
      <w:pPr>
        <w:spacing w:after="0" w:line="106" w:lineRule="exact"/>
        <w:rPr>
          <w:sz w:val="20"/>
          <w:szCs w:val="20"/>
          <w:color w:val="auto"/>
        </w:rPr>
      </w:pPr>
    </w:p>
    <w:p>
      <w:pPr>
        <w:ind w:left="380" w:hanging="378"/>
        <w:spacing w:after="0"/>
        <w:tabs>
          <w:tab w:leader="none" w:pos="380" w:val="left"/>
        </w:tabs>
        <w:numPr>
          <w:ilvl w:val="0"/>
          <w:numId w:val="9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Timing and Manner of Payment of RSUs.</w:t>
      </w:r>
    </w:p>
    <w:p>
      <w:pPr>
        <w:spacing w:after="0" w:line="148"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On or as soon as administratively practical following each vesting of the applicable portion of the total Award pursuant to Section 2 hereof or Section 7 of the Plan (and in all events not later than two and one-half months after the applicable vesting date) and subject to Sections 6 and 8, the Corporation shall deliver to the Grantee a number of shares of Common Stock (either by delivering one or more certificates for such shares or by entering such shares in book entry form, as determined by the Corporation in its discretion) equal to the number of RSUs subject to this Award that vested on that vesting date. The Corporation’s obligation to deliver shares of Common Stock or otherwise make payment with respect to vested RSUs is subject to the condition precedent that the Grantee or other person entitled under the Plan to receive any shares with respect to the vested RSUs deliver to the Corporation any representations or other documents or assurances required pursuant to Section 8.1 of the Plan. The Grantee shall have no further rights with respect to any RSUs that are paid or that terminate pursuant to Section 6.</w:t>
      </w:r>
    </w:p>
    <w:p>
      <w:pPr>
        <w:spacing w:after="0" w:line="107" w:lineRule="exact"/>
        <w:rPr>
          <w:sz w:val="20"/>
          <w:szCs w:val="20"/>
          <w:color w:val="auto"/>
        </w:rPr>
      </w:pPr>
    </w:p>
    <w:p>
      <w:pPr>
        <w:ind w:left="380" w:hanging="378"/>
        <w:spacing w:after="0"/>
        <w:tabs>
          <w:tab w:leader="none" w:pos="380" w:val="left"/>
        </w:tabs>
        <w:numPr>
          <w:ilvl w:val="0"/>
          <w:numId w:val="9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Termination of Award.</w:t>
      </w:r>
    </w:p>
    <w:p>
      <w:pPr>
        <w:spacing w:after="0" w:line="161" w:lineRule="exact"/>
        <w:rPr>
          <w:rFonts w:ascii="Arial" w:cs="Arial" w:eastAsia="Arial" w:hAnsi="Arial"/>
          <w:sz w:val="18"/>
          <w:szCs w:val="18"/>
          <w:b w:val="1"/>
          <w:bCs w:val="1"/>
          <w:u w:val="single" w:color="auto"/>
          <w:color w:val="auto"/>
        </w:rPr>
      </w:pPr>
    </w:p>
    <w:p>
      <w:pPr>
        <w:ind w:left="380" w:right="300"/>
        <w:spacing w:after="0" w:line="277"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6.1 Possible Termination of Award upon Certain Corporate Events. The Award is subject to termination in connection with certain corporate events as provided in Section 7.2 of the Plan.</w:t>
      </w:r>
    </w:p>
    <w:p>
      <w:pPr>
        <w:spacing w:after="0" w:line="89" w:lineRule="exact"/>
        <w:rPr>
          <w:rFonts w:ascii="Arial" w:cs="Arial" w:eastAsia="Arial" w:hAnsi="Arial"/>
          <w:sz w:val="18"/>
          <w:szCs w:val="18"/>
          <w:b w:val="1"/>
          <w:bCs w:val="1"/>
          <w:u w:val="single" w:color="auto"/>
          <w:color w:val="auto"/>
        </w:rPr>
      </w:pPr>
    </w:p>
    <w:p>
      <w:pPr>
        <w:ind w:left="380"/>
        <w:spacing w:after="0" w:line="272" w:lineRule="auto"/>
        <w:rPr>
          <w:rFonts w:ascii="Arial" w:cs="Arial" w:eastAsia="Arial" w:hAnsi="Arial"/>
          <w:sz w:val="18"/>
          <w:szCs w:val="18"/>
          <w:b w:val="1"/>
          <w:bCs w:val="1"/>
          <w:u w:val="single" w:color="auto"/>
          <w:color w:val="auto"/>
        </w:rPr>
      </w:pPr>
      <w:r>
        <w:rPr>
          <w:rFonts w:ascii="Arial" w:cs="Arial" w:eastAsia="Arial" w:hAnsi="Arial"/>
          <w:sz w:val="17"/>
          <w:szCs w:val="17"/>
          <w:color w:val="auto"/>
        </w:rPr>
        <w:t>6.2 Termination of Award upon a Termination of Grantee’s Employment or Services. On the date the Grantee ceases to be employed by or ceases to provide services to the Corporation or a Subsidiary (the last day that the Grantee is employed by or provides services to the Corporation or a Subsidiary is referred to as the Grantee’s “Severance Date”), the RSUs subject to the Award will terminate to the extent such RSUs have not become vested by such Severance Date. If any unvested RSUs are terminated hereunder, such RSUs shall automatically terminate and be cancelled as of the Severance Date without payment of any consideration by the Corporation and without any other action by the Grantee, or the Grantees’s beneficiary or personal representative, as the case may be. The Administrator shall be the sole judge of whether the Grantee continues to render employment or services for purposes of this RSU Agreement.</w:t>
      </w:r>
    </w:p>
    <w:p>
      <w:pPr>
        <w:spacing w:after="0" w:line="105" w:lineRule="exact"/>
        <w:rPr>
          <w:rFonts w:ascii="Arial" w:cs="Arial" w:eastAsia="Arial" w:hAnsi="Arial"/>
          <w:sz w:val="18"/>
          <w:szCs w:val="18"/>
          <w:b w:val="1"/>
          <w:bCs w:val="1"/>
          <w:u w:val="single" w:color="auto"/>
          <w:color w:val="auto"/>
        </w:rPr>
      </w:pPr>
    </w:p>
    <w:p>
      <w:pPr>
        <w:ind w:left="380" w:hanging="378"/>
        <w:spacing w:after="0"/>
        <w:tabs>
          <w:tab w:leader="none" w:pos="380" w:val="left"/>
        </w:tabs>
        <w:numPr>
          <w:ilvl w:val="0"/>
          <w:numId w:val="9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Non-Transferability.</w:t>
      </w:r>
    </w:p>
    <w:p>
      <w:pPr>
        <w:spacing w:after="0" w:line="162"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The Award and any other rights of the Grantee under this RSU Agreement or the Plan are nontransferable, except as set forth in Section 5.6 of the Plan.</w:t>
      </w:r>
    </w:p>
    <w:p>
      <w:pPr>
        <w:spacing w:after="0" w:line="85" w:lineRule="exact"/>
        <w:rPr>
          <w:sz w:val="20"/>
          <w:szCs w:val="20"/>
          <w:color w:val="auto"/>
        </w:rPr>
      </w:pPr>
    </w:p>
    <w:p>
      <w:pPr>
        <w:ind w:left="380" w:hanging="378"/>
        <w:spacing w:after="0"/>
        <w:tabs>
          <w:tab w:leader="none" w:pos="380" w:val="left"/>
        </w:tabs>
        <w:numPr>
          <w:ilvl w:val="0"/>
          <w:numId w:val="9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Tax Withholding.</w:t>
      </w:r>
    </w:p>
    <w:p>
      <w:pPr>
        <w:spacing w:after="0" w:line="162"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The Grantee agrees that, in connection with any distribution of shares of Common Stock in respect of the RSUs, the withholding obligations of the Corporation or its Subsidiaries with respect to such distribution of shares shall be satisfied as follows:</w:t>
      </w:r>
    </w:p>
    <w:p>
      <w:pPr>
        <w:spacing w:after="0" w:line="103" w:lineRule="exact"/>
        <w:rPr>
          <w:sz w:val="20"/>
          <w:szCs w:val="20"/>
          <w:color w:val="auto"/>
        </w:rPr>
      </w:pPr>
    </w:p>
    <w:p>
      <w:pPr>
        <w:ind w:left="1120" w:right="280" w:hanging="369"/>
        <w:spacing w:after="0" w:line="263" w:lineRule="auto"/>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Corporation will determine the amount of any federal, state, local or other income, employment, or other taxes which the Corporation or any of its Subsidiaries may be obligated to withhold with respect to such distribution of shares of Common Stock in respect of the RSUs (such withholding obligations, the “Withholding Obligation”).</w:t>
      </w:r>
    </w:p>
    <w:p>
      <w:pPr>
        <w:spacing w:after="0" w:line="102" w:lineRule="exact"/>
        <w:rPr>
          <w:rFonts w:ascii="Arial" w:cs="Arial" w:eastAsia="Arial" w:hAnsi="Arial"/>
          <w:sz w:val="18"/>
          <w:szCs w:val="18"/>
          <w:color w:val="auto"/>
        </w:rPr>
      </w:pPr>
    </w:p>
    <w:p>
      <w:pPr>
        <w:ind w:left="1120" w:right="160" w:hanging="369"/>
        <w:spacing w:after="0" w:line="277" w:lineRule="auto"/>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Grantee hereby irrevocably instructs the Corporation (and any third-party broker designated by the Corporation) to sell in one or more transactions on the open market, for and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224790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157" w:name="page158"/>
    <w:bookmarkEnd w:id="157"/>
    <w:p>
      <w:pPr>
        <w:ind w:left="1120" w:right="120"/>
        <w:spacing w:after="0" w:line="272" w:lineRule="auto"/>
        <w:rPr>
          <w:sz w:val="20"/>
          <w:szCs w:val="20"/>
          <w:color w:val="auto"/>
        </w:rPr>
      </w:pPr>
      <w:r>
        <w:rPr>
          <w:rFonts w:ascii="Arial" w:cs="Arial" w:eastAsia="Arial" w:hAnsi="Arial"/>
          <w:sz w:val="17"/>
          <w:szCs w:val="17"/>
          <w:color w:val="auto"/>
        </w:rPr>
        <w:t>Grantee’s behalf, from the shares of Common Stock otherwise deliverable to the Grantee in payment of such RSUs, a number of such shares of Common Stock (valued at the applicable sale prices applying the applicable broker’s customary methodology) to satisfy the Withholding Obligation and any brokerage fees and commissions arising in connection with such sale (rounded up to the nearest whole share). Such sale shall occur in connection with the delivery of the shares of Common Stock in payment of the RSUs as to which such Withholding Obligation relates. The proceeds of such sale, in an amount equal to the Withholding Obligation, shall be promptly remitted to the Corporation to satisfy the Withholding Obligation. Any brokerage fees and commissions arising in connection with such sale shall also be satisfied from the proceeds of such sale.</w:t>
      </w:r>
    </w:p>
    <w:p>
      <w:pPr>
        <w:spacing w:after="0" w:line="110" w:lineRule="exact"/>
        <w:rPr>
          <w:sz w:val="20"/>
          <w:szCs w:val="20"/>
          <w:color w:val="auto"/>
        </w:rPr>
      </w:pPr>
    </w:p>
    <w:p>
      <w:pPr>
        <w:ind w:left="1120" w:right="80" w:hanging="369"/>
        <w:spacing w:after="0" w:line="279" w:lineRule="auto"/>
        <w:tabs>
          <w:tab w:leader="none" w:pos="11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such sale of shares of Common Stock for and on the Grantee’s behalf will be conducted through a broker designated by the Corporation. The Grantee agrees to execute any and all such other documents as may be requested by the Corporation or such broker, as applicable, in order to implement and consummate the transactions contemplated by this Section 8. The Grantee agrees to comply with any administrative rules and procedures established by the Corporation with respect to such transactions.</w:t>
      </w:r>
    </w:p>
    <w:p>
      <w:pPr>
        <w:spacing w:after="0" w:line="90" w:lineRule="exact"/>
        <w:rPr>
          <w:rFonts w:ascii="Arial" w:cs="Arial" w:eastAsia="Arial" w:hAnsi="Arial"/>
          <w:sz w:val="17"/>
          <w:szCs w:val="17"/>
          <w:color w:val="auto"/>
        </w:rPr>
      </w:pPr>
    </w:p>
    <w:p>
      <w:pPr>
        <w:ind w:left="1120" w:right="60" w:hanging="369"/>
        <w:spacing w:after="0" w:line="254" w:lineRule="auto"/>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clarity, should any tax withholding event arise in connection with the RSUs other than in connection with the delivery of shares of Common Stock in payment of the RSUs, the Corporation (or a Subsidiary) shall be entitled to require a cash payment by or on behalf of the Grantee and/or to deduct from other compensation payable to the Grantee any sums required by federal, state or local tax law to be withheld with respect to such distribution or payment. In such circumstances, the Corporation shall not be obligated to deliver any shares to the Grantee unless and until the amount of all federal, state and local taxes applicable to the taxable income of the Grantee resulting from the grant or vesting of the RSUs, or other applicable withholding event, has been satisfied in full by or on behalf of the Grantee.</w:t>
      </w:r>
    </w:p>
    <w:p>
      <w:pPr>
        <w:spacing w:after="0" w:line="12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Corporation reserves the right, by action of the Administrator and subject to Section 8.5 of the Plan, to provide that the Withholding Obligation arising in connection with any distribution of shares of Common Stock in respect of the RSUs will be satisfied by the Corporation reducing the number of shares to be delivered by (or otherwise reacquiring) the appropriate number of whole shares, valued at their then fair market value, to satisfy such Withholding Obligation with respect to such distribution of shares.</w:t>
      </w:r>
    </w:p>
    <w:p>
      <w:pPr>
        <w:spacing w:after="0" w:line="115" w:lineRule="exact"/>
        <w:rPr>
          <w:sz w:val="20"/>
          <w:szCs w:val="20"/>
          <w:color w:val="auto"/>
        </w:rPr>
      </w:pPr>
    </w:p>
    <w:p>
      <w:pPr>
        <w:ind w:left="380" w:hanging="378"/>
        <w:spacing w:after="0"/>
        <w:tabs>
          <w:tab w:leader="none" w:pos="380" w:val="left"/>
        </w:tabs>
        <w:numPr>
          <w:ilvl w:val="0"/>
          <w:numId w:val="9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Notices.</w:t>
      </w:r>
    </w:p>
    <w:p>
      <w:pPr>
        <w:spacing w:after="0" w:line="148"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color w:val="auto"/>
        </w:rPr>
        <w:t>Any notice to be given under the terms of this RSU Agreement shall be in writing and addressed to the Corporation at its principal office to the attention of the Secretary, and to the Grantee at the address last reflected on the Corporation’s payroll records, or at such other address as either party may hereafter designate in writing to the other. Any such notice shall be delivered in person or shall be enclosed in a properly sealed envelope addressed as aforesaid, registered or certified, and deposited (postage and registry or certification fee prepaid) in a post office or branch post office regularly maintained by the United States Government. Any such notice shall be given only when received, but if the Grantee is no longer employed by the Corporation or a Subsidiary, shall be deemed to have been duly given five business days after the date mailed in accordance with the foregoing provisions of this Section 9.</w:t>
      </w:r>
    </w:p>
    <w:p>
      <w:pPr>
        <w:spacing w:after="0" w:line="12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10.</w:t>
      </w:r>
      <w:r>
        <w:rPr>
          <w:sz w:val="20"/>
          <w:szCs w:val="20"/>
          <w:color w:val="auto"/>
        </w:rPr>
        <w:tab/>
      </w:r>
      <w:r>
        <w:rPr>
          <w:rFonts w:ascii="Arial" w:cs="Arial" w:eastAsia="Arial" w:hAnsi="Arial"/>
          <w:sz w:val="16"/>
          <w:szCs w:val="16"/>
          <w:b w:val="1"/>
          <w:bCs w:val="1"/>
          <w:u w:val="single" w:color="auto"/>
          <w:color w:val="auto"/>
        </w:rPr>
        <w:t>Plan.</w:t>
      </w:r>
    </w:p>
    <w:p>
      <w:pPr>
        <w:spacing w:after="0" w:line="162" w:lineRule="exact"/>
        <w:rPr>
          <w:sz w:val="20"/>
          <w:szCs w:val="20"/>
          <w:color w:val="auto"/>
        </w:rPr>
      </w:pPr>
    </w:p>
    <w:p>
      <w:pPr>
        <w:ind w:right="160" w:firstLine="374"/>
        <w:spacing w:after="0" w:line="275" w:lineRule="auto"/>
        <w:rPr>
          <w:sz w:val="20"/>
          <w:szCs w:val="20"/>
          <w:color w:val="auto"/>
        </w:rPr>
      </w:pPr>
      <w:r>
        <w:rPr>
          <w:rFonts w:ascii="Arial" w:cs="Arial" w:eastAsia="Arial" w:hAnsi="Arial"/>
          <w:sz w:val="17"/>
          <w:szCs w:val="17"/>
          <w:color w:val="auto"/>
        </w:rPr>
        <w:t>The Award and all rights of the Grantee under this RSU Agreement are subject to the terms and conditions of the Plan, incorporated herein by this reference. The Grantee agrees to be bound by the terms of the Plan and this RSU Agreement. The Grantee acknowledges having read and understanding the Plan, the Prospectus for the Plan, and this RSU Agreement. Unless otherwise expressly provided in other sections of this RSU Agreement, provisions of the Plan that confer discretionary authority on the Board or the Administrator do not and shall not be deemed to create any rights in the Grantee unless such rights are expressly set forth herein or are otherwise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219710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158" w:name="page159"/>
    <w:bookmarkEnd w:id="158"/>
    <w:p>
      <w:pPr>
        <w:ind w:right="60"/>
        <w:spacing w:after="0" w:line="277" w:lineRule="auto"/>
        <w:rPr>
          <w:sz w:val="20"/>
          <w:szCs w:val="20"/>
          <w:color w:val="auto"/>
        </w:rPr>
      </w:pPr>
      <w:r>
        <w:rPr>
          <w:rFonts w:ascii="Arial" w:cs="Arial" w:eastAsia="Arial" w:hAnsi="Arial"/>
          <w:sz w:val="18"/>
          <w:szCs w:val="18"/>
          <w:color w:val="auto"/>
        </w:rPr>
        <w:t>the sole discretion of the Board or the Administrator so conferred by appropriate action of the Board or the Administrator under the Plan after the date hereof.</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11.</w:t>
      </w:r>
      <w:r>
        <w:rPr>
          <w:sz w:val="20"/>
          <w:szCs w:val="20"/>
          <w:color w:val="auto"/>
        </w:rPr>
        <w:tab/>
      </w:r>
      <w:r>
        <w:rPr>
          <w:rFonts w:ascii="Arial" w:cs="Arial" w:eastAsia="Arial" w:hAnsi="Arial"/>
          <w:sz w:val="16"/>
          <w:szCs w:val="16"/>
          <w:b w:val="1"/>
          <w:bCs w:val="1"/>
          <w:u w:val="single" w:color="auto"/>
          <w:color w:val="auto"/>
        </w:rPr>
        <w:t>Entire Agreement.</w:t>
      </w:r>
    </w:p>
    <w:p>
      <w:pPr>
        <w:spacing w:after="0" w:line="14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This RSU Agreement and the Plan together constitute the entire agreement and supersede all prior understandings and agreements, written or oral, of the parties hereto with respect to the subject matter hereof. The Plan and this RSU Agreement may be amended pursuant to Section 8.6 of the Plan. Such amendment must be in writing and signed by the Corporation. The Corporation may, however, unilaterally waive any provision hereof in writing to the extent such waiver does not adversely affect the interests of the Grantee hereunder, but no such waiver shall operate as or be construed to be a subsequent waiver of the same provision or a waiver of any other provision hereof.</w:t>
      </w:r>
    </w:p>
    <w:p>
      <w:pPr>
        <w:spacing w:after="0" w:line="10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12.</w:t>
      </w:r>
      <w:r>
        <w:rPr>
          <w:sz w:val="20"/>
          <w:szCs w:val="20"/>
          <w:color w:val="auto"/>
        </w:rPr>
        <w:tab/>
      </w:r>
      <w:r>
        <w:rPr>
          <w:rFonts w:ascii="Arial" w:cs="Arial" w:eastAsia="Arial" w:hAnsi="Arial"/>
          <w:sz w:val="16"/>
          <w:szCs w:val="16"/>
          <w:b w:val="1"/>
          <w:bCs w:val="1"/>
          <w:u w:val="single" w:color="auto"/>
          <w:color w:val="auto"/>
        </w:rPr>
        <w:t>Governing Law.</w:t>
      </w:r>
    </w:p>
    <w:p>
      <w:pPr>
        <w:spacing w:after="0" w:line="16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This RSU Agreement shall be governed by and construed and enforced in accordance with the laws of the State of Delaware without regard to conflict of law principles thereunder.</w:t>
      </w:r>
    </w:p>
    <w:p>
      <w:pPr>
        <w:spacing w:after="0" w:line="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13.</w:t>
      </w:r>
      <w:r>
        <w:rPr>
          <w:sz w:val="20"/>
          <w:szCs w:val="20"/>
          <w:color w:val="auto"/>
        </w:rPr>
        <w:tab/>
      </w:r>
      <w:r>
        <w:rPr>
          <w:rFonts w:ascii="Arial" w:cs="Arial" w:eastAsia="Arial" w:hAnsi="Arial"/>
          <w:sz w:val="16"/>
          <w:szCs w:val="16"/>
          <w:b w:val="1"/>
          <w:bCs w:val="1"/>
          <w:u w:val="single" w:color="auto"/>
          <w:color w:val="auto"/>
        </w:rPr>
        <w:t>Effect of this Agreement.</w:t>
      </w:r>
    </w:p>
    <w:p>
      <w:pPr>
        <w:spacing w:after="0" w:line="162"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Subject to the Corporation’s right to terminate the Award pursuant to Section 7.2 of the Plan, this RSU Agreement shall be assumed by, be binding upon and inure to the benefit of any successor or successors to the Corporation.</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14.</w:t>
      </w:r>
      <w:r>
        <w:rPr>
          <w:sz w:val="20"/>
          <w:szCs w:val="20"/>
          <w:color w:val="auto"/>
        </w:rPr>
        <w:tab/>
      </w:r>
      <w:r>
        <w:rPr>
          <w:rFonts w:ascii="Arial" w:cs="Arial" w:eastAsia="Arial" w:hAnsi="Arial"/>
          <w:sz w:val="16"/>
          <w:szCs w:val="16"/>
          <w:b w:val="1"/>
          <w:bCs w:val="1"/>
          <w:u w:val="single" w:color="auto"/>
          <w:color w:val="auto"/>
        </w:rPr>
        <w:t>Electronic Signatures and Counterparts.</w:t>
      </w:r>
    </w:p>
    <w:p>
      <w:pPr>
        <w:spacing w:after="0" w:line="148"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The Grant Notice may be signed and/or transmitted in one or more counterparts by facsimile, e-mail of a .PDF, .TIF, .GIF, .JPG or similar attachment or using electronic signature technology (e.g., via DocuSign or similar electronic signature technology), all of which will be considered one and the same agreement and will become effective when one or more counterparts have been signed by each of the parties hereto and delivered to the other parties, it being understood that all parties need not sign the same counterpart, and that any such signed electronic record shall be valid and as effective to bind the party so signing as a paper copy bearing such party’s hand-written signature. To the extent a party signs the Grant Notice using electronic signature technology, by clicking “sign” (or similar acknowledgement of acceptance), such party is signing the Grant Notice electronically. Electronic signatures appearing on the Grant Notice shall be treated, for purposes of validity, enforceability and admissibility, the same as hand-written signatures.</w:t>
      </w:r>
    </w:p>
    <w:p>
      <w:pPr>
        <w:spacing w:after="0" w:line="12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15.</w:t>
      </w:r>
      <w:r>
        <w:rPr>
          <w:sz w:val="20"/>
          <w:szCs w:val="20"/>
          <w:color w:val="auto"/>
        </w:rPr>
        <w:tab/>
      </w:r>
      <w:r>
        <w:rPr>
          <w:rFonts w:ascii="Arial" w:cs="Arial" w:eastAsia="Arial" w:hAnsi="Arial"/>
          <w:sz w:val="15"/>
          <w:szCs w:val="15"/>
          <w:b w:val="1"/>
          <w:bCs w:val="1"/>
          <w:u w:val="single" w:color="auto"/>
          <w:color w:val="auto"/>
        </w:rPr>
        <w:t>Section Headings.</w:t>
      </w:r>
    </w:p>
    <w:p>
      <w:pPr>
        <w:spacing w:after="0" w:line="162"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The section headings of this RSU Agreement are for convenience of reference only and shall not be deemed to alter or affect any provision hereof.</w:t>
      </w:r>
    </w:p>
    <w:p>
      <w:pPr>
        <w:spacing w:after="0" w:line="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16.</w:t>
      </w:r>
      <w:r>
        <w:rPr>
          <w:sz w:val="20"/>
          <w:szCs w:val="20"/>
          <w:color w:val="auto"/>
        </w:rPr>
        <w:tab/>
      </w:r>
      <w:r>
        <w:rPr>
          <w:rFonts w:ascii="Arial" w:cs="Arial" w:eastAsia="Arial" w:hAnsi="Arial"/>
          <w:sz w:val="16"/>
          <w:szCs w:val="16"/>
          <w:b w:val="1"/>
          <w:bCs w:val="1"/>
          <w:u w:val="single" w:color="auto"/>
          <w:color w:val="auto"/>
        </w:rPr>
        <w:t>Clawback Policy.</w:t>
      </w:r>
    </w:p>
    <w:p>
      <w:pPr>
        <w:spacing w:after="0" w:line="162"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Award is subject to the terms of the Corporation’s recoupment, clawback or similar policy as it may be in effect from time to time, as well as any similar provisions of applicable law, any of which could in certain circumstances require forfeiture of the Award and repayment or forfeiture of any shares of Common Stock or other cash or property received with respect to the Award (including any value received from a disposition of the shares acquired pursuant to the Award).</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17.</w:t>
      </w:r>
      <w:r>
        <w:rPr>
          <w:sz w:val="20"/>
          <w:szCs w:val="20"/>
          <w:color w:val="auto"/>
        </w:rPr>
        <w:tab/>
      </w:r>
      <w:r>
        <w:rPr>
          <w:rFonts w:ascii="Arial" w:cs="Arial" w:eastAsia="Arial" w:hAnsi="Arial"/>
          <w:sz w:val="16"/>
          <w:szCs w:val="16"/>
          <w:b w:val="1"/>
          <w:bCs w:val="1"/>
          <w:u w:val="single" w:color="auto"/>
          <w:color w:val="auto"/>
        </w:rPr>
        <w:t>No Advice Regarding Grant.</w:t>
      </w:r>
    </w:p>
    <w:p>
      <w:pPr>
        <w:spacing w:after="0" w:line="148" w:lineRule="exact"/>
        <w:rPr>
          <w:sz w:val="20"/>
          <w:szCs w:val="20"/>
          <w:color w:val="auto"/>
        </w:rPr>
      </w:pPr>
    </w:p>
    <w:p>
      <w:pPr>
        <w:ind w:right="60" w:firstLine="374"/>
        <w:spacing w:after="0" w:line="279" w:lineRule="auto"/>
        <w:rPr>
          <w:sz w:val="20"/>
          <w:szCs w:val="20"/>
          <w:color w:val="auto"/>
        </w:rPr>
      </w:pPr>
      <w:r>
        <w:rPr>
          <w:rFonts w:ascii="Arial" w:cs="Arial" w:eastAsia="Arial" w:hAnsi="Arial"/>
          <w:sz w:val="17"/>
          <w:szCs w:val="17"/>
          <w:color w:val="auto"/>
        </w:rPr>
        <w:t>The Grantee is hereby advised to consult with his or her own tax, legal and/or investment advisors with respect to any advice the Grantee may determine is needed or appropriate with respect to the Award (including, without limitation, to determine the foreign, state, local, estate and/or gift tax consequences with respect to the Award and any shares that may be acquired pursuant to the Award). Neither the Corporation nor any of its officers, directors, affiliates or advisors makes any representation (except for the terms and conditions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224790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5" w:right="339" w:bottom="1440" w:gutter="0" w:footer="0" w:header="0"/>
        </w:sectPr>
      </w:pPr>
    </w:p>
    <w:bookmarkStart w:id="159" w:name="page160"/>
    <w:bookmarkEnd w:id="159"/>
    <w:p>
      <w:pPr>
        <w:jc w:val="both"/>
        <w:spacing w:after="0" w:line="263" w:lineRule="auto"/>
        <w:rPr>
          <w:sz w:val="20"/>
          <w:szCs w:val="20"/>
          <w:color w:val="auto"/>
        </w:rPr>
      </w:pPr>
      <w:r>
        <w:rPr>
          <w:rFonts w:ascii="Arial" w:cs="Arial" w:eastAsia="Arial" w:hAnsi="Arial"/>
          <w:sz w:val="18"/>
          <w:szCs w:val="18"/>
          <w:color w:val="auto"/>
        </w:rPr>
        <w:t>set forth in this RSU Agreement) or recommendation with respect to the Award. Except for the withholding rights contemplated by Section 8 above and Section 8.5 of the Plan, the Grantee is solely responsible for any and all tax liability that may arise with respect to the Award and any shares that may be acquired pursuant to the Award.</w:t>
      </w:r>
    </w:p>
    <w:p>
      <w:pPr>
        <w:spacing w:after="0" w:line="1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u w:val="single" w:color="auto"/>
          <w:color w:val="auto"/>
        </w:rPr>
        <w:t>18.</w:t>
      </w:r>
      <w:r>
        <w:rPr>
          <w:sz w:val="20"/>
          <w:szCs w:val="20"/>
          <w:color w:val="auto"/>
        </w:rPr>
        <w:tab/>
      </w:r>
      <w:r>
        <w:rPr>
          <w:rFonts w:ascii="Arial" w:cs="Arial" w:eastAsia="Arial" w:hAnsi="Arial"/>
          <w:sz w:val="16"/>
          <w:szCs w:val="16"/>
          <w:b w:val="1"/>
          <w:bCs w:val="1"/>
          <w:u w:val="single" w:color="auto"/>
          <w:color w:val="auto"/>
        </w:rPr>
        <w:t>Construction.</w:t>
      </w:r>
    </w:p>
    <w:p>
      <w:pPr>
        <w:spacing w:after="0" w:line="148"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It is intended that the terms of the Award will not result in the imposition of any tax liability pursuant to Section 409A of the Code. This Agreement shall be construed and interpreted consistent with that intent.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361950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00" w:top="125" w:right="5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760" w:hanging="378"/>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 (Form S-8 No. 333-252134) pertaining to the Nkarta, Inc. 2020 Performance Incentive Plan and the Nkarta, Inc. Employee Stock Purchase Plan of Nkarta, Inc.;</w:t>
      </w:r>
    </w:p>
    <w:p>
      <w:pPr>
        <w:spacing w:after="0" w:line="129"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 (Form S-8 No. 333-240309) pertaining to the Nkarta, Inc. 2020 Performance Incentive Plan, the Nkarta, Inc. Employee Stock Purchase Plan, and the Nkarta, Inc. 2015 Equity Incentive Plan of Nkarta, Inc.; and</w:t>
      </w:r>
    </w:p>
    <w:p>
      <w:pPr>
        <w:spacing w:after="0" w:line="143"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Registration Statement (Form S-3 No. 333-258766) of Nkarta, Inc. pertaining to the offer, issuance, and sale of a maximum aggregate offering of up to $500,000,000 of common stock, preferred stock, debt securities, warrants, rights and unit and at-the-market offering of common stock.</w:t>
      </w:r>
    </w:p>
    <w:p>
      <w:pPr>
        <w:spacing w:after="0" w:line="83"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 (Form S-8 No. 333-263650) pertaining to the Nkarta, Inc. 2020 Performance Incentive Plan and the Nkarta, Inc. Employee Stock Purchase Plan</w:t>
      </w:r>
    </w:p>
    <w:p>
      <w:pPr>
        <w:spacing w:after="0" w:line="129"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Registration Statement (Form S-8 No. 333-269164) pertaining to the Nkarta, Inc. 2020 Performance Incentive Plan and the Nkarta, Inc. Employee Stock Purchase Plan</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our report dated March 16, 2023, with respect to the financial statements of Nkarta, Inc. included in this Annual Report (Form 10-K) of Nkarta, Inc. for the year ended December 31, 2022.</w:t>
      </w:r>
    </w:p>
    <w:p>
      <w:pPr>
        <w:spacing w:after="0" w:line="15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J. Hastings, certify that:</w:t>
      </w:r>
    </w:p>
    <w:p>
      <w:pPr>
        <w:spacing w:after="0" w:line="225"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Nkarta,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16, 2023</w:t>
            </w: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Paul J. Hastings</w:t>
            </w:r>
          </w:p>
        </w:tc>
      </w:tr>
      <w:tr>
        <w:trPr>
          <w:trHeight w:val="205"/>
        </w:trPr>
        <w:tc>
          <w:tcPr>
            <w:tcW w:w="3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Paul J. Hastings</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344"/>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Nadir Mahmood, certify that:</w:t>
      </w:r>
    </w:p>
    <w:p>
      <w:pPr>
        <w:spacing w:after="0" w:line="225" w:lineRule="exact"/>
        <w:rPr>
          <w:sz w:val="20"/>
          <w:szCs w:val="20"/>
          <w:color w:val="auto"/>
        </w:rPr>
      </w:pPr>
    </w:p>
    <w:p>
      <w:pPr>
        <w:ind w:left="520" w:hanging="512"/>
        <w:spacing w:after="0"/>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(the “report”) of Nkarta,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16, 2023</w:t>
            </w:r>
          </w:p>
        </w:tc>
        <w:tc>
          <w:tcPr>
            <w:tcW w:w="2440" w:type="dxa"/>
            <w:vAlign w:val="bottom"/>
          </w:tcPr>
          <w:p>
            <w:pPr>
              <w:ind w:left="198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Nadir Mahmood</w:t>
            </w:r>
          </w:p>
        </w:tc>
      </w:tr>
      <w:tr>
        <w:trPr>
          <w:trHeight w:val="205"/>
        </w:trPr>
        <w:tc>
          <w:tcPr>
            <w:tcW w:w="3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Nadir Mahmood</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and Business Officer</w:t>
            </w:r>
          </w:p>
        </w:tc>
      </w:tr>
      <w:tr>
        <w:trPr>
          <w:trHeight w:val="344"/>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connection with the Annual Report on Form 10-K for the year ended December 31, 2022 of Nkarta, Inc. (the “Company”) as filed with the Securities and Exchange Commission on the date hereof (the "Report"), we, Paul J. Hastings, Chief Executive Officer of the Company, and Nadir Mahmood, Chief Financial and Business Officer of the Company, certify, pursuant to 18 U.S.C. 1350, as adopted pursuant to Section 906 of the Sarbanes-Oxley Act of 2002, that:</w:t>
      </w:r>
    </w:p>
    <w:p>
      <w:pPr>
        <w:spacing w:after="0" w:line="187" w:lineRule="exact"/>
        <w:rPr>
          <w:sz w:val="20"/>
          <w:szCs w:val="20"/>
          <w:color w:val="auto"/>
        </w:rPr>
      </w:pPr>
    </w:p>
    <w:p>
      <w:pPr>
        <w:ind w:left="1020" w:hanging="503"/>
        <w:spacing w:after="0"/>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32486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Paul J. Hastings</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ind w:left="20"/>
        <w:spacing w:after="0"/>
        <w:tabs>
          <w:tab w:leader="none" w:pos="5680" w:val="left"/>
          <w:tab w:leader="none" w:pos="796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32486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7"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Nadir Mahmood</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Financial and Business Officer</w:t>
      </w:r>
    </w:p>
    <w:p>
      <w:pPr>
        <w:spacing w:after="0" w:line="200" w:lineRule="exact"/>
        <w:rPr>
          <w:sz w:val="20"/>
          <w:szCs w:val="20"/>
          <w:color w:val="auto"/>
        </w:rPr>
      </w:pPr>
    </w:p>
    <w:p>
      <w:pPr>
        <w:spacing w:after="0" w:line="245"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6" w:name="page167"/>
    <w:bookmarkEnd w:id="1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lowerLetter"/>
      <w:start w:val="1"/>
    </w:lvl>
    <w:lvl w:ilvl="1">
      <w:lvlJc w:val="left"/>
      <w:lvlText w:val="%2."/>
      <w:numFmt w:val="decimal"/>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2"/>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2"/>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1."/>
      <w:numFmt w:val="decimal"/>
      <w:start w:val="2"/>
    </w:lvl>
    <w:lvl w:ilvl="1">
      <w:lvlJc w:val="left"/>
      <w:lvlText w:val="•"/>
      <w:numFmt w:val="bullet"/>
      <w:start w:val="1"/>
    </w:lvl>
  </w:abstractNum>
  <w:abstractNum w:abstractNumId="59">
    <w:nsid w:val="3B0FD379"/>
    <w:multiLevelType w:val="hybridMultilevel"/>
    <w:lvl w:ilvl="0">
      <w:lvlJc w:val="left"/>
      <w:lvlText w:val="%1."/>
      <w:numFmt w:val="decimal"/>
      <w:start w:val="4"/>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1."/>
      <w:numFmt w:val="decimal"/>
      <w:start w:val="5"/>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1."/>
      <w:numFmt w:val="decimal"/>
      <w:start w:val="6"/>
    </w:lvl>
  </w:abstractNum>
  <w:abstractNum w:abstractNumId="65">
    <w:nsid w:val="7FFFCA11"/>
    <w:multiLevelType w:val="hybridMultilevel"/>
    <w:lvl w:ilvl="0">
      <w:lvlJc w:val="left"/>
      <w:lvlText w:val="%1."/>
      <w:numFmt w:val="decimal"/>
      <w:start w:val="7"/>
    </w:lvl>
  </w:abstractNum>
  <w:abstractNum w:abstractNumId="66">
    <w:nsid w:val="1A27709E"/>
    <w:multiLevelType w:val="hybridMultilevel"/>
    <w:lvl w:ilvl="0">
      <w:lvlJc w:val="left"/>
      <w:lvlText w:val="%1."/>
      <w:numFmt w:val="decimal"/>
      <w:start w:val="8"/>
    </w:lvl>
  </w:abstractNum>
  <w:abstractNum w:abstractNumId="67">
    <w:nsid w:val="71EA1109"/>
    <w:multiLevelType w:val="hybridMultilevel"/>
    <w:lvl w:ilvl="0">
      <w:lvlJc w:val="left"/>
      <w:lvlText w:val="%1."/>
      <w:numFmt w:val="decimal"/>
      <w:start w:val="9"/>
    </w:lvl>
  </w:abstractNum>
  <w:abstractNum w:abstractNumId="68">
    <w:nsid w:val="100F59DC"/>
    <w:multiLevelType w:val="hybridMultilevel"/>
    <w:lvl w:ilvl="0">
      <w:lvlJc w:val="left"/>
      <w:lvlText w:val="%1."/>
      <w:numFmt w:val="decimal"/>
      <w:start w:val="10"/>
    </w:lvl>
  </w:abstractNum>
  <w:abstractNum w:abstractNumId="69">
    <w:nsid w:val="7FB7E0AA"/>
    <w:multiLevelType w:val="hybridMultilevel"/>
    <w:lvl w:ilvl="0">
      <w:lvlJc w:val="left"/>
      <w:lvlText w:val="%1."/>
      <w:numFmt w:val="decimal"/>
      <w:start w:val="11"/>
    </w:lvl>
  </w:abstractNum>
  <w:abstractNum w:abstractNumId="70">
    <w:nsid w:val="6EB5BD4"/>
    <w:multiLevelType w:val="hybridMultilevel"/>
    <w:lvl w:ilvl="0">
      <w:lvlJc w:val="left"/>
      <w:lvlText w:val="%1."/>
      <w:numFmt w:val="decimal"/>
      <w:start w:val="12"/>
    </w:lvl>
  </w:abstractNum>
  <w:abstractNum w:abstractNumId="71">
    <w:nsid w:val="6F6DD9AC"/>
    <w:multiLevelType w:val="hybridMultilevel"/>
    <w:lvl w:ilvl="0">
      <w:lvlJc w:val="left"/>
      <w:lvlText w:val="%1."/>
      <w:numFmt w:val="decimal"/>
      <w:start w:val="13"/>
    </w:lvl>
  </w:abstractNum>
  <w:abstractNum w:abstractNumId="72">
    <w:nsid w:val="94211F2"/>
    <w:multiLevelType w:val="hybridMultilevel"/>
    <w:lvl w:ilvl="0">
      <w:lvlJc w:val="left"/>
      <w:lvlText w:val="%1."/>
      <w:numFmt w:val="decimal"/>
      <w:start w:val="14"/>
    </w:lvl>
  </w:abstractNum>
  <w:abstractNum w:abstractNumId="73">
    <w:nsid w:val="885E1B"/>
    <w:multiLevelType w:val="hybridMultilevel"/>
    <w:lvl w:ilvl="0">
      <w:lvlJc w:val="left"/>
      <w:lvlText w:val="%1."/>
      <w:numFmt w:val="decimal"/>
      <w:start w:val="15"/>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decimal"/>
      <w:start w:val="2"/>
    </w:lvl>
  </w:abstractNum>
  <w:abstractNum w:abstractNumId="76">
    <w:nsid w:val="1716703B"/>
    <w:multiLevelType w:val="hybridMultilevel"/>
    <w:lvl w:ilvl="0">
      <w:lvlJc w:val="left"/>
      <w:lvlText w:val="%1."/>
      <w:numFmt w:val="decimal"/>
      <w:start w:val="2"/>
    </w:lvl>
    <w:lvl w:ilvl="1">
      <w:lvlJc w:val="left"/>
      <w:lvlText w:val="•"/>
      <w:numFmt w:val="bullet"/>
      <w:start w:val="1"/>
    </w:lvl>
  </w:abstractNum>
  <w:abstractNum w:abstractNumId="77">
    <w:nsid w:val="14E17E33"/>
    <w:multiLevelType w:val="hybridMultilevel"/>
    <w:lvl w:ilvl="0">
      <w:lvlJc w:val="left"/>
      <w:lvlText w:val="%1."/>
      <w:numFmt w:val="decimal"/>
      <w:start w:val="4"/>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1)"/>
      <w:numFmt w:val="decimal"/>
      <w:start w:val="1"/>
    </w:lvl>
  </w:abstractNum>
  <w:abstractNum w:abstractNumId="82">
    <w:nsid w:val="46B7D447"/>
    <w:multiLevelType w:val="hybridMultilevel"/>
    <w:lvl w:ilvl="0">
      <w:lvlJc w:val="left"/>
      <w:lvlText w:val="%1."/>
      <w:numFmt w:val="decimal"/>
      <w:start w:val="6"/>
    </w:lvl>
  </w:abstractNum>
  <w:abstractNum w:abstractNumId="83">
    <w:nsid w:val="4A2AC315"/>
    <w:multiLevelType w:val="hybridMultilevel"/>
    <w:lvl w:ilvl="0">
      <w:lvlJc w:val="left"/>
      <w:lvlText w:val="%1."/>
      <w:numFmt w:val="decimal"/>
      <w:start w:val="7"/>
    </w:lvl>
  </w:abstractNum>
  <w:abstractNum w:abstractNumId="84">
    <w:nsid w:val="39EE015C"/>
    <w:multiLevelType w:val="hybridMultilevel"/>
    <w:lvl w:ilvl="0">
      <w:lvlJc w:val="left"/>
      <w:lvlText w:val="%1."/>
      <w:numFmt w:val="decimal"/>
      <w:start w:val="8"/>
    </w:lvl>
  </w:abstractNum>
  <w:abstractNum w:abstractNumId="85">
    <w:nsid w:val="57FC4FBB"/>
    <w:multiLevelType w:val="hybridMultilevel"/>
    <w:lvl w:ilvl="0">
      <w:lvlJc w:val="left"/>
      <w:lvlText w:val="%1."/>
      <w:numFmt w:val="decimal"/>
      <w:start w:val="9"/>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2"/>
    </w:lvl>
  </w:abstractNum>
  <w:abstractNum w:abstractNumId="88">
    <w:nsid w:val="60EF0119"/>
    <w:multiLevelType w:val="hybridMultilevel"/>
    <w:lvl w:ilvl="0">
      <w:lvlJc w:val="left"/>
      <w:lvlText w:val="%1."/>
      <w:numFmt w:val="decimal"/>
      <w:start w:val="3"/>
    </w:lvl>
  </w:abstractNum>
  <w:abstractNum w:abstractNumId="89">
    <w:nsid w:val="26F324BA"/>
    <w:multiLevelType w:val="hybridMultilevel"/>
    <w:lvl w:ilvl="0">
      <w:lvlJc w:val="left"/>
      <w:lvlText w:val="%1."/>
      <w:numFmt w:val="decimal"/>
      <w:start w:val="5"/>
    </w:lvl>
  </w:abstractNum>
  <w:abstractNum w:abstractNumId="90">
    <w:nsid w:val="7F01579B"/>
    <w:multiLevelType w:val="hybridMultilevel"/>
    <w:lvl w:ilvl="0">
      <w:lvlJc w:val="left"/>
      <w:lvlText w:val="%1."/>
      <w:numFmt w:val="decimal"/>
      <w:start w:val="6"/>
    </w:lvl>
  </w:abstractNum>
  <w:abstractNum w:abstractNumId="91">
    <w:nsid w:val="49DA307D"/>
    <w:multiLevelType w:val="hybridMultilevel"/>
    <w:lvl w:ilvl="0">
      <w:lvlJc w:val="left"/>
      <w:lvlText w:val="%1."/>
      <w:numFmt w:val="decimal"/>
      <w:start w:val="8"/>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1."/>
      <w:numFmt w:val="decimal"/>
      <w:start w:val="9"/>
    </w:lvl>
  </w:abstractNum>
  <w:abstractNum w:abstractNumId="95">
    <w:nsid w:val="488AC1A"/>
    <w:multiLevelType w:val="hybridMultilevel"/>
    <w:lvl w:ilvl="0">
      <w:lvlJc w:val="left"/>
      <w:lvlText w:val="(%1)"/>
      <w:numFmt w:val="decimal"/>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22"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1" Type="http://schemas.openxmlformats.org/officeDocument/2006/relationships/image" Target="media/image314.png"/><Relationship Id="rId352" Type="http://schemas.openxmlformats.org/officeDocument/2006/relationships/image" Target="media/image315.png"/><Relationship Id="rId353" Type="http://schemas.openxmlformats.org/officeDocument/2006/relationships/image" Target="media/image316.png"/><Relationship Id="rId354" Type="http://schemas.openxmlformats.org/officeDocument/2006/relationships/image" Target="media/image317.png"/><Relationship Id="rId355"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pn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4" Type="http://schemas.openxmlformats.org/officeDocument/2006/relationships/image" Target="media/image327.png"/><Relationship Id="rId365" Type="http://schemas.openxmlformats.org/officeDocument/2006/relationships/image" Target="media/image328.png"/><Relationship Id="rId366" Type="http://schemas.openxmlformats.org/officeDocument/2006/relationships/image" Target="media/image329.png"/><Relationship Id="rId367" Type="http://schemas.openxmlformats.org/officeDocument/2006/relationships/image" Target="media/image330.png"/><Relationship Id="rId368" Type="http://schemas.openxmlformats.org/officeDocument/2006/relationships/image" Target="media/image331.png"/><Relationship Id="rId369" Type="http://schemas.openxmlformats.org/officeDocument/2006/relationships/image" Target="media/image332.png"/><Relationship Id="rId370" Type="http://schemas.openxmlformats.org/officeDocument/2006/relationships/image" Target="media/image333.png"/><Relationship Id="rId371" Type="http://schemas.openxmlformats.org/officeDocument/2006/relationships/image" Target="media/image334.png"/><Relationship Id="rId372"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08" Type="http://schemas.openxmlformats.org/officeDocument/2006/relationships/hyperlink" Target="https://www.sec.gov/Archives/edgar/data/1787400/000119312520192614/d62111dex31.htm" TargetMode="External"/><Relationship Id="rId309" Type="http://schemas.openxmlformats.org/officeDocument/2006/relationships/hyperlink" Target="https://www.sec.gov/Archives/edgar/data/1787400/000119312520192614/d62111dex32.htm" TargetMode="External"/><Relationship Id="rId310" Type="http://schemas.openxmlformats.org/officeDocument/2006/relationships/hyperlink" Target="https://www.sec.gov/Archives/edgar/data/1787400/000119312520186953/d884708dex41.htm" TargetMode="External"/><Relationship Id="rId311" Type="http://schemas.openxmlformats.org/officeDocument/2006/relationships/hyperlink" Target="https://www.sec.gov/Archives/edgar/data/1787400/000119312520173939/d884708dex42.htm" TargetMode="External"/><Relationship Id="rId312" Type="http://schemas.openxmlformats.org/officeDocument/2006/relationships/hyperlink" Target="https://www.sec.gov/Archives/edgar/data/1787400/000156459021015517/nktx-ex43_989.htm" TargetMode="External"/><Relationship Id="rId313" Type="http://schemas.openxmlformats.org/officeDocument/2006/relationships/hyperlink" Target="https://www.sec.gov/Archives/edgar/data/1787400/000119312520186953/d884708dex101.htm" TargetMode="External"/><Relationship Id="rId314" Type="http://schemas.openxmlformats.org/officeDocument/2006/relationships/hyperlink" Target="https://www.sec.gov/Archives/edgar/data/1787400/000119312520173939/d884708dex102.htm" TargetMode="External"/><Relationship Id="rId315" Type="http://schemas.openxmlformats.org/officeDocument/2006/relationships/hyperlink" Target="https://www.sec.gov/Archives/edgar/data/1787400/000119312520173939/d884708dex103.htm" TargetMode="External"/><Relationship Id="rId316" Type="http://schemas.openxmlformats.org/officeDocument/2006/relationships/hyperlink" Target="https://www.sec.gov/Archives/edgar/data/1787400/000119312520186953/d884708dex104.htm" TargetMode="External"/><Relationship Id="rId317" Type="http://schemas.openxmlformats.org/officeDocument/2006/relationships/hyperlink" Target="https://www.sec.gov/Archives/edgar/data/1787400/000156459020040819/nktx-ex105_289.htm" TargetMode="External"/><Relationship Id="rId318" Type="http://schemas.openxmlformats.org/officeDocument/2006/relationships/hyperlink" Target="https://www.sec.gov/Archives/edgar/data/1787400/000156459020040819/nktx-ex106_290.htm" TargetMode="External"/><Relationship Id="rId319" Type="http://schemas.openxmlformats.org/officeDocument/2006/relationships/hyperlink" Target="https://www.sec.gov/Archives/edgar/data/1787400/000119312520186953/d884708dex105.htm" TargetMode="External"/><Relationship Id="rId320" Type="http://schemas.openxmlformats.org/officeDocument/2006/relationships/hyperlink" Target="https://www.sec.gov/Archives/edgar/data/1787400/000095017022004095/nktx-ex10_5.htm" TargetMode="External"/><Relationship Id="rId321" Type="http://schemas.openxmlformats.org/officeDocument/2006/relationships/hyperlink" Target="https://www.sec.gov/Archives/edgar/data/0001787400/000119312520173939/d884708dex106.htm" TargetMode="External"/><Relationship Id="rId323" Type="http://schemas.openxmlformats.org/officeDocument/2006/relationships/hyperlink" Target="https://www.sec.gov/Archives/edgar/data/1787400/000156459021027591/nktx-ex102_204.htm" TargetMode="External"/><Relationship Id="rId324" Type="http://schemas.openxmlformats.org/officeDocument/2006/relationships/hyperlink" Target="https://www.sec.gov/Archives/edgar/data/1787400/000156459021027591/nktx-ex103_205.htm" TargetMode="External"/><Relationship Id="rId325" Type="http://schemas.openxmlformats.org/officeDocument/2006/relationships/hyperlink" Target="https://www.sec.gov/Archives/edgar/data/1787400/000156459021027591/nktx-ex104_206.htm" TargetMode="External"/><Relationship Id="rId326" Type="http://schemas.openxmlformats.org/officeDocument/2006/relationships/hyperlink" Target="https://www.sec.gov/Archives/edgar/data/1787400/000156459021001077/nktx-ex101_8.htm" TargetMode="External"/><Relationship Id="rId327" Type="http://schemas.openxmlformats.org/officeDocument/2006/relationships/hyperlink" Target="https://www.sec.gov/Archives/edgar/data/1787400/000119312520173939/d884708dex109.htm" TargetMode="External"/><Relationship Id="rId328" Type="http://schemas.openxmlformats.org/officeDocument/2006/relationships/hyperlink" Target="https://www.sec.gov/Archives/edgar/data/1787400/000119312520173939/d884708dex1010.htm" TargetMode="External"/><Relationship Id="rId329" Type="http://schemas.openxmlformats.org/officeDocument/2006/relationships/hyperlink" Target="https://www.sec.gov/Archives/edgar/data/1787400/000119312520173939/d884708dex1011.htm" TargetMode="External"/><Relationship Id="rId330" Type="http://schemas.openxmlformats.org/officeDocument/2006/relationships/hyperlink" Target="https://www.sec.gov/Archives/edgar/data/1787400/000119312520173939/d884708dex1012.htm" TargetMode="External"/><Relationship Id="rId331" Type="http://schemas.openxmlformats.org/officeDocument/2006/relationships/hyperlink" Target="https://www.sec.gov/Archives/edgar/data/1787400/000156459021015517/nktx-ex1010d_137.htm" TargetMode="External"/><Relationship Id="rId332" Type="http://schemas.openxmlformats.org/officeDocument/2006/relationships/hyperlink" Target="https://www.sec.gov/Archives/edgar/data/0001787400/000156459021051572/nktx-ex101_8.htm" TargetMode="External"/><Relationship Id="rId333" Type="http://schemas.openxmlformats.org/officeDocument/2006/relationships/hyperlink" Target="https://www.sec.gov/Archives/edgar/data/1787400/000095017022016892/nktx-ex10_2.htm" TargetMode="External"/><Relationship Id="rId334" Type="http://schemas.openxmlformats.org/officeDocument/2006/relationships/hyperlink" Target="https://www.sec.gov/Archives/edgar/data/1787400/000156459021036496/nktx-ex101_6.htm" TargetMode="External"/><Relationship Id="rId335" Type="http://schemas.openxmlformats.org/officeDocument/2006/relationships/hyperlink" Target="https://www.sec.gov/Archives/edgar/data/1787400/000156459021056233/nktx-ex102_80.htm" TargetMode="External"/><Relationship Id="rId336" Type="http://schemas.openxmlformats.org/officeDocument/2006/relationships/hyperlink" Target="https://www.sec.gov/Archives/edgar/data/1787400/000095017022016892/nktx-ex10_1.htm" TargetMode="External"/><Relationship Id="rId337" Type="http://schemas.openxmlformats.org/officeDocument/2006/relationships/hyperlink" Target="https://www.sec.gov/Archives/edgar/data/1787400/000156459021044018/nktx-ex101_6.htm" TargetMode="External"/><Relationship Id="rId338" Type="http://schemas.openxmlformats.org/officeDocument/2006/relationships/hyperlink" Target="https://www.sec.gov/Archives/edgar/data/1787400/000095017022009693/nkt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2023-03-16T18:54:36Z</dcterms:created>
  <dcterms:modified xsi:type="dcterms:W3CDTF">2023-03-16T18:54:36Z</dcterms:modified>
</cp:coreProperties>
</file>