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3660" w:right="1620" w:hanging="3639"/>
        <w:spacing w:after="0" w:line="232" w:lineRule="auto"/>
        <w:tabs>
          <w:tab w:leader="none" w:pos="48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6" w:lineRule="exact"/>
        <w:rPr>
          <w:sz w:val="24"/>
          <w:szCs w:val="24"/>
          <w:color w:val="auto"/>
        </w:rPr>
      </w:pPr>
    </w:p>
    <w:p>
      <w:pPr>
        <w:ind w:left="33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Nkarta, Inc.</w:t>
      </w:r>
    </w:p>
    <w:p>
      <w:pPr>
        <w:sectPr>
          <w:pgSz w:w="11900" w:h="16838" w:orient="portrait"/>
          <w:cols w:equalWidth="0" w:num="1">
            <w:col w:w="11240"/>
          </w:cols>
          <w:pgMar w:left="320" w:top="1132"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1150 Veterans Boulevard</w:t>
      </w:r>
    </w:p>
    <w:p>
      <w:pPr>
        <w:spacing w:after="0" w:line="3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47-4515206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7" w:lineRule="exact"/>
        <w:rPr>
          <w:sz w:val="24"/>
          <w:szCs w:val="24"/>
          <w:color w:val="auto"/>
        </w:rPr>
      </w:pPr>
    </w:p>
    <w:p>
      <w:pPr>
        <w:sectPr>
          <w:pgSz w:w="11900" w:h="16838" w:orient="portrait"/>
          <w:cols w:equalWidth="0" w:num="2">
            <w:col w:w="7700" w:space="240"/>
            <w:col w:w="3300"/>
          </w:cols>
          <w:pgMar w:left="320" w:top="1132"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407-1049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NKTX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2024, the registrant had 70,568,754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Balance Sheets as of September 30, 2024 and December 31, 2023</w:t>
            </w:r>
          </w:p>
        </w:tc>
        <w:tc>
          <w:tcPr>
            <w:tcW w:w="20" w:type="dxa"/>
            <w:vAlign w:val="bottom"/>
            <w:tcBorders>
              <w:bottom w:val="single" w:sz="8" w:color="0000EE"/>
            </w:tcBorders>
          </w:tcPr>
          <w:p>
            <w:pPr>
              <w:spacing w:after="0"/>
              <w:rPr>
                <w:sz w:val="18"/>
                <w:szCs w:val="18"/>
                <w:color w:val="auto"/>
              </w:rPr>
            </w:pPr>
          </w:p>
        </w:tc>
        <w:tc>
          <w:tcPr>
            <w:tcW w:w="36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and nine months ended September 30, 2024 and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 for the three and nine months ended September 30, 2024 and 2023</w:t>
            </w:r>
          </w:p>
        </w:tc>
        <w:tc>
          <w:tcPr>
            <w:tcW w:w="10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for the nine months ended September 30, 2024 and 2023</w:t>
            </w:r>
          </w:p>
        </w:tc>
        <w:tc>
          <w:tcPr>
            <w:tcW w:w="24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initiation of further clinical trials and the availability of disclosure of clinical data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9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spacing w:after="0" w:line="28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and do not have any products approved for sale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never generated revenue from product sales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depends upon the success of our CAR NK-cell technology platform.</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Utilizing CAR NK cells represents a novel therapeutic approach, and we must overcome significant challenges in order to develop, commercialize and manufacture our product candidates.</w:t>
      </w:r>
    </w:p>
    <w:p>
      <w:pPr>
        <w:spacing w:after="0" w:line="50" w:lineRule="exact"/>
        <w:rPr>
          <w:rFonts w:ascii="Times New Roman" w:cs="Times New Roman" w:eastAsia="Times New Roman" w:hAnsi="Times New Roman"/>
          <w:sz w:val="18"/>
          <w:szCs w:val="18"/>
          <w:color w:val="auto"/>
        </w:rPr>
      </w:pPr>
    </w:p>
    <w:p>
      <w:pPr>
        <w:ind w:left="1020" w:right="180" w:hanging="503"/>
        <w:spacing w:after="0" w:line="315"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spacing w:after="0" w:line="26" w:lineRule="exact"/>
        <w:rPr>
          <w:rFonts w:ascii="Times New Roman" w:cs="Times New Roman" w:eastAsia="Times New Roman" w:hAnsi="Times New Roman"/>
          <w:sz w:val="17"/>
          <w:szCs w:val="17"/>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50"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supporting the effectiveness of CD19-targeted cell therapies against autoimmune disease are limited, and CD19-targeted CAR NK-cell therapies, such as NKX019, may not provide the same, or any, therapeutic benefit against lupus nephritis or other autoimmune diseases, or be competitive with respect to other CD19-targeted therapies for the treatment of autoimmune disease.</w:t>
      </w:r>
    </w:p>
    <w:p>
      <w:pPr>
        <w:spacing w:after="0" w:line="65"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50" w:lineRule="exact"/>
        <w:rPr>
          <w:rFonts w:ascii="Times New Roman" w:cs="Times New Roman" w:eastAsia="Times New Roman" w:hAnsi="Times New Roman"/>
          <w:sz w:val="18"/>
          <w:szCs w:val="18"/>
          <w:color w:val="auto"/>
        </w:rPr>
      </w:pPr>
    </w:p>
    <w:p>
      <w:pPr>
        <w:jc w:val="both"/>
        <w:ind w:left="1020" w:right="28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65"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50"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50" w:lineRule="exact"/>
        <w:rPr>
          <w:rFonts w:ascii="Times New Roman" w:cs="Times New Roman" w:eastAsia="Times New Roman" w:hAnsi="Times New Roman"/>
          <w:sz w:val="18"/>
          <w:szCs w:val="18"/>
          <w:color w:val="auto"/>
        </w:rPr>
      </w:pPr>
    </w:p>
    <w:p>
      <w:pPr>
        <w:ind w:left="1020" w:right="4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71" w:lineRule="exact"/>
        <w:rPr>
          <w:rFonts w:ascii="Times New Roman" w:cs="Times New Roman" w:eastAsia="Times New Roman" w:hAnsi="Times New Roman"/>
          <w:sz w:val="18"/>
          <w:szCs w:val="18"/>
          <w:color w:val="auto"/>
        </w:rPr>
      </w:pPr>
    </w:p>
    <w:p>
      <w:pPr>
        <w:ind w:left="1020" w:right="30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ind w:left="503" w:right="8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reliant on a sole supplier for certain steps of our manufacturing process.</w:t>
      </w:r>
    </w:p>
    <w:p>
      <w:pPr>
        <w:spacing w:after="0" w:line="117" w:lineRule="exact"/>
        <w:rPr>
          <w:rFonts w:ascii="Times New Roman" w:cs="Times New Roman" w:eastAsia="Times New Roman" w:hAnsi="Times New Roman"/>
          <w:sz w:val="18"/>
          <w:szCs w:val="18"/>
          <w:color w:val="auto"/>
        </w:rPr>
      </w:pPr>
    </w:p>
    <w:p>
      <w:pPr>
        <w:ind w:left="503"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50"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license agreement with National University of Singapore and St. Jude Children’s Research Hospital, Inc. is terminated, we could lose our rights to key components enabling our NK-cell engineering platform.</w:t>
      </w:r>
    </w:p>
    <w:p>
      <w:pPr>
        <w:spacing w:after="0" w:line="50" w:lineRule="exact"/>
        <w:rPr>
          <w:rFonts w:ascii="Times New Roman" w:cs="Times New Roman" w:eastAsia="Times New Roman" w:hAnsi="Times New Roman"/>
          <w:sz w:val="18"/>
          <w:szCs w:val="18"/>
          <w:color w:val="auto"/>
        </w:rPr>
      </w:pPr>
    </w:p>
    <w:p>
      <w:pPr>
        <w:ind w:left="503" w:right="44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patent protection we obtain is not sufficiently robust, our competitors could develop and commercialize products and technology similar or identical to ours.</w:t>
      </w:r>
    </w:p>
    <w:p>
      <w:pPr>
        <w:spacing w:after="0" w:line="50" w:lineRule="exact"/>
        <w:rPr>
          <w:rFonts w:ascii="Times New Roman" w:cs="Times New Roman" w:eastAsia="Times New Roman" w:hAnsi="Times New Roman"/>
          <w:sz w:val="18"/>
          <w:szCs w:val="18"/>
          <w:color w:val="auto"/>
        </w:rPr>
      </w:pPr>
    </w:p>
    <w:p>
      <w:pPr>
        <w:jc w:val="both"/>
        <w:ind w:left="503" w:right="100" w:hanging="503"/>
        <w:spacing w:after="0" w:line="267"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65" w:lineRule="exact"/>
        <w:rPr>
          <w:rFonts w:ascii="Times New Roman" w:cs="Times New Roman" w:eastAsia="Times New Roman" w:hAnsi="Times New Roman"/>
          <w:sz w:val="18"/>
          <w:szCs w:val="18"/>
          <w:color w:val="auto"/>
        </w:rPr>
      </w:pPr>
    </w:p>
    <w:p>
      <w:pPr>
        <w:ind w:left="503" w:right="38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 candidates, including NKX019, could be subject to regulatory limitations following approval, if and when such approval is granted.</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for our common stock may be volatile, which could contribute to the loss of all or part of your investment.</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50" w:lineRule="exact"/>
        <w:rPr>
          <w:rFonts w:ascii="Times New Roman" w:cs="Times New Roman" w:eastAsia="Times New Roman" w:hAnsi="Times New Roman"/>
          <w:sz w:val="18"/>
          <w:szCs w:val="18"/>
          <w:color w:val="auto"/>
        </w:rPr>
      </w:pPr>
    </w:p>
    <w:p>
      <w:pPr>
        <w:ind w:left="503" w:right="66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Computer system interruptions or security breaches of our information systems could significantly disrupt our product development programs and our ability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091"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119,467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532,034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(518,289 )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(435,434 )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430,873</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532,034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-3651250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-2716530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-1756410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2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(33,794 )</w:t>
            </w: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(29,294 )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(97,271 )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(100,465 )</w:t>
            </w:r>
          </w:p>
        </w:tc>
        <w:tc>
          <w:tcPr>
            <w:tcW w:w="0" w:type="dxa"/>
            <w:vAlign w:val="bottom"/>
          </w:tcPr>
          <w:p>
            <w:pPr>
              <w:spacing w:after="0"/>
              <w:rPr>
                <w:sz w:val="1"/>
                <w:szCs w:val="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(28,344 )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(25,645 )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(82,855 )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(89,747 )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(26,367 )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(25,453 )</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(81,149 )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(89,477 )</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shares used to compute net loss</w:t>
            </w: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73,563,316</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49,062,799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65,941,355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48,985,373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-2108200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-2108200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-2108200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-1156970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-1156970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-1156970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-496570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-479425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-496570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-479425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-496570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-479425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380" w:type="dxa"/>
            <w:vAlign w:val="bottom"/>
            <w:gridSpan w:val="3"/>
            <w:vMerge w:val="restart"/>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80" w:type="dxa"/>
            <w:vAlign w:val="bottom"/>
          </w:tcPr>
          <w:p>
            <w:pPr>
              <w:spacing w:after="0"/>
              <w:rPr>
                <w:sz w:val="11"/>
                <w:szCs w:val="1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2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49,181,295</w:t>
            </w:r>
          </w:p>
        </w:tc>
        <w:tc>
          <w:tcPr>
            <w:tcW w:w="118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5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708,706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(435,434 )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273,285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 and pre-funded</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net of issuance costs of $15,027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21,010,000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128,671</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Unrealized loss 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(135 )</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(135 )</w:t>
            </w:r>
          </w:p>
        </w:tc>
        <w:tc>
          <w:tcPr>
            <w:tcW w:w="0" w:type="dxa"/>
            <w:vAlign w:val="bottom"/>
          </w:tcPr>
          <w:p>
            <w:pPr>
              <w:spacing w:after="0"/>
              <w:rPr>
                <w:sz w:val="1"/>
                <w:szCs w:val="1"/>
                <w:color w:val="auto"/>
              </w:rPr>
            </w:pPr>
          </w:p>
        </w:tc>
      </w:tr>
      <w:tr>
        <w:trPr>
          <w:trHeight w:val="16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(29,518 )</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(29,518 )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2024</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70,453,561</w:t>
            </w:r>
          </w:p>
        </w:tc>
        <w:tc>
          <w:tcPr>
            <w:tcW w:w="300" w:type="dxa"/>
            <w:vAlign w:val="bottom"/>
          </w:tcPr>
          <w:p>
            <w:pPr>
              <w:spacing w:after="0"/>
              <w:rPr>
                <w:sz w:val="13"/>
                <w:szCs w:val="13"/>
                <w:color w:val="auto"/>
              </w:rPr>
            </w:pPr>
          </w:p>
        </w:tc>
        <w:tc>
          <w:tcPr>
            <w:tcW w:w="880" w:type="dxa"/>
            <w:vAlign w:val="bottom"/>
          </w:tcPr>
          <w:p>
            <w:pPr>
              <w:jc w:val="right"/>
              <w:ind w:right="739"/>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320" w:type="dxa"/>
            <w:vAlign w:val="bottom"/>
          </w:tcPr>
          <w:p>
            <w:pPr>
              <w:spacing w:after="0"/>
              <w:rPr>
                <w:sz w:val="13"/>
                <w:szCs w:val="13"/>
                <w:color w:val="auto"/>
              </w:rPr>
            </w:pPr>
          </w:p>
        </w:tc>
        <w:tc>
          <w:tcPr>
            <w:tcW w:w="2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938,723</w:t>
            </w:r>
          </w:p>
        </w:tc>
        <w:tc>
          <w:tcPr>
            <w:tcW w:w="28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(127 )</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(464,952 )</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473,651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84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w:t>
            </w:r>
          </w:p>
        </w:tc>
        <w:tc>
          <w:tcPr>
            <w:tcW w:w="1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14,382</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under</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68,531</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Unrealized loss on</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(136 )</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(136 )</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(24,993 )</w:t>
            </w: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(24,993 )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70,558,546</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39"/>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943,385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(263 )</w:t>
            </w: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(489,945 )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453,184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840" w:type="dxa"/>
            <w:vAlign w:val="bottom"/>
            <w:tcBorders>
              <w:top w:val="single" w:sz="8" w:color="CFF0FC"/>
            </w:tcBorders>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w:t>
            </w:r>
          </w:p>
        </w:tc>
        <w:tc>
          <w:tcPr>
            <w:tcW w:w="1200" w:type="dxa"/>
            <w:vAlign w:val="bottom"/>
            <w:tcBorders>
              <w:top w:val="single" w:sz="8" w:color="auto"/>
            </w:tcBorders>
          </w:tcPr>
          <w:p>
            <w:pPr>
              <w:spacing w:after="0"/>
              <w:rPr>
                <w:sz w:val="9"/>
                <w:szCs w:val="9"/>
                <w:color w:val="auto"/>
              </w:rPr>
            </w:pPr>
          </w:p>
        </w:tc>
        <w:tc>
          <w:tcPr>
            <w:tcW w:w="300" w:type="dxa"/>
            <w:vAlign w:val="bottom"/>
            <w:tcBorders>
              <w:top w:val="single" w:sz="8" w:color="CFF0FC"/>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Unrealized gain on</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1,977</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(28,344 )</w:t>
            </w: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(28,344 )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70,568,754</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39"/>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947,441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1,714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(518,289 )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430,873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-2485390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-2485390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-2485390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-2485390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-2485390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-1104900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-1088390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-1104900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-1088390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-1104900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-1088390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-1104900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-1088390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-1088390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380" w:type="dxa"/>
            <w:vAlign w:val="bottom"/>
            <w:gridSpan w:val="3"/>
            <w:vMerge w:val="restart"/>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80" w:type="dxa"/>
            <w:vAlign w:val="bottom"/>
          </w:tcPr>
          <w:p>
            <w:pPr>
              <w:spacing w:after="0"/>
              <w:rPr>
                <w:sz w:val="11"/>
                <w:szCs w:val="1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2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48,877,806</w:t>
            </w:r>
          </w:p>
        </w:tc>
        <w:tc>
          <w:tcPr>
            <w:tcW w:w="118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5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690,814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(679 )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(317,933 )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372,207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Vesting of shares of common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50,469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Unrealized gain 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(30,815 )</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(30,815 )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2023</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48,928,923</w:t>
            </w:r>
          </w:p>
        </w:tc>
        <w:tc>
          <w:tcPr>
            <w:tcW w:w="300" w:type="dxa"/>
            <w:vAlign w:val="bottom"/>
          </w:tcPr>
          <w:p>
            <w:pPr>
              <w:spacing w:after="0"/>
              <w:rPr>
                <w:sz w:val="13"/>
                <w:szCs w:val="13"/>
                <w:color w:val="auto"/>
              </w:rPr>
            </w:pPr>
          </w:p>
        </w:tc>
        <w:tc>
          <w:tcPr>
            <w:tcW w:w="880" w:type="dxa"/>
            <w:vAlign w:val="bottom"/>
          </w:tcPr>
          <w:p>
            <w:pPr>
              <w:jc w:val="right"/>
              <w:ind w:right="739"/>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320" w:type="dxa"/>
            <w:vAlign w:val="bottom"/>
          </w:tcPr>
          <w:p>
            <w:pPr>
              <w:spacing w:after="0"/>
              <w:rPr>
                <w:sz w:val="13"/>
                <w:szCs w:val="13"/>
                <w:color w:val="auto"/>
              </w:rPr>
            </w:pPr>
          </w:p>
        </w:tc>
        <w:tc>
          <w:tcPr>
            <w:tcW w:w="2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695,563</w:t>
            </w:r>
          </w:p>
        </w:tc>
        <w:tc>
          <w:tcPr>
            <w:tcW w:w="28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(174 )</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(348,748 )</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346,646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84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Vesting of shares of common</w:t>
            </w:r>
          </w:p>
        </w:tc>
        <w:tc>
          <w:tcPr>
            <w:tcW w:w="1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28,074</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under</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95,232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Unrealized loss 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(427 )</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(427 )</w:t>
            </w:r>
          </w:p>
        </w:tc>
        <w:tc>
          <w:tcPr>
            <w:tcW w:w="0" w:type="dxa"/>
            <w:vAlign w:val="bottom"/>
          </w:tcPr>
          <w:p>
            <w:pPr>
              <w:spacing w:after="0"/>
              <w:rPr>
                <w:sz w:val="1"/>
                <w:szCs w:val="1"/>
                <w:color w:val="auto"/>
              </w:rPr>
            </w:pPr>
          </w:p>
        </w:tc>
      </w:tr>
      <w:tr>
        <w:trPr>
          <w:trHeight w:val="16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(33,287 )</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(33,287 )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2023</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49,058,234</w:t>
            </w:r>
          </w:p>
        </w:tc>
        <w:tc>
          <w:tcPr>
            <w:tcW w:w="300" w:type="dxa"/>
            <w:vAlign w:val="bottom"/>
          </w:tcPr>
          <w:p>
            <w:pPr>
              <w:spacing w:after="0"/>
              <w:rPr>
                <w:sz w:val="13"/>
                <w:szCs w:val="13"/>
                <w:color w:val="auto"/>
              </w:rPr>
            </w:pPr>
          </w:p>
        </w:tc>
        <w:tc>
          <w:tcPr>
            <w:tcW w:w="880" w:type="dxa"/>
            <w:vAlign w:val="bottom"/>
          </w:tcPr>
          <w:p>
            <w:pPr>
              <w:jc w:val="right"/>
              <w:ind w:right="739"/>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320" w:type="dxa"/>
            <w:vAlign w:val="bottom"/>
          </w:tcPr>
          <w:p>
            <w:pPr>
              <w:spacing w:after="0"/>
              <w:rPr>
                <w:sz w:val="13"/>
                <w:szCs w:val="13"/>
                <w:color w:val="auto"/>
              </w:rPr>
            </w:pPr>
          </w:p>
        </w:tc>
        <w:tc>
          <w:tcPr>
            <w:tcW w:w="2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700,609</w:t>
            </w:r>
          </w:p>
        </w:tc>
        <w:tc>
          <w:tcPr>
            <w:tcW w:w="28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(601 )</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(382,035 )</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317,978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84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w:t>
            </w:r>
          </w:p>
        </w:tc>
        <w:tc>
          <w:tcPr>
            <w:tcW w:w="1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Unrealized gain on</w:t>
            </w: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(25,645 )</w:t>
            </w: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(25,645 )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2023</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49,068,234</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39"/>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704,900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(409 )</w:t>
            </w: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(407,680 )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296,816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-2399665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-2399665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-2399665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-2399665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-2399665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-942340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-942340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-942340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-942340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(82,855 )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(89,747 )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(6,915 )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3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(3,056 )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(2,013 )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(74,945 )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(62,806 )</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(21,340 )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(320,659 )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(196,877 )</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(125,035 )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ESPP purchases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issuance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225,073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225,900</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59,703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balance sheet: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 resulting from</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new leases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 in accounts payable and accrued and other current liabilities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-3491230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-3491230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-1926590</wp:posOffset>
            </wp:positionV>
            <wp:extent cx="9398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-1926590</wp:posOffset>
            </wp:positionV>
            <wp:extent cx="9398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-1271270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-1254125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-1254125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Nkarta, Inc. ("Nkarta" or the "Company") was incorporated in the State of Delaware in July 2015. The Company is a biopharmaceutical company developing engineered natural killer ("NK") cell therapies to treat autoimmune disease and other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incurred operating losses since inception and expects that it will continue to incur net losses into the foreseeable future as it continues its research and development activities. As of September 30, 2024, the Company had an accumulated deficit of $518.3 million and cash, cash equivalents, restricted cash and investments of $405.3 million.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as of September 30, 2024 and for the three and nine months ended September 30, 2024 and 2023 have been prepared in accordance with U.S. generally accepted accounting principle ("U.S. GAAP") for interim financial information and pursuant to Article 10 of Regulation S-X of the Securities Act,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2024 are not necessarily indicative of the results expected for the full year or any subsequent interim period. The condensed balance sheet as of December 31, 2023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2023, contained in the Company’s Annual Report on Form 10-K for the year ended December 31, 2023 filed by the Company with the SEC on March 21, 2024.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and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6 for additional information regarding the prior year impairment charge the Company recorded in connection with its leased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disclosure of incremental segment information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financial statements and disclosures.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w:t>
      </w:r>
    </w:p>
    <w:p>
      <w:pPr>
        <w:spacing w:after="0" w:line="7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740-20) and Derivative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w:t>
      </w:r>
      <w:r>
        <w:rPr>
          <w:rFonts w:ascii="Times New Roman" w:cs="Times New Roman" w:eastAsia="Times New Roman" w:hAnsi="Times New Roman"/>
          <w:sz w:val="18"/>
          <w:szCs w:val="18"/>
          <w:color w:val="auto"/>
        </w:rPr>
        <w:t>(Subtopic 815-40): Accounting for Convertible Instruments and Contracts in an Entity’s Own Equity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which simplifies accounting for convertible instruments by removing major separation models required under current GAAP. ASU 2020-06 also removes certain settlement conditions that are required for equity-linked contracts to qualify for the derivative scope exception, and it simplifies the diluted earnings per share calculation in certain areas. ASU 2020-06 is effective for the Company beginning on January 1, 2024. The adoption of ASU 2020-06 does not have a material impact on the financial position, results of operations or cash flows of the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computation of the basic and diluted net loss per share (in thousands except share and per share data):</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36" w:lineRule="exact"/>
        <w:rPr>
          <w:sz w:val="20"/>
          <w:szCs w:val="20"/>
          <w:color w:val="auto"/>
        </w:rPr>
      </w:pPr>
    </w:p>
    <w:p>
      <w:pPr>
        <w:ind w:left="340" w:right="800" w:hanging="134"/>
        <w:spacing w:after="0" w:line="281" w:lineRule="auto"/>
        <w:rPr>
          <w:sz w:val="20"/>
          <w:szCs w:val="20"/>
          <w:color w:val="auto"/>
        </w:rPr>
      </w:pPr>
      <w:r>
        <w:rPr>
          <w:rFonts w:ascii="Times New Roman" w:cs="Times New Roman" w:eastAsia="Times New Roman" w:hAnsi="Times New Roman"/>
          <w:sz w:val="17"/>
          <w:szCs w:val="17"/>
          <w:color w:val="auto"/>
        </w:rPr>
        <w:t>Less: weighted average unvested common stock issued upon early exercise of common stock options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 weighted average of common stock</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be issued upon exercise of pre-funded warrants</w:t>
      </w:r>
    </w:p>
    <w:p>
      <w:pPr>
        <w:spacing w:after="0" w:line="18" w:lineRule="exact"/>
        <w:rPr>
          <w:sz w:val="20"/>
          <w:szCs w:val="20"/>
          <w:color w:val="auto"/>
        </w:rPr>
      </w:pPr>
    </w:p>
    <w:p>
      <w:pPr>
        <w:ind w:left="160" w:right="1280" w:hanging="134"/>
        <w:spacing w:after="0" w:line="282" w:lineRule="auto"/>
        <w:rPr>
          <w:sz w:val="20"/>
          <w:szCs w:val="20"/>
          <w:color w:val="auto"/>
        </w:rPr>
      </w:pPr>
      <w:r>
        <w:rPr>
          <w:rFonts w:ascii="Times New Roman" w:cs="Times New Roman" w:eastAsia="Times New Roman" w:hAnsi="Times New Roman"/>
          <w:sz w:val="18"/>
          <w:szCs w:val="18"/>
          <w:color w:val="auto"/>
        </w:rPr>
        <w:t>Weighted average shares used to compute net loss per share, basic and diluted</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540" w:type="dxa"/>
            <w:vAlign w:val="bottom"/>
            <w:gridSpan w:val="5"/>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473"/>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(28,344 )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(25,645 )</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(82,855 )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(89,747 )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70,563,285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49,062,799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63,882,940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48,985,448</w:t>
            </w:r>
          </w:p>
        </w:tc>
        <w:tc>
          <w:tcPr>
            <w:tcW w:w="60" w:type="dxa"/>
            <w:vAlign w:val="bottom"/>
          </w:tcPr>
          <w:p>
            <w:pPr>
              <w:spacing w:after="0"/>
              <w:rPr>
                <w:sz w:val="24"/>
                <w:szCs w:val="24"/>
                <w:color w:val="auto"/>
              </w:rPr>
            </w:pPr>
          </w:p>
        </w:tc>
      </w:tr>
      <w:tr>
        <w:trPr>
          <w:trHeight w:val="459"/>
        </w:trPr>
        <w:tc>
          <w:tcPr>
            <w:tcW w:w="240" w:type="dxa"/>
            <w:vAlign w:val="bottom"/>
          </w:tcPr>
          <w:p>
            <w:pPr>
              <w:spacing w:after="0"/>
              <w:rPr>
                <w:sz w:val="24"/>
                <w:szCs w:val="24"/>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453"/>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3,000,031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2,058,415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73,563,316</w:t>
            </w:r>
          </w:p>
        </w:tc>
        <w:tc>
          <w:tcPr>
            <w:tcW w:w="26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49,062,799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65,941,355</w:t>
            </w:r>
          </w:p>
        </w:tc>
        <w:tc>
          <w:tcPr>
            <w:tcW w:w="24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48,985,373</w:t>
            </w:r>
          </w:p>
        </w:tc>
        <w:tc>
          <w:tcPr>
            <w:tcW w:w="6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26"/>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-1696720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-1362075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-1053465</wp:posOffset>
            </wp:positionV>
            <wp:extent cx="713232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-470535</wp:posOffset>
            </wp:positionV>
            <wp:extent cx="71323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093" w:right="339" w:bottom="1440" w:gutter="0" w:footer="0" w:header="0"/>
          <w:type w:val="continuous"/>
        </w:sectPr>
      </w:pPr>
    </w:p>
    <w:p>
      <w:pPr>
        <w:spacing w:after="0" w:line="6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5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9,101,686</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7,127,449</w:t>
            </w:r>
          </w:p>
        </w:tc>
        <w:tc>
          <w:tcPr>
            <w:tcW w:w="100" w:type="dxa"/>
            <w:vAlign w:val="bottom"/>
            <w:shd w:val="clear" w:color="auto" w:fill="CFF0FC"/>
          </w:tcPr>
          <w:p>
            <w:pPr>
              <w:spacing w:after="0"/>
              <w:rPr>
                <w:sz w:val="20"/>
                <w:szCs w:val="20"/>
                <w:color w:val="auto"/>
              </w:rPr>
            </w:pPr>
          </w:p>
        </w:tc>
      </w:tr>
      <w:tr>
        <w:trPr>
          <w:trHeight w:val="23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1,183,129</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695,110</w:t>
            </w:r>
          </w:p>
        </w:tc>
        <w:tc>
          <w:tcPr>
            <w:tcW w:w="100" w:type="dxa"/>
            <w:vAlign w:val="bottom"/>
          </w:tcPr>
          <w:p>
            <w:pPr>
              <w:spacing w:after="0"/>
              <w:rPr>
                <w:sz w:val="20"/>
                <w:szCs w:val="20"/>
                <w:color w:val="auto"/>
              </w:rPr>
            </w:pPr>
          </w:p>
        </w:tc>
      </w:tr>
      <w:tr>
        <w:trPr>
          <w:trHeight w:val="277"/>
        </w:trPr>
        <w:tc>
          <w:tcPr>
            <w:tcW w:w="3640" w:type="dxa"/>
            <w:vAlign w:val="bottom"/>
            <w:tcBorders>
              <w:top w:val="single" w:sz="8" w:color="CFF0FC"/>
              <w:bottom w:val="single" w:sz="8" w:color="CFF0FC"/>
            </w:tcBorders>
            <w:shd w:val="clear" w:color="auto" w:fill="CFF0FC"/>
          </w:tcPr>
          <w:p>
            <w:pPr>
              <w:spacing w:after="0"/>
              <w:rPr>
                <w:sz w:val="24"/>
                <w:szCs w:val="24"/>
                <w:color w:val="auto"/>
              </w:rPr>
            </w:pPr>
          </w:p>
        </w:tc>
        <w:tc>
          <w:tcPr>
            <w:tcW w:w="4040" w:type="dxa"/>
            <w:vAlign w:val="bottom"/>
            <w:tcBorders>
              <w:top w:val="single" w:sz="8" w:color="CFF0FC"/>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10,284,815</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7,822,559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633"/>
        </w:trPr>
        <w:tc>
          <w:tcPr>
            <w:tcW w:w="3640" w:type="dxa"/>
            <w:vAlign w:val="bottom"/>
          </w:tcPr>
          <w:p>
            <w:pPr>
              <w:spacing w:after="0"/>
              <w:rPr>
                <w:sz w:val="24"/>
                <w:szCs w:val="24"/>
                <w:color w:val="auto"/>
              </w:rPr>
            </w:pPr>
          </w:p>
        </w:tc>
        <w:tc>
          <w:tcPr>
            <w:tcW w:w="40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3" w:name="page14"/>
    <w:bookmarkEnd w:id="1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measured at fair value on a recurring basis by level within the fair value hierarchy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540" w:type="dxa"/>
            <w:vAlign w:val="bottom"/>
          </w:tcPr>
          <w:p>
            <w:pPr>
              <w:jc w:val="center"/>
              <w:ind w:left="115"/>
              <w:spacing w:after="0" w:line="142"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260" w:type="dxa"/>
            <w:vAlign w:val="bottom"/>
          </w:tcPr>
          <w:p>
            <w:pPr>
              <w:spacing w:after="0"/>
              <w:rPr>
                <w:sz w:val="12"/>
                <w:szCs w:val="12"/>
                <w:color w:val="auto"/>
              </w:rPr>
            </w:pPr>
          </w:p>
        </w:tc>
        <w:tc>
          <w:tcPr>
            <w:tcW w:w="1180" w:type="dxa"/>
            <w:vAlign w:val="bottom"/>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8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60" w:type="dxa"/>
            <w:vAlign w:val="bottom"/>
          </w:tcPr>
          <w:p>
            <w:pPr>
              <w:spacing w:after="0"/>
              <w:rPr>
                <w:sz w:val="15"/>
                <w:szCs w:val="15"/>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30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54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54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0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Cash equivalents</w:t>
            </w:r>
          </w:p>
        </w:tc>
        <w:tc>
          <w:tcPr>
            <w:tcW w:w="1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5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4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102,410</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54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investments:</w:t>
            </w:r>
          </w:p>
        </w:tc>
        <w:tc>
          <w:tcPr>
            <w:tcW w:w="15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4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89,110</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54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400,590</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402,304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040" w:type="dxa"/>
            <w:vAlign w:val="bottom"/>
          </w:tcPr>
          <w:p>
            <w:pPr>
              <w:spacing w:after="0"/>
              <w:rPr>
                <w:sz w:val="24"/>
                <w:szCs w:val="24"/>
                <w:color w:val="auto"/>
              </w:rPr>
            </w:pPr>
          </w:p>
        </w:tc>
        <w:tc>
          <w:tcPr>
            <w:tcW w:w="1540" w:type="dxa"/>
            <w:vAlign w:val="bottom"/>
            <w:vMerge w:val="restart"/>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18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540" w:type="dxa"/>
            <w:vAlign w:val="bottom"/>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6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7"/>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0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5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247,892</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-3539490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-3539490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-3539490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-2914015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-2914015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-2914015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-2279650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-2279650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-2279650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-1953895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-1936750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-1953895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-1936750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-1953895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-976630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-976630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-976630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-350520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-350520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-350520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Investments are classified as Level 1 within the fair value hierarchy if their quoted prices are available in active markets for identical securities. Investments in money market funds of $34.9 million and $30.8 million as of September 30, 2024 and December 31, 2023, respectively, were classified as Level 1 instruments and were included in cash equivalents.</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Investments in corporate debt securities, commercial paper and U.S.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$367.4 million and $217.1 million as of September 30, 2024 and December 31, 2023, respectively, were classified as Level 2 instruments. Accrued interest receivable related to investments was $2.5 million and $1.2 million as of September 30, 2024 and December 31, 2023, respectively, and included as part of prepaid expenses and other current assets in the condensed balance sheets.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w:t>
      </w:r>
    </w:p>
    <w:p>
      <w:pPr>
        <w:spacing w:after="0" w:line="176"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whether unrealized losses have resulted from a credit loss or other factors. The unrealized losses on the Company’s available-for-sale securities as of September 30, 2024 and December 31, 2023 were caused by fluctuations in market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100"/>
        <w:spacing w:after="0" w:line="261" w:lineRule="auto"/>
        <w:rPr>
          <w:sz w:val="20"/>
          <w:szCs w:val="20"/>
          <w:color w:val="auto"/>
        </w:rPr>
      </w:pPr>
      <w:r>
        <w:rPr>
          <w:rFonts w:ascii="Times New Roman" w:cs="Times New Roman" w:eastAsia="Times New Roman" w:hAnsi="Times New Roman"/>
          <w:sz w:val="18"/>
          <w:szCs w:val="18"/>
          <w:color w:val="auto"/>
        </w:rPr>
        <w:t>and interest rates as a result of the economic environment and not credit risk. The Company concluded that an allowance for credit losses was unnecessary as of September 30, 2024 and December 31, 2023.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p>
    <w:p>
      <w:pPr>
        <w:spacing w:after="0" w:line="18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was no realized gain or loss on available-for-sale securities for the nine months ended September 30, 2024. During the nine months ended September 30, 2023, there were immaterial realized gains recognized on available-for-sale securities sold in the period. The Company uses the specific identification method to determine the cost basis of investments sold.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40" w:type="dxa"/>
            <w:vAlign w:val="bottom"/>
          </w:tcPr>
          <w:p>
            <w:pPr>
              <w:spacing w:after="0"/>
              <w:rPr>
                <w:sz w:val="16"/>
                <w:szCs w:val="16"/>
                <w:color w:val="auto"/>
              </w:rPr>
            </w:pPr>
          </w:p>
        </w:tc>
        <w:tc>
          <w:tcPr>
            <w:tcW w:w="16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2"/>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80" w:type="dxa"/>
            <w:vAlign w:val="bottom"/>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3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16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16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Pr>
          <w:p>
            <w:pPr>
              <w:spacing w:after="0"/>
              <w:rPr>
                <w:sz w:val="20"/>
                <w:szCs w:val="20"/>
                <w:color w:val="auto"/>
              </w:rPr>
            </w:pPr>
          </w:p>
        </w:tc>
      </w:tr>
      <w:tr>
        <w:trPr>
          <w:trHeight w:val="241"/>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94,788</w:t>
            </w:r>
          </w:p>
        </w:tc>
        <w:tc>
          <w:tcPr>
            <w:tcW w:w="3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91,019</w:t>
            </w: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(18,557 )</w:t>
            </w:r>
          </w:p>
        </w:tc>
        <w:tc>
          <w:tcPr>
            <w:tcW w:w="42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(11,693 )</w:t>
            </w:r>
          </w:p>
        </w:tc>
      </w:tr>
      <w:tr>
        <w:trPr>
          <w:trHeight w:val="277"/>
        </w:trPr>
        <w:tc>
          <w:tcPr>
            <w:tcW w:w="6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80" w:type="dxa"/>
            <w:vAlign w:val="bottom"/>
            <w:tcBorders>
              <w:top w:val="single" w:sz="8" w:color="auto"/>
              <w:bottom w:val="single" w:sz="8" w:color="auto"/>
            </w:tcBorders>
            <w:shd w:val="clear" w:color="auto" w:fill="CFF0FC"/>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76,231</w:t>
            </w:r>
          </w:p>
        </w:tc>
        <w:tc>
          <w:tcPr>
            <w:tcW w:w="3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$2.4 million and $6.9 million for the three and nine months ended September 30, 2024, and $2.0 million and $3.6 million for the three and nine months ended September 30,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other current liabilities are comprised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40" w:type="dxa"/>
            <w:vAlign w:val="bottom"/>
          </w:tcPr>
          <w:p>
            <w:pPr>
              <w:spacing w:after="0"/>
              <w:rPr>
                <w:sz w:val="16"/>
                <w:szCs w:val="16"/>
                <w:color w:val="auto"/>
              </w:rPr>
            </w:pP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2"/>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700" w:type="dxa"/>
            <w:vAlign w:val="bottom"/>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3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7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7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r>
      <w:tr>
        <w:trPr>
          <w:trHeight w:val="243"/>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7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700" w:type="dxa"/>
            <w:vAlign w:val="bottom"/>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7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operating leases for its current corporate offices, laboratories, manufacturing facilities, and dedicated space in a vivarium in South San Francisco, California. Rent expense was $2.6 million and $7.9 million for the three and nine months ended September 30, 2024, respectively, and $2.7 million and $8.2 million for the three and nine months ended September 30, 2023, respectively. The total cash paid for the nine months ended September 30, 2024 for operating leases included in the operating cash flows was $9.7 million, inclusive of $9.2 million of rent payments and $0.5 million of tenant improvement allowance repayment, as compared to net cash paid of $0.5 million for the nine months ended September 30, 2023, comprised of $8.3 million of rent payments less $7.8 million cash received for the tenant improvement allowance reimbursement. The weighted average remaining lease term was 9.1 years for the corporate office, laboratory space leases, and additional facility as of September 30, 2024. The weighted average discount rate was 9.8% as of September 30, 2024.</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Initial Lease Agreement</w:t>
      </w:r>
    </w:p>
    <w:p>
      <w:pPr>
        <w:spacing w:after="0" w:line="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t>third amendment to the Initial Lease Agreement for additional space in the same building. The lease amendment for this additional space commenced in April 2021 and expired in March 2024. 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Lease Agreement</w:t>
      </w:r>
    </w:p>
    <w:p>
      <w:pPr>
        <w:spacing w:after="0" w:line="29"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18"/>
          <w:szCs w:val="18"/>
          <w:color w:val="auto"/>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cs="Times New Roman" w:eastAsia="Times New Roman" w:hAnsi="Times New Roman"/>
          <w:sz w:val="18"/>
          <w:szCs w:val="18"/>
          <w:color w:val="212529"/>
        </w:rPr>
        <w:t>se rent, the Company is responsible for payment of direct expenses, which include operating, insurance and tax expenses. The Additional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operating lease liabilities under existing operating leases as of September 30, 2024 were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100" w:type="dxa"/>
            <w:vAlign w:val="bottom"/>
          </w:tcPr>
          <w:p>
            <w:pPr>
              <w:spacing w:after="0"/>
              <w:rPr>
                <w:sz w:val="20"/>
                <w:szCs w:val="20"/>
                <w:color w:val="auto"/>
              </w:rPr>
            </w:pPr>
          </w:p>
        </w:tc>
      </w:tr>
      <w:tr>
        <w:trPr>
          <w:trHeight w:val="241"/>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131,345</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(45,896 )</w:t>
            </w:r>
          </w:p>
        </w:tc>
      </w:tr>
      <w:tr>
        <w:trPr>
          <w:trHeight w:val="276"/>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78,693</w:t>
            </w:r>
          </w:p>
        </w:tc>
        <w:tc>
          <w:tcPr>
            <w:tcW w:w="100" w:type="dxa"/>
            <w:vAlign w:val="bottom"/>
          </w:tcPr>
          <w:p>
            <w:pPr>
              <w:spacing w:after="0"/>
              <w:rPr>
                <w:sz w:val="20"/>
                <w:szCs w:val="20"/>
                <w:color w:val="auto"/>
              </w:rPr>
            </w:pPr>
          </w:p>
        </w:tc>
      </w:tr>
      <w:tr>
        <w:trPr>
          <w:trHeight w:val="277"/>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liability</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 Impairment</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tests long-lived assets for recoverability whenever events or changes in circumstances suggest that the carrying value of an asset or group of assets may not be recoverable. Beginning in the second quarter of 2023, the Company started to market for sublease portions of the Company's leased corporate office space in South San Francisco. As a result of these plans, the Company reviewed these spaces for impairment. As part of the impairment evaluation of the spaces being marketed for sublease, the Company compared the estimated undiscounted income for the marketed sublease spaces to the net book value of the related long-term assets, which include right-of-use assets and certain property and equipment, primarily for leasehold improvements (collectively, "Sublease Asset Group"). The Company estimated potential sublease income using market participant assumptions, which the Company evaluated based on current real estate trends and market conditions. For the Sublease Asset Group, the Company determined that the respective right-of-use assets had net carrying values that exceeded their estimated undiscounted future cash flows. Accordingly, the Company then estimated the fair value of the Sublease Asset Group based on its discounted cash flows. The carrying value of the Sublease Asset Group exceeded its fair values and, as a result, the Company recorded a right-of-use asset impairment of $4.1 million for the nine months ended September 30, 2023. The impairment is recorded within general and administrative expenses in the condensed statements of operations and comprehensive loss. There was no additional impairment recorded for the three and nine months ended September 30, 2024.</w:t>
      </w:r>
    </w:p>
    <w:p>
      <w:pPr>
        <w:spacing w:after="0" w:line="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Sublease Agreement</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September 2024, the Company entered into an agreement to sublease a portion of the Company's leased corporate office space. The sublease will commence during the fourth quarter of 2024 and rent payments will commence in the first quarter of 2025. The Company accounts for this sublease in accordance with ASC 842, 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Commitments &amp;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September 30, 2024, and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CRISPR Collaboration Agreement</w:t>
      </w:r>
    </w:p>
    <w:p>
      <w:pPr>
        <w:spacing w:after="0" w:line="21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May 5, 2021, the Company entered into a research collaboration agreement (as amended, the "CRISPR Agreement") with CRISPR Therapeutics AG ("CRISPR") to co-develop and co-commercialize an allogeneic, off-the-shelf chimeric antigen receptor-natural killer ("CAR NK") product candidate targeting the CD70 tumor antigen ("NKX070") and an allogeneic, off-the-shelf product candidate that comprises both engineered NK cells and engineered T cells ("NK+T"). In May 2022, the CRISPR Agreement was amended to revise the transfer of materials and nomination provisions, and in March 2023, the CRISPR Agreement was further amended to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four CRISPR-Cas9 gene editing targets and will receive a license from CRISPR for up to one more CRISPR-Cas9 gene editing target that can be engineered into an unlimited number of its own NK-cell products. CRISPR also has an option to co-develop and co-commercialize a future CAR NK program. On April 3, 2024, the CRISPR Agreement was amended to further revise the nomination provision, and on May 2, 2024, it was amended to align the designation term and additional-gene-editing target provisions with the revised nomination provision from April 3, 2024.</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T-cell related activities, and Nkarta is responsible for NK-cell related activities. The impact of the cost sharing associated with the research and development activities is included in research and development expense on the condensed statements of operations and comprehensive loss.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zero and $0.1 million for the three and nine months ended September 30, 2024, respectively, and $0.3 million and $1.4 million for the three and nine months ended September 30, 2023, respectively. As of September 30, 2024, there was no receivable under the research cost sharing provision.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ind w:right="100" w:firstLine="554"/>
        <w:spacing w:after="0" w:line="254" w:lineRule="auto"/>
        <w:rPr>
          <w:sz w:val="20"/>
          <w:szCs w:val="20"/>
          <w:color w:val="auto"/>
        </w:rPr>
      </w:pPr>
      <w:r>
        <w:rPr>
          <w:rFonts w:ascii="Times New Roman" w:cs="Times New Roman" w:eastAsia="Times New Roman" w:hAnsi="Times New Roman"/>
          <w:sz w:val="18"/>
          <w:szCs w:val="18"/>
          <w:color w:val="auto"/>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September 30, 2024, the Company has not paid any amounts nor are any amounts owed by the Company under the CRISPR Agreement, and no milestones have been achieved.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a total of 10,847,981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1,821,927 shares were available for issuance under the 2020 Plan as of September 30, 2024.</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option activity under the 2020 Plan and 2015 Plan during the nine months ended September 30,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2,987,850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(143,261 )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(459,429 )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9,101,686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4,560,175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9,101,686</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-367665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-385445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-367665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-385445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-367665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 grants was $5.05 and $3.35 per share for the nine months ended September 30, 2024 and 2023, respectively.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under the 2020 Plan during the nine months ended September 30, 2024:</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vMerge w:val="restart"/>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594,768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(165,667 )</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(44,546 )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1,183,129</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units was $6.04 and $5.57 per share for the nine months ended September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September 30, 2024, 1,638,267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September 30, 2024, employee contributions to the ESPP were $0.3 million and included as part of accrued and other current liabilities in the condensed balance sheets.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expense for the three and nine months ended September 30, 2024 and 2023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1,793</w:t>
            </w:r>
          </w:p>
        </w:tc>
        <w:tc>
          <w:tcPr>
            <w:tcW w:w="98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2,077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2,262</w:t>
            </w: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2,214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4,055</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4,291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stock options was $22.8 million, which is expected to be recognized over a weighted average remaining service period of 2.8 years as of September 30, 2024.</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restricted stock units was $6.4 million, which is expected to be recognized over a weighted average remaining service period of 2.9 years as of September 30,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 and Pre-funded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March 2024, the Company completed an underwritten public offering utilizing the Shelf Registration Statement, pursuant to which it sold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(i) 21,010,000 shares of its common stock at a price of $10.00 per share, and (ii) pre-funded warrants to purchase 3,000,031 shares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at a price of $9.9999 per pre-funded warrant. The pre-funded warrants can be exercised at any time after issuance for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subject to certain ownership limitations. As of September 30, 2024, none of the pre-funded warrants have been exercised.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raised $240.1 million in gross proceeds before underwriting discounts and commissions of $14.4 million and other offering expenses of $0.6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p>
      <w:pPr>
        <w:ind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ASC 480-10, Accounting for Certain Financial Instruments with Characteristics of both Liabilities and Equity ("ASC 480"), and ASC 815-40 ("ASC 815"), Accounting for Derivative Financial Instruments Indexed to, and Potentially Settled in, a Company’s Own Stock,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was no provision for income taxes recorded during the three and nine months ended September 30, 2024, and 2023. The Company’s deferred tax assets continue to be fully offset by a valuation allowance</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 on March 21, 2024 for the fiscal year ended December 31, 2023,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the development of allogeneic, off-the-shelf engineered NK-cell therapies. We are currently developing NKX019, a CAR NK product candidate targeting the CD19 antigen, as our lead product candidate for the treatment of patients with autoimmune disease. NKX019 and our other CAR NK product candidates incorporate proprietary technologies that enable us to generate an abundant supply of NK cells, increase NK-cell recognition of target antigens, enhance NK-cell fitness and freeze, store, and thaw our engineered NK cells for off-the-shelf administration.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modular engineering platform builds on the distinctive biology of NK cells and their role in eradicating aberrant and pathologically transformed cells. Our process starts with differentiated,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NK-cell to enable the cell to recognize specific proteins or antigens that are present on the surface of target cells. Our engineered CAR NK cells generally consist of an NK-cell engineered with a targeting receptor, OX40 costimulatory domain, CD3ζ(zeta) signaling moiety, and a membrane-bound form of the cytokine IL(interleukin)-15 ("mbIL-15").</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2024, we announced the initiation of Ntrust-1, a multi-center, open-label, dose-escalation Phase 1 clinical trial of NKX019 for lupus nephritis (“LN”). At that time, we also announced that we had received clearance of an Investigational New Drug ("IND") application by the United States Food and Drug Administration ("FDA") to evaluate NKX019 for the treatment of additional autoimmune diseases. Ntrust-2 is a planned multi-center, open-label, dose-escalation Phase 1 clinical trial that will evaluate the safety and clinical activity of NKX019 in humans with systemic sclerosis ("scleroderma"), idiopathic inflammatory myopathy ("myositis") and antineutrophil cytoplasmic antibody ("ANCA")-associated vasculitis ("AAV"). In July 2024, we announced that researchers at Columbia University Irving Medical Center (“CUIMC”) initiated an investigator-sponsored trial (“IST”) of NKX019 in patients with systemic lupus erythematosus (“SLE”). In November 2024, we announced that the first patient was dosed in both Ntrust-1 and the IST at CUIMC.</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NKX019 is also being studied in a multi-center Phase 1 clinical trial for the treatment of a variety of B-cell malignancies, which evaluates the safety, pharmacology, and preliminary anti-tumor activity of NKX019. In November 2024, we announced new clinical data from a cohort of heavily pretreated patients with large B-cell lymphoma (“LBCL”) whose disease had already progressed following treatment with a CD19 CAR T cell therapy. Based on these data and the highly competitive landscape for treatments of B-cell malignancies, we will refocus our research and development activities on autoimmune disease and plan for no further investment in the clinical development of NKX019 for the treatment of B-cell malignancies.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NKX101, our CAR NK-cell product candidate targeting cells that display NKG2D ligands, has been evaluated in a multi-center Phase 1 clinical trial in the U.S. for the treatment of relapsed or refractory acute myeloid leukemia ("r/r AML") and higher risk myelodysplastic syndromes ("MDS"). This first-in-human study evaluated the safety, pharmacology, and preliminary anti-tumor activity of NKX101. We have deprioritized further development of NKX101 to direct primary resources to development of our lead product candidate, NKX019, for the treatment of autoimmune diseases.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the CRISPR Agreement entered into in May 2021, we agreed with CRISPR to collaboratively design and advance (a) up to two allogeneic, gene-edited NK-cell therapies, one of which is the engineered CAR NK product candidate targeting the CD70 tumor antigen, and (b) one allogeneic, gene-edited NK+T cell therapy.</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Since the commencement of our operations in 2015, we have devoted substantially all our resources in support of our product development efforts, hiring personnel, raising capital to support and expand such activities and providing general and administrative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right="20"/>
        <w:spacing w:after="0" w:line="253" w:lineRule="auto"/>
        <w:rPr>
          <w:sz w:val="20"/>
          <w:szCs w:val="20"/>
          <w:color w:val="auto"/>
        </w:rPr>
      </w:pPr>
      <w:r>
        <w:rPr>
          <w:rFonts w:ascii="Times New Roman" w:cs="Times New Roman" w:eastAsia="Times New Roman" w:hAnsi="Times New Roman"/>
          <w:sz w:val="18"/>
          <w:szCs w:val="18"/>
          <w:color w:val="auto"/>
        </w:rPr>
        <w:t>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w:t>
      </w:r>
    </w:p>
    <w:p>
      <w:pPr>
        <w:spacing w:after="0" w:line="79"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7"/>
          <w:szCs w:val="17"/>
          <w:color w:val="auto"/>
        </w:rPr>
        <w:t>On March 27, 2024, we sold an aggregate of (i) 21,010,000 shares of its common stock at a price of $10.00 per share, and (ii) pre-funded warrants to purchase 3,000,031 shares of common stock at a price of $9.9999 per pre-funded warrant in an underwritten public offering. The pre-funded warrants can be exercised at any time after issuance for an exercise price of $0.0001 per share, subject to certain ownership limitations. The total net proceeds from the offering were approximately $225.1 million, after deducting underwriting discounts and commissions and offering expenses.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clinical development of our drug candidates, which include:</w:t>
      </w:r>
    </w:p>
    <w:p>
      <w:pPr>
        <w:spacing w:after="0" w:line="54" w:lineRule="exact"/>
        <w:rPr>
          <w:sz w:val="20"/>
          <w:szCs w:val="20"/>
          <w:color w:val="auto"/>
        </w:rPr>
      </w:pPr>
    </w:p>
    <w:p>
      <w:pPr>
        <w:ind w:left="1020" w:right="3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sponsored research,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drug product candidates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 under our third-party licensing agreements.</w:t>
      </w:r>
    </w:p>
    <w:p>
      <w:pPr>
        <w:spacing w:after="0" w:line="22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our October 2023 announcement of cost containment measures, early discovery and preclinical programs have been deprioritized with less personnel and funding allocated to advancing these programs.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and nine months ended September 30, 2024 and 2023.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The partner cost sharing represents reimbursable research and development expenses from the CRISPR Agreement.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development program expenses: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NKX019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240" w:type="dxa"/>
            <w:vAlign w:val="bottom"/>
          </w:tcPr>
          <w:p>
            <w:pPr>
              <w:spacing w:after="0"/>
              <w:rPr>
                <w:sz w:val="20"/>
                <w:szCs w:val="20"/>
                <w:color w:val="auto"/>
              </w:rPr>
            </w:pPr>
          </w:p>
        </w:tc>
        <w:tc>
          <w:tcPr>
            <w:tcW w:w="3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NKX101</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CD70</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internal research and development costs: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100" w:type="dxa"/>
            <w:vAlign w:val="bottom"/>
          </w:tcPr>
          <w:p>
            <w:pPr>
              <w:spacing w:after="0"/>
              <w:rPr>
                <w:sz w:val="20"/>
                <w:szCs w:val="20"/>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 cost sharing</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(82 )</w:t>
            </w:r>
          </w:p>
        </w:tc>
        <w:tc>
          <w:tcPr>
            <w:tcW w:w="3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(1,412 )</w:t>
            </w:r>
          </w:p>
        </w:tc>
      </w:tr>
      <w:tr>
        <w:trPr>
          <w:trHeight w:val="237"/>
        </w:trPr>
        <w:tc>
          <w:tcPr>
            <w:tcW w:w="55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100" w:type="dxa"/>
            <w:vAlign w:val="bottom"/>
            <w:tcBorders>
              <w:top w:val="single" w:sz="8" w:color="CFF0FC"/>
            </w:tcBorders>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Ntrust-2, our planned clinical trial of NKX019 for the treatment of scleroderma, myositis, and AAV.</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p>
    <w:p>
      <w:pPr>
        <w:spacing w:after="0" w:line="2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While we continue to closely manage our expenditures,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w:t>
      </w:r>
    </w:p>
    <w:p>
      <w:pPr>
        <w:spacing w:after="0" w:line="284"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 and adjustments related to amortization of purchase premiums and accretion of discounts of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1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43"/>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(3,360 )</w:t>
            </w:r>
          </w:p>
        </w:tc>
      </w:tr>
      <w:tr>
        <w:trPr>
          <w:trHeight w:val="20"/>
        </w:trPr>
        <w:tc>
          <w:tcPr>
            <w:tcW w:w="2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(3,194 )</w:t>
            </w:r>
          </w:p>
        </w:tc>
      </w:tr>
      <w:tr>
        <w:trPr>
          <w:trHeight w:val="20"/>
        </w:trPr>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(33,794 )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(29,294 )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(4,500 )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(97,271 )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(100,465 )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FF0FC"/>
          </w:tcPr>
          <w:p>
            <w:pPr>
              <w:spacing w:after="0"/>
              <w:rPr>
                <w:sz w:val="20"/>
                <w:szCs w:val="20"/>
                <w:color w:val="auto"/>
              </w:rPr>
            </w:pP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37"/>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(28,344 )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(25,645 )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(82,855 )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(89,747 )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-1139190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-1139190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-1139190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-1139190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-1139190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-187960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-187960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 Research and development expenses were $25.3 million and $22.2 million for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respectively. Research and development expenses were $73.6 million and $73.5 million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respectively.</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of $3.1 million for the three months ended September 30, 2024 was primarily due to the following:</w:t>
      </w:r>
    </w:p>
    <w:p>
      <w:pPr>
        <w:spacing w:after="0" w:line="117" w:lineRule="exact"/>
        <w:rPr>
          <w:sz w:val="20"/>
          <w:szCs w:val="20"/>
          <w:color w:val="auto"/>
        </w:rPr>
      </w:pPr>
    </w:p>
    <w:p>
      <w:pPr>
        <w:ind w:left="1020" w:right="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increase in program costs primarily from higher manufacturing, materials, and clinical spending related to NKX019 to support Phase I clinical trials in autoimmune diseases, which was partially offset by lower manufacturing, materials, and clinical expenses related to NKX101 as the program was deprioritized;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research supplies purchased due to fewer purchases in 2023 from lab facility relocation;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increase in depreciation expense due to the timing of when assets were placed in-service during the year in 2023;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net increase in other research costs, primarily consisting of facility allocation expenses, which was partially offset by partner cost sharing reimbursable expenses and a decrease in payroll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of $0.2 million for the nine months ended September 30, 2024 was primarily due to the following:</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million increase in depreciation expense due to the timing of when assets were placed in-service during the year in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increase in research supplies purchased due to fewer purchases in 2023 from lab facility relocation;</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partner cost sharing reimbursable expenses related to a decrease in activities performed under our collaboration with CRISPR;</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net increase in other research costs, primarily consisting of consulting expenses, which was partially offset by a decrease in payroll and facility expenses due to the reallocation of the Sublease Asset Group to general and administrative expenses; 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$7.1 million decrease in program costs primarily from lower manufacturing, materials, and clinical expenses related to NKX101 as the program was deprioritized and reduced manufacturing and materials expenses related to programs under the CRISPR partnership, which were partially offset by higher manufacturing, materials, and clinical spending related to NKX019 to support Phase I clinical trials in autoimmune diseases.</w:t>
      </w:r>
    </w:p>
    <w:p>
      <w:pPr>
        <w:spacing w:after="0" w:line="176"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$8.5 million and $23.7 million for the three and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2024, respectively, and $7.1 million and $27.0 million for the three and nine months ended September 30, 2023, respectively.</w:t>
      </w:r>
    </w:p>
    <w:p>
      <w:pPr>
        <w:spacing w:after="0" w:line="159"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increase of $1.4 million for the three months ended September 30, 2024 was primarily due to an increase in depreciation, personnel-related expenses, and consulting expenses. The decrease of $3.4 million for the nine months ended September 30, 2024 was primarily due to the $4.1 million impairment of the right-of-use assets during the nine months ended September 30, 2023 and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right="300"/>
        <w:spacing w:after="0" w:line="282" w:lineRule="auto"/>
        <w:rPr>
          <w:sz w:val="20"/>
          <w:szCs w:val="20"/>
          <w:color w:val="auto"/>
        </w:rPr>
      </w:pPr>
      <w:r>
        <w:rPr>
          <w:rFonts w:ascii="Times New Roman" w:cs="Times New Roman" w:eastAsia="Times New Roman" w:hAnsi="Times New Roman"/>
          <w:sz w:val="18"/>
          <w:szCs w:val="18"/>
          <w:color w:val="auto"/>
        </w:rPr>
        <w:t>decrease in personnel-related expenses for the nine months ended September 30, 2024 resulting from the reduction in force completed in October 2023, partially offset by an increase in depreciation.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 Interest income was $5.5 million and $14.4 million for the three and nine months ended September 30, 2024, respectively,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and $10.7 million for the three and nine months ended September 30, 2023, respectively. The increase of $1.8 million and $3.8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and nine months ended September 30, 2024, respectively, were primarily due to higher average investment balances and higher yields in the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Interest income includes interest earned from investments, partially offset by amortization of purchase premiums and accretion of discounts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cash equivalents, restricted cash and investments of $405.3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had not yet been sold. The Shelf Registration Statement was declared effective by the SEC on May 5, 2023.</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September 30, 2024, none of the pre-funded warrants have been exercised. We raised $240.1 million in gross proceeds before underwriting discounts, commissions and other expenses of $15.0 million.</w:t>
      </w:r>
    </w:p>
    <w:p>
      <w:pPr>
        <w:spacing w:after="0" w:line="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Effective August 27, 2024, the Company and Cowen and Company, LLC mutually terminated the sales agreement entered into on August 12, 2021 related to the Company’s $150.0 million “at-the-market” equity offering program, pursuant to the terms of the sales agreement. Prior to the termination of the sales agreement, $1.8 million of shares of common stock had been sold.</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As of September 30, 2024, we had an accumulated deficit of $518.3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planned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equivalents and investments as of September 30, 2024 will be sufficient to meet our cash needs for at least 12 months following the date of this Quarterly Report on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5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(74,945 )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(62,806 )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(125,035 )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$74.9 million primarily due to a net loss of $82.9 million adjusted for a decrease in net change in operating assets and liabilities of $8.5 million, which was offset by an increase in net of non-cash charges of $16.4 million. The change in net operating assets and liabilities was primarily due to an increase in prepaid expenses for the maintenance of laboratory equipment, interest receivable, and accruals, and a decrease in accounts payable and operating lease liability. The non-cash charges primarily consisted of stock-based compensation of $12.8 million, depreciation and amortization of $6.9 million, which was offset by investment accretion and amortization of $5.0 million.</w:t>
      </w:r>
    </w:p>
    <w:p>
      <w:pPr>
        <w:spacing w:after="0" w:line="79"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$62.8 million, primarily due to a net loss of $89.7 million, adjusted for $26.9 million of net non-cash charges consisting primarily of share-based compensation of $13.7 million, depreciation and amortization of $3.6 million, investment accretion and amortization of $6.9 million, non-cash lease expense of $1.7 million, impairment of right-of-use assets of $4.1 million, and a $10.8 million net change in operating assets and liabilities.</w:t>
      </w:r>
    </w:p>
    <w:p>
      <w:pPr>
        <w:spacing w:after="0" w:line="3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for the nine months ended September 30, 2024 was $125.0 million, which consisted primarily of the purchase of marketable securities of $320.7 million and the purchase of property and equipment of $3.3 million, partially offset by proceeds from the maturities of marketable securities of $198.9 million.</w:t>
      </w:r>
    </w:p>
    <w:p>
      <w:pPr>
        <w:spacing w:after="0" w:line="6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$63.2 million, which consisted primarily of proceeds from the sales and maturities of marketable securities of $281.4 million, partially offset by the purchase of marketable securities of $196.9 million and the purchase of property and equipment of $21.3 million related to the construction of our manufacturing facility.</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$225.9 million, which primarily consisted of net proceeds from our underwritten public offering of $225.1 million that closed in March 2024.</w:t>
      </w:r>
    </w:p>
    <w:p>
      <w:pPr>
        <w:spacing w:after="0" w:line="54"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$0.4 million, which consisted of proceeds from stock options and the employee stock plan purchase.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2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enrollment rate, expansions, results, costs and timing of our clinical trials and preclinical studies for our product candidates or other potential product candidates or indications which we are pursuing or may choose to pursue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including commercial manufacturing;</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or ability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candidates,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closely monitor our expenditures, including subleasing portions of our leased corporate office space in South San Francisco.</w:t>
      </w:r>
    </w:p>
    <w:p>
      <w:pPr>
        <w:spacing w:after="0" w:line="22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therapeutic product candidates, if ever, we expect to finance our cash needs through public or private equity, including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have been no material changes from the contractual obligations and commitments previously disclosed in our Annual Report on Form 10-K for the year ended December 31, 2023.</w:t>
      </w:r>
    </w:p>
    <w:p>
      <w:pPr>
        <w:spacing w:after="0" w:line="2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See Note 6 to our financial statements included elsewhere in this Quarterly Report on Form 10-Q for additional information regarding our lease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preclinical studies and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September 30, 2024, as compared to the critical accounting policies and estimates disclosed in “Management’s Discussion and Analysis of Financial Condition and Results of Operations” included in our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2024 and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1"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September 30, 2024, this change would not have had a material effect on the fair value of our investment portfolio as of that date.</w:t>
      </w:r>
    </w:p>
    <w:p>
      <w:pPr>
        <w:spacing w:after="0" w:line="17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76"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w:t>
      </w:r>
    </w:p>
    <w:p>
      <w:pPr>
        <w:spacing w:after="0" w:line="14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exchange rate fluctuations had a significant impact on our results of operations for any periods presented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and business officer, evaluated the effectiveness of our disclosures controls and procedures, as defined in Rules 13a-15(e) and 15d-15(e) under the Exchange Act,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executive officer and chief financial and business officer concluded that, as of such date, our disclosure controls and procedures were effective at a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Management determined that, as of September 30, 2024,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2023 and filed with the Securities and Exchange Commission ("SEC") on March 21, 2024, in our Quarterly Report on Form 10-Q for the quarter ended March 31, 2024 and filed with the SEC on May 9, 2024, and in our Quarterly Report on Form 10-Q for the quarter ended June 30, 2024 and filed with the SEC on August 13, 2024, are set forth below and are unchanged substantively as of the date of this Quarterly Report on Form 10-Q, except for those risks designated by an asterisk (*).</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disclose further changes to the factors below or disclose additional factors from time to time in our future filings with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do not have any products approved for sale.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we expect to continue to incur significant losses for the foreseeable future.*</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2015, we have incurred significant operating losses. Our net losses were $82.9 million, $117.5 million and $113.8 million for the nine months ended September 30, 2024 and the years ended December 31, 2023 and 2022, respectively. Our accumulated deficit was $518.3 million as of September 30, 2024. We expect to continue to incur increasing operating losses for the foreseeable future as we continue to develop our product candidates. In addition, we anticipate that our expenses will increase substantially if, and as, we:</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NKX019 and our other product candidates, including in new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scale up and optimization of manufacturing process and prepare for commercial manufacturing;</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product candidates to clinical trials, including product candidates under the collaboration with CRISPR Therapeutics AG ("CRISPR");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current product candidates for additional disease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qualify our own clinical- and commercial-scale current good manufacturing practice ("cGMP") facilities;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biologics license application ("BLA") or marketing authorization application ("MAA") for NKX019 and/or our other product candidates and/or seek marketing approvals for any of our other product candidates that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product candidates in various jurisdictions for commercial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secure marketing, sales and distribution capabilities, either internally or with third parties, to support commercialization;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employee headcount and related expenses to support the foregoing activities.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never succeed in any or all of these activities and, even if we do, we may never generate revenues that are significant or large enough to achieve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achieve or maintain profitability.</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research and development and other expenses related to ongoing operations and the development of our product candidates, including NKX019. All of our product candidates will require substantial additional development time and resources before we are able to apply for or receive regulatory approvals and begin generating revenue from product sales. Neither the United States Food and Drug Administration ("FDA") nor any other regulatory authority has approved NKX019, NKX101 or any of our other product candidates, and we do not anticipate generating revenues from product sales unless and until such time as NKX019, NKX101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8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for product candidates for which we successfully complete positive clinical trials, if any;</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by establishing a commercial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our product candidates;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maintaining and enhancing a sustainable, scalable, reproducible and transferable manufacturing process for each of our cell therapy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a viable clinical 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know-how, and trademarks;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third-party interference or infringement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31" w:name="page32"/>
    <w:bookmarkEnd w:id="31"/>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product candidate into pivotal trials will require us to raise additional capital. As of September 30, 2024, we had cash, cash equivalents, restricted cash, and investments of $405.3 million. Our research and development expenses increased from $90.9 million for the year ended December 31, 2022 to $96.8 million for the year ended December 31, 2023 and increased from $73.5 million for the nine months ended September 30, 2023 to $73.6 million for the nine months ended September 30, 2024. We expect to continue to incur operating losses for the foreseeable future as we continue to develop our product candidates, which may increase, among other things, as we advance NKX019 in clinical development.</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due to health epidemics or other causes,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success of our CAR NK-cell technology platform.*</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Ntrust-1, a multi-center, open-label, dose-escalation Phase 1 clinical trial to evaluate NKX019, our lead CAR NK-cell product candidate, in humans with lupus nephritis ("LN"). We also plan to initiate Ntrust-2, a multi-center, open-label, dose-escalation Phase 1 clinical trial that will evaluate the safety and clinical activity of NKX019 in humans with systemic sclerosis ("scleroderma"), idiopathic inflammatory myopathy ("myositis"), and ANCA-associated vasculitis ("AAV"). Although both NKX019 and NKX101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Utilizing CAR NK cells represents a novel therapeutic approach, and we must overcome significant challenges in order to develop, commercialize and manufacture our product candidates.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CAR NK cells as an immunotherapy for the treatment of certain diseases, specifically cancers and, most recently, autoimmune diseases. To date, the FDA has approved only a limited number of cell-based therapies for commercialization as treatments for cancer, no cell-based therapies have been approved for commercial use for the treatment of an autoimmune disease,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w:t>
      </w:r>
    </w:p>
    <w:p>
      <w:pPr>
        <w:spacing w:after="0" w:line="19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Use of CAR NK-cell therapies may not gain the acceptance of the public or the medical community, especially for the treatment of autoimmune diseases. The patients with autoimmune disease that we will target with NKX019 are typically not at risk of near-term death, even if they may suffer life-threatening symptoms, so the patients will need to deem the benefits of cell therapy to be worth the risk of unknown potential adverse side effects.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advancing novel immunotherapies creates significant challenges for us, including: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patients in clinical trials;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our cells and, as the clinical program progresses, on observed side effects with the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and safe and an effective means of genetically modifying our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cryopreservation our cells on a large scale and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starting material suitable for clinical and commercial manufacturing;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left="1020" w:right="7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as well as developing a manufacturing process and distribution network to support the commercialization of any approved products.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our product candidates utilizing CAR 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cells.</w:t>
      </w:r>
    </w:p>
    <w:p>
      <w:pPr>
        <w:spacing w:after="0" w:line="31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CAR NK-cell therapy is a relatively new field. To date, no CAR NK-cell therapies have been licensed in the United States or elsewhere to treat cancer, and no cell therapies of any type have been licensed for the treatment of autoimmune diseases. The history of manufacturing CAR NK cells for clinical use is limited. Our understanding of NK-cell biology is continuously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clinical experience with NK-cell therapy has been predominantly based on cells from haplomatched donors, i.e., at least half of the major Human Leukocyte Antigen ("HLA") types matched between donor and recipient. Our Phase 1 clinical trials, however, are currently evaluating product candidates manufactured from completely unrelated donors (i.e. used "off-the-shelf"). There is a risk that our early clinical results from our Phase 1 clinical trials using off-the-shelf NKX019 and NKX101 may not be reflective of future clinical trial results which may require us to re-evaluate HLA matching. If it becomes apparent through future preclinical testing or clinical trials that such matching is required,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Furthermore, the killer immunoglobulin-like receptor ("KIR") is found on the surface of NK cells and recognizes certain HLA types. If there is a match between certain KIR molecules and the HLA type, KIR acts as a natural inhibitor of NK activity, thereby serving to prevent immune reactions against an individual’s own cells. In our Phase 1 clinical trials, the product candidate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 candidates in the clinic.</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with respect to the development of the deprioritized NKX101 program for the treatment of malignancies,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upon continued development of NKX101, we were to discover that tumors develop a resistance to NKX101 as a result of such NKG2D ligand shedding, we would need to reengineer NKX101 to counteract this effect, or we might decide to change, pause or abandon any future development efforts for NKX101.</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2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6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trial sites or CROs, the terms of which can be subject to extensive negotiation and may vary significantly among different trial sites and CROs, including delays due to administrative hurdles, lack of significant prior experience with cell therapy for autoimmune disease, or competition between cell therapy companies for prospective clinical trial sites and investigators;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sufficient patients for our clinical trials in a timely manner or at all;</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achieving a sufficient number of clinical trial sites or obtaining the required institutional review board ("IRB"), approval at each clinical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us or by the FDA or other regulatory agencies based on emerging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long-term follow-up data due to patient drop out or in cases where patients elect to receive post-protocol treatment for their disease before it progresses;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trial by the IRB of the institutions in which such trials are being conducted or by the Data Safety Monitoring Board ("DSMB") (where applicable);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scaling up, optimizing or controlling a manufacturing process suitable for clinical trials, or production delays, shutdowns or setbacks at any of our contract manufacturers;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that may require us to amend or submit new clinical protocols, or such requirements may not be as we anticipate;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or treatment landscape on which a clinical development plan was based, which may require new or additional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5" w:name="page36"/>
    <w:bookmarkEnd w:id="35"/>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For example, after initially studying NKX019 and NKX101 in Phase 1 clinical trials for hematologic malignancies, we deprioritized development of the product candidates for the treatment of hematologic malignancies to focus our research and development activities on NKX019 for the treatment autoimmune disease. Following an interim evaluation of response data in our NKX101 clinical trial for the treatment of relapsed or refractory acute myeloid leukemia ("r/r AML") or higher risk myelodysplastic syndromes ("MDS"), we decided to deprioritize our NKX101 program. In November 2024, we announced new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t>
      </w:r>
      <w:r>
        <w:rPr>
          <w:rFonts w:ascii="Times New Roman" w:cs="Times New Roman" w:eastAsia="Times New Roman" w:hAnsi="Times New Roman"/>
          <w:sz w:val="18"/>
          <w:szCs w:val="18"/>
          <w:color w:val="333333"/>
        </w:rPr>
        <w:t>We do not plan to enroll further patients in our clinical trials for hematologic malignancies</w:t>
      </w:r>
      <w:r>
        <w:rPr>
          <w:rFonts w:ascii="Times New Roman" w:cs="Times New Roman" w:eastAsia="Times New Roman" w:hAnsi="Times New Roman"/>
          <w:sz w:val="18"/>
          <w:szCs w:val="18"/>
          <w:color w:val="auto"/>
        </w:rPr>
        <w:t>, and we cannot guarantee that we will pursue any further development of NKX101 or NKX019 for the treatment of hematologic malignancies in the near future or at all.</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Disruptions caused by or related to pandemics, epidemics, or outbreaks of infectious disease, including future outbreaks of COVID-19 variants,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including future outbreaks of COVID-19 variants, then we may experience delays in obtaining periodic advice which may affect our ability to move our clinical programs forward into the next phase of development.</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such as for our NKX019 clinical trial for the treatment of LN (Ntrust-1), establish partnerships in relation to our clinical trials, receiving advisory services and other support from third parties. For example, we have partnered with Lupus Therapeutics, the clinical research affiliate of the Lupus Research Alliance, to accelerate development of NKX019 through select sites of the Lupus Clinical Investigators Network ("LuCIN").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NK-cell product candidate targeting the CD70 tumor antigen ("NKX070") and an allogeneic, off-the-shelf product candidate that comprises both engineered NK cells and engineered T cells ("NK+T"), on which we are collaborating with CRISPR, could be impacted. For example, the FDA may require additional or new release assays for manufactured lots of any product candidates that have been gene edited, which, as a result, could slow development of our gene-edited product candidates and increase expenses.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340"/>
        <w:spacing w:after="0" w:line="282" w:lineRule="auto"/>
        <w:rPr>
          <w:sz w:val="20"/>
          <w:szCs w:val="20"/>
          <w:color w:val="auto"/>
        </w:rPr>
      </w:pPr>
      <w:r>
        <w:rPr>
          <w:rFonts w:ascii="Times New Roman" w:cs="Times New Roman" w:eastAsia="Times New Roman" w:hAnsi="Times New Roman"/>
          <w:sz w:val="18"/>
          <w:szCs w:val="18"/>
          <w:color w:val="auto"/>
        </w:rPr>
        <w:t>legislation directs the FDA to issue new guidance on diversity action plans. If we are slow or unable to adapt to changes in existing requirements or the adoption of new requirements or policies governing clinical trials, our development plans may be impacted.</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cs="Times New Roman" w:eastAsia="Times New Roman" w:hAnsi="Times New Roman"/>
          <w:sz w:val="18"/>
          <w:szCs w:val="18"/>
          <w:i w:val="1"/>
          <w:iCs w:val="1"/>
          <w:color w:val="auto"/>
        </w:rPr>
        <w:t>Clinical development involves a lengthy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expensive process with an uncertain outcome, and we may encounter substantial delays due to a variety of reasons outside our control.</w:t>
      </w:r>
      <w:r>
        <w:rPr>
          <w:rFonts w:ascii="Times New Roman" w:cs="Times New Roman" w:eastAsia="Times New Roman" w:hAnsi="Times New Roman"/>
          <w:sz w:val="18"/>
          <w:szCs w:val="18"/>
          <w:color w:val="auto"/>
        </w:rPr>
        <w:t>” Any delay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NKX019 is in Phase I clinical development and subject to the risks inherent in drug development. In October 2023, we announced that we had received clearance of an Investigational New Drug ("IND") application by the FDA to evaluate NKX019 for the treatment of LN, and in June 2024, we announced we had received clearance of an IND by the FDA to evaluate NKX019 for the treatment of scleroderma, myositis, and AAV. Ntrust-1 is our multi-center, open-label, dose-escalation Phase 1 clinical trial that evaluates the safety and clinical activity of NKX019 in humans with refractory LN, and Ntrust-2 is our planned multi-center, open-label, dose-escalation Phase 1 clinical trial that will evaluate the safety and clinical activity of NKX019 in humans with scleroderma, myositis, and AAV. In both Ntrust-1 and Ntrust-2, Cy will be used as the lymphodepleting conditioning ("LD") prior to administration of NKX019. There are no cell therapies licensed to date in the United States or elsewhere to treat autoimmune diseases and we have no prior experience in developing treatments for autoimmune diseases. We cannot guarantee that our development of NKX019 for the treatment of LN,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scleroderma, myositis, AAV, or these additional autoimmune indications, our commercial opportunity will be limited, and our business, financial condition and growth prospects will be materially adversely affected.</w:t>
      </w:r>
    </w:p>
    <w:p>
      <w:pPr>
        <w:spacing w:after="0" w:line="19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NKX019 is also being studied in a multi-center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have decided to focus our research and development activities on autoimmune disease and plan for no further investment in the clinical development of NKX019 for the treatment of B-cell malignancies.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Due to the commercial availability of multiple therapeutic agents that target CD19, as well as others that are in various stages of development, we have previously had significant difficulty, and may continue to have significant difficulty, enrolling patients.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firstLine="509"/>
        <w:spacing w:after="0" w:line="254" w:lineRule="auto"/>
        <w:rPr>
          <w:sz w:val="20"/>
          <w:szCs w:val="20"/>
          <w:color w:val="auto"/>
        </w:rPr>
      </w:pPr>
      <w:r>
        <w:rPr>
          <w:rFonts w:ascii="Times New Roman" w:cs="Times New Roman" w:eastAsia="Times New Roman" w:hAnsi="Times New Roman"/>
          <w:sz w:val="18"/>
          <w:szCs w:val="18"/>
          <w:color w:val="auto"/>
        </w:rPr>
        <w:t>NKX101, our deprioritized clinical-stage product candidate, is also subject to the risks inherent in drug development. NKX101 has been studied in a Phase 1 clinical trial for the treatment of blood cancers including r/r AML or MDS. Following an interim evaluation of the clinical response data, we decided to deprioritize the clinical development of NKX101. Further enrollment in the trial has been closed. We do not plan to pursue any further development of NKX101 without first evaluating our options for the trial design, dosing regimen, and manufacturing process for the program. We cannot guarantee that we will pursue any further development of NKX101 in the near future or at all. Even if we do decide in the future to further develop NKX101 for the treatment of r/r AML or MDS, we may not be successful in doing so. If clinical development of NKX101 is restarted in the future and the Phase 1 or clinical trials of NKX101 for the treatment of AML or MDS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8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restart development of NKX101 at a later point and are able to obtain clinical proof-of-concept from our NKX101 Phase 1 trial for blood cancers including r/r AML and MDS, we may also develop NKX101 for additional indications. We may not be able to advance any of these indications through the development process. The potential development of NKX101 for treating solid tumors, for example, would be subject to a number of risks including a hostile tumor microenvironment and trafficking to tumor site. The development of treatments to treat solid tumors often requires larger and more expensive clinical trials than for treating blood cancers.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may be limited.</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NKX019 and NKX101 are our most advanced product candidates, and because our other product candidates are based on similar technology, if our current clinical trials of NKX019 or any future clinical trials of NKX019 or NKX101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data supporting the effectiveness of CD19-targeted cell therapies against autoimmune disease are limited, and CD19-targeted CAR NK-cell therapies, such as NKX019, may not provide the same, or any, therapeutic benefit against LN or other autoimmune diseases, or be competitive with respect to other CD19-targeted therapies for the treatment of autoimmune disease.*</w:t>
      </w:r>
    </w:p>
    <w:p>
      <w:pPr>
        <w:spacing w:after="0" w:line="1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Although we believe that our allogeneic CD19-targeting CAR NK-cell product candidate NKX019 may have disease-modifying potential in autoimmune disease, such as LN, the use of CD19-targeted CAR cell therapies, and, in particular, allogeneic CD19 CAR NK-cell therapies, represents a novel approach for the treatment of autoimmune disease, and is supported by limited clinical data. To date, no cell therapies have been approved by the FDA for the treatment of autoimmune disease. We cannot guarantee that Ntrust-1, our clinical trial for NKX019 in LN, Ntrust-2, our planned clinical trial for NKX019 in scleroderma, myositis, and AAV, or any other future clinical development of NKX019 for the treatment of autoimmune diseases will be successful. Our belief that NKX019 may be effective as a treatment for autoimmune disease is based largely on our understanding of the mechanism behind the positive clinical data reported by certain academic groups for the use of a CD19 CAR T-cell therapy in a limited number of patients with autoimmune disease,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plan to use Cy alone as the LD in our current, planned and future NKX019 clinical trials for the treatment of autoimmune disease, but there is a risk that Cy alone will not be effective as LD prior to NKX019 in patients with autoimmune disease. We cannot know with any certainty whether NKX019 will be effective against LN, other forms of systemic lupus erythematosus ("SLE") or any other autoimmune disease, or whether NKX019 will be competitive as a treatment for such indications against CD19 CAR T-cell therapies. 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cs="Times New Roman" w:eastAsia="Times New Roman" w:hAnsi="Times New Roman"/>
          <w:sz w:val="18"/>
          <w:szCs w:val="18"/>
          <w:i w:val="1"/>
          <w:iCs w:val="1"/>
          <w:color w:val="auto"/>
        </w:rPr>
        <w:t>Enrollment and retention of patients in clinical trials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expensive and time-consuming process and could be delayed, made more difficult or rendered impossible by multiple factors outside our control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immunotherapy product candidates, our business will be materially adversely affected</w:t>
      </w:r>
      <w:r>
        <w:rPr>
          <w:rFonts w:ascii="Times New Roman" w:cs="Times New Roman" w:eastAsia="Times New Roman" w:hAnsi="Times New Roman"/>
          <w:sz w:val="18"/>
          <w:szCs w:val="18"/>
          <w:color w:val="auto"/>
        </w:rPr>
        <w:t>.” The competition for clinical trial sites, investigators or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lead to increased development costs. If NKX019 is shown to not be sufficiently effective against LN, scleroderma, myositis, AAV, or other autoimmune diseases in clinical trials, we experience delays in our ability to advance NKX019 through clinical development for LN, scleroderma, myositis, AAV, or other autoimmune diseases, or we are unable to successfully compete against other companies in the development and commercialization of NKX019, the commercial prospects of NKX019, as well as our business, financial condition and growth prospects, would be materially adversely affected.</w:t>
      </w:r>
    </w:p>
    <w:p>
      <w:pPr>
        <w:spacing w:after="0" w:line="30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eligibility criteria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 including as a result of their assessment of the clinical trial parameters;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or approved therapies which present an attractive alternative to patients and their physicians;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 including as a result of adverse effects observed in similar or competing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due to various reasons;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or die before completion of the trial;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supply of our product candidates for our clinical trials;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have had significant difficulty in our Phase 1 NKX019 clinical trial for the treatment of B-cell malignancies and may continue to have significant difficulty in our current or future NKX019 clinical trials for certain indications, enrolling patients who have not previously been exposed to a CD19-directed cellular therapy. Additionally, for our ongoing NKX019 clinical trial for the treatment of LN, our planned NKX019 clinical trial for the treatment of additional autoimmune indications, and any future NKX019 clinical trials of ours for the treatment of other autoimmune diseases, the number of qualified clinical investigators is limited, so we may conduct some of our clinical trials at the same clinical trial sites that some of our competitors use, which will reduce the number of patients who are available for our clinical trials at such clinical trial site. A number of cell therapy companies have announced initiation of plans for clinical trials for the treatment of LN and/or other autoimmune diseases, which has resulted in and/or may increase competition in the future for investigators and/or patients for our NKX019 clinical trial for the treatment of LN, our planned NKX019 clinical trial for the treatment of additional autoimmune indications, and any other NKX019 clinical trials that we may initiate in the future for the treatment of other autoimmune diseases. Furthermore, we intend to use Cy as the LD prior to treatment with NKX019 in our NKX019 clinical trial for the treatment of LN and our planned NKX019 clinical trial for the treatment of additional autoimmune indications. If this is ineffective or we decide to change the protocol to use a combination of Flu and Cy, as the LD, physicians may choose to refer patients to other clinical trials conducted by one of our competitors.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spacing w:after="0" w:line="19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development of our product candidates also depends on the availability of a sufficient supply of certain other materials and agents used in our clinical trials. For example, certain of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Other than NKX019 and NKX101, all of our programs, including NKX070,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or other in vivo or in vitro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acceptable clinical trial design or manufacturing process;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allowing us to rely on previous findings of safety and efficacy for other similar but approved products and published scientific literature.</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the three dose expansion cohorts we announced opening in December 2022 as part of our Phase 1 NKX019 clinical trial for the treatment of B-cell malignancies did not meet expectations. In November 2024, we announced new clinical data from a cohort with a new, condensed dosing schedule. Based on these data and the highly competitive landscape for treatments of B-cell malignancies, we have decided to refocus our research and development activities on autoimmune disease and deprioritized further development of NKX019 for the treatment of B-cell malignancies. Also, an interim evaluation of the data from the most recent dose-expansion cohort of our NKX101 Phase 1 clinical trial indicated that the aggregate clinical response rate for the 20 patients in the cohort was meaningfully lower than it had been for the first six patients in the cohort. As a result, we have now deprioritized further development of NKX101.</w:t>
      </w:r>
    </w:p>
    <w:p>
      <w:pPr>
        <w:spacing w:after="0" w:line="187"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5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5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Updated data from the dose-escalation portion of our NKX019 Phase 1 clinical trial in B-cell malignancies were reported in December 2022, and updated interim data from our NKX101 Phase 1 clinical trial were reported in June 2023.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The most common higher-grade (Grade ≥3) adverse events in the interim data reported in June 2023 for patients with r/r AML in the NKX101 Phase 1 clinical trial were myelosuppression – a condition resulting in fewer red blood cells, white blood cells and platelets, as well as infections such as sepsis and pneumonia, occasionally requiring supplementary oxygen, which are common in the treated patient population after LD. The interim data from the NKX101 clinical trial indicated that adverse events experienced by certain patients with r/r AML included infusion reactions, CRS, and one case of immune effector cell-associated neurotoxicity (in each case, ≤grade 2). A more recent review of the data from additional patients enrolled in a dose-expansion cohort in our NKX101 clinical trial has indicated that the safety profile of NKX101 is consistent with the data reported in June 2023.</w:t>
      </w:r>
    </w:p>
    <w:p>
      <w:pPr>
        <w:spacing w:after="0" w:line="19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While the interim data reported to date from our NKX019 and NKX101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our specific product candidates NKX019 and NKX101. For instance,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oncology programs or the oncology programs of others.</w:t>
      </w:r>
    </w:p>
    <w:p>
      <w:pPr>
        <w:spacing w:after="0" w:line="18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tisagenlecleucel, axicabtagene ciloleucel, brexucabtagene autoleucel, and lisocabtagene maraleucel, which have been commercially approved, are direct competitors to our product candidate NKX019. A large number of cell therapy companies with capabilities and expertise in oncology are advancing development programs in autoimmune diseases. In addition, other competitors, including biopharmaceutical companies, have clinical-stage or earlier stage cell therapy product candidates for autoimmune diseases and/or hematologic malignancies. Other biopharmaceutical companies are developing bispecific T-cell engagers, NK-cell engagers and monoclonal antibodies, which are also direct competitors to NKX019 for autoimmune diseases and hematologic malignancies. Numerous academic institutions are also conducting preclinical and clinical research in these areas, as well as with other white blood cell types including NKT cells, regulatory T cells and gamma-delta T cells.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99"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 oncology,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In May 2022, we amended the CRISPR Agreement to revise the transfer of materials and nomination provisions. On March 8, 2023, the CRISPR Agreement was further amended to permit Nkarta's advancement of CRISPR-licensed product candidates targeting a specified tumor antigen and incorporate associated development and regulatory approval milestones and sales based royalties. In addition, under the CRISPR Agreement, we have received licenses from CRISPR for four CRISPR-Cas9 gene editing targets and will receive a license from CRISPR for up to one more CRISPR-Cas9 gene editing target that can be engineered into an unlimited number of its own NK-cell products. CRISPR also has an option to co-develop and co-commercialize a future CAR NK-cell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3" w:name="page44"/>
    <w:bookmarkEnd w:id="43"/>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Whenever we enter into collaborations with third parties, we could face the following risks: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and processes that compete directly or indirectly with our products or product candidates;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1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80"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firstLine="749"/>
        <w:spacing w:after="0" w:line="252" w:lineRule="auto"/>
        <w:rPr>
          <w:sz w:val="20"/>
          <w:szCs w:val="20"/>
          <w:color w:val="auto"/>
        </w:rPr>
      </w:pPr>
      <w:r>
        <w:rPr>
          <w:rFonts w:ascii="Times New Roman" w:cs="Times New Roman" w:eastAsia="Times New Roman" w:hAnsi="Times New Roman"/>
          <w:sz w:val="18"/>
          <w:szCs w:val="18"/>
          <w:color w:val="auto"/>
        </w:rPr>
        <w:t>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(“CUIMC”) initiated an IST of NKX019 in patients with SLE, and in November 2024, we announced that the first patient had been dosed in the IST. 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Their failure to comply could expose us to liability. 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w:t>
      </w:r>
    </w:p>
    <w:p>
      <w:pPr>
        <w:spacing w:after="0" w:line="29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cell-based immunotherapies may impact public perception of our company and product candidates, or impair our ability to conduct our business.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9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or technology platform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cease development if we determine that clinical results do not show promise;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we must choose to pursue and fund the development of specific types of treatment, or treatment for a specific type of autoimmune disease,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contract laboratories, and other third parties, such as CROs to advise on, conduct, or otherwise support clinical trials for our product candidates, including conducting our NKX019 clinical trial for the treatment of LN, a disease area in which we have no prior experience.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9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including future outbreaks of COVID-19 variants, Respiratory Syncytial Virus ("RSV"), or the flu, could result in similar disruptions.</w:t>
      </w:r>
    </w:p>
    <w:p>
      <w:pPr>
        <w:spacing w:after="0" w:line="13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operations, as well as the operations of some of our contract research organizations ("CROs"), contract development and manufacturing organizations ("CDMOs"), and clinical trial sites, were impacted by the COVID-19 pandemic and may in the future be similarly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potential future impacts of the emergence of another pandemic, epidemic, or outbreak of infectious disease on us, our research partners, including CRISPR, and other third parties with whom we conduct business. We may experience disruptions as a result of a pandemic, epidemic, or outbreak of infectious disease that could severely impact our business, preclinical studies and clinical trials, including:</w:t>
      </w:r>
    </w:p>
    <w:p>
      <w:pPr>
        <w:spacing w:after="0" w:line="68" w:lineRule="exact"/>
        <w:rPr>
          <w:sz w:val="20"/>
          <w:szCs w:val="20"/>
          <w:color w:val="auto"/>
        </w:rPr>
      </w:pPr>
    </w:p>
    <w:p>
      <w:pPr>
        <w:ind w:left="1020" w:right="3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including our ongoing NKX019 clinical trial for LN and planned NKX019 clinical trial for scleroderma, myositis, and AAV;</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and training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recruitment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left="1020" w:right="6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the qualification of our cGMP facility for commercial-scale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receiving supplies and materials necessary for our business operations, and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services or supplies necessary for our research and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discovery and clinical activities.</w:t>
      </w:r>
    </w:p>
    <w:p>
      <w:pPr>
        <w:spacing w:after="0" w:line="22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59"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and we may experience difficulties in managing growth.*</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2024, we had 159 full-time employees. Our operation may require us to expand our managerial, operational, clinical, quality, human resources, legal, manufacturing, supply chain, finance, commercial and/or other resources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the reduction in force may have on potential employees’ perception of our company and culture. Our need to effectively execute our growth strategy requires that we:</w:t>
      </w:r>
    </w:p>
    <w:p>
      <w:pPr>
        <w:spacing w:after="0" w:line="79" w:lineRule="exact"/>
        <w:rPr>
          <w:sz w:val="20"/>
          <w:szCs w:val="20"/>
          <w:color w:val="auto"/>
        </w:rPr>
      </w:pPr>
    </w:p>
    <w:p>
      <w:pPr>
        <w:jc w:val="both"/>
        <w:ind w:left="1020" w:right="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retain, incentivize and integrate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additional office and laboratory space if we grow our employee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in-house clinical cGMP manufacturing facility and establish and validate our commercial cGMP manufacturing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attract skilled employees or manage our future growth effectively, it will impair our ability to execute our business strategy and our business, financial condition, results of operations and growth prospects will be materially adversely affected.</w:t>
      </w:r>
    </w:p>
    <w:p>
      <w:pPr>
        <w:spacing w:after="0" w:line="26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Competition for qualified personnel in the biotechnology and pharmaceuticals field is intense due to the limited number of individuals who possess the skills and experience required by our industry. In October 2023, we announced implementation of certain cost containment measures and a reduction in force of approximately 10%. This reduction in force, as well as any others we may need to implement in the future, may have a detrimental impact on company culture and employee morale, which may hurt our ability to retain employees. We will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such outcomes could materially adversely affect our business, financial condition, results of operations and growth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51" w:name="page52"/>
    <w:bookmarkEnd w:id="51"/>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may not cover all of our potential liabilities and may potentially expose us to unrecoverable risks.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6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the failure to address emerging environmental, social, and corporate governance matters.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We may also be required to increase our disclosure of ESG-related matters in the coming years as a result of regulatory changes that have been adopted or may be adopted in the future. For example, the SEC has recently adopted certain mandated ESG reporting requirements designed to enhance and standardize climate-related disclosures and the State of California has also enacted its own climate-disclosure requirements. Compliance with these disclosure requirements may require us to significantly increase our compliance and reporting costs and may also result in disclosures that could have a negative impact on investor perception.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3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p>
    <w:p>
      <w:pPr>
        <w:spacing w:after="0" w:line="189"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We previously filed a manufacturing process change amendment with the FDA for our NKX101 Phase 1 clinical trial for the treatment of AML as part of ongoing scale up and optimization of manufacturing across our platform. In October 2023, we announced that, in the dose-expansion cohort in the NKX101 clinical trial in which fludarabine and cytarabine (“flu/ara-C”) was being used as LD, we had begun dosing patients with NKX101 product that had been generated with the amended manufacturing process. However, a subsequent interim review of the clinical response data from the cohort indicated that the aggregate response rate for the 20 patients in total in the cohort was meaningfully lower than what had been observed and previously reported for the first 6 patients in the cohort. We have closed enrollment in the clinical trial and deprioritized the NKX101 program.</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9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firstLine="509"/>
        <w:spacing w:after="0" w:line="255" w:lineRule="auto"/>
        <w:rPr>
          <w:sz w:val="20"/>
          <w:szCs w:val="20"/>
          <w:color w:val="auto"/>
        </w:rPr>
      </w:pPr>
      <w:r>
        <w:rPr>
          <w:rFonts w:ascii="Times New Roman" w:cs="Times New Roman" w:eastAsia="Times New Roman" w:hAnsi="Times New Roman"/>
          <w:sz w:val="18"/>
          <w:szCs w:val="18"/>
          <w:color w:val="auto"/>
        </w:rPr>
        <w:t>Also, although we currently manufacture our clinical supply at our own cGMP facility,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spacing w:after="0" w:line="18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a sole supplier for certain steps of our manufacturing process.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manufacturing process for NKX019 and for NKX101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5" w:name="page56"/>
    <w:bookmarkEnd w:id="55"/>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8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disruption in supply of these instruments and reagents could also result in delays in our clinical trials, which would materially adversely affect our business, financial condition, results of operations and growth prospects.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may encounter problems with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regulations regarding evolving donor infectious disease testing, traceability, manufacturing, release of product candidates and other requirements from regulatory authorities at the state or federal level or outside the United States;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or clinical-grade materials that meet regulatory agency standards or specifications with consistent and acceptable production yield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bacterial, fungal or viral contamination in our manufacturing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natural disasters or supply chain interruptions;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raw materials or key contractors.</w:t>
      </w:r>
    </w:p>
    <w:p>
      <w:pPr>
        <w:spacing w:after="0" w:line="22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for our current, planned, or future clinical trials, the clinical development and potential eventual commercialization of may be delayed, and we may be materially harmed as a result.</w:t>
      </w:r>
    </w:p>
    <w:p>
      <w:pPr>
        <w:spacing w:after="0" w:line="29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store our CAR NK cells, viral vector, master and working cell banks of NKSTIM, and any damage or loss would cause delays in replacement, and our business could suffer.</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CAR NK cells, the viral vector, and the master and working cell banks of NKSTIM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developed a validated methodology for freezing and thawing commercial-scale quantities of CAR NK cells, which we believe will be required for the storage and distribution of our CAR NK-cell product candidates.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product candidates, such as NKX019, NKX101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NKX019, NKX101 and NKX070, which could impede or prevent our successful commercialization of such product candidates and materially adversely affect our business, financial condition, results of operations and growth prospects.</w:t>
      </w:r>
    </w:p>
    <w:p>
      <w:pPr>
        <w:spacing w:after="0" w:line="19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75"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that may relate to the areas in which we are developing product candidates. For example, under the CRISPR Agreement, we are collaboratively designing and advancing certain gene-edited NK-cell therapies and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w:t>
      </w:r>
    </w:p>
    <w:p>
      <w:pPr>
        <w:spacing w:after="0" w:line="189" w:lineRule="exact"/>
        <w:rPr>
          <w:sz w:val="20"/>
          <w:szCs w:val="20"/>
          <w:color w:val="auto"/>
        </w:rPr>
      </w:pPr>
    </w:p>
    <w:p>
      <w:pPr>
        <w:ind w:right="180" w:firstLine="554"/>
        <w:spacing w:after="0" w:line="253" w:lineRule="auto"/>
        <w:rPr>
          <w:sz w:val="20"/>
          <w:szCs w:val="20"/>
          <w:color w:val="auto"/>
        </w:rPr>
      </w:pPr>
      <w:r>
        <w:rPr>
          <w:rFonts w:ascii="Times New Roman" w:cs="Times New Roman" w:eastAsia="Times New Roman" w:hAnsi="Times New Roman"/>
          <w:sz w:val="18"/>
          <w:szCs w:val="18"/>
          <w:color w:val="auto"/>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spacing w:after="0" w:line="19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p>
    <w:p>
      <w:pPr>
        <w:spacing w:after="0" w:line="176"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59"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NKX101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ind w:firstLine="509"/>
        <w:spacing w:after="0" w:line="258" w:lineRule="auto"/>
        <w:rPr>
          <w:sz w:val="20"/>
          <w:szCs w:val="20"/>
          <w:color w:val="auto"/>
        </w:rPr>
      </w:pPr>
      <w:r>
        <w:rPr>
          <w:rFonts w:ascii="Times New Roman" w:cs="Times New Roman" w:eastAsia="Times New Roman" w:hAnsi="Times New Roman"/>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licensors may have relied on third-party consultants or collaborators or on funds from third parties such that our licensors are not the sole and exclusive owners of the patents we in-licensed. For example, CRISPR has licensed certain rights to a worldwide patent portfolio that covers various aspects of the CRISPR-Cas9 editing platform technology including,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Accordingly, CRISPR has non-exclusive or co-exclusive rights to the patent rights that protect the core CRISPR-Cas9 gene-editing technology.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NKX019, NKX101 and NKX070 patent families. Our portfolio of issued patents, excluding pending patent applications, has estimated expiration dates between 2024 and 2041. Our portfolio, including issued patents, and including pending applications, to the extent they issue as patents or are used to establish nonprovisional patent applications that issue as patents, is expected to have estimated expiration dates between 2024 and 2045. For instance, composition-of-matter claims in our licensed patent portfolio that relate to our NKSTIM are estimated to expire in Q4 2024. We plan to file additional patent applications that could potentially allow for further increase of the exclusive market protection for certain uses of NKX019, NKX101 and NKX070 product candidates. However, we can provide no assurance that we will be able to file or receive additional patent protection for these or other product candidates.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30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issuance, our owned and in-licensed patents may be subject to challenge, which if successful could result in a partial or complete loss of patent rights, which could materially adversely affect our ability to protect our competitive position.</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Ex parte reexaminations were previously filed by one or more third parties against certain licensed patents in our portfolio and concluded with the claims of each reexamined patent being maintained in amended form.</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2" w:name="page63"/>
    <w:bookmarkEnd w:id="62"/>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8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enforce assignments of intellectual property rights from our employees and contractors.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4" w:name="page65"/>
    <w:bookmarkEnd w:id="64"/>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5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has certain rights in some of our licensed patents (including U.S. Patent Nos. 7,435,596, 8,026,097,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p>
    <w:p>
      <w:pPr>
        <w:spacing w:after="0" w:line="1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including NKX019, could be subject to regulatory limitations following approval, if and when such approval is granted.</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requirements for prescribers;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requirements prior to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 from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6" w:name="page67"/>
    <w:bookmarkEnd w:id="66"/>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initial clinical trials have been evaluating NKX019 and NKX101 in relapsed/refractory patients who have been previously treated with other anti-cancer therapies. We are enrolling patients in a clinical trial to evaluate NKX019 in patients with refractory LN. We do not know at this time whether either NKX019 or NKX101 or any of our product candidates will be safe for use in humans or whether they will demonstrate any autoimmune or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9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5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7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 and the availability of coverage or reimbursements by government and private payors to enable patients to afford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refer patients and prescribe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imposed by the FDA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product candidates or favorable publicity about competing products and treatments;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any limitations in terms of center or personnel training requirement imposed by third parties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requirement to undertake a REMS;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59" w:lineRule="exact"/>
        <w:rPr>
          <w:sz w:val="20"/>
          <w:szCs w:val="20"/>
          <w:color w:val="auto"/>
        </w:rPr>
      </w:pPr>
    </w:p>
    <w:p>
      <w:pPr>
        <w:ind w:right="180" w:firstLine="509"/>
        <w:spacing w:after="0" w:line="273" w:lineRule="auto"/>
        <w:rPr>
          <w:sz w:val="20"/>
          <w:szCs w:val="20"/>
          <w:color w:val="auto"/>
        </w:rPr>
      </w:pPr>
      <w:r>
        <w:rPr>
          <w:rFonts w:ascii="Times New Roman" w:cs="Times New Roman" w:eastAsia="Times New Roman" w:hAnsi="Times New Roman"/>
          <w:sz w:val="17"/>
          <w:szCs w:val="17"/>
          <w:color w:val="auto"/>
        </w:rPr>
        <w:t>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harm our business.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9" w:lineRule="exact"/>
        <w:rPr>
          <w:sz w:val="20"/>
          <w:szCs w:val="20"/>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left="1020" w:right="4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transparency to drug product pricing, review the relationship between pricing and manufacturer patient programs, and reform government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methodologies for products. Most significantly, on August 16, 2022, the Inflation Reduction Act of 2022 ("IRA") was signed into law.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includes provisions that will, among others: (i) direct CMS to negotiate the price of certain single-source prescription drugs reimbursed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and subject drug manufacturers to civil monetary penalties and a potential excise tax by offering a price that is not equal to or less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negotiated “maximum fair price” under the law; (ii) impose requirements on drug manufacturers to provide rebates to CMS under Medicare Part B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Part D as a penalty for price increases that outpace inflation; (iii) cap Medicare Part D beneficiaries’ annual out-of-pocket drug expenses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starting in 2025, effectively eliminating the “donut hole” for Medicare Part D; and (iv) delay the rebate rule that would limit the fees that pharmacy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managers can charge. The IRA also extends enhanced subsidies for individuals purchasing coverage in a health insurance marketplace through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2025. The effect of the IRA on our business and the healthcare industry in general is not yet known, but we continue to evaluate its potential impact.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state level, individual states in the United States have also become increasingly aggressive in passing legislation and implementing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control pharmaceutical and biological product pricing, including price or patient reimbursement constraints, discounts, restrictions on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access and marketing cost disclosure and transparency measures, and, in some cases, designed to encourage importation from other countries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bulk purchasing. In December 2020, the U.S. Supreme Court held unanimously that federal law does not preempt the states’ ability to regulate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benefit managers ("PBMs") and other members of the health care and pharmaceutical supply chain, an important decision that may lead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and more aggressive efforts by states in this area. In addition, regional healthcare authorities and individual hospitals are increasingly using bidding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procedures to determine what pharmaceutical products and which suppliers will be included in their prescription drug and other healthcare programs. These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could reduce the ultimate demand for our products, once approved, or put pressure on our product pricing.</w:t>
      </w:r>
    </w:p>
    <w:p>
      <w:pPr>
        <w:spacing w:after="0" w:line="20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5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market approved products outside the United States, we expect that we will be subject to additional risks in commercialization, including:</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and other public health crises, illnesses, epidemics or pandemics.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evolving global privacy laws.</w:t>
      </w:r>
    </w:p>
    <w:p>
      <w:pPr>
        <w:spacing w:after="0" w:line="229"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9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are beyond our control.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 but are not limited to:</w:t>
      </w:r>
    </w:p>
    <w:p>
      <w:pPr>
        <w:spacing w:after="0" w:line="117" w:lineRule="exact"/>
        <w:rPr>
          <w:sz w:val="20"/>
          <w:szCs w:val="20"/>
          <w:color w:val="auto"/>
        </w:rPr>
      </w:pPr>
    </w:p>
    <w:p>
      <w:pPr>
        <w:ind w:left="5540" w:right="2300" w:hanging="5023"/>
        <w:spacing w:after="0" w:line="532" w:lineRule="auto"/>
        <w:tabs>
          <w:tab w:leader="none" w:pos="10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study, not to initiate a clinical study or to terminate an existing clinical study;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announcement of initial data or clinical results from our clinical trials or expectations that such delays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clinical results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competitive products, immunotherapy drugs or cellular therapies more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strategic partnerships;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conflicts in the Middle East and Ukraine;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these risk factors.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November 4, 2024, our directors and executive officers, and entities affiliated with them, as well as holders of more than 5% of our outstanding shares of common stock, in the aggregate beneficially own 56% of our common stock (based on 70,568,754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5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November 4, 2024, we had 73,568,785 shares of common stock outstanding (including pre-funded warrants).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carryovers and certain other tax attributes may be limited.</w:t>
      </w:r>
    </w:p>
    <w:p>
      <w:pPr>
        <w:spacing w:after="0" w:line="22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foreseeable future</w:t>
      </w:r>
      <w:r>
        <w:rPr>
          <w:rFonts w:ascii="Times New Roman" w:cs="Times New Roman" w:eastAsia="Times New Roman" w:hAnsi="Times New Roman"/>
          <w:sz w:val="18"/>
          <w:szCs w:val="18"/>
          <w:color w:val="auto"/>
        </w:rPr>
        <w:t>,” we have incurred net losses since our inception and anticipate that we will continue to incur significant losses for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to the holders of our common stock for the foreseeable future.</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54" w:lineRule="exact"/>
        <w:rPr>
          <w:sz w:val="20"/>
          <w:szCs w:val="20"/>
          <w:color w:val="auto"/>
        </w:rPr>
      </w:pPr>
    </w:p>
    <w:p>
      <w:pPr>
        <w:ind w:left="1020" w:right="4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majority of directors then in office, even though less than a quorum, may fill vacancies on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votes of the holders of our common stock to amend specified provisions of our Certificate of Incorporation and bylaws.</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4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5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any of our directors, officers or other employees to us or our stockholders;</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arising pursuant to any provision of the Delaware General Corporation Law,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that is governed by the internal affairs doctrine.</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Computer system interruptions or security breaches of our information systems could significantly disrupt our product development programs and our ability to operate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8" w:name="page79"/>
    <w:bookmarkEnd w:id="78"/>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5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68" w:lineRule="exact"/>
        <w:rPr>
          <w:sz w:val="20"/>
          <w:szCs w:val="20"/>
          <w:color w:val="auto"/>
        </w:rPr>
      </w:pPr>
    </w:p>
    <w:p>
      <w:pPr>
        <w:ind w:left="1020" w:right="1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by the Federal Trade Commission ("FTC") and the Department of Justice ("DOJ"), including the potential challenge of a proposed merger or acquisition by the FTC or DOJ;</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or unknown liabilities;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prosecuting and maintaining protection of any acquired intellectual property rights;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about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9" w:name="page80"/>
    <w:bookmarkEnd w:id="79"/>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9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1" w:name="page82"/>
    <w:bookmarkEnd w:id="8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 of Company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adopted, modified or terminated a "Rule 10b5-1 trading arrangement" or a "non-rule 10b5-1 trading arrangement," as each item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0" w:type="dxa"/>
            <w:vAlign w:val="bottom"/>
            <w:gridSpan w:val="11"/>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2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11"/>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Amended and Restated Certificate of Incorporation of Nkarta,</w:t>
              </w:r>
            </w:hyperlink>
          </w:p>
        </w:tc>
        <w:tc>
          <w:tcPr>
            <w:tcW w:w="80" w:type="dxa"/>
            <w:vAlign w:val="bottom"/>
            <w:gridSpan w:val="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5"/>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Inc.</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Amendment to Restated Certificate of Incorporation of Nkarta,</w:t>
              </w:r>
            </w:hyperlink>
          </w:p>
        </w:tc>
        <w:tc>
          <w:tcPr>
            <w:tcW w:w="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9"/>
              </w:rPr>
              <w:t>6/9/2023</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5"/>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Inc.</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3.1(C)</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Second Amendment to Restated Certificate of Incorporation of</w:t>
              </w:r>
            </w:hyperlink>
          </w:p>
        </w:tc>
        <w:tc>
          <w:tcPr>
            <w:tcW w:w="4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8"/>
              </w:rPr>
              <w:t>6/13/2024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5"/>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Nkarta, Inc.</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5"/>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Amended and Restated Bylaws of Nkarta, Inc.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7"/>
              </w:rPr>
              <w:t>3.2</w:t>
            </w: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Employment Offer between Nkarta, Inc. and Nadir Mahmood.</w:t>
            </w:r>
          </w:p>
        </w:tc>
        <w:tc>
          <w:tcPr>
            <w:tcW w:w="10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120" w:type="dxa"/>
            <w:vAlign w:val="bottom"/>
            <w:gridSpan w:val="5"/>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Adopted Pursuant to Section 302 of the Sarbanes-</w:t>
            </w:r>
          </w:p>
        </w:tc>
        <w:tc>
          <w:tcPr>
            <w:tcW w:w="36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18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Adopted Pursuant to Section 302 of the Sarbanes-</w:t>
            </w:r>
          </w:p>
        </w:tc>
        <w:tc>
          <w:tcPr>
            <w:tcW w:w="36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44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48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560" w:type="dxa"/>
            <w:vAlign w:val="bottom"/>
            <w:gridSpan w:val="4"/>
          </w:tcPr>
          <w:p>
            <w:pPr>
              <w:ind w:left="14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418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w:t>
      </w:r>
    </w:p>
    <w:p>
      <w:pPr>
        <w:spacing w:after="0" w:line="320" w:lineRule="exact"/>
        <w:rPr>
          <w:sz w:val="20"/>
          <w:szCs w:val="20"/>
          <w:color w:val="auto"/>
        </w:rPr>
      </w:pPr>
    </w:p>
    <w:p>
      <w:pPr>
        <w:jc w:val="both"/>
        <w:ind w:right="180" w:firstLine="8"/>
        <w:spacing w:after="0" w:line="251" w:lineRule="auto"/>
        <w:tabs>
          <w:tab w:leader="none" w:pos="9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3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Nkarta, Inc.</w:t>
            </w:r>
          </w:p>
        </w:tc>
        <w:tc>
          <w:tcPr>
            <w:tcW w:w="4240" w:type="dxa"/>
            <w:vAlign w:val="bottom"/>
          </w:tcPr>
          <w:p>
            <w:pPr>
              <w:spacing w:after="0"/>
              <w:rPr>
                <w:sz w:val="20"/>
                <w:szCs w:val="20"/>
                <w:color w:val="auto"/>
              </w:rPr>
            </w:pPr>
          </w:p>
        </w:tc>
      </w:tr>
      <w:tr>
        <w:trPr>
          <w:trHeight w:val="47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33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/s/ Paul J. Hastings</w:t>
            </w:r>
          </w:p>
        </w:tc>
      </w:tr>
      <w:tr>
        <w:trPr>
          <w:trHeight w:val="205"/>
        </w:trPr>
        <w:tc>
          <w:tcPr>
            <w:tcW w:w="3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240" w:type="dxa"/>
            <w:vAlign w:val="bottom"/>
            <w:tcBorders>
              <w:top w:val="single" w:sz="8" w:color="auto"/>
            </w:tcBorders>
          </w:tcPr>
          <w:p>
            <w:pPr>
              <w:jc w:val="center"/>
              <w:ind w:right="890"/>
              <w:spacing w:after="0" w:line="205" w:lineRule="exact"/>
              <w:rPr>
                <w:sz w:val="20"/>
                <w:szCs w:val="20"/>
                <w:color w:val="auto"/>
              </w:rPr>
            </w:pPr>
            <w:r>
              <w:rPr>
                <w:rFonts w:ascii="Times New Roman" w:cs="Times New Roman" w:eastAsia="Times New Roman" w:hAnsi="Times New Roman"/>
                <w:sz w:val="18"/>
                <w:szCs w:val="18"/>
                <w:color w:val="auto"/>
                <w:w w:val="98"/>
              </w:rPr>
              <w:t>Paul J. Hastings</w:t>
            </w:r>
          </w:p>
        </w:tc>
      </w:tr>
      <w:tr>
        <w:trPr>
          <w:trHeight w:val="230"/>
        </w:trPr>
        <w:tc>
          <w:tcPr>
            <w:tcW w:w="36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33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/s/ Alyssa Levin</w:t>
            </w:r>
          </w:p>
        </w:tc>
      </w:tr>
      <w:tr>
        <w:trPr>
          <w:trHeight w:val="225"/>
        </w:trPr>
        <w:tc>
          <w:tcPr>
            <w:tcW w:w="36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w w:val="98"/>
              </w:rPr>
              <w:t>Alyssa Levin</w:t>
            </w:r>
          </w:p>
        </w:tc>
      </w:tr>
    </w:tbl>
    <w:p>
      <w:pPr>
        <w:jc w:val="center"/>
        <w:ind w:left="600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8405" cy="3086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1208405" cy="308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5F7F"/>
        </w:rPr>
        <w:t>Nkarta,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5F7F"/>
        </w:rPr>
        <w:t>1150 Veterans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5F7F"/>
        </w:rPr>
        <w:t>South San Francisco, CA 94080 USA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Nadir Mahmood, Ph.D.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Electronic Delivery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Nadir,</w:t>
      </w:r>
    </w:p>
    <w:p>
      <w:pPr>
        <w:spacing w:after="0" w:line="206"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I am pleased to offer you a position with Nkarta,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President reporting to Paul Hastings, Chief Executive Officer. Your employment with the Company will commence on July 29, 2024 (the “</w:t>
      </w:r>
      <w:r>
        <w:rPr>
          <w:rFonts w:ascii="Times New Roman" w:cs="Times New Roman" w:eastAsia="Times New Roman" w:hAnsi="Times New Roman"/>
          <w:sz w:val="22"/>
          <w:szCs w:val="22"/>
          <w:u w:val="single" w:color="auto"/>
          <w:color w:val="auto"/>
        </w:rPr>
        <w:t>Start Date</w:t>
      </w:r>
      <w:r>
        <w:rPr>
          <w:rFonts w:ascii="Times New Roman" w:cs="Times New Roman" w:eastAsia="Times New Roman" w:hAnsi="Times New Roman"/>
          <w:sz w:val="22"/>
          <w:szCs w:val="22"/>
          <w:color w:val="auto"/>
        </w:rPr>
        <w:t>”). Effective as of the Start Date, you will receive an annual base salary of $530,000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which will be paid in accordance with the Company’s then existing payroll procedures.</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You agree that your services as President will be primarily performed at the Company’s headquarters and manufacturing facilities in South San Francisco, California. Intermittent travel in the U.S. or abroad may be required, and pre-approved expenses related to transportation and lodging for such travel will be reimbursed by the Company, subject to and in accordance with the Company’s expense policies.</w:t>
      </w:r>
    </w:p>
    <w:p>
      <w:pPr>
        <w:spacing w:after="0" w:line="1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Each year during the term of your employment, you will be eligible for a bonus of up to fifty percent (50%) of your then existing Base Salary based on achievement of performance objectives to be determined by the Board of Directors or a committee thereof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Any bonuses will be subject to your continued employment with the Company through the date the bonus is paid, in no event later than March 15 of the calendar year following the calendar year as to which the bonus relates. As an employee, you will also be eligible for standard Company benefits in accordance with Company policy, subject in each case to the generally applicable terms and conditions of the applicable benefit plan and to the determinations of any person or committee administering such plan. You will be entitled to paid time off in accordance with the Company’s time-off policy, the timing and duration of such time off to be mutually and reasonably agreed to between you and the Company. The Company will also reimburse any of your expenses associated with Company business, subject to and in accordance with the Company’s expense policies. You should note that the Company may modify salaries, benefits and its policies from time to time as it deems necessary or appropriate.</w:t>
      </w:r>
    </w:p>
    <w:p>
      <w:pPr>
        <w:spacing w:after="0" w:line="17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If you decide to join the Company, the Company will recommend that the Board grant you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550,000 shares (subject to customary adjustments for stock splits, reverse splits, stock dividends and similar events after the date hereof) of the Company’s common stock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at a price per share equal to the closing price (in regular trading) of a share of Common Stock on the date of grant of the Option (or, if the date of grant of the Option is not a trading day, as of the most recent trading day prior to the date of grant of the Option). Twenty-five percent (25%) of the Option will vest and be exercisable on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ind w:right="100"/>
        <w:spacing w:after="0" w:line="251" w:lineRule="auto"/>
        <w:rPr>
          <w:sz w:val="20"/>
          <w:szCs w:val="20"/>
          <w:color w:val="auto"/>
        </w:rPr>
      </w:pPr>
      <w:r>
        <w:rPr>
          <w:rFonts w:ascii="Times New Roman" w:cs="Times New Roman" w:eastAsia="Times New Roman" w:hAnsi="Times New Roman"/>
          <w:sz w:val="21"/>
          <w:szCs w:val="21"/>
          <w:color w:val="auto"/>
        </w:rPr>
        <w:t>anniversary of the Start Date, subject to your continuing employment with the Company through that date, and none of the Option will vest before such date. The remaining Option will vest monthly over the next thirty-six (36) months in equal installments, subject in each case to your continuing employment with the Company through the applicable vesting date. The Option will be granted under the Company’s equity incentive plan and will be subject to such further terms and conditions as set forth in such plan and in a written stock option agreement to be entered into by the Company and you to evidence the Option.</w:t>
      </w:r>
    </w:p>
    <w:p>
      <w:pPr>
        <w:spacing w:after="0" w:line="16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Effective as of your Start Date, the Company will offer you a Severance Agreement in the form that the Company has entered into with the CEO of the Company (the “</w:t>
      </w:r>
      <w:r>
        <w:rPr>
          <w:rFonts w:ascii="Times New Roman" w:cs="Times New Roman" w:eastAsia="Times New Roman" w:hAnsi="Times New Roman"/>
          <w:sz w:val="22"/>
          <w:szCs w:val="22"/>
          <w:u w:val="single" w:color="auto"/>
          <w:color w:val="auto"/>
        </w:rPr>
        <w:t>Severance Agreement</w:t>
      </w:r>
      <w:r>
        <w:rPr>
          <w:rFonts w:ascii="Times New Roman" w:cs="Times New Roman" w:eastAsia="Times New Roman" w:hAnsi="Times New Roman"/>
          <w:sz w:val="22"/>
          <w:szCs w:val="22"/>
          <w:color w:val="auto"/>
        </w:rPr>
        <w:t>”). Your severance period under the Severance Agreement will be twelve months for an Involuntary Termination (as defined in the Severance Agreement) not in connection with or within one year following a Change in Control (as defined in the Severance Agreement) and eighteen months for an Involuntary Termination in connection with or within one year following a Change in Control.</w:t>
      </w:r>
    </w:p>
    <w:p>
      <w:pPr>
        <w:spacing w:after="0" w:line="17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The Company is excited about your joining and looks forward to a beneficial and productive relationship. Nevertheless,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(2) weeks’ advance notice.</w:t>
      </w:r>
    </w:p>
    <w:p>
      <w:pPr>
        <w:spacing w:after="0" w:line="17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If you terminate, or if the Company terminates, your employment for any reason (with or without cause), then (except as otherwise provided in the circumstances in your Severance Agreement) you will be entitled to receive only: (i) any earned but unpaid base salary as of the date of termination; (ii) reimbursement for all reasonable and pre-approved necessary expenses incurred by you in connection with your performance of services on behalf of the Company while you are employed with the Company (subject to providing reasonable and timely documentation of such expenses and to the extent such expenses are reimbursable under the Company’s expense policies), payable in accordance with applicable Company policies and procedures; and (iii) your vested and unpaid benefits (if any) pursuant to any Company benefit plan, payable in accordance with the terms of the applicable plan.</w:t>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1"/>
          <w:szCs w:val="21"/>
          <w:color w:val="auto"/>
        </w:rPr>
        <w:t>The Company reserves the right to conduct background investigations and/or reference checks on all of its potential employees. Your job offer, therefore, is contingent upon a clearance of such a background investigation and/or reference check, if any. In addition, your position and the compensation levels provided for in this letter are subject to the approval of the Board.</w:t>
      </w:r>
    </w:p>
    <w:p>
      <w:pPr>
        <w:spacing w:after="0" w:line="15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For purposes of federal immigration law, you will be required to provide to the Company documentary evidence of your identity and eligibility for employment in the United States. Please bring such documentation with you on your Start Date or our employment relationship with you may be terminated.</w:t>
      </w:r>
    </w:p>
    <w:p>
      <w:pPr>
        <w:spacing w:after="0" w:line="17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During the course of your employment with Company, you shall perform your job responsibilities entirely within the United States and at the work location address(es) on file with the Company’s People team, unless its during brief periods of travel (&lt;2 weeks) required for</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6" w:name="page87"/>
    <w:bookmarkEnd w:id="86"/>
    <w:p>
      <w:pPr>
        <w:ind w:right="180"/>
        <w:spacing w:after="0" w:line="258" w:lineRule="auto"/>
        <w:rPr>
          <w:sz w:val="20"/>
          <w:szCs w:val="20"/>
          <w:color w:val="auto"/>
        </w:rPr>
      </w:pPr>
      <w:r>
        <w:rPr>
          <w:rFonts w:ascii="Times New Roman" w:cs="Times New Roman" w:eastAsia="Times New Roman" w:hAnsi="Times New Roman"/>
          <w:sz w:val="22"/>
          <w:szCs w:val="22"/>
          <w:color w:val="auto"/>
        </w:rPr>
        <w:t>your job or you receive prior written approval from both your manager and the Company’s People team to move your work to a new state or to work temporarily from a location outside of the United States.</w:t>
      </w:r>
    </w:p>
    <w:p>
      <w:pPr>
        <w:spacing w:after="0" w:line="15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and will not interfere with your performance of, the duties of your position and you represent that such is the case. Moreover, you agree that, while you are employed with the Company, you will not engage in any other employment, occupation, consulting or other business activity directly related to the business in which the Company is now involved or becomes involved during the period of your employment, nor will you engage in any other activities that conflict with your obligations to the Company. Similarly, you agree not to bring any third-party confidential information to the Company, including that of your former employer, and that in performing your duties for the Company you will not in any way utilize any such information.</w:t>
      </w:r>
    </w:p>
    <w:p>
      <w:pPr>
        <w:spacing w:after="0" w:line="18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As a condition of your employment and prior to the Start Date, you are also required to sign the Company’s At Will Employment, Confidential Information, Invention Assignment and Arbitration Agreement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which requires, among other provisions, the assignment of patent rights to any invention made during your employment at the Company, non-disclosure of Company proprietary information, and that in the event of any dispute or claim relating to or arising out of our employment relationship, you and the Company agree that any and all disputes between you and the Company will be fully and finally resolved by binding arbitration. Please note that we must receive your signed Confidentiality Agreement before your first day of employment. Your continued employment with the Company is subject to your ongoing compliance with your obligations under the Confidentiality Agreement and your compliance with all other Company policies, as they are in effect from time to time.</w:t>
      </w:r>
    </w:p>
    <w:p>
      <w:pPr>
        <w:spacing w:after="0" w:line="18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letter and all of your rights and obligations hereunder are personal to you and may not be transferred or assigned by you at any time. The Company may assign its rights under this letter to a parent or affiliated company or to an entity that assumes the Company’s obligations hereunder in connection with a sale or transfer of all or a substantial portion of the Company’s business or assets.</w:t>
      </w:r>
    </w:p>
    <w:p>
      <w:pPr>
        <w:spacing w:after="0" w:line="180" w:lineRule="exact"/>
        <w:rPr>
          <w:sz w:val="20"/>
          <w:szCs w:val="20"/>
          <w:color w:val="auto"/>
        </w:rPr>
      </w:pPr>
    </w:p>
    <w:p>
      <w:pPr>
        <w:spacing w:after="0" w:line="255" w:lineRule="exact"/>
        <w:rPr>
          <w:sz w:val="20"/>
          <w:szCs w:val="20"/>
          <w:color w:val="auto"/>
        </w:rPr>
      </w:pPr>
      <w:r>
        <w:rPr>
          <w:rFonts w:ascii="Times New Roman" w:cs="Times New Roman" w:eastAsia="Times New Roman" w:hAnsi="Times New Roman"/>
          <w:sz w:val="22"/>
          <w:szCs w:val="22"/>
          <w:color w:val="auto"/>
        </w:rPr>
        <w:t>To accept the Company’s offer, please sign and date this letter agreement in the space provided below and return it to the sender before the deadline indicated below. This letter, along with the Confidentiality Agreement set forth the terms of your employment with the Company and supersede any prior representations or agreements including, but not limited to, any representations made during your recruitment, interviews or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employment negotiations, whether written or oral. This letter, including, but not limited to, its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employment provision, may not be modified or amended except by a written agreement signed by authorized officer of the Company and you.</w:t>
      </w:r>
    </w:p>
    <w:p>
      <w:pPr>
        <w:spacing w:after="0" w:line="173"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22"/>
          <w:szCs w:val="22"/>
          <w:color w:val="auto"/>
        </w:rPr>
        <w:t xml:space="preserve">This offer of employment will expire if we don’t receive your signed acceptance by the end of the day on </w:t>
      </w:r>
      <w:r>
        <w:rPr>
          <w:rFonts w:ascii="Times New Roman" w:cs="Times New Roman" w:eastAsia="Times New Roman" w:hAnsi="Times New Roman"/>
          <w:sz w:val="22"/>
          <w:szCs w:val="22"/>
          <w:b w:val="1"/>
          <w:bCs w:val="1"/>
          <w:u w:val="single" w:color="auto"/>
          <w:color w:val="auto"/>
        </w:rPr>
        <w:t>Monday, July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2024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7" w:name="page88"/>
    <w:bookmarkEnd w:id="87"/>
    <w:p>
      <w:pPr>
        <w:ind w:right="1959"/>
        <w:spacing w:after="0" w:line="463" w:lineRule="auto"/>
        <w:rPr>
          <w:sz w:val="20"/>
          <w:szCs w:val="20"/>
          <w:color w:val="auto"/>
        </w:rPr>
      </w:pPr>
      <w:r>
        <w:rPr>
          <w:rFonts w:ascii="Times New Roman" w:cs="Times New Roman" w:eastAsia="Times New Roman" w:hAnsi="Times New Roman"/>
          <w:sz w:val="22"/>
          <w:szCs w:val="22"/>
          <w:color w:val="auto"/>
        </w:rPr>
        <w:t>I look forward to your favorable reply and to welcoming you back to Nkarta, Inc. as President. Sincerely,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Paul Hastings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Hastings, CEO</w:t>
      </w:r>
    </w:p>
    <w:p>
      <w:pPr>
        <w:spacing w:after="0" w:line="18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u w:val="single" w:color="auto"/>
          <w:color w:val="auto"/>
        </w:rPr>
        <w:t>7/11/2024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Nadir Mahmood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Nadir Mahmood, Ph.D.</w:t>
      </w:r>
    </w:p>
    <w:p>
      <w:pPr>
        <w:spacing w:after="0" w:line="18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u w:val="single" w:color="auto"/>
          <w:color w:val="auto"/>
        </w:rPr>
        <w:t>7/11/2024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At-Will Employment,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1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Paul J. Hastings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Alyssa Levin,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16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September 30, 2024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spacing w:after="0" w:line="180"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Paul J. Hastings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jpe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01" Type="http://schemas.openxmlformats.org/officeDocument/2006/relationships/hyperlink" Target="https://www.sec.gov/Archives/edgar/data/1787400/000119312520192614/d62111dex31.htm" TargetMode="External"/><Relationship Id="rId302" Type="http://schemas.openxmlformats.org/officeDocument/2006/relationships/hyperlink" Target="https://www.sec.gov/Archives/edgar/data/1787400/000095017023027263/nktx-ex3_1.htm" TargetMode="External"/><Relationship Id="rId303" Type="http://schemas.openxmlformats.org/officeDocument/2006/relationships/hyperlink" Target="https://www.sec.gov/Archives/edgar/data/1787400/000095017024073046/nktx-ex3_1.htm" TargetMode="External"/><Relationship Id="rId304" Type="http://schemas.openxmlformats.org/officeDocument/2006/relationships/hyperlink" Target="https://www.sec.gov/Archives/edgar/data/1787400/000119312520192614/d621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2024-11-07T16:03:03Z</dcterms:created>
  <dcterms:modified xsi:type="dcterms:W3CDTF">2024-11-07T16:03:03Z</dcterms:modified>
</cp:coreProperties>
</file>