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rPr/>
      </w:pPr>
      <w:bookmarkStart w:id="0" w:name="nktx-10k_20201231.htm"/>
      <w:bookmarkStart w:id="1" w:name="ksnktx10k_20201231"/>
      <w:bookmarkEnd w:id="0"/>
      <w:bookmarkEnd w:id="1"/>
      <w:r>
        <w:rPr/>
        <w:t> </w:t>
      </w:r>
    </w:p>
    <w:p>
      <w:pPr>
        <w:pStyle w:val="TextBody"/>
        <w:pBdr>
          <w:top w:val="double" w:sz="6" w:space="1" w:color="000000"/>
        </w:pBdr>
        <w:spacing w:before="0" w:after="0"/>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UNITED STATES</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SECURITIES AND EXCHANGE COMMISSION</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Washington, D.C. 20549 </w:t>
      </w:r>
    </w:p>
    <w:p>
      <w:pPr>
        <w:pStyle w:val="TextBody"/>
        <w:pBdr>
          <w:bottom w:val="single" w:sz="8" w:space="1" w:color="000000"/>
        </w:pBdr>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8"/>
        </w:rPr>
      </w:pPr>
      <w:r>
        <w:rPr>
          <w:rFonts w:ascii="Times New Roman" w:hAnsi="Times New Roman"/>
          <w:b/>
          <w:i w:val="false"/>
          <w:caps w:val="false"/>
          <w:smallCaps w:val="false"/>
          <w:sz w:val="28"/>
        </w:rPr>
        <w:t xml:space="preserve">FORM 10-K </w:t>
      </w:r>
    </w:p>
    <w:p>
      <w:pPr>
        <w:pStyle w:val="TextBody"/>
        <w:pBdr>
          <w:bottom w:val="single" w:sz="8" w:space="1" w:color="000000"/>
        </w:pBdr>
        <w:spacing w:before="0" w:after="0"/>
        <w:jc w:val="center"/>
        <w:rPr/>
      </w:pPr>
      <w:r>
        <w:rPr/>
        <w:t> </w:t>
      </w:r>
    </w:p>
    <w:p>
      <w:pPr>
        <w:pStyle w:val="TextBody"/>
        <w:spacing w:before="0" w:after="0"/>
        <w:jc w:val="center"/>
        <w:rPr/>
      </w:pPr>
      <w:r>
        <w:rPr/>
        <w:t> </w:t>
      </w:r>
    </w:p>
    <w:p>
      <w:pPr>
        <w:pStyle w:val="TextBody"/>
        <w:spacing w:before="0" w:after="0"/>
        <w:rPr>
          <w:rFonts w:ascii="Times New Roman" w:hAnsi="Times New Roman"/>
          <w:b/>
          <w:i w:val="false"/>
          <w:caps w:val="false"/>
          <w:smallCaps w:val="false"/>
          <w:sz w:val="12"/>
        </w:rPr>
      </w:pPr>
      <w:r>
        <w:rPr>
          <w:rFonts w:ascii="Times New Roman" w:hAnsi="Times New Roman"/>
          <w:b/>
          <w:i w:val="false"/>
          <w:caps w:val="false"/>
          <w:smallCaps w:val="false"/>
          <w:sz w:val="12"/>
        </w:rPr>
        <w:t>(Mark One)</w:t>
      </w:r>
    </w:p>
    <w:p>
      <w:pPr>
        <w:pStyle w:val="TextBody"/>
        <w:spacing w:before="0" w:after="0"/>
        <w:rPr/>
      </w:pPr>
      <w:r>
        <w:rPr/>
        <w:t> </w:t>
      </w:r>
    </w:p>
    <w:tbl>
      <w:tblPr>
        <w:tblW w:w="8485" w:type="dxa"/>
        <w:jc w:val="left"/>
        <w:tblInd w:w="0" w:type="dxa"/>
        <w:tblCellMar>
          <w:top w:w="0" w:type="dxa"/>
          <w:left w:w="0" w:type="dxa"/>
          <w:bottom w:w="0" w:type="dxa"/>
          <w:right w:w="0" w:type="dxa"/>
        </w:tblCellMar>
      </w:tblPr>
      <w:tblGrid>
        <w:gridCol w:w="230"/>
        <w:gridCol w:w="8255"/>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8255" w:type="dxa"/>
            <w:tcBorders/>
            <w:shd w:fill="auto" w:val="clear"/>
          </w:tcPr>
          <w:p>
            <w:pPr>
              <w:pStyle w:val="TableContents"/>
              <w:spacing w:before="40" w:after="0"/>
              <w:ind w:left="0" w:right="0" w:hanging="0"/>
              <w:rPr>
                <w:rFonts w:ascii="Times New Roman" w:hAnsi="Times New Roman"/>
                <w:b/>
                <w:i w:val="false"/>
                <w:caps w:val="false"/>
                <w:smallCaps w:val="false"/>
                <w:sz w:val="17"/>
              </w:rPr>
            </w:pPr>
            <w:r>
              <w:rPr>
                <w:rFonts w:ascii="Times New Roman" w:hAnsi="Times New Roman"/>
                <w:b/>
                <w:i w:val="false"/>
                <w:caps w:val="false"/>
                <w:smallCaps w:val="false"/>
                <w:sz w:val="17"/>
              </w:rPr>
              <w:t xml:space="preserve">ANNUAL REPORT PURSUANT TO SECTION 13 OR 15(d) OF THE SECURITIES EXCHANGE ACT OF 1934 </w:t>
            </w:r>
          </w:p>
        </w:tc>
      </w:tr>
    </w:tbl>
    <w:p>
      <w:pPr>
        <w:pStyle w:val="TextBody"/>
        <w:spacing w:before="6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For the fiscal year ended December 31, 2020</w:t>
      </w:r>
    </w:p>
    <w:p>
      <w:pPr>
        <w:pStyle w:val="TextBody"/>
        <w:spacing w:before="6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 xml:space="preserve">OR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40" w:after="0"/>
              <w:ind w:left="0" w:right="0" w:hanging="0"/>
              <w:rPr>
                <w:rFonts w:ascii="Times New Roman" w:hAnsi="Times New Roman"/>
                <w:b/>
                <w:i w:val="false"/>
                <w:caps w:val="false"/>
                <w:smallCaps w:val="false"/>
                <w:sz w:val="17"/>
              </w:rPr>
            </w:pPr>
            <w:r>
              <w:rPr>
                <w:rFonts w:ascii="Times New Roman" w:hAnsi="Times New Roman"/>
                <w:b/>
                <w:i w:val="false"/>
                <w:caps w:val="false"/>
                <w:smallCaps w:val="false"/>
                <w:sz w:val="17"/>
              </w:rPr>
              <w:t>TRANSITION REPORT PURSUANT TO SECTION 13 OR 15(d) OF THE SECURITIES EXCHANGE ACT OF 1934 FOR THE TRANSITION PERIOD FROM                      TO                     </w:t>
            </w:r>
          </w:p>
        </w:tc>
      </w:tr>
    </w:tbl>
    <w:p>
      <w:pPr>
        <w:pStyle w:val="TextBody"/>
        <w:spacing w:before="6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Commission File Number 001-39370</w:t>
      </w:r>
    </w:p>
    <w:p>
      <w:pPr>
        <w:pStyle w:val="TextBody"/>
        <w:pBdr>
          <w:bottom w:val="single" w:sz="8" w:space="1" w:color="000000"/>
        </w:pBdr>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Nkarta, Inc.</w:t>
      </w:r>
    </w:p>
    <w:p>
      <w:pPr>
        <w:pStyle w:val="TextBody"/>
        <w:spacing w:before="0" w:after="0"/>
        <w:jc w:val="center"/>
        <w:rPr>
          <w:rFonts w:ascii="Times New Roman" w:hAnsi="Times New Roman"/>
          <w:b/>
          <w:i w:val="false"/>
          <w:caps w:val="false"/>
          <w:smallCaps w:val="false"/>
          <w:sz w:val="15"/>
        </w:rPr>
      </w:pPr>
      <w:r>
        <w:rPr>
          <w:rFonts w:ascii="Times New Roman" w:hAnsi="Times New Roman"/>
          <w:b/>
          <w:i w:val="false"/>
          <w:caps w:val="false"/>
          <w:smallCaps w:val="false"/>
          <w:sz w:val="15"/>
        </w:rPr>
        <w:t xml:space="preserve">(Exact name of registrant as specified in its charter) </w:t>
      </w:r>
    </w:p>
    <w:p>
      <w:pPr>
        <w:pStyle w:val="TextBody"/>
        <w:pBdr>
          <w:bottom w:val="single" w:sz="8" w:space="1" w:color="000000"/>
        </w:pBdr>
        <w:spacing w:before="0" w:after="0"/>
        <w:jc w:val="center"/>
        <w:rPr/>
      </w:pPr>
      <w:r>
        <w:rPr/>
        <w:t> </w:t>
      </w:r>
    </w:p>
    <w:p>
      <w:pPr>
        <w:pStyle w:val="TextBody"/>
        <w:spacing w:before="0" w:after="0"/>
        <w:jc w:val="center"/>
        <w:rPr/>
      </w:pPr>
      <w:r>
        <w:rPr/>
        <w:t> </w:t>
      </w:r>
    </w:p>
    <w:tbl>
      <w:tblPr>
        <w:tblW w:w="3445" w:type="dxa"/>
        <w:jc w:val="center"/>
        <w:tblInd w:w="0" w:type="dxa"/>
        <w:tblCellMar>
          <w:top w:w="0" w:type="dxa"/>
          <w:left w:w="0" w:type="dxa"/>
          <w:bottom w:w="0" w:type="dxa"/>
          <w:right w:w="0" w:type="dxa"/>
        </w:tblCellMar>
      </w:tblPr>
      <w:tblGrid>
        <w:gridCol w:w="2330"/>
        <w:gridCol w:w="1115"/>
      </w:tblGrid>
      <w:tr>
        <w:trPr/>
        <w:tc>
          <w:tcPr>
            <w:tcW w:w="233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5"/>
              </w:rPr>
            </w:pPr>
            <w:r>
              <w:rPr>
                <w:rFonts w:ascii="Times New Roman" w:hAnsi="Times New Roman"/>
                <w:b/>
                <w:i w:val="false"/>
                <w:caps w:val="false"/>
                <w:smallCaps w:val="false"/>
                <w:sz w:val="15"/>
              </w:rPr>
              <w:t>Delaware</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5"/>
              </w:rPr>
            </w:pPr>
            <w:r>
              <w:rPr>
                <w:rFonts w:ascii="Times New Roman" w:hAnsi="Times New Roman"/>
                <w:b/>
                <w:i w:val="false"/>
                <w:caps w:val="false"/>
                <w:smallCaps w:val="false"/>
                <w:sz w:val="15"/>
              </w:rPr>
              <w:t>47-4515206</w:t>
            </w:r>
          </w:p>
        </w:tc>
      </w:tr>
      <w:tr>
        <w:trPr/>
        <w:tc>
          <w:tcPr>
            <w:tcW w:w="233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(State or other jurisdiction of</w:t>
            </w:r>
          </w:p>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incorporation or organization)</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(I.R.S. Employer</w:t>
            </w:r>
          </w:p>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Identification No.)</w:t>
            </w:r>
          </w:p>
        </w:tc>
      </w:tr>
      <w:tr>
        <w:trPr/>
        <w:tc>
          <w:tcPr>
            <w:tcW w:w="233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5"/>
              </w:rPr>
            </w:pPr>
            <w:r>
              <w:rPr>
                <w:rFonts w:ascii="Times New Roman" w:hAnsi="Times New Roman"/>
                <w:b/>
                <w:i w:val="false"/>
                <w:caps w:val="false"/>
                <w:smallCaps w:val="false"/>
                <w:sz w:val="15"/>
              </w:rPr>
              <w:t>6000 Shoreline Court, Suite 102</w:t>
            </w:r>
          </w:p>
          <w:p>
            <w:pPr>
              <w:pStyle w:val="TableContents"/>
              <w:spacing w:before="0" w:after="0"/>
              <w:ind w:left="0" w:right="0" w:hanging="0"/>
              <w:jc w:val="center"/>
              <w:rPr>
                <w:rFonts w:ascii="Times New Roman" w:hAnsi="Times New Roman"/>
                <w:b/>
                <w:i w:val="false"/>
                <w:caps w:val="false"/>
                <w:smallCaps w:val="false"/>
                <w:sz w:val="15"/>
              </w:rPr>
            </w:pPr>
            <w:r>
              <w:rPr>
                <w:rFonts w:ascii="Times New Roman" w:hAnsi="Times New Roman"/>
                <w:b/>
                <w:i w:val="false"/>
                <w:caps w:val="false"/>
                <w:smallCaps w:val="false"/>
                <w:sz w:val="15"/>
              </w:rPr>
              <w:t xml:space="preserve">South San Francisco, CA </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5"/>
              </w:rPr>
            </w:pPr>
            <w:r>
              <w:rPr>
                <w:rFonts w:ascii="Times New Roman" w:hAnsi="Times New Roman"/>
                <w:b/>
                <w:i w:val="false"/>
                <w:caps w:val="false"/>
                <w:smallCaps w:val="false"/>
                <w:sz w:val="15"/>
              </w:rPr>
              <w:t>94080</w:t>
            </w:r>
          </w:p>
        </w:tc>
      </w:tr>
      <w:tr>
        <w:trPr/>
        <w:tc>
          <w:tcPr>
            <w:tcW w:w="233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(Address of principal executive offices)</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(Zip Code)</w:t>
            </w:r>
          </w:p>
        </w:tc>
      </w:tr>
    </w:tbl>
    <w:p>
      <w:pPr>
        <w:pStyle w:val="TextBody"/>
        <w:spacing w:before="6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(415) 582-4923</w:t>
      </w:r>
    </w:p>
    <w:p>
      <w:pPr>
        <w:pStyle w:val="TextBody"/>
        <w:spacing w:before="0" w:after="0"/>
        <w:jc w:val="center"/>
        <w:rPr>
          <w:rFonts w:ascii="Times New Roman" w:hAnsi="Times New Roman"/>
          <w:b/>
          <w:i w:val="false"/>
          <w:caps w:val="false"/>
          <w:smallCaps w:val="false"/>
          <w:sz w:val="13"/>
        </w:rPr>
      </w:pPr>
      <w:r>
        <w:rPr>
          <w:rFonts w:ascii="Times New Roman" w:hAnsi="Times New Roman"/>
          <w:b/>
          <w:i w:val="false"/>
          <w:caps w:val="false"/>
          <w:smallCaps w:val="false"/>
          <w:sz w:val="13"/>
        </w:rPr>
        <w:t xml:space="preserve">(Registrant’s telephone number, including area code) </w:t>
      </w:r>
    </w:p>
    <w:p>
      <w:pPr>
        <w:pStyle w:val="TextBody"/>
        <w:pBdr>
          <w:bottom w:val="single" w:sz="8" w:space="1" w:color="000000"/>
        </w:pBdr>
        <w:spacing w:before="0" w:after="0"/>
        <w:jc w:val="center"/>
        <w:rPr/>
      </w:pPr>
      <w:r>
        <w:rPr/>
        <w:t> </w:t>
      </w:r>
    </w:p>
    <w:p>
      <w:pPr>
        <w:pStyle w:val="TextBody"/>
        <w:spacing w:before="0" w:after="0"/>
        <w:jc w:val="center"/>
        <w:rPr>
          <w:caps w:val="false"/>
          <w:smallCaps w:val="false"/>
        </w:rPr>
      </w:pPr>
      <w:r>
        <w:rPr>
          <w:caps w:val="false"/>
          <w:smallCaps w:val="false"/>
        </w:rPr>
        <w:t> </w:t>
      </w:r>
    </w:p>
    <w:p>
      <w:pPr>
        <w:pStyle w:val="TextBody"/>
        <w:spacing w:before="0" w:after="0"/>
        <w:rPr>
          <w:rFonts w:ascii="Times New Roman" w:hAnsi="Times New Roman"/>
          <w:b w:val="false"/>
          <w:i w:val="false"/>
          <w:caps w:val="false"/>
          <w:smallCaps w:val="false"/>
          <w:sz w:val="15"/>
        </w:rPr>
      </w:pPr>
      <w:r>
        <w:rPr>
          <w:rFonts w:ascii="Times New Roman" w:hAnsi="Times New Roman"/>
          <w:b w:val="false"/>
          <w:i w:val="false"/>
          <w:caps w:val="false"/>
          <w:smallCaps w:val="false"/>
          <w:sz w:val="15"/>
        </w:rPr>
        <w:t xml:space="preserve">Securities registered pursuant to Section 12(b) of the Act: </w:t>
      </w:r>
    </w:p>
    <w:p>
      <w:pPr>
        <w:pStyle w:val="TextBody"/>
        <w:spacing w:before="0" w:after="0"/>
        <w:rPr/>
      </w:pPr>
      <w:r>
        <w:rPr/>
        <w:t> </w:t>
      </w:r>
    </w:p>
    <w:tbl>
      <w:tblPr>
        <w:tblW w:w="6030" w:type="dxa"/>
        <w:jc w:val="left"/>
        <w:tblInd w:w="0" w:type="dxa"/>
        <w:tblCellMar>
          <w:top w:w="0" w:type="dxa"/>
          <w:left w:w="0" w:type="dxa"/>
          <w:bottom w:w="28" w:type="dxa"/>
          <w:right w:w="0" w:type="dxa"/>
        </w:tblCellMar>
      </w:tblPr>
      <w:tblGrid>
        <w:gridCol w:w="2720"/>
        <w:gridCol w:w="60"/>
        <w:gridCol w:w="620"/>
        <w:gridCol w:w="60"/>
        <w:gridCol w:w="2570"/>
      </w:tblGrid>
      <w:tr>
        <w:trPr/>
        <w:tc>
          <w:tcPr>
            <w:tcW w:w="272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Title of each class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62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Trading</w:t>
            </w:r>
          </w:p>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Symbol(s)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257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Name of each exchange on which registered</w:t>
            </w:r>
          </w:p>
        </w:tc>
      </w:tr>
      <w:tr>
        <w:trPr/>
        <w:tc>
          <w:tcPr>
            <w:tcW w:w="2720"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val="false"/>
                <w:i w:val="false"/>
                <w:caps w:val="false"/>
                <w:smallCaps w:val="false"/>
                <w:sz w:val="15"/>
              </w:rPr>
            </w:pPr>
            <w:r>
              <w:rPr>
                <w:rFonts w:ascii="Times New Roman" w:hAnsi="Times New Roman"/>
                <w:b w:val="false"/>
                <w:i w:val="false"/>
                <w:caps w:val="false"/>
                <w:smallCaps w:val="false"/>
                <w:sz w:val="15"/>
              </w:rPr>
              <w:t>Common Stock, $0.0001 par value per share</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620"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val="false"/>
                <w:i w:val="false"/>
                <w:caps w:val="false"/>
                <w:smallCaps w:val="false"/>
                <w:sz w:val="15"/>
              </w:rPr>
            </w:pPr>
            <w:r>
              <w:rPr>
                <w:rFonts w:ascii="Times New Roman" w:hAnsi="Times New Roman"/>
                <w:b w:val="false"/>
                <w:i w:val="false"/>
                <w:caps w:val="false"/>
                <w:smallCaps w:val="false"/>
                <w:sz w:val="15"/>
              </w:rPr>
              <w:t>NKTX</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2570"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15"/>
              </w:rPr>
            </w:pPr>
            <w:r>
              <w:rPr>
                <w:rFonts w:ascii="Times New Roman" w:hAnsi="Times New Roman"/>
                <w:b w:val="false"/>
                <w:i w:val="false"/>
                <w:caps w:val="false"/>
                <w:smallCaps w:val="false"/>
                <w:sz w:val="15"/>
              </w:rPr>
              <w:t>The Nasdaq Stock Market LLC</w:t>
            </w:r>
          </w:p>
          <w:p>
            <w:pPr>
              <w:pStyle w:val="TableContents"/>
              <w:spacing w:before="0" w:after="0"/>
              <w:ind w:left="0" w:right="0" w:hanging="0"/>
              <w:jc w:val="center"/>
              <w:rPr>
                <w:rFonts w:ascii="Times New Roman" w:hAnsi="Times New Roman"/>
                <w:b w:val="false"/>
                <w:i w:val="false"/>
                <w:caps w:val="false"/>
                <w:smallCaps w:val="false"/>
                <w:color w:val="212529"/>
                <w:sz w:val="15"/>
                <w:highlight w:val="white"/>
              </w:rPr>
            </w:pPr>
            <w:r>
              <w:rPr>
                <w:rFonts w:ascii="Times New Roman" w:hAnsi="Times New Roman"/>
                <w:b w:val="false"/>
                <w:i w:val="false"/>
                <w:caps w:val="false"/>
                <w:smallCaps w:val="false"/>
                <w:color w:val="212529"/>
                <w:sz w:val="15"/>
                <w:highlight w:val="white"/>
              </w:rPr>
              <w:t>(Nasdaq Global Select Market)</w:t>
            </w:r>
          </w:p>
        </w:tc>
      </w:tr>
    </w:tbl>
    <w:p>
      <w:pPr>
        <w:pStyle w:val="TextBody"/>
        <w:spacing w:before="6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 xml:space="preserve">Securities registered pursuant to Section 12(g) of the Act: </w:t>
      </w:r>
      <w:r>
        <w:rPr>
          <w:rFonts w:ascii="Times New Roman" w:hAnsi="Times New Roman"/>
          <w:b/>
          <w:i w:val="false"/>
          <w:caps w:val="false"/>
          <w:smallCaps w:val="false"/>
          <w:sz w:val="14"/>
        </w:rPr>
        <w:t xml:space="preserve">None </w:t>
      </w:r>
    </w:p>
    <w:p>
      <w:pPr>
        <w:pStyle w:val="TextBody"/>
        <w:spacing w:before="6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Indicate by check mark if the registrant is a well-known seasoned issuer, as defined in Rule 405 of the Securities Act. </w:t>
      </w:r>
      <w:r>
        <w:rPr>
          <w:rFonts w:ascii="Times New Roman" w:hAnsi="Times New Roman"/>
          <w:b w:val="false"/>
          <w:i w:val="false"/>
          <w:caps/>
          <w:sz w:val="14"/>
        </w:rPr>
        <w:t>Yes</w:t>
      </w:r>
      <w:r>
        <w:rPr>
          <w:rFonts w:ascii="Times New Roman" w:hAnsi="Times New Roman"/>
          <w:b w:val="false"/>
          <w:i w:val="false"/>
          <w:caps w:val="false"/>
          <w:smallCaps w:val="false"/>
          <w:sz w:val="14"/>
        </w:rPr>
        <w:t xml:space="preserve"> ☐ </w:t>
      </w:r>
      <w:r>
        <w:rPr>
          <w:rFonts w:ascii="Times New Roman" w:hAnsi="Times New Roman"/>
          <w:b w:val="false"/>
          <w:i w:val="false"/>
          <w:caps/>
          <w:sz w:val="14"/>
        </w:rPr>
        <w:t>No</w:t>
      </w:r>
      <w:r>
        <w:rPr>
          <w:rFonts w:ascii="Times New Roman" w:hAnsi="Times New Roman"/>
          <w:b w:val="false"/>
          <w:i w:val="false"/>
          <w:caps w:val="false"/>
          <w:smallCaps w:val="false"/>
          <w:sz w:val="14"/>
        </w:rPr>
        <w:t> ☒</w:t>
      </w:r>
    </w:p>
    <w:p>
      <w:pPr>
        <w:pStyle w:val="TextBody"/>
        <w:spacing w:before="6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Indicate by check mark if the registrant is not required to file reports pursuant to Section 13 or 15(d) of the Act.  </w:t>
      </w:r>
      <w:r>
        <w:rPr>
          <w:rFonts w:ascii="Times New Roman" w:hAnsi="Times New Roman"/>
          <w:b w:val="false"/>
          <w:i w:val="false"/>
          <w:caps/>
          <w:sz w:val="14"/>
        </w:rPr>
        <w:t>Yes</w:t>
      </w:r>
      <w:r>
        <w:rPr>
          <w:rFonts w:ascii="Times New Roman" w:hAnsi="Times New Roman"/>
          <w:b w:val="false"/>
          <w:i w:val="false"/>
          <w:caps w:val="false"/>
          <w:smallCaps w:val="false"/>
          <w:sz w:val="14"/>
        </w:rPr>
        <w:t xml:space="preserve"> ☐ </w:t>
      </w:r>
      <w:r>
        <w:rPr>
          <w:rFonts w:ascii="Times New Roman" w:hAnsi="Times New Roman"/>
          <w:b w:val="false"/>
          <w:i w:val="false"/>
          <w:caps/>
          <w:sz w:val="14"/>
        </w:rPr>
        <w:t>No</w:t>
      </w:r>
      <w:r>
        <w:rPr>
          <w:rFonts w:ascii="Times New Roman" w:hAnsi="Times New Roman"/>
          <w:b w:val="false"/>
          <w:i w:val="false"/>
          <w:caps w:val="false"/>
          <w:smallCaps w:val="false"/>
          <w:sz w:val="14"/>
        </w:rPr>
        <w:t> ☒</w:t>
      </w:r>
    </w:p>
    <w:p>
      <w:pPr>
        <w:pStyle w:val="TextBody"/>
        <w:spacing w:before="6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val="false"/>
          <w:i w:val="false"/>
          <w:caps/>
          <w:sz w:val="14"/>
        </w:rPr>
        <w:t>Yes</w:t>
      </w:r>
      <w:r>
        <w:rPr>
          <w:rFonts w:ascii="Times New Roman" w:hAnsi="Times New Roman"/>
          <w:b w:val="false"/>
          <w:i w:val="false"/>
          <w:caps w:val="false"/>
          <w:smallCaps w:val="false"/>
          <w:sz w:val="14"/>
        </w:rPr>
        <w:t xml:space="preserve"> ☒ </w:t>
      </w:r>
      <w:r>
        <w:rPr>
          <w:rFonts w:ascii="Times New Roman" w:hAnsi="Times New Roman"/>
          <w:b w:val="false"/>
          <w:i w:val="false"/>
          <w:caps/>
          <w:sz w:val="14"/>
        </w:rPr>
        <w:t>No</w:t>
      </w:r>
      <w:r>
        <w:rPr>
          <w:rFonts w:ascii="Times New Roman" w:hAnsi="Times New Roman"/>
          <w:b w:val="false"/>
          <w:i w:val="false"/>
          <w:caps w:val="false"/>
          <w:smallCaps w:val="false"/>
          <w:sz w:val="14"/>
        </w:rPr>
        <w:t> ☐</w:t>
      </w:r>
    </w:p>
    <w:p>
      <w:pPr>
        <w:pStyle w:val="TextBody"/>
        <w:spacing w:before="6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b w:val="false"/>
          <w:i w:val="false"/>
          <w:caps/>
          <w:sz w:val="14"/>
        </w:rPr>
        <w:t>Yes</w:t>
      </w:r>
      <w:r>
        <w:rPr>
          <w:rFonts w:ascii="Times New Roman" w:hAnsi="Times New Roman"/>
          <w:b w:val="false"/>
          <w:i w:val="false"/>
          <w:caps w:val="false"/>
          <w:smallCaps w:val="false"/>
          <w:sz w:val="14"/>
        </w:rPr>
        <w:t xml:space="preserve"> ☒ </w:t>
      </w:r>
      <w:r>
        <w:rPr>
          <w:rFonts w:ascii="Times New Roman" w:hAnsi="Times New Roman"/>
          <w:b w:val="false"/>
          <w:i w:val="false"/>
          <w:caps/>
          <w:sz w:val="14"/>
        </w:rPr>
        <w:t>No</w:t>
      </w:r>
      <w:r>
        <w:rPr>
          <w:rFonts w:ascii="Times New Roman" w:hAnsi="Times New Roman"/>
          <w:b w:val="false"/>
          <w:i w:val="false"/>
          <w:caps w:val="false"/>
          <w:smallCaps w:val="false"/>
          <w:sz w:val="14"/>
        </w:rPr>
        <w:t> ☐</w:t>
      </w:r>
    </w:p>
    <w:p>
      <w:pPr>
        <w:pStyle w:val="TextBody"/>
        <w:spacing w:before="6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3845" w:type="dxa"/>
        <w:jc w:val="center"/>
        <w:tblInd w:w="0" w:type="dxa"/>
        <w:tblCellMar>
          <w:top w:w="0" w:type="dxa"/>
          <w:left w:w="0" w:type="dxa"/>
          <w:bottom w:w="0" w:type="dxa"/>
          <w:right w:w="0" w:type="dxa"/>
        </w:tblCellMar>
      </w:tblPr>
      <w:tblGrid>
        <w:gridCol w:w="1565"/>
        <w:gridCol w:w="60"/>
        <w:gridCol w:w="230"/>
        <w:gridCol w:w="120"/>
        <w:gridCol w:w="1580"/>
        <w:gridCol w:w="60"/>
        <w:gridCol w:w="230"/>
      </w:tblGrid>
      <w:tr>
        <w:trPr/>
        <w:tc>
          <w:tcPr>
            <w:tcW w:w="1565" w:type="dxa"/>
            <w:tcBorders/>
            <w:shd w:fill="auto" w:val="clear"/>
          </w:tcPr>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Large 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580" w:type="dxa"/>
            <w:tcBorders/>
            <w:shd w:fill="auto" w:val="clear"/>
          </w:tcPr>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565" w:type="dxa"/>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c>
          <w:tcPr>
            <w:tcW w:w="1700" w:type="dxa"/>
            <w:gridSpan w:val="2"/>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r>
      <w:tr>
        <w:trPr/>
        <w:tc>
          <w:tcPr>
            <w:tcW w:w="1565" w:type="dxa"/>
            <w:tcBorders/>
            <w:shd w:fill="auto" w:val="clear"/>
          </w:tcPr>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Non-accelerated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580" w:type="dxa"/>
            <w:tcBorders/>
            <w:shd w:fill="auto" w:val="clear"/>
          </w:tcPr>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Smaller reporting company</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565" w:type="dxa"/>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c>
          <w:tcPr>
            <w:tcW w:w="1700" w:type="dxa"/>
            <w:gridSpan w:val="2"/>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r>
      <w:tr>
        <w:trPr/>
        <w:tc>
          <w:tcPr>
            <w:tcW w:w="1565" w:type="dxa"/>
            <w:tcBorders/>
            <w:shd w:fill="auto" w:val="clear"/>
          </w:tcPr>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Emerging growth company</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pPr>
            <w:r>
              <w:rPr/>
              <w:t> </w:t>
            </w:r>
          </w:p>
        </w:tc>
        <w:tc>
          <w:tcPr>
            <w:tcW w:w="158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6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Indicate by check mark whether the registrant is a shell company (as defined in Rule 12b-2 of the Exchange Act).  </w:t>
      </w:r>
      <w:r>
        <w:rPr>
          <w:rFonts w:ascii="Times New Roman" w:hAnsi="Times New Roman"/>
          <w:b w:val="false"/>
          <w:i w:val="false"/>
          <w:caps/>
          <w:sz w:val="14"/>
        </w:rPr>
        <w:t>Yes</w:t>
      </w:r>
      <w:r>
        <w:rPr>
          <w:rFonts w:ascii="Times New Roman" w:hAnsi="Times New Roman"/>
          <w:b w:val="false"/>
          <w:i w:val="false"/>
          <w:caps w:val="false"/>
          <w:smallCaps w:val="false"/>
          <w:sz w:val="14"/>
        </w:rPr>
        <w:t xml:space="preserve"> ☐ </w:t>
      </w:r>
      <w:r>
        <w:rPr>
          <w:rFonts w:ascii="Times New Roman" w:hAnsi="Times New Roman"/>
          <w:b w:val="false"/>
          <w:i w:val="false"/>
          <w:caps/>
          <w:sz w:val="14"/>
        </w:rPr>
        <w:t>No</w:t>
      </w:r>
      <w:r>
        <w:rPr>
          <w:rFonts w:ascii="Times New Roman" w:hAnsi="Times New Roman"/>
          <w:b w:val="false"/>
          <w:i w:val="false"/>
          <w:caps w:val="false"/>
          <w:smallCaps w:val="false"/>
          <w:sz w:val="14"/>
        </w:rPr>
        <w:t> ☒</w:t>
      </w:r>
    </w:p>
    <w:p>
      <w:pPr>
        <w:pStyle w:val="TextBody"/>
        <w:spacing w:before="6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The aggregate market value of the voting and non-voting equity held by non-affiliates of the registrant, based on the closing price of a share of common stock on July 10, 2020 as reported by The Nasdaq Stock Market on such date was approximately $657.5 million. The registrant has elected to use July 10, 2020, which was the initial trading date on The Nasdaq Stock Market, as the calculation date because on June 30, 2020 (the last business day of the registrant’s most recently completed second fiscal quarter), the registrant was a privately held company. This calculation does not reflect a determination that certain persons are affiliates of the registrant for any other purpose.</w:t>
      </w:r>
    </w:p>
    <w:p>
      <w:pPr>
        <w:pStyle w:val="TextBody"/>
        <w:spacing w:before="6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As of March 22, 2021, the number of outstanding shares of the registrant’s common stock, par value $0.0001 per share, was 32,791,817.</w:t>
      </w:r>
    </w:p>
    <w:p>
      <w:pPr>
        <w:pStyle w:val="TextBody"/>
        <w:spacing w:before="60" w:after="0"/>
        <w:jc w:val="center"/>
        <w:rPr>
          <w:rFonts w:ascii="Times New Roman" w:hAnsi="Times New Roman"/>
          <w:b/>
          <w:i w:val="false"/>
          <w:caps w:val="false"/>
          <w:smallCaps w:val="false"/>
          <w:sz w:val="15"/>
        </w:rPr>
      </w:pPr>
      <w:r>
        <w:rPr>
          <w:rFonts w:ascii="Times New Roman" w:hAnsi="Times New Roman"/>
          <w:b/>
          <w:i w:val="false"/>
          <w:caps w:val="false"/>
          <w:smallCaps w:val="false"/>
          <w:sz w:val="15"/>
        </w:rPr>
        <w:t>DOCUMENTS INCORPORATED BY REFERENCE</w:t>
      </w:r>
    </w:p>
    <w:p>
      <w:pPr>
        <w:pStyle w:val="TextBody"/>
        <w:spacing w:before="60" w:after="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Portions of the registrant’s Definitive Proxy Statement for the 2021 Annual Meeting of Stockholders to be filed with the U.S. Securities and Exchange Commission pursuant to Regulation 14A within 120 days after the end of the fiscal year covered by this Annual Report on Form 10-K are incorporated by reference in Part III, Items 10-14 of this Annual Report on Form 10-K.</w:t>
      </w:r>
    </w:p>
    <w:p>
      <w:pPr>
        <w:pStyle w:val="TextBody"/>
        <w:pBdr>
          <w:bottom w:val="double" w:sz="6" w:space="1" w:color="000000"/>
        </w:pBdr>
        <w:spacing w:before="0" w:after="0"/>
        <w:rPr/>
      </w:pPr>
      <w:r>
        <w:rPr/>
        <w:t> </w:t>
      </w:r>
    </w:p>
    <w:p>
      <w:pPr>
        <w:pStyle w:val="TextBody"/>
        <w:spacing w:before="0" w:after="0"/>
        <w:rPr/>
      </w:pPr>
      <w:r>
        <w:rPr/>
        <w:t> </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815"/>
        <w:gridCol w:w="9010"/>
        <w:gridCol w:w="380"/>
      </w:tblGrid>
      <w:tr>
        <w:trPr/>
        <w:tc>
          <w:tcPr>
            <w:tcW w:w="815"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w:t>
            </w:r>
          </w:p>
        </w:tc>
        <w:tc>
          <w:tcPr>
            <w:tcW w:w="90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w:t>
            </w:r>
          </w:p>
        </w:tc>
        <w:tc>
          <w:tcPr>
            <w:tcW w:w="9010" w:type="dxa"/>
            <w:tcBorders/>
            <w:shd w:fill="FFFFFF" w:val="clear"/>
            <w:tcMar>
              <w:bottom w:w="0" w:type="dxa"/>
            </w:tcMar>
          </w:tcPr>
          <w:p>
            <w:pPr>
              <w:pStyle w:val="TableContents"/>
              <w:spacing w:before="0" w:after="0"/>
              <w:ind w:left="0" w:right="0" w:hanging="0"/>
              <w:rPr/>
            </w:pPr>
            <w:hyperlink w:anchor="ITEM_1_BUSINESS">
              <w:r>
                <w:rPr>
                  <w:rStyle w:val="InternetLink"/>
                  <w:rFonts w:ascii="Times New Roman" w:hAnsi="Times New Roman"/>
                  <w:b w:val="false"/>
                  <w:i w:val="false"/>
                  <w:caps w:val="false"/>
                  <w:smallCaps w:val="false"/>
                  <w:sz w:val="20"/>
                  <w:u w:val="single"/>
                </w:rPr>
                <w:t>Business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1A.</w:t>
            </w:r>
          </w:p>
        </w:tc>
        <w:tc>
          <w:tcPr>
            <w:tcW w:w="9010" w:type="dxa"/>
            <w:tcBorders/>
            <w:shd w:fill="FFFFFF" w:val="clear"/>
            <w:tcMar>
              <w:bottom w:w="0" w:type="dxa"/>
            </w:tcMar>
          </w:tcPr>
          <w:p>
            <w:pPr>
              <w:pStyle w:val="TableContents"/>
              <w:spacing w:before="0" w:after="0"/>
              <w:ind w:left="0" w:right="0" w:hanging="0"/>
              <w:rPr/>
            </w:pPr>
            <w:hyperlink w:anchor="ITEM_1A_RISK_FACTORS">
              <w:r>
                <w:rPr>
                  <w:rStyle w:val="InternetLink"/>
                  <w:rFonts w:ascii="Times New Roman" w:hAnsi="Times New Roman"/>
                  <w:b w:val="false"/>
                  <w:i w:val="false"/>
                  <w:caps w:val="false"/>
                  <w:smallCaps w:val="false"/>
                  <w:sz w:val="20"/>
                  <w:u w:val="single"/>
                </w:rPr>
                <w:t>Risk Factors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1B.</w:t>
            </w:r>
          </w:p>
        </w:tc>
        <w:tc>
          <w:tcPr>
            <w:tcW w:w="9010" w:type="dxa"/>
            <w:tcBorders/>
            <w:shd w:fill="FFFFFF" w:val="clear"/>
            <w:tcMar>
              <w:bottom w:w="0" w:type="dxa"/>
            </w:tcMar>
          </w:tcPr>
          <w:p>
            <w:pPr>
              <w:pStyle w:val="TableContents"/>
              <w:spacing w:before="0" w:after="0"/>
              <w:ind w:left="0" w:right="0" w:hanging="0"/>
              <w:rPr/>
            </w:pPr>
            <w:hyperlink w:anchor="ITEM_1B_UNRESOLVED_STAFF_COMMENTS">
              <w:r>
                <w:rPr>
                  <w:rStyle w:val="InternetLink"/>
                  <w:rFonts w:ascii="Times New Roman" w:hAnsi="Times New Roman"/>
                  <w:b w:val="false"/>
                  <w:i w:val="false"/>
                  <w:caps w:val="false"/>
                  <w:smallCaps w:val="false"/>
                  <w:sz w:val="20"/>
                  <w:u w:val="single"/>
                </w:rPr>
                <w:t>Unresolved Staff Comments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2.</w:t>
            </w:r>
          </w:p>
        </w:tc>
        <w:tc>
          <w:tcPr>
            <w:tcW w:w="9010" w:type="dxa"/>
            <w:tcBorders/>
            <w:shd w:fill="FFFFFF" w:val="clear"/>
            <w:tcMar>
              <w:bottom w:w="0" w:type="dxa"/>
            </w:tcMar>
          </w:tcPr>
          <w:p>
            <w:pPr>
              <w:pStyle w:val="TableContents"/>
              <w:spacing w:before="0" w:after="0"/>
              <w:ind w:left="0" w:right="0" w:hanging="0"/>
              <w:rPr/>
            </w:pPr>
            <w:hyperlink w:anchor="ITEM_2_PROPERTIES">
              <w:r>
                <w:rPr>
                  <w:rStyle w:val="InternetLink"/>
                  <w:rFonts w:ascii="Times New Roman" w:hAnsi="Times New Roman"/>
                  <w:b w:val="false"/>
                  <w:i w:val="false"/>
                  <w:caps w:val="false"/>
                  <w:smallCaps w:val="false"/>
                  <w:sz w:val="20"/>
                  <w:u w:val="single"/>
                </w:rPr>
                <w:t>Properties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3.</w:t>
            </w:r>
          </w:p>
        </w:tc>
        <w:tc>
          <w:tcPr>
            <w:tcW w:w="9010" w:type="dxa"/>
            <w:tcBorders/>
            <w:shd w:fill="FFFFFF" w:val="clear"/>
            <w:tcMar>
              <w:bottom w:w="0" w:type="dxa"/>
            </w:tcMar>
          </w:tcPr>
          <w:p>
            <w:pPr>
              <w:pStyle w:val="TableContents"/>
              <w:spacing w:before="0" w:after="0"/>
              <w:ind w:left="0" w:right="0" w:hanging="0"/>
              <w:rPr/>
            </w:pPr>
            <w:hyperlink w:anchor="ITEM_3_LEGAL_PROCEEDINGS">
              <w:r>
                <w:rPr>
                  <w:rStyle w:val="InternetLink"/>
                  <w:rFonts w:ascii="Times New Roman" w:hAnsi="Times New Roman"/>
                  <w:b w:val="false"/>
                  <w:i w:val="false"/>
                  <w:caps w:val="false"/>
                  <w:smallCaps w:val="false"/>
                  <w:sz w:val="20"/>
                  <w:u w:val="single"/>
                </w:rPr>
                <w:t>Legal Proceedings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4.</w:t>
            </w:r>
          </w:p>
        </w:tc>
        <w:tc>
          <w:tcPr>
            <w:tcW w:w="9010" w:type="dxa"/>
            <w:tcBorders/>
            <w:shd w:fill="FFFFFF" w:val="clear"/>
            <w:tcMar>
              <w:bottom w:w="0" w:type="dxa"/>
            </w:tcMar>
          </w:tcPr>
          <w:p>
            <w:pPr>
              <w:pStyle w:val="TableContents"/>
              <w:spacing w:before="0" w:after="0"/>
              <w:ind w:left="0" w:right="0" w:hanging="0"/>
              <w:rPr/>
            </w:pPr>
            <w:hyperlink w:anchor="ITEM_4_MINE_SAFETY_DISCLOSURES">
              <w:r>
                <w:rPr>
                  <w:rStyle w:val="InternetLink"/>
                  <w:rFonts w:ascii="Times New Roman" w:hAnsi="Times New Roman"/>
                  <w:b w:val="false"/>
                  <w:i w:val="false"/>
                  <w:caps w:val="false"/>
                  <w:smallCaps w:val="false"/>
                  <w:sz w:val="20"/>
                  <w:u w:val="single"/>
                </w:rPr>
                <w:t>Mine Safety Disclosures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r>
      <w:tr>
        <w:trPr/>
        <w:tc>
          <w:tcPr>
            <w:tcW w:w="8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01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II</w:t>
            </w:r>
          </w:p>
        </w:tc>
        <w:tc>
          <w:tcPr>
            <w:tcW w:w="901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5.</w:t>
            </w:r>
          </w:p>
        </w:tc>
        <w:tc>
          <w:tcPr>
            <w:tcW w:w="9010" w:type="dxa"/>
            <w:tcBorders/>
            <w:shd w:fill="FFFFFF" w:val="clear"/>
            <w:tcMar>
              <w:bottom w:w="0" w:type="dxa"/>
            </w:tcMar>
          </w:tcPr>
          <w:p>
            <w:pPr>
              <w:pStyle w:val="TableContents"/>
              <w:spacing w:before="0" w:after="0"/>
              <w:ind w:left="0" w:right="0" w:hanging="0"/>
              <w:rPr/>
            </w:pPr>
            <w:hyperlink w:anchor="ITEM_5_MARKET_FOR_REGISTRANTS_COMMON_EQU">
              <w:r>
                <w:rPr>
                  <w:rStyle w:val="InternetLink"/>
                  <w:rFonts w:ascii="Times New Roman" w:hAnsi="Times New Roman"/>
                  <w:b w:val="false"/>
                  <w:i w:val="false"/>
                  <w:caps w:val="false"/>
                  <w:smallCaps w:val="false"/>
                  <w:sz w:val="20"/>
                  <w:u w:val="single"/>
                </w:rPr>
                <w:t>Market for Registrant’s Common Equity, Related Stockholder Matters and Issuer Purchases of Equity Securities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6.</w:t>
            </w:r>
          </w:p>
        </w:tc>
        <w:tc>
          <w:tcPr>
            <w:tcW w:w="9010" w:type="dxa"/>
            <w:tcBorders/>
            <w:shd w:fill="FFFFFF" w:val="clear"/>
            <w:tcMar>
              <w:bottom w:w="0" w:type="dxa"/>
            </w:tcMar>
          </w:tcPr>
          <w:p>
            <w:pPr>
              <w:pStyle w:val="TableContents"/>
              <w:spacing w:before="0" w:after="0"/>
              <w:ind w:left="0" w:right="0" w:hanging="0"/>
              <w:rPr/>
            </w:pPr>
            <w:hyperlink w:anchor="ITEM_6_SELECTED_FINANCIAL_DATA">
              <w:r>
                <w:rPr>
                  <w:rStyle w:val="InternetLink"/>
                  <w:rFonts w:ascii="Times New Roman" w:hAnsi="Times New Roman"/>
                  <w:b w:val="false"/>
                  <w:i w:val="false"/>
                  <w:caps w:val="false"/>
                  <w:smallCaps w:val="false"/>
                  <w:sz w:val="20"/>
                  <w:u w:val="single"/>
                </w:rPr>
                <w:t>Selected Financial Data</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7.</w:t>
            </w:r>
          </w:p>
        </w:tc>
        <w:tc>
          <w:tcPr>
            <w:tcW w:w="9010" w:type="dxa"/>
            <w:tcBorders/>
            <w:shd w:fill="FFFFFF" w:val="clear"/>
            <w:tcMar>
              <w:bottom w:w="0" w:type="dxa"/>
            </w:tcMar>
          </w:tcPr>
          <w:p>
            <w:pPr>
              <w:pStyle w:val="TableContents"/>
              <w:spacing w:before="0" w:after="0"/>
              <w:ind w:left="0" w:right="0" w:hanging="0"/>
              <w:rPr/>
            </w:pPr>
            <w:hyperlink w:anchor="ITEM_7_MANAGEMENTS_DISCUSSION_ANALYSIS_F">
              <w:r>
                <w:rPr>
                  <w:rStyle w:val="InternetLink"/>
                  <w:rFonts w:ascii="Times New Roman" w:hAnsi="Times New Roman"/>
                  <w:b w:val="false"/>
                  <w:i w:val="false"/>
                  <w:caps w:val="false"/>
                  <w:smallCaps w:val="false"/>
                  <w:sz w:val="20"/>
                  <w:u w:val="single"/>
                </w:rPr>
                <w:t>Management’s Discussion and Analysis of Financial Condition and Results of Operations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7A.</w:t>
            </w:r>
          </w:p>
        </w:tc>
        <w:tc>
          <w:tcPr>
            <w:tcW w:w="9010" w:type="dxa"/>
            <w:tcBorders/>
            <w:shd w:fill="FFFFFF" w:val="clear"/>
            <w:tcMar>
              <w:bottom w:w="0" w:type="dxa"/>
            </w:tcMar>
          </w:tcPr>
          <w:p>
            <w:pPr>
              <w:pStyle w:val="TableContents"/>
              <w:spacing w:before="0" w:after="0"/>
              <w:ind w:left="0" w:right="0" w:hanging="0"/>
              <w:rPr/>
            </w:pPr>
            <w:hyperlink w:anchor="ITEM_7A_QUANTITATIVE_QUALITATIVE_DISCLOS">
              <w:r>
                <w:rPr>
                  <w:rStyle w:val="InternetLink"/>
                  <w:rFonts w:ascii="Times New Roman" w:hAnsi="Times New Roman"/>
                  <w:b w:val="false"/>
                  <w:i w:val="false"/>
                  <w:caps w:val="false"/>
                  <w:smallCaps w:val="false"/>
                  <w:sz w:val="20"/>
                  <w:u w:val="single"/>
                </w:rPr>
                <w:t>Quantitative and Qualitative Disclosures About Market Risk</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8.</w:t>
            </w:r>
          </w:p>
        </w:tc>
        <w:tc>
          <w:tcPr>
            <w:tcW w:w="9010" w:type="dxa"/>
            <w:tcBorders/>
            <w:shd w:fill="FFFFFF" w:val="clear"/>
            <w:tcMar>
              <w:bottom w:w="0" w:type="dxa"/>
            </w:tcMar>
          </w:tcPr>
          <w:p>
            <w:pPr>
              <w:pStyle w:val="TableContents"/>
              <w:spacing w:before="0" w:after="0"/>
              <w:ind w:left="0" w:right="0" w:hanging="0"/>
              <w:rPr/>
            </w:pPr>
            <w:hyperlink w:anchor="ITEM_8_FINANCIAL_STATEMENTS_SUPPLEMENTAR">
              <w:r>
                <w:rPr>
                  <w:rStyle w:val="InternetLink"/>
                  <w:rFonts w:ascii="Times New Roman" w:hAnsi="Times New Roman"/>
                  <w:b w:val="false"/>
                  <w:i w:val="false"/>
                  <w:caps w:val="false"/>
                  <w:smallCaps w:val="false"/>
                  <w:sz w:val="20"/>
                  <w:u w:val="single"/>
                </w:rPr>
                <w:t>Financial Statements and Supplementary Data</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w:t>
            </w:r>
          </w:p>
        </w:tc>
        <w:tc>
          <w:tcPr>
            <w:tcW w:w="9010" w:type="dxa"/>
            <w:tcBorders/>
            <w:shd w:fill="FFFFFF" w:val="clear"/>
            <w:tcMar>
              <w:bottom w:w="0" w:type="dxa"/>
            </w:tcMar>
          </w:tcPr>
          <w:p>
            <w:pPr>
              <w:pStyle w:val="TableContents"/>
              <w:spacing w:before="0" w:after="0"/>
              <w:ind w:left="0" w:right="0" w:hanging="0"/>
              <w:rPr/>
            </w:pPr>
            <w:hyperlink w:anchor="ITEM_9_CHANGES_IN_DISAGREEMENTS_WITH_ACC">
              <w:r>
                <w:rPr>
                  <w:rStyle w:val="InternetLink"/>
                  <w:rFonts w:ascii="Times New Roman" w:hAnsi="Times New Roman"/>
                  <w:b w:val="false"/>
                  <w:i w:val="false"/>
                  <w:caps w:val="false"/>
                  <w:smallCaps w:val="false"/>
                  <w:sz w:val="20"/>
                  <w:u w:val="single"/>
                </w:rPr>
                <w:t>Changes in and Disagreements with Accountants on Accounting and Financial Disclosure</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9A.</w:t>
            </w:r>
          </w:p>
        </w:tc>
        <w:tc>
          <w:tcPr>
            <w:tcW w:w="9010" w:type="dxa"/>
            <w:tcBorders/>
            <w:shd w:fill="FFFFFF" w:val="clear"/>
            <w:tcMar>
              <w:bottom w:w="0" w:type="dxa"/>
            </w:tcMar>
          </w:tcPr>
          <w:p>
            <w:pPr>
              <w:pStyle w:val="TableContents"/>
              <w:spacing w:before="0" w:after="0"/>
              <w:ind w:left="0" w:right="0" w:hanging="0"/>
              <w:rPr/>
            </w:pPr>
            <w:hyperlink w:anchor="ITEM_9A_CONTROLS_PROCEDURES">
              <w:r>
                <w:rPr>
                  <w:rStyle w:val="InternetLink"/>
                  <w:rFonts w:ascii="Times New Roman" w:hAnsi="Times New Roman"/>
                  <w:b w:val="false"/>
                  <w:i w:val="false"/>
                  <w:caps w:val="false"/>
                  <w:smallCaps w:val="false"/>
                  <w:sz w:val="20"/>
                  <w:u w:val="single"/>
                </w:rPr>
                <w:t>Controls and Procedures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9B.</w:t>
            </w:r>
          </w:p>
        </w:tc>
        <w:tc>
          <w:tcPr>
            <w:tcW w:w="9010" w:type="dxa"/>
            <w:tcBorders/>
            <w:shd w:fill="FFFFFF" w:val="clear"/>
            <w:tcMar>
              <w:bottom w:w="0" w:type="dxa"/>
            </w:tcMar>
          </w:tcPr>
          <w:p>
            <w:pPr>
              <w:pStyle w:val="TableContents"/>
              <w:spacing w:before="0" w:after="0"/>
              <w:ind w:left="0" w:right="0" w:hanging="0"/>
              <w:rPr/>
            </w:pPr>
            <w:hyperlink w:anchor="ITEM_9B_OR_INFORMATION">
              <w:r>
                <w:rPr>
                  <w:rStyle w:val="InternetLink"/>
                  <w:rFonts w:ascii="Times New Roman" w:hAnsi="Times New Roman"/>
                  <w:b w:val="false"/>
                  <w:i w:val="false"/>
                  <w:caps w:val="false"/>
                  <w:smallCaps w:val="false"/>
                  <w:sz w:val="20"/>
                  <w:u w:val="single"/>
                </w:rPr>
                <w:t>Other Information</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w:t>
            </w:r>
          </w:p>
        </w:tc>
      </w:tr>
      <w:tr>
        <w:trPr/>
        <w:tc>
          <w:tcPr>
            <w:tcW w:w="8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01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III</w:t>
            </w:r>
          </w:p>
        </w:tc>
        <w:tc>
          <w:tcPr>
            <w:tcW w:w="901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10.</w:t>
            </w:r>
          </w:p>
        </w:tc>
        <w:tc>
          <w:tcPr>
            <w:tcW w:w="9010" w:type="dxa"/>
            <w:tcBorders/>
            <w:shd w:fill="FFFFFF" w:val="clear"/>
            <w:tcMar>
              <w:bottom w:w="0" w:type="dxa"/>
            </w:tcMar>
          </w:tcPr>
          <w:p>
            <w:pPr>
              <w:pStyle w:val="TableContents"/>
              <w:spacing w:before="0" w:after="0"/>
              <w:ind w:left="0" w:right="0" w:hanging="0"/>
              <w:rPr/>
            </w:pPr>
            <w:hyperlink w:anchor="ITEM_10_DIRECTORS_EXECUTIVE_FICERS_CORPO">
              <w:r>
                <w:rPr>
                  <w:rStyle w:val="InternetLink"/>
                  <w:rFonts w:ascii="Times New Roman" w:hAnsi="Times New Roman"/>
                  <w:b w:val="false"/>
                  <w:i w:val="false"/>
                  <w:caps w:val="false"/>
                  <w:smallCaps w:val="false"/>
                  <w:sz w:val="20"/>
                  <w:u w:val="single"/>
                </w:rPr>
                <w:t>Directors, Executive Officers and Corporate Governance</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11.</w:t>
            </w:r>
          </w:p>
        </w:tc>
        <w:tc>
          <w:tcPr>
            <w:tcW w:w="9010" w:type="dxa"/>
            <w:tcBorders/>
            <w:shd w:fill="FFFFFF" w:val="clear"/>
            <w:tcMar>
              <w:bottom w:w="0" w:type="dxa"/>
            </w:tcMar>
          </w:tcPr>
          <w:p>
            <w:pPr>
              <w:pStyle w:val="TableContents"/>
              <w:spacing w:before="0" w:after="0"/>
              <w:ind w:left="0" w:right="0" w:hanging="0"/>
              <w:rPr/>
            </w:pPr>
            <w:hyperlink w:anchor="ITEM_11_EXECUTIVE_COMPENSATION">
              <w:r>
                <w:rPr>
                  <w:rStyle w:val="InternetLink"/>
                  <w:rFonts w:ascii="Times New Roman" w:hAnsi="Times New Roman"/>
                  <w:b w:val="false"/>
                  <w:i w:val="false"/>
                  <w:caps w:val="false"/>
                  <w:smallCaps w:val="false"/>
                  <w:sz w:val="20"/>
                  <w:u w:val="single"/>
                </w:rPr>
                <w:t>Executive Compensation</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12.</w:t>
            </w:r>
          </w:p>
        </w:tc>
        <w:tc>
          <w:tcPr>
            <w:tcW w:w="9010" w:type="dxa"/>
            <w:tcBorders/>
            <w:shd w:fill="FFFFFF" w:val="clear"/>
            <w:tcMar>
              <w:bottom w:w="0" w:type="dxa"/>
            </w:tcMar>
          </w:tcPr>
          <w:p>
            <w:pPr>
              <w:pStyle w:val="TableContents"/>
              <w:spacing w:before="0" w:after="0"/>
              <w:ind w:left="0" w:right="0" w:hanging="0"/>
              <w:rPr/>
            </w:pPr>
            <w:hyperlink w:anchor="ITEM_12_SECURITY_OWNERSHIP_CERTAIN_BENEF">
              <w:r>
                <w:rPr>
                  <w:rStyle w:val="InternetLink"/>
                  <w:rFonts w:ascii="Times New Roman" w:hAnsi="Times New Roman"/>
                  <w:b w:val="false"/>
                  <w:i w:val="false"/>
                  <w:caps w:val="false"/>
                  <w:smallCaps w:val="false"/>
                  <w:sz w:val="20"/>
                  <w:u w:val="single"/>
                </w:rPr>
                <w:t>Security Ownership of Certain Beneficial Owners and Management and Related Stockholder Matters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13.</w:t>
            </w:r>
          </w:p>
        </w:tc>
        <w:tc>
          <w:tcPr>
            <w:tcW w:w="9010" w:type="dxa"/>
            <w:tcBorders/>
            <w:shd w:fill="FFFFFF" w:val="clear"/>
            <w:tcMar>
              <w:bottom w:w="0" w:type="dxa"/>
            </w:tcMar>
          </w:tcPr>
          <w:p>
            <w:pPr>
              <w:pStyle w:val="TableContents"/>
              <w:spacing w:before="0" w:after="0"/>
              <w:ind w:left="0" w:right="0" w:hanging="0"/>
              <w:rPr/>
            </w:pPr>
            <w:hyperlink w:anchor="ITEM_13_CERTAIN_RELATIONSHIPS_RELATED_TR">
              <w:r>
                <w:rPr>
                  <w:rStyle w:val="InternetLink"/>
                  <w:rFonts w:ascii="Times New Roman" w:hAnsi="Times New Roman"/>
                  <w:b w:val="false"/>
                  <w:i w:val="false"/>
                  <w:caps w:val="false"/>
                  <w:smallCaps w:val="false"/>
                  <w:sz w:val="20"/>
                  <w:u w:val="single"/>
                </w:rPr>
                <w:t>Certain Relationships and Related Transactions, and Director Independence</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14.</w:t>
            </w:r>
          </w:p>
        </w:tc>
        <w:tc>
          <w:tcPr>
            <w:tcW w:w="9010" w:type="dxa"/>
            <w:tcBorders/>
            <w:shd w:fill="FFFFFF" w:val="clear"/>
            <w:tcMar>
              <w:bottom w:w="0" w:type="dxa"/>
            </w:tcMar>
          </w:tcPr>
          <w:p>
            <w:pPr>
              <w:pStyle w:val="TableContents"/>
              <w:spacing w:before="0" w:after="0"/>
              <w:ind w:left="0" w:right="0" w:hanging="0"/>
              <w:rPr/>
            </w:pPr>
            <w:hyperlink w:anchor="ITEM_14_PRINCIPAL_ACCOUNTING_FEES_SERVIC">
              <w:r>
                <w:rPr>
                  <w:rStyle w:val="InternetLink"/>
                  <w:rFonts w:ascii="Times New Roman" w:hAnsi="Times New Roman"/>
                  <w:b w:val="false"/>
                  <w:i w:val="false"/>
                  <w:caps w:val="false"/>
                  <w:smallCaps w:val="false"/>
                  <w:sz w:val="20"/>
                  <w:u w:val="single"/>
                </w:rPr>
                <w:t>Principal Accounting Fees and Services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w:t>
            </w:r>
          </w:p>
        </w:tc>
      </w:tr>
      <w:tr>
        <w:trPr/>
        <w:tc>
          <w:tcPr>
            <w:tcW w:w="8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01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IV</w:t>
            </w:r>
          </w:p>
        </w:tc>
        <w:tc>
          <w:tcPr>
            <w:tcW w:w="901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15.</w:t>
            </w:r>
          </w:p>
        </w:tc>
        <w:tc>
          <w:tcPr>
            <w:tcW w:w="9010" w:type="dxa"/>
            <w:tcBorders/>
            <w:shd w:fill="FFFFFF" w:val="clear"/>
            <w:tcMar>
              <w:bottom w:w="0" w:type="dxa"/>
            </w:tcMar>
          </w:tcPr>
          <w:p>
            <w:pPr>
              <w:pStyle w:val="TableContents"/>
              <w:spacing w:before="0" w:after="0"/>
              <w:ind w:left="0" w:right="0" w:hanging="0"/>
              <w:rPr/>
            </w:pPr>
            <w:hyperlink w:anchor="ITEM_15_EXHIBITS_FINANCIAL_STATEMENT_SCH">
              <w:r>
                <w:rPr>
                  <w:rStyle w:val="InternetLink"/>
                  <w:rFonts w:ascii="Times New Roman" w:hAnsi="Times New Roman"/>
                  <w:b w:val="false"/>
                  <w:i w:val="false"/>
                  <w:caps w:val="false"/>
                  <w:smallCaps w:val="false"/>
                  <w:sz w:val="20"/>
                  <w:u w:val="single"/>
                </w:rPr>
                <w:t>Exhibits, Financial Statement Schedules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w:t>
            </w:r>
          </w:p>
        </w:tc>
      </w:tr>
      <w:tr>
        <w:trPr/>
        <w:tc>
          <w:tcPr>
            <w:tcW w:w="815"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16</w:t>
            </w:r>
          </w:p>
        </w:tc>
        <w:tc>
          <w:tcPr>
            <w:tcW w:w="9010" w:type="dxa"/>
            <w:tcBorders/>
            <w:shd w:fill="FFFFFF" w:val="clear"/>
            <w:tcMar>
              <w:bottom w:w="0" w:type="dxa"/>
            </w:tcMar>
          </w:tcPr>
          <w:p>
            <w:pPr>
              <w:pStyle w:val="TableContents"/>
              <w:spacing w:before="0" w:after="0"/>
              <w:ind w:left="0" w:right="0" w:hanging="0"/>
              <w:rPr/>
            </w:pPr>
            <w:hyperlink w:anchor="ITEM_16_FORM_10K_SUMMARY">
              <w:r>
                <w:rPr>
                  <w:rStyle w:val="InternetLink"/>
                  <w:rFonts w:ascii="Times New Roman" w:hAnsi="Times New Roman"/>
                  <w:b w:val="false"/>
                  <w:i w:val="false"/>
                  <w:caps w:val="false"/>
                  <w:smallCaps w:val="false"/>
                  <w:sz w:val="20"/>
                  <w:u w:val="single"/>
                </w:rPr>
                <w:t xml:space="preserve">Form 10-K </w:t>
              </w:r>
            </w:hyperlink>
            <w:hyperlink w:anchor="ITEM_16_FORM_10K_SUMMARY">
              <w:r>
                <w:rPr>
                  <w:rStyle w:val="InternetLink"/>
                  <w:rFonts w:ascii="Times New Roman" w:hAnsi="Times New Roman"/>
                  <w:b w:val="false"/>
                  <w:i w:val="false"/>
                  <w:caps w:val="false"/>
                  <w:smallCaps w:val="false"/>
                  <w:sz w:val="18"/>
                  <w:u w:val="single"/>
                </w:rPr>
                <w:t>Summary</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w:t>
            </w:r>
          </w:p>
        </w:tc>
      </w:tr>
      <w:tr>
        <w:trPr/>
        <w:tc>
          <w:tcPr>
            <w:tcW w:w="9825" w:type="dxa"/>
            <w:gridSpan w:val="2"/>
            <w:tcBorders/>
            <w:shd w:fill="FFFFFF" w:val="clear"/>
            <w:tcMar>
              <w:bottom w:w="0" w:type="dxa"/>
            </w:tcMar>
          </w:tcPr>
          <w:p>
            <w:pPr>
              <w:pStyle w:val="TableContents"/>
              <w:spacing w:before="0" w:after="0"/>
              <w:ind w:left="0" w:right="0" w:hanging="0"/>
              <w:rPr/>
            </w:pPr>
            <w:hyperlink w:anchor="SIGNATURES">
              <w:r>
                <w:rPr>
                  <w:rStyle w:val="InternetLink"/>
                  <w:rFonts w:ascii="Times New Roman" w:hAnsi="Times New Roman"/>
                  <w:b w:val="false"/>
                  <w:i w:val="false"/>
                  <w:caps w:val="false"/>
                  <w:smallCaps w:val="false"/>
                  <w:sz w:val="20"/>
                  <w:u w:val="single"/>
                </w:rPr>
                <w:t>Signatures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141</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CAUTIONARY NOTE REGARDING FORWARD-LOOKING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Annual Report on Form 10-K, and the information incorporated herein by reference, particularly in the sections captioned “Risk Factors” under Part I, Item 1A, “Management’s Discussion and Analysis of Financial Condition and Results of Operations” under Part II, Item 7 and “Business” under Part I, Item 1, contain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Forward-looking statements are inherently subject to risks and uncertainties, some of which cannot be predicted or quantified. All statements other than statements of historical facts contained in this Annual Report on Form 10-K are forward-looking statements, including statements about: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success, cost, timing and potential indications of our product candidate development activities and clinical trials, including our currently planned and potential future clinical trials of NKX101 and NKX019;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ability to achieve our milestones for development of our product candidates, including the timely conduct of our clinical trials and the availability of clinical data from those trials;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ability to obtain and maintain regulatory approval of our product candidates, including NKX101 and NKX019, in any of the indications for which we plan to develop them, and any related restrictions, limitations and/or warnings in the label of an approved product;</w:t>
            </w:r>
          </w:p>
        </w:tc>
      </w:tr>
    </w:tbl>
    <w:tbl>
      <w:tblPr>
        <w:tblW w:w="8455" w:type="dxa"/>
        <w:jc w:val="left"/>
        <w:tblInd w:w="0" w:type="dxa"/>
        <w:tblCellMar>
          <w:top w:w="0" w:type="dxa"/>
          <w:left w:w="0" w:type="dxa"/>
          <w:bottom w:w="0" w:type="dxa"/>
          <w:right w:w="0" w:type="dxa"/>
        </w:tblCellMar>
      </w:tblPr>
      <w:tblGrid>
        <w:gridCol w:w="60"/>
        <w:gridCol w:w="110"/>
        <w:gridCol w:w="82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future results of ongoing or later clinical trials, including of NKX101 and NKX019;</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ability to obtain funding for our operations, including funding necessary to complete the clinical trials of any of our product candidates; </w:t>
            </w:r>
          </w:p>
        </w:tc>
      </w:tr>
    </w:tbl>
    <w:tbl>
      <w:tblPr>
        <w:tblW w:w="9610" w:type="dxa"/>
        <w:jc w:val="left"/>
        <w:tblInd w:w="0" w:type="dxa"/>
        <w:tblCellMar>
          <w:top w:w="0" w:type="dxa"/>
          <w:left w:w="0" w:type="dxa"/>
          <w:bottom w:w="0" w:type="dxa"/>
          <w:right w:w="0" w:type="dxa"/>
        </w:tblCellMar>
      </w:tblPr>
      <w:tblGrid>
        <w:gridCol w:w="60"/>
        <w:gridCol w:w="110"/>
        <w:gridCol w:w="94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4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ability to develop, characterize, and control manufacturing processes for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risks associated with the COVID-19 pandemic, which may adversely impact our business, preclinical studies and clinical trials;</w:t>
            </w:r>
          </w:p>
        </w:tc>
      </w:tr>
    </w:tbl>
    <w:tbl>
      <w:tblPr>
        <w:tblW w:w="7105" w:type="dxa"/>
        <w:jc w:val="left"/>
        <w:tblInd w:w="0" w:type="dxa"/>
        <w:tblCellMar>
          <w:top w:w="0" w:type="dxa"/>
          <w:left w:w="0" w:type="dxa"/>
          <w:bottom w:w="0" w:type="dxa"/>
          <w:right w:w="0" w:type="dxa"/>
        </w:tblCellMar>
      </w:tblPr>
      <w:tblGrid>
        <w:gridCol w:w="60"/>
        <w:gridCol w:w="110"/>
        <w:gridCol w:w="69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plans to research, develop and commercialize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ability to complete construction and qualification of manufacturing facilities to produce clinical and commercial products;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size and growth potential of the markets for our products, and our ability to identify target patient populations and serve those markets, especially for diseases with small patient populations;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ability to successfully commercialize our products, including obtaining reimbursement on favorable terms;</w:t>
            </w:r>
          </w:p>
        </w:tc>
      </w:tr>
    </w:tbl>
    <w:tbl>
      <w:tblPr>
        <w:tblW w:w="6625" w:type="dxa"/>
        <w:jc w:val="left"/>
        <w:tblInd w:w="0" w:type="dxa"/>
        <w:tblCellMar>
          <w:top w:w="0" w:type="dxa"/>
          <w:left w:w="0" w:type="dxa"/>
          <w:bottom w:w="0" w:type="dxa"/>
          <w:right w:w="0" w:type="dxa"/>
        </w:tblCellMar>
      </w:tblPr>
      <w:tblGrid>
        <w:gridCol w:w="60"/>
        <w:gridCol w:w="110"/>
        <w:gridCol w:w="64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4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ability to develop and maintain sales and marketing capabilities; </w:t>
            </w:r>
          </w:p>
        </w:tc>
      </w:tr>
    </w:tbl>
    <w:tbl>
      <w:tblPr>
        <w:tblW w:w="5590" w:type="dxa"/>
        <w:jc w:val="left"/>
        <w:tblInd w:w="0" w:type="dxa"/>
        <w:tblCellMar>
          <w:top w:w="0" w:type="dxa"/>
          <w:left w:w="0" w:type="dxa"/>
          <w:bottom w:w="0" w:type="dxa"/>
          <w:right w:w="0" w:type="dxa"/>
        </w:tblCellMar>
      </w:tblPr>
      <w:tblGrid>
        <w:gridCol w:w="60"/>
        <w:gridCol w:w="110"/>
        <w:gridCol w:w="54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4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rate and degree of market acceptance of our products;</w:t>
            </w:r>
          </w:p>
        </w:tc>
      </w:tr>
    </w:tbl>
    <w:tbl>
      <w:tblPr>
        <w:tblW w:w="9640" w:type="dxa"/>
        <w:jc w:val="left"/>
        <w:tblInd w:w="0" w:type="dxa"/>
        <w:tblCellMar>
          <w:top w:w="0" w:type="dxa"/>
          <w:left w:w="0" w:type="dxa"/>
          <w:bottom w:w="0" w:type="dxa"/>
          <w:right w:w="0" w:type="dxa"/>
        </w:tblCellMar>
      </w:tblPr>
      <w:tblGrid>
        <w:gridCol w:w="60"/>
        <w:gridCol w:w="110"/>
        <w:gridCol w:w="94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4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ability to obtain and maintain insurance coverage and reimbursement for our product candidates;</w:t>
            </w:r>
          </w:p>
        </w:tc>
      </w:tr>
    </w:tbl>
    <w:tbl>
      <w:tblPr>
        <w:tblW w:w="10015" w:type="dxa"/>
        <w:jc w:val="left"/>
        <w:tblInd w:w="0" w:type="dxa"/>
        <w:tblCellMar>
          <w:top w:w="0" w:type="dxa"/>
          <w:left w:w="0" w:type="dxa"/>
          <w:bottom w:w="0" w:type="dxa"/>
          <w:right w:w="0" w:type="dxa"/>
        </w:tblCellMar>
      </w:tblPr>
      <w:tblGrid>
        <w:gridCol w:w="60"/>
        <w:gridCol w:w="110"/>
        <w:gridCol w:w="98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8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ability to grow our organization and increase the size of our facilities to meet our anticipated growth;</w:t>
            </w:r>
          </w:p>
        </w:tc>
      </w:tr>
    </w:tbl>
    <w:tbl>
      <w:tblPr>
        <w:tblW w:w="10150" w:type="dxa"/>
        <w:jc w:val="left"/>
        <w:tblInd w:w="0" w:type="dxa"/>
        <w:tblCellMar>
          <w:top w:w="0" w:type="dxa"/>
          <w:left w:w="0" w:type="dxa"/>
          <w:bottom w:w="0" w:type="dxa"/>
          <w:right w:w="0" w:type="dxa"/>
        </w:tblCellMar>
      </w:tblPr>
      <w:tblGrid>
        <w:gridCol w:w="60"/>
        <w:gridCol w:w="110"/>
        <w:gridCol w:w="99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9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ability to contract with third-party suppliers and manufacturers and their ability to perform adequately;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ability to attract and retain strategic partners with development, regulatory and commercialization expertise;</w:t>
            </w:r>
          </w:p>
        </w:tc>
      </w:tr>
    </w:tbl>
    <w:tbl>
      <w:tblPr>
        <w:tblW w:w="6205" w:type="dxa"/>
        <w:jc w:val="left"/>
        <w:tblInd w:w="0" w:type="dxa"/>
        <w:tblCellMar>
          <w:top w:w="0" w:type="dxa"/>
          <w:left w:w="0" w:type="dxa"/>
          <w:bottom w:w="0" w:type="dxa"/>
          <w:right w:w="0" w:type="dxa"/>
        </w:tblCellMar>
      </w:tblPr>
      <w:tblGrid>
        <w:gridCol w:w="60"/>
        <w:gridCol w:w="110"/>
        <w:gridCol w:w="6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success of competing therapies that are or become available;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regarding our ability to obtain and maintain intellectual property protection for our products and our ability to operate our business without infringing on the intellectual property rights of others;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ability to maintain our license agreement with National University of Singapore and St. Jude Children’s Research Hospital with respect to certain rights to our product candidates, including NKX101 and NKX019; </w:t>
            </w:r>
          </w:p>
        </w:tc>
      </w:tr>
    </w:tbl>
    <w:tbl>
      <w:tblPr>
        <w:tblW w:w="8080" w:type="dxa"/>
        <w:jc w:val="left"/>
        <w:tblInd w:w="0" w:type="dxa"/>
        <w:tblCellMar>
          <w:top w:w="0" w:type="dxa"/>
          <w:left w:w="0" w:type="dxa"/>
          <w:bottom w:w="0" w:type="dxa"/>
          <w:right w:w="0" w:type="dxa"/>
        </w:tblCellMar>
      </w:tblPr>
      <w:tblGrid>
        <w:gridCol w:w="60"/>
        <w:gridCol w:w="110"/>
        <w:gridCol w:w="79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9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ability to attract and retain key scientific, commercial or management personnel;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expectations regarding the period during which we qualify under the Jumpstart Our Business Startups Act, or the JOBS Act, as an emerging growth company or a smaller reporting company;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accuracy of our estimates regarding expenses, future revenue, capital requirements and needs for additional financing;</w:t>
            </w:r>
          </w:p>
        </w:tc>
      </w:tr>
    </w:tbl>
    <w:tbl>
      <w:tblPr>
        <w:tblW w:w="6940" w:type="dxa"/>
        <w:jc w:val="left"/>
        <w:tblInd w:w="0" w:type="dxa"/>
        <w:tblCellMar>
          <w:top w:w="0" w:type="dxa"/>
          <w:left w:w="0" w:type="dxa"/>
          <w:bottom w:w="0" w:type="dxa"/>
          <w:right w:w="0" w:type="dxa"/>
        </w:tblCellMar>
      </w:tblPr>
      <w:tblGrid>
        <w:gridCol w:w="60"/>
        <w:gridCol w:w="110"/>
        <w:gridCol w:w="67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7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regulatory developments in the United States and foreign countries; and</w:t>
            </w:r>
          </w:p>
        </w:tc>
      </w:tr>
    </w:tbl>
    <w:tbl>
      <w:tblPr>
        <w:tblW w:w="6805" w:type="dxa"/>
        <w:jc w:val="left"/>
        <w:tblInd w:w="0" w:type="dxa"/>
        <w:tblCellMar>
          <w:top w:w="0" w:type="dxa"/>
          <w:left w:w="0" w:type="dxa"/>
          <w:bottom w:w="0" w:type="dxa"/>
          <w:right w:w="0" w:type="dxa"/>
        </w:tblCellMar>
      </w:tblPr>
      <w:tblGrid>
        <w:gridCol w:w="60"/>
        <w:gridCol w:w="110"/>
        <w:gridCol w:w="66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6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other risks and factors described in this Annual Report on Form 10-K.</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Form 10-K contains market data and industry forecasts that were obtained from industry publications. These data and forecasts involve a number of assumptions and limitations, and you are cautioned not to give undue weight to such information. We have not independently verified any third-party information. While we believe the market position, market opportunity and market size information included in this Form 10-K is generally reliable, such information is inherently imprecise.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should read the section titled “Risk Factors” set forth in Part I, Item 1A of this Annual Report on Form 10-K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You should read this Annual Report on Form 10-K, completely and with the understanding that our actual future results may be materially different from what we expect. We qualify all of our forward-looking statements by these cautionary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RISK FACTOR SUMMARY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Part I, Item 1A, “Risk Factors” in this Form 10-K. The below summary is qualified in its entirety by those more complete discussions of such risks and uncertainties. You should consider carefully the risks and uncertainties described under Part I, Item 1A, “Risk Factors” in this Form 10-K as part of your evaluation of an investment in our common stock.</w:t>
      </w:r>
    </w:p>
    <w:tbl>
      <w:tblPr>
        <w:tblW w:w="8230" w:type="dxa"/>
        <w:jc w:val="left"/>
        <w:tblInd w:w="0" w:type="dxa"/>
        <w:tblCellMar>
          <w:top w:w="0" w:type="dxa"/>
          <w:left w:w="0" w:type="dxa"/>
          <w:bottom w:w="0" w:type="dxa"/>
          <w:right w:w="0" w:type="dxa"/>
        </w:tblCellMar>
      </w:tblPr>
      <w:tblGrid>
        <w:gridCol w:w="60"/>
        <w:gridCol w:w="110"/>
        <w:gridCol w:w="80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060"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rPr>
              <w:t>We have a limited operating history and do not have any products approved for sale</w:t>
            </w:r>
            <w:r>
              <w:rPr>
                <w:b w:val="false"/>
                <w:i w:val="false"/>
                <w:caps w:val="false"/>
                <w:smallCaps w:val="false"/>
                <w:color w:val="000000"/>
              </w:rPr>
              <w: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We have incurred significant losses since our inception and we expect to continue to incur significant losses for the foreseeable future.</w:t>
            </w:r>
          </w:p>
        </w:tc>
      </w:tr>
    </w:tbl>
    <w:tbl>
      <w:tblPr>
        <w:tblW w:w="9865" w:type="dxa"/>
        <w:jc w:val="left"/>
        <w:tblInd w:w="0" w:type="dxa"/>
        <w:tblCellMar>
          <w:top w:w="0" w:type="dxa"/>
          <w:left w:w="0" w:type="dxa"/>
          <w:bottom w:w="0" w:type="dxa"/>
          <w:right w:w="0" w:type="dxa"/>
        </w:tblCellMar>
      </w:tblPr>
      <w:tblGrid>
        <w:gridCol w:w="60"/>
        <w:gridCol w:w="110"/>
        <w:gridCol w:w="96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69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We have never generated revenue from product sales and may never achieve or maintain profitability.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We will require additional capital, which, if available, may cause dilution to our stockholders, restrict our operations or require us to relinquish rights to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Our business and the business or operations of our research partners and other third parties with whom we conduct business could be adversely affected by the effects of health epidemics, including the recent COVID-19 pandemic, in regions where we or third parties on which we rely have business operations.</w:t>
            </w:r>
          </w:p>
        </w:tc>
      </w:tr>
    </w:tbl>
    <w:tbl>
      <w:tblPr>
        <w:tblW w:w="7900" w:type="dxa"/>
        <w:jc w:val="left"/>
        <w:tblInd w:w="0" w:type="dxa"/>
        <w:tblCellMar>
          <w:top w:w="0" w:type="dxa"/>
          <w:left w:w="0" w:type="dxa"/>
          <w:bottom w:w="0" w:type="dxa"/>
          <w:right w:w="0" w:type="dxa"/>
        </w:tblCellMar>
      </w:tblPr>
      <w:tblGrid>
        <w:gridCol w:w="60"/>
        <w:gridCol w:w="110"/>
        <w:gridCol w:w="77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30"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Our business depends upon the success of our CAR-NK cell technology platform.</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Utilizing CAR-NK cells represents a novel approach to the treatment of cancer, and we must overcome significant challenges in order to develop, commercialize and manufacture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Clinical development involves a lengthy and expensive process with an uncertain outcome, and we may encounter substantial delays due to a variety of reasons outside our control.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The results of preclinical studies and early-stage clinical trials may not be predictive of future results. Initial success in any clinical trials may not be indicative of results obtained when these trials are completed or in later stage trials.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If any of our product candidates, or any competing product candidates, demonstrate serious adverse events, including the development of severe or fatal cytokine release syndrome, neurotoxicity or graft-versus-host disease, we may be required to halt or delay further clinical development.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If we fail to compete effectively with academic institutions and other biopharmaceutical companies that develop similar or alternatives to cellular immunotherapy product candidates, our business will be materially adversely affected.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bookmarkStart w:id="2" w:name="_Hlk64055368"/>
            <w:bookmarkEnd w:id="2"/>
            <w:r>
              <w:rPr>
                <w:b w:val="false"/>
                <w:i/>
                <w:caps w:val="false"/>
                <w:smallCaps w:val="false"/>
                <w:color w:val="000000"/>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Delays in commissioning and receiving regulatory approvals for our manufacturing facilities could delay our development plans and thereby limit our ability to develop our product candidates and generate revenues.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If our license agreement with National University of Singapore and St. Jude’s Children’s Research Hospital, Inc. is terminated, we could lose our rights to key components enabling our NK cell engineering platform.</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 xml:space="preserve">If any patent protection we obtain is not sufficiently robust, our competitors could develop and commercialize products and technology similar or identical to ours.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Concentration of ownership of our shares of common stock among our existing executive officers, directors and principal stockholders may prevent new investors from influencing significant corporate decisions.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caps w:val="false"/>
                <w:smallCaps w:val="false"/>
                <w:color w:val="000000"/>
              </w:rPr>
            </w:pPr>
            <w:r>
              <w:rPr>
                <w:b w:val="false"/>
                <w:i/>
                <w:caps w:val="false"/>
                <w:smallCaps w:val="false"/>
                <w:color w:val="000000"/>
              </w:rPr>
              <w:t>The market price for our common stock may be volatile, which could contribute to the loss of all or part of your investment.</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3" w:name="PART_I"/>
      <w:bookmarkStart w:id="4" w:name="_AEIOULastRenderedPageBreakAEIOU1"/>
      <w:bookmarkEnd w:id="3"/>
      <w:bookmarkEnd w:id="4"/>
      <w:r>
        <w:rPr>
          <w:rFonts w:ascii="Times New Roman" w:hAnsi="Times New Roman"/>
          <w:b/>
          <w:i w:val="false"/>
          <w:caps w:val="false"/>
          <w:smallCaps w:val="false"/>
          <w:sz w:val="20"/>
        </w:rPr>
        <w:t>PART I</w:t>
      </w:r>
    </w:p>
    <w:p>
      <w:pPr>
        <w:pStyle w:val="TextBody"/>
        <w:spacing w:before="240" w:after="0"/>
        <w:rPr>
          <w:rFonts w:ascii="Times New Roman" w:hAnsi="Times New Roman"/>
          <w:b/>
          <w:i w:val="false"/>
          <w:caps w:val="false"/>
          <w:smallCaps w:val="false"/>
          <w:sz w:val="20"/>
        </w:rPr>
      </w:pPr>
      <w:bookmarkStart w:id="5" w:name="ITEM_1_BUSINESS"/>
      <w:bookmarkEnd w:id="5"/>
      <w:r>
        <w:rPr>
          <w:rFonts w:ascii="Times New Roman" w:hAnsi="Times New Roman"/>
          <w:b/>
          <w:i w:val="false"/>
          <w:caps w:val="false"/>
          <w:smallCaps w:val="false"/>
          <w:sz w:val="20"/>
        </w:rPr>
        <w:t xml:space="preserve">Item 1. Business.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Overview</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biopharmaceutical company focused on the discovery, development and commercialization of allogeneic, off-the-shelf engineered natural killer, or NK, cell therapies to treat cancer. Our NK cell engineering platform builds on the industry’s prior experience and success with engineering T cells and includes proprietary technologies that enable us to generate an abundant supply of NK cells, improve the persistence of these cells for sustained activity in the body, engineer enhanced NK cell recognition of tumor targets, and freeze, store and thaw our engineered NK cells for off-the-shelf use for the treatment of cancer. All of our product candidates are designed to be allogeneic, meaning they are produced using cells from a different person than the patient treated, as well as off-the-shelf, meaning they are produced in quantity, then frozen and therefore available for treating patients without delay, unlike existing autologous cell therapies, or cell therapies derived from a patient’s own cells. Based on recently published data and data presented at medical conferences from a number of clinical trials of certain NK cell therapies, we believe that engineered NK cells have the potential to be an effective cancer therapy, be well tolerated, and avoid some of the toxicities observed with other cell therapies.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modular NK cell engineering platform allows us to generate new product candidates in a rapid and cost-efficient manner. Our approach for engineering NK cells involves chimeric antigen receptors, or CARs, on the surface of an NK cell to enable the cell to recognize specific proteins or antigens that are present on the surface of tumor cells. Our engineered CAR-NK cells generally consist of an NK cell engineered with a targeting receptor, OX40 costimulatory domain, CD3ζ signaling moiety, and a membrane-bound form of the cytokine IL15 or mbIL-15. We believe the modular nature of our platform and the proprietary technologies we use for the multiplex engineering of NK cells are advantages that can support the rapid generation of new Investigational New Drug applications, or INDs, for product candidates with enhanced properties and/or new targeting receptors for additional disease indications.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two co-lead product candidates are NKX101 and NKX019. NKX101 is designed to enhance the power of innate NK biology to detect and kill cancerous cells. The primary activating receptor for NK cells is known as NKG2D, which works through the detection of stress ligands displayed by cancerous cells. We have engineered NKX101 to increase the cancer cell killing ability of our engineered NK cells by raising levels of NKG2D at least ten-fold as compared to non-engineered NK cells and by adding a costimulatory domain, which is an additional signaling element for white blood cells.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IND for NKX101 for the treatment of cancer was cleared by the United Sates Food and Drug Administration, or FDA, in July 2020, and Protocol NKX101-101 for patients with relapsed/refractory acute myeloid leukemia, or AML, or higher-risk myelodysplastic syndromes, or MDS, was allowed to proceed. On November 12, 2020, we announced that the first patient was treated in the multi-center Phase 1 clinical trial of NKX101 for the treatment of relapsed/refractory AML or higher risk MDS. This first-in-human study evaluates the safety, pharmacokinetics, and preliminary anti-tumor activity of NKX101, administered in one or more cycles, each of which consists of three weekly infusions following lymphodepletion. The clinical trial consists of sequential dose-finding and dose-expansion parts and is designed to identify a recommended Phase 2 dose. We also plan to advance the development of NKX101 in solid tumor indications, including liver cancer, a bile duct cancer known as cholangiocarcinoma, as well as surgically removed colon cancer cases where only liver metastases remain.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NKX019 is based on the ability to treat a variety of B-cell malignancies by targeting the CD19 antigen that is found on these types of cancerous cells, where CD19-targeted engineered NK cells, T cells and monoclonal antibodies have demonstrated clinical activity. We expect to submit an IND for NKX019 in the first quarter of 2021 and are planning to begin dosing the first patient with NKX019 in the second half of 2021.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our two lead product candidates, we are engaged in extensive discovery and preclinical stage activities directed to expansion of our pipeline of product candidates over time. We expect to file an IND in 2022 for a third allogeneic CAR-NK product candidate for the treatment of solid tumors. We are also conducting discovery efforts for an allogeneic, off-the-shelf product candidate that comprises both engineered NK cells and engineered T cells, to take advantage of both the innate and adaptive immune systems. This NK+T program is designed to harness multiple aspects of human immunology to treat a variety of cancers. </w:t>
      </w:r>
    </w:p>
    <w:p>
      <w:pPr>
        <w:pStyle w:val="TextBody"/>
        <w:spacing w:before="240" w:after="0"/>
        <w:rPr>
          <w:rFonts w:ascii="Times New Roman" w:hAnsi="Times New Roman"/>
          <w:b w:val="false"/>
          <w:i w:val="false"/>
          <w:caps w:val="false"/>
          <w:smallCaps w:val="false"/>
          <w:sz w:val="20"/>
        </w:rPr>
      </w:pPr>
      <w:bookmarkStart w:id="6" w:name="_Hlk640412391"/>
      <w:bookmarkEnd w:id="6"/>
      <w:r>
        <w:rPr>
          <w:rFonts w:ascii="Times New Roman" w:hAnsi="Times New Roman"/>
          <w:b w:val="false"/>
          <w:i w:val="false"/>
          <w:caps w:val="false"/>
          <w:smallCaps w:val="false"/>
          <w:sz w:val="20"/>
        </w:rPr>
        <w:t>We have an intensive focus on manufacturing capabilities and technology. In July 2020, we completed the construction of a 2,700-square foot clinical current good manufacturing practice, or cGMP, facility on-site at our primary corporate location in South San Francisco, California. At this facility, we expect to start manufacturing NKX019 in 2021 and NKX101 in 2022. In the future, we also plan to manufacture the proprietary, engineered K562 cells and gamma-retrovirus at our cGMP facility. We are also currently designing a separate, larger cGMP facility</w:t>
      </w:r>
      <w:bookmarkStart w:id="7" w:name="_Hlk64041239"/>
      <w:bookmarkEnd w:id="7"/>
      <w:r>
        <w:rPr>
          <w:rFonts w:ascii="Times New Roman" w:hAnsi="Times New Roman"/>
          <w:b w:val="false"/>
          <w:i w:val="false"/>
          <w:caps w:val="false"/>
          <w:smallCaps w:val="false"/>
          <w:sz w:val="20"/>
        </w:rPr>
        <w:t>, that once qualified, will supply our anticipated pivotal clinical trial and commercial needs.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Product Candidates and Discovery Programs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current pipeline of product candidates and discovery programs is shown below. </w:t>
      </w:r>
    </w:p>
    <w:p>
      <w:pPr>
        <w:pStyle w:val="TextBody"/>
        <w:spacing w:before="120" w:after="0"/>
        <w:rPr>
          <w:caps w:val="false"/>
          <w:smallCaps w:val="false"/>
        </w:rPr>
      </w:pPr>
      <w:r>
        <w:rPr>
          <w:caps w:val="false"/>
          <w:smallCaps w:val="false"/>
        </w:rPr>
        <w:drawing>
          <wp:inline distT="0" distB="0" distL="0" distR="0">
            <wp:extent cx="5895975" cy="2466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95975" cy="2466975"/>
                    </a:xfrm>
                    <a:prstGeom prst="rect">
                      <a:avLst/>
                    </a:prstGeom>
                  </pic:spPr>
                </pic:pic>
              </a:graphicData>
            </a:graphic>
          </wp:inline>
        </w:drawing>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i.v.: intravenous administration. i.a.: intraarterial administration through the hepatic artery.</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Our Strategy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developing novel engineered, allogeneic, off-the-shelf cell therapies to improve the lives of cancer patients and their overall survival by leveraging our NK cell engineering platform. Key elements of our strategy to achieve this include: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Next generation platform enlists natural, healthy human donor NK cells for optimal products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cell engineering platform utilizes healthy adult donors as our source for NK cells. By enlisting this natural source of NK cells, we start with bona fide NK cells already endowed with inherent cytotoxic and tumor-recognizing capabilities, as compared to other more complex cell sources where these basic therapeutic features must be painstakingly designed and synthetically added to the cells. Healthy donor-derived NK cells are also available in abundance, providing a large quantity of cells with which to begin each manufacturing run. Finally, healthy donor-derived adult cells consist of a diverse repertoire of NK cells. By utilizing a cell source that contains the broad and naturally occurring gamut of NK cells, we believe we can capitalize on the inherent diversity of the innate immune system and select for different NK cell sub-populations with desired characteristics.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Develop NKX101 for blood cancers and solid tumors.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NKG2D is the primary activating receptor responsible for innate immune surveillance for cancerous cells, we believe that NKX101 presents a broad opportunity to potentially treat a variety of blood cancers and solid tumors, which represent approximately 90% of all cancer incidences in the United States. Therefore, upon clinical proof-of-concept from our NKX101 Phase 1 clinical trials for AML, MDS, and cancers in the liver, we plan to pursue a broad clinical development plan for multiple tumor types. In November 2020, patient dosing began in a Phase 1 monotherapy clinical trial investigating NKX101 for the treatment of relapsed or refractory AML and higher-risk MDS.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Develop NKX019 for B-cell malignancies.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NKX019 is designed to treat a variety of B-cell malignancies by targeting the clinically and commercially validated CD19 antigen that is found in different B-cell malignancies. Because the targeting of CD19 has demonstrated clinical activity with both CAR-T and CAR-NK cell therapies as well as monoclonal antibodies, we believe that NKX019 presents an opportunity to treat a variety of B-cell malignancies while addressing the limitations of existing autologous CAR-T therapies. We expect to submit an IND for NKX019 in the first quarter of 2021, with the first clinical trial subjects treated in the second half of 2021.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Apply our NK cell engineering platform to build a broad pipeline of product candidates incorporating engineered NK cells.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proprietary NK cell engineering platform is based on a modular and generalizable approach that we believe enables us to generate new product candidates in a rapid and cost-efficient manner. Our engineered CAR-NK cells generally consist of an NK cell engineered with a targeting receptor, OX40 costimulatory domain, CD3ζ signaling moiety, and mbIL-15. </w:t>
      </w:r>
      <w:r>
        <w:rPr>
          <w:rFonts w:ascii="Times New Roman" w:hAnsi="Times New Roman"/>
          <w:b w:val="false"/>
          <w:i w:val="false"/>
          <w:caps w:val="false"/>
          <w:smallCaps w:val="false"/>
          <w:color w:val="000000"/>
          <w:sz w:val="20"/>
        </w:rPr>
        <w:t xml:space="preserve">We believe the modular nature of our platform and the proprietary technologies we use for the multiplex engineering of NK cells are advantages that can support the rapid generation of new INDs for product candidates with enhanced properties and/or new targeting receptors for additional disease indications. </w:t>
      </w:r>
      <w:r>
        <w:rPr>
          <w:rFonts w:ascii="Times New Roman" w:hAnsi="Times New Roman"/>
          <w:b w:val="false"/>
          <w:i w:val="false"/>
          <w:caps w:val="false"/>
          <w:smallCaps w:val="false"/>
          <w:sz w:val="20"/>
        </w:rPr>
        <w:t>With these attributes, we plan to continue to build out a pipeline with product candidates focused on novel targets as well as clinically and commercially validated targets. We are also engaged in preclinical research for an allogeneic, off-the-shelf product candidate that comprises both engineered NK and T cells, or our NK+T discovery program, which may provide advantages of both the innate and adaptive immune responses.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Continue to build proprietary manufacturing capabilities to enable speed, control, flexibility, scalability, and cost efficiency.</w:t>
      </w:r>
    </w:p>
    <w:p>
      <w:pPr>
        <w:pStyle w:val="TextBody"/>
        <w:spacing w:before="120" w:after="0"/>
        <w:rPr>
          <w:rFonts w:ascii="Times New Roman" w:hAnsi="Times New Roman"/>
          <w:b w:val="false"/>
          <w:i w:val="false"/>
          <w:caps w:val="false"/>
          <w:smallCaps w:val="false"/>
          <w:sz w:val="20"/>
        </w:rPr>
      </w:pPr>
      <w:bookmarkStart w:id="8" w:name="_Hlk631755161"/>
      <w:bookmarkEnd w:id="8"/>
      <w:r>
        <w:rPr>
          <w:rFonts w:ascii="Times New Roman" w:hAnsi="Times New Roman"/>
          <w:b w:val="false"/>
          <w:i w:val="false"/>
          <w:caps w:val="false"/>
          <w:smallCaps w:val="false"/>
          <w:sz w:val="20"/>
        </w:rPr>
        <w:t xml:space="preserve">We believe that internal cGMP manufacturing capabilities will facilitate clinical product supply, lower the risk of manufacturing disruptions, and enable more cost-effective manufacturing for clinical and commercial supply of our product candidates. We have built a 2,700-square foot clinical cGMP facility on-site at our primary corporate location in South San Francisco, California. This facility is being qualified so that we can begin production of NKX019 later in 2021. In the future, we intend to manufacture NKX101, the proprietary, engineered K562 cells and gamma-retrovirus at our cGMP facility. We believe this clinical cGMP facility will supply our anticipated non-pivotal clinical trial needs. </w:t>
      </w:r>
      <w:bookmarkStart w:id="9" w:name="_Hlk63175516"/>
      <w:bookmarkEnd w:id="9"/>
      <w:r>
        <w:rPr>
          <w:rFonts w:ascii="Times New Roman" w:hAnsi="Times New Roman"/>
          <w:b w:val="false"/>
          <w:i w:val="false"/>
          <w:caps w:val="false"/>
          <w:smallCaps w:val="false"/>
          <w:sz w:val="20"/>
        </w:rPr>
        <w:t xml:space="preserve">We are also currently designing a separate, larger commercial cGMP facility for manufacturing engineered NK cells for pivotal clinical trials and potential commercial supply.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Continue to opportunistically evaluate enabling, adjacent or potential competing technologies, and where advantageous, seek licenses or collaborations regarding those technologies, to advance our platform.</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continue to evaluate technologies that may enable or enhance our various product candidates, and we will maintain awareness of those that may provide a broader cell therapy engineering or manufacturing platform for us. To facilitate the advancement of our engineering and manufacturing platforms, we routinely engage in partnering and licensing discussions with a range of biotechnology or pharmaceutical companies and academic institutions.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COVID-19 Business Update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March 2020, COVID-19, a disease caused by a novel strain of the coronavirus, was characterized as a pandemic by the World Health Organization. In response to COVID-19, we have taken, and continue to take, proactive measures to prioritize health and safety, including of our employees and other personnel, and to maintain business continuity. Following guidance from federal, state and local authorities, we transitioned to a partial remote working environment in March 2020. All onsite personnel are required to adhere to our COVID-19 safety protocols for their protection. All other personnel are still working remotely. At some of our contract manufacturing sites, COVID-19-related restrictions, including temporary shutdowns, and instances of COVID-19 cases impacting personnel have resulted in some delays. In addition, we experienced some delays in construction of our cGMP manufacturing facility and in our internal research efforts due to the initial government-imposed stay-at-home orders early in the pandemic in 2020. However, COVID-19 did not materially impact the timelines we previously announced for the filing of the NKX101 IND or the dosing of the first patient in the NKX101 clinical trial, and we do not expect COVID-19 to have a material impact on the current timeline for the filing of the NKX019 IND. To date, the COVID-19 pandemic has not had a material adverse impact on our productivity or our business.</w:t>
      </w:r>
    </w:p>
    <w:p>
      <w:pPr>
        <w:pStyle w:val="TextBody"/>
        <w:spacing w:before="120" w:after="0"/>
        <w:rPr>
          <w:rFonts w:ascii="Times New Roman" w:hAnsi="Times New Roman"/>
          <w:b w:val="false"/>
          <w:i w:val="false"/>
          <w:caps w:val="false"/>
          <w:smallCaps w:val="false"/>
          <w:color w:val="000000"/>
          <w:sz w:val="20"/>
        </w:rPr>
      </w:pPr>
      <w:bookmarkStart w:id="10" w:name="_Hlk64590619"/>
      <w:bookmarkEnd w:id="10"/>
      <w:r>
        <w:rPr>
          <w:rFonts w:ascii="Times New Roman" w:hAnsi="Times New Roman"/>
          <w:b w:val="false"/>
          <w:i w:val="false"/>
          <w:caps w:val="false"/>
          <w:smallCaps w:val="false"/>
          <w:color w:val="000000"/>
          <w:sz w:val="20"/>
        </w:rPr>
        <w:t>COVID-19 continues to evolve rapidly, and multiple variants of the virus that cause COVID-19 are circulating globally. We cannot predict the potential future impacts of COVID-19, including its variants, on us and third parties with whom we conduct business, including on our clinical studies and our clinical trial for NKX101 and related timelines, as well as our preclinical activities. These impacts will depend on future developments that are highly uncertain and cannot be predicted with confidence, such as the duration of the outbreak and the effectiveness of actions taken in the United States and other countries to contain, vaccinate against, and treat the disease. We will continue to closely monitor and evaluate the nature and extent of the impacts of COVID-19 on our business. For further information regarding these impacts, see Part II, Item 7, “Management’s Discussion and Analysis of Financial Condition and Results of Operations-Overview of our Business” in this Form 10-K.</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The Immune System and Cancer</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recent decades there has been a significant level of innovation and improvement in the treatment of different cancers with the introduction of new therapeutic approaches and the approval of new therapies. Despite these advances, many of the most common cancers remain burdened with substantial unmet medical need. Immuno-oncology therapies seek to stimulate or supplement a person’s own immune system to attack cancer cells selectively without affecting normal cells, or deliver certain immune system components in order to inhibit the spread of cancer. Immuno-oncology therapy has emerged as an important mode of cancer treatment, alongside more established options such as surgery, chemotherapy, targeted therapy and radiation therapy.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ability of the immune system to recognize and destroy tumors has been known for over 100 years. More recently, a growing understanding of molecular mechanisms underlying recognition of cancer cells by the immune system and their evasion of detection has allowed scientists to develop new classes of immuno-oncology therapies. These therapies either undermine the tumor’s ability to resist immune attack or enhance immune targeting and killing of cancer cells.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Cellular Immunotherapies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Cellular immunotherapy is a type of immuno-oncology therapy whereby human cells are engineered to recognize and destroy cancer cells in a more targeted manner. Most cellular immunotherapies are focused on modulating or enhancing the activity of different lymphocytes, a subtype of white blood cell that are responsible for defending the body against infectious pathogens and other foreign material, as well as killing cancerous cells within the body. There are several different classes of lymphocytes which differ in their natural function. T cells are a type of lymphocyte that primarily serves to protect from infectious invaders such as bacteria, viruses, fungi and parasites. Every individual T cell recognizes a different specific antigen, or proteins found on the surface of infectious pathogens or foreign tissue. This type of lymphocyte is activated and divides rapidly only when it detects its specific antigen. Accordingly, T cells are the foundation of the adaptive immune system, because they selectively respond to different threats when they occur.</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NK cells are the foundation of the innate immune system. While T cells are activated by unique antigens specific to each individual T cell, the activity of NK cells is tightly regulated by a common set of activating receptors on these cells that serve to recognize and kill cancerous or virally infected cells, as well as a set of inhibitory receptors that identify healthy cells from the same individual. This balance of inhibition and activation spares healthy cells from the surveillance and killing effects of the innate immune system. The primary activating receptor for NK cells is known as NKG2D and functions by detecting eight known stress ligands, or signals that cancerous or virally infected cells produce. The detection of these stress ligands by NKG2D on the surface of the NK cells is the primary basis for tumor surveillance by NK cells and is the basis of the mechanism of action for our product candidate NKX101.</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frequently used approach for cellular immunotherapy involves CARs on the surface of a lymphocyte that enable the cell to recognize specific proteins or antigens that are present on the surface of tumor cells. The concept of a CAR builds upon and enhances the normal biology of T cells and NK cells, whereby naturally occurring receptors serve to activate these cells when a foreign pathogen or cancerous cell is detected. The key components of CARs used today often include the following elements: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Target binding domain. </w:t>
            </w:r>
            <w:r>
              <w:rPr>
                <w:b w:val="false"/>
                <w:i w:val="false"/>
                <w:caps w:val="false"/>
                <w:smallCaps w:val="false"/>
                <w:color w:val="000000"/>
              </w:rPr>
              <w:t>At one end of the CAR is a binding domain that is specific to a target antigen or protein. This domain extends out from the surface of the engineered lymphocyte, where it can recognize the target antigen or antigens. The target binding domain can be based upon a naturally occurring receptor, such as the NKG2D receptor for NKX101, or a binder derived from a monoclonal antibody against a target antigen, such as the CD19 binder for NKX019.</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Transmembrane domain and hinge. </w:t>
            </w:r>
            <w:r>
              <w:rPr>
                <w:b w:val="false"/>
                <w:i w:val="false"/>
                <w:caps w:val="false"/>
                <w:smallCaps w:val="false"/>
                <w:color w:val="000000"/>
              </w:rPr>
              <w:t>This middle portion of the CAR links the target binding domain to the activating elements inside the cell. This transmembrane domain anchors the CAR in the cell’s membrane. In addition, the transmembrane domain may also interact with other transmembrane proteins that enhance CAR function. The hinge domain, which extends to the exterior of the cell, connects the transmembrane domain to the binder and provides structural flexibility to facilitate binding to the target antigen on the surface of the cancer cell.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Activating domains. </w:t>
            </w:r>
            <w:r>
              <w:rPr>
                <w:b w:val="false"/>
                <w:i w:val="false"/>
                <w:caps w:val="false"/>
                <w:smallCaps w:val="false"/>
                <w:color w:val="000000"/>
              </w:rPr>
              <w:t>The other end of the CAR, inside the lymphocyte, includes domains responsible for activating the lymphocyte when the CAR binds to its target antigen. The first, found in almost all CAR constructs, is called CD3ζ and is the natural basis for lymphocyte activation. The second is called a costimulatory domain, is found in the most recent generation of CARs under development today and provides an additional activating signal. Together, these signals trigger lymphocyte activation, resulting in proliferation of the CAR cells and killing of the cancer cell. In addition, activated CAR cells stimulate the secretion of cytokines and other molecules that can thereby recruit and activate additional immune cells to increase killing of the cancer cells.</w:t>
            </w:r>
          </w:p>
        </w:tc>
      </w:tr>
    </w:tbl>
    <w:p>
      <w:pPr>
        <w:pStyle w:val="TextBody"/>
        <w:spacing w:before="240" w:after="0"/>
        <w:rPr>
          <w:rFonts w:ascii="Times New Roman" w:hAnsi="Times New Roman"/>
          <w:b w:val="false"/>
          <w:i w:val="false"/>
          <w:caps w:val="false"/>
          <w:smallCaps w:val="false"/>
          <w:sz w:val="20"/>
        </w:rPr>
      </w:pPr>
      <w:bookmarkStart w:id="11" w:name="_Hlk64042459"/>
      <w:bookmarkEnd w:id="11"/>
      <w:r>
        <w:rPr>
          <w:rFonts w:ascii="Times New Roman" w:hAnsi="Times New Roman"/>
          <w:b w:val="false"/>
          <w:i w:val="false"/>
          <w:caps w:val="false"/>
          <w:smallCaps w:val="false"/>
          <w:sz w:val="20"/>
        </w:rPr>
        <w:t xml:space="preserve">The FDA has approved four CAR-based T cell therapies for the treatment of certain types of cancer affecting B-cells since 2017. Each of these therapies is an autologous therapy, or derived from a patient’s own cells, which necessitates a complex, individualized manufacturing process for every patient treated. The approvals of these patient-specific cell therapies were a landmark event for many reasons, including the ability to treat and provide long-term remission for otherwise deadly disease; achieving the run-to-run product consistency required by the FDA despite the complex manufacturing required; and achieving successful reimbursement in the U.S. and other countries of several hundred thousand dollars per treatment.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Limitations of Current CAR-T Therapies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Despite the ability of the approved autologous CAR-T therapies to achieve positive anti-tumor responses and extend the survival of patients with advanced B-cell malignancies, these therapies have certain features that are believed to limit their broader adoption. These features include:</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Adverse events. </w:t>
            </w:r>
            <w:r>
              <w:rPr>
                <w:b w:val="false"/>
                <w:i w:val="false"/>
                <w:caps w:val="false"/>
                <w:smallCaps w:val="false"/>
                <w:color w:val="000000"/>
              </w:rPr>
              <w:t>According to the product labels for the three approved CAR-T therapies, cytokine release syndrome, or CRS, was observed in 46% to 94% of patients treated in the respective pivotal clinical trials. In addition, neurotoxicity was seen in 35% to 87% of patients treated in such trials. Because of the frequency and severity of these adverse events, patients treated with the approved CAR-T therapies can require a lengthy stay in an intensive care unit and costly ancillary care.</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Limited availability. </w:t>
            </w:r>
            <w:r>
              <w:rPr>
                <w:b w:val="false"/>
                <w:i w:val="false"/>
                <w:caps w:val="false"/>
                <w:smallCaps w:val="false"/>
                <w:color w:val="000000"/>
              </w:rPr>
              <w:t>As a condition of FDA approval, treatment with approved CAR-T therapies is currently limited to select centers due to safety, logistical and regulatory reasons under a Risk Evaluation and Mitigation Strategy, or REMS, Program.</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Lengthy manufacturing time. </w:t>
            </w:r>
            <w:r>
              <w:rPr>
                <w:b w:val="false"/>
                <w:i w:val="false"/>
                <w:caps w:val="false"/>
                <w:smallCaps w:val="false"/>
                <w:color w:val="000000"/>
              </w:rPr>
              <w:t xml:space="preserve">Due to the individualized manufacturing process, patients must wait approximately two to four weeks to be treated with their engineered cells. In the registrational trials for the first four approved CAR-T therapies, 7% to 34% of enrolled patients did not receive CAR-T cells, for reasons including manufacturing failure as well as patient progression or death while waiting for manufacturing.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Variable potency. </w:t>
            </w:r>
            <w:r>
              <w:rPr>
                <w:b w:val="false"/>
                <w:i w:val="false"/>
                <w:caps w:val="false"/>
                <w:smallCaps w:val="false"/>
                <w:color w:val="000000"/>
              </w:rPr>
              <w:t>In many cases, patients have T cells that have been damaged or weakened due to prior chemotherapy or hematopoietic stem-cell transplant or HSCT. Compromised T cells may not proliferate well during manufacturing or may produce engineered T cells with insufficient potency that cannot be used for patient treatment. This can result in outright manufacturing failures as well as cells with poor expansion and activity in a patient. The individualized nature of autologous manufacturing, together with the inconsistency in patients’ T cells, can cause variable and unpredictable treatment outcomes.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High manufacturing complexity and cost. </w:t>
            </w:r>
            <w:r>
              <w:rPr>
                <w:b w:val="false"/>
                <w:i w:val="false"/>
                <w:caps w:val="false"/>
                <w:smallCaps w:val="false"/>
                <w:color w:val="000000"/>
              </w:rPr>
              <w:t>The manufacture of autologous T cell therapy is individualized and labor-intensive. The collection of T cells through leukapheresis from each individual patient is a time consuming and costly step in the autologous manufacturing process. In contrast to traditional pharmaceutical manufacturing where a single manufacturing run generates product for hundreds or thousands of patients, a full manufacturing run of autologous T cell therapy generates product for a single patient. In addition, autologous T cell therapy requires specialized infrastructure to maintain a strict chain of custody and identity of patient cells throughout collection, manufacturing and delivery, adding significant cost to the process and limiting the ability to scale.</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limitations are difficult to address as many are inherent to fundamental aspects of T cell biology.   CRS, which accounts for many of the adverse events which in part limit availability, is believed to be a consequence of the exponential expansion of T cells upon detection of a target antigen. Manufacturing time, product variability, and cost are due in great part to the autologous nature of approved CAR T therapies.  These limitations might be mitigated by using donor-derived allogeneic T cells, but application of allogeneic T cells without additional gene edits, human leukocyte antigen, or HLA, matching or modifications carries a high risk that donor T cells might recognize the recipient as “non-self” and cause graft-versus-host disease, or GVHD, a serious or life-threatening condition where the donor’s T cells attack the recipient’s body.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Allogeneic Cell Therapies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development of allogeneic, off-the-shelf cell therapies addresses certain limitations of autologous CAR-T cells by offering these potential advantages: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Availability. </w:t>
            </w:r>
            <w:r>
              <w:rPr>
                <w:b w:val="false"/>
                <w:i w:val="false"/>
                <w:caps w:val="false"/>
                <w:smallCaps w:val="false"/>
                <w:color w:val="000000"/>
              </w:rPr>
              <w:t>Because an allogeneic cell therapy is produced in quantity with cells from a healthy donor and then frozen, it would be available for the treatment of patients without delay.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Consistency. </w:t>
            </w:r>
            <w:r>
              <w:rPr>
                <w:b w:val="false"/>
                <w:i w:val="false"/>
                <w:caps w:val="false"/>
                <w:smallCaps w:val="false"/>
                <w:color w:val="000000"/>
              </w:rPr>
              <w:t>By using cells from a healthy donor as starting material, and producing large numbers of doses per manufacturing run, an allogeneic cell therapy provides the opportunity for more rigorous quality control and release of consistent engineered cells.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Cost of manufacturing. </w:t>
            </w:r>
            <w:r>
              <w:rPr>
                <w:b w:val="false"/>
                <w:i w:val="false"/>
                <w:caps w:val="false"/>
                <w:smallCaps w:val="false"/>
                <w:color w:val="000000"/>
              </w:rPr>
              <w:t>An allogeneic cell therapy provides an opportunity to spread manufacturing costs across a large number of doses, thereby significantly lowing the cost per dose produced.</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The Opportunity for Engineered NK Cells in Treating Cancer</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development of CAR-NK therapies can capitalize on the knowledge and experience gained from decades of CAR-T research. Furthermore, the biology of NK cells offers a number of potential advantages as the starting cell type for allogeneic, off-the-shelf engineered cell therapy. These advantages include:</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Inherent anticancer activity. </w:t>
            </w:r>
            <w:r>
              <w:rPr>
                <w:b w:val="false"/>
                <w:i w:val="false"/>
                <w:caps w:val="false"/>
                <w:smallCaps w:val="false"/>
                <w:color w:val="000000"/>
              </w:rPr>
              <w:t>We conducted a systematic literature review of published clinical trial results of allogeneic NK cells in cancer, which identified a 34% complete response rate among 103 patients with relapsed or refractory AML who were treated with non-engineered NK cells across six academic clinical studies. These data demonstrate the anticancer activity of endogenous NK cells, and support the opportunity for increasing the activity of NK cells through engineering.</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Allogeneic and off-the-shelf without gene editing or other modifications. </w:t>
            </w:r>
            <w:r>
              <w:rPr>
                <w:b w:val="false"/>
                <w:i w:val="false"/>
                <w:caps w:val="false"/>
                <w:smallCaps w:val="false"/>
                <w:color w:val="000000"/>
              </w:rPr>
              <w:t>Because NK cells are not generally activated by “non-self” cells, further modification of NK cells is not necessary to avoid the risk of GVHD and thereby produce an allogeneic, off-the-shelf engineered NK cell therapy.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Modest clonal expansion and therefore potential reduced CRS risk. </w:t>
            </w:r>
            <w:r>
              <w:rPr>
                <w:b w:val="false"/>
                <w:i w:val="false"/>
                <w:caps w:val="false"/>
                <w:smallCaps w:val="false"/>
                <w:color w:val="000000"/>
              </w:rPr>
              <w:t>While T cells experience exponential growth when activated by a target antigen, NK cells expand only modestly upon activation. The explosive growth of T cells is believed to be the basis of the risk of CRS when CAR-T cells are administered to patients. However, a significant incidence of CRS has not been reported in medical literature for NK cell therapy.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Balance of activation and inhibition. </w:t>
            </w:r>
            <w:r>
              <w:rPr>
                <w:b w:val="false"/>
                <w:i w:val="false"/>
                <w:caps w:val="false"/>
                <w:smallCaps w:val="false"/>
                <w:color w:val="000000"/>
              </w:rPr>
              <w:t>The activity of NK cells is tightly regulated by a common set of activating receptors that serve to recognize and kill cancerous or virally infected cells, as well as a set of inhibitory receptors that identify healthy cells from the same individual. This balance of inhibition and activation spares healthy cells from the surveillance and killing effects of the innate immune system. Therefore, the fundamental biology of CAR-NK cells drives their ability to discriminate between healthy and tumor cells.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Ability to overcome tumor evasion of the immune system. </w:t>
            </w:r>
            <w:r>
              <w:rPr>
                <w:b w:val="false"/>
                <w:i w:val="false"/>
                <w:caps w:val="false"/>
                <w:smallCaps w:val="false"/>
                <w:color w:val="000000"/>
              </w:rPr>
              <w:t>Many solid tumors are able to evade the immune system by creating an immunosuppressive environment around the cancerous cells, which can dramatically reduce the normal tumor-killing ability of the immune system. This tumor microenvironment involves down-regulators of immune response, including regulatory T cells and myeloid-derived suppressor cells. However, these cell types also display NKG2D ligands, and preclinical models demonstrate that clearance of these cells can reduce immune suppression from the tumor microenvironment. Therefore, by acting through NKG2D, CAR-NK cells may be able to reduce the immune suppression of the tumor microenvironment, and therefore uncover a broader opportunity for immuno-oncology cell therapy development for the treatment of solid tumors.</w:t>
            </w:r>
          </w:p>
        </w:tc>
      </w:tr>
    </w:tbl>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Clinical Activity and Tolerability of Non-CAR NK Cells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early 2019, we conducted a systematic literature review of clinical trial results published in English from 2005 onwards that described the effect of allogeneic NK cell transfusions from healthy donors in the treatment of cancer patients. We identified a total of 32 academic clinical trials that enrolled a combined total of 586 patients. Key findings from this systematic literature review include: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most common indications were AML and a related disease, MDS, with a combined 57% of subjects having one of these diseases. In addition, 20% had solid tumors, most commonly neuroblastoma (6% overall) and sarcoma (3% overall).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Most patients (57% overall) received non-engineered, allogeneic NK cells after HSCT, which is a potentially curative procedure for certain blood cancers. Of the remaining patients in the non-transplant setting, the majority of the subjects (60%) received NK cells after lymphodepleting chemotherapy consisting of cyclophosphamide and fludarabine. This lymphodepleting chemotherapy temporarily prevents the clearance of the transfused NK cells by the recipient’s immune system, providing an opportunity for the transfused cells to kill cancerous cells.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most common source of NK cells was haplomatched related donors, those from a close relative with at least 50% matching for a set of proteins known as HLA. These haplomatched donor/recipient pairs comprised 95% of the patients we identified.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 general, systemic NK cell transfusions were well tolerated. Commonly reported adverse events included low-grade systemic symptoms such as fever and chills. Higher-grade events reported were low numbers of various blood cells, or cytopenias, and infections which most often arose after HSCT. In the non-HSCT setting, no GVHD and minimal CRS events or neurotoxicities were reported.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Although there was inconsistency in sampling for donor NK cell persistence, peak levels of allogeneic NK cells occurred at a median of 10 to 11 days post-infusion across the various trials. Another academic study demonstrated that the transfused allogeneic NK cells were cleared commensurate with recovery of the patient’s immune system after lymphodepleting chemotherapy, generally within 14 to 21 days.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bookmarkStart w:id="12" w:name="_Hlk638555721"/>
            <w:bookmarkEnd w:id="12"/>
            <w:r>
              <w:rPr>
                <w:b w:val="false"/>
                <w:i w:val="false"/>
                <w:caps w:val="false"/>
                <w:smallCaps w:val="false"/>
                <w:color w:val="000000"/>
              </w:rPr>
              <w:t>Among the 103 patients with relapsed or refractory AML treated with non-engineered NK cells after lymphodepleting chemotherapy in the non-transplant setting across seven published studies, 35 patients (34%) achieved a complete response to NK cell therapy alone.</w:t>
            </w:r>
            <w:bookmarkStart w:id="13" w:name="_Hlk63855572"/>
            <w:bookmarkEnd w:id="13"/>
            <w:r>
              <w:rPr>
                <w:b w:val="false"/>
                <w:i w:val="false"/>
                <w:caps w:val="false"/>
                <w:smallCaps w:val="false"/>
                <w:color w:val="000000"/>
              </w:rPr>
              <w:t xml:space="preserv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At the annual meeting of the American Society of Hematology in December 2020, or ASH 2020, updated results from an investigator sponsored single institution Phase 1 study using an investigational non-engineered NK cell therapy, GDA-201, were presented. Patients received a single cycle of therapy consisting of lympho-conditioning followed by two doses of GDA-201 at Day 0 and Day 2 as combination with rituximab and supportive IL-2. No GVHD, CRS or neurotoxicity was reported. In heavily pre-treated patients with non-Hodgkin lymphoma, 14 of 19 patients achieved an objective response, including 13 patients who achieved a complete response. These NK cells were derived from healthy donors and expanded using nicotinamide and IL-15, with no further engineering.</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At the same meeting, clinical data with an investigational engineered NK cell therapy, FT516, was reported by Fate Therapeutics. These NK cells were derived from a clonal master induced pluripotent stem cell, or iPSC, line and were engineered to express a CD16 Fc receptor but not a chimeric antigen receptor. In interim data from a Phase 1 study of patients with relapsed/refractory B-cell lymphoma, 3 of 4 evaluable patients achieved an objective response, including 2 patients who achieved a complete response, following treatment with FT516 in combination with rituximab. All four patients had previously received at least two rounds of anti-CD20 therapy. Patients received two cycles of therapy, with each cycle consisting of lympho-conditioning followed by three once-weekly doses of FT516, IL-2 cytokine support and rituximab. No GVHD, CRS or neurotoxicity was reported.</w:t>
            </w:r>
          </w:p>
        </w:tc>
      </w:tr>
    </w:tbl>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Clinical Activity and Tolerability of CAR-NK Cells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Early clinical data with CAR-NK cells also support the opportunity for using engineered NK cells to treat cancer. In 2020, a team of researchers at M.D. Anderson Cancer Center in Houston, Texas reported in the New England Journal of Medicine on a cohort of patients in a single-site study with various B-cell malignancies, including DLBCL, CLL and follicular lymphoma, who were treated with freshly prepared CAR-NK cells targeting CD19. These CAR-NK cells were derived from umbilical cord blood and engineered to express a secreted form of IL-15 as well as a CAR construct containing a CD19-targeting binder and a CD28 costimulatory domain. Of the 11 patients treated, eight achieved responses within 30 days of single infusion, with seven achieving a complete response and five receiving post-remission therapy. The patients had already received a median of four prior rounds of therapy, and four patients had relapsed after stem cell transplant, which is considered the only curative therapy after the failure of front-line treatment for these diseases. No GVHD, CRS or neurotoxicity was reported.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recent case study describing a heavily pretreated patient with relapsed/refractory DLBCL who achieved a partial response following single-dose treatment with an investigational engineered NK cell therapy, FT596, as monotherapy was reported at the ASH 2020. The patient subsequently received a second treatment cycle with the engineered cell therapy product, resulting in a deepening response as measured by tumor size and metabolic activity. The investigator reported no dose-limiting toxicities, no FT596-related serious adverse events, and no events of any grade of CRS, immune effector cell-associated neurotoxicity syndrome, or GvHD. These NK cells were derived from a clonal master iPSC, line and were engineered with a CAR to target CD19, a CD16 Fc receptor and an IL-15 receptor fusion. The patient had previously received seven prior treatment regimens. Each cycle of therapy consisted of lympho-conditioning followed by a single dose of NK cell therapy product as monotherapy. No GVHD, CRS or neurotoxicity was reported.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the clinical activity and tolerability profile of these allogeneic CAR-NK cells further validate the opportunity for engineering NK cells to treat cancer.</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Challenges with Developing NK Cell Therapies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the emerging data from the aforementioned studies of NK cell products along with the prior academic experience with NK cells validate the opportunity for NK cells for the treatment of different cancers. To achieve a commercially viable engineered NK cell therapy, we believe that a number of challenges inherent with NK cells must be addressed. These include the following: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Expansion. </w:t>
            </w:r>
            <w:r>
              <w:rPr>
                <w:b w:val="false"/>
                <w:i w:val="false"/>
                <w:caps w:val="false"/>
                <w:smallCaps w:val="false"/>
                <w:color w:val="000000"/>
              </w:rPr>
              <w:t>One of the historical challenges in treating patients with NK cells has been the lack of robust techniques to grow these cells in large numbers without causing exhaustion, or the inability of the expanded NK cells to kill tumor cells with the same potency as native NK cells.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Engineering.  </w:t>
            </w:r>
            <w:r>
              <w:rPr>
                <w:b w:val="false"/>
                <w:i w:val="false"/>
                <w:caps w:val="false"/>
                <w:smallCaps w:val="false"/>
                <w:color w:val="000000"/>
              </w:rPr>
              <w:t>Primary NK cells have been reported to be difficult to engineer efficiently.  Poor efficiency of engineering could limit the potency and consistency of engineered NK cell therapies.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Persistence. </w:t>
            </w:r>
            <w:r>
              <w:rPr>
                <w:b w:val="false"/>
                <w:i w:val="false"/>
                <w:caps w:val="false"/>
                <w:smallCaps w:val="false"/>
                <w:color w:val="000000"/>
              </w:rPr>
              <w:t>Non-engineered human NK cells turn over rapidly, with a half-life of seven to 10 days in the body. This short lifetime limits the cancer-killing ability of these NK cells.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i w:val="false"/>
                <w:caps w:val="false"/>
                <w:smallCaps w:val="false"/>
                <w:color w:val="000000"/>
              </w:rPr>
              <w:t xml:space="preserve">Cryopreservation. </w:t>
            </w:r>
            <w:r>
              <w:rPr>
                <w:b w:val="false"/>
                <w:i w:val="false"/>
                <w:caps w:val="false"/>
                <w:smallCaps w:val="false"/>
                <w:color w:val="000000"/>
              </w:rPr>
              <w:t>Without cryopreservation, a truly off-the-shelf engineered NK cell therapy would be challenging to commercialize. However, freezing then thawing NK cells while maintaining cancer cell killing potency is difficult to achieve using standard techniques for T cell cryopreservation.</w:t>
            </w:r>
          </w:p>
        </w:tc>
      </w:tr>
    </w:tbl>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Our NK Cell Engineering Platform</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cell engineering platform is designed to operationalize the full therapeutic potential of NK cells and address the limitations and challenges of current technologies for engineering T cells and NK cells. The platform is a result of our internal expertise and deep understanding of NK cell biology. It includes proprietary technologies for NK cell expansion, persistence, targeting and cryopreservation. This enables us to generate an abundant supply of NK cells, engineer enhanced NK cell recognition of tumor targets, improve the persistence of these cells for sustained activity in the body, and to freeze, transport and store our engineered NK cells for off-the-shelf use for the treatment of cancer.</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chosen to use healthy adult donors as our source for NK cells. We believe this offers a number of advantages including: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Starting with bona fide NK cells with inherent cytotoxic and tumor-recognizing capabilities, as compared to other cell sources such as iPSCs, where these fundamental features must be engineered into the cells;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 large number of NK cells as starting material for each manufacturing run, as compared to other potential sources of NK cells;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ability to select donors with consistent and favorable NK cell characteristics, thereby avoiding challenges with patient-derived or other cell sources;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 diverse repertoire of NK cells. Different NK cell sub-populations have different characteristics, and by utilizing the entire natural gamut of NK cells as our cell source, we can capitalize on the inherent diversity of the innate immune system.</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Below are the four core technologies that comprise our proprietary platform. Each of these technologies is part of an integrated approach to develop potent, scalable, and consistent NK cell products: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Expansion. </w:t>
      </w:r>
      <w:r>
        <w:rPr>
          <w:rFonts w:ascii="Times New Roman" w:hAnsi="Times New Roman"/>
          <w:b w:val="false"/>
          <w:i w:val="false"/>
          <w:caps w:val="false"/>
          <w:smallCaps w:val="false"/>
          <w:sz w:val="20"/>
        </w:rPr>
        <w:t>The first pillar of our technology platform enables NK cell expansion without causing cell exhaustion. Our academic founder, Dario Campana, M.D., Ph.D., developed a proprietary cell line based on engineering of a publicly available cancer cell line called K562. Our proprietary, engineered K562 stimulatory cell line has been engineered with mbIL15 as well as a protein named 4-1BB ligand, or 4-1BBL. IL-15 is a naturally occurring growth protein that induces cell proliferation in NK cells. 4-1BBL binds to 4-1BB, a receptor normally found on NK cells that stimulates NK cell division and expansion. Therefore, our proprietary, engineered K562 cell line is selectively able to stimulate the expansion of NK cells as compared to other leukocytes, and thereby provide large numbers of NK cells. Based on our pilot scale experiments and early cGMP manufacturing experience, we believe that we can produce many hundreds of doses from a single manufacturing run. We also believe that we can achieve a cost of manufacturing for commercial NKX101 and NKX019 at peak capacity of approximately $2,000 per dose, based on achieving 500 doses per manufacturing run at our highest planned Phase 1 dose of one billion CAR-NK cells per dose and on our current estimates for the costs of raw materials, consumables, rent, construction, equipment, labor and overhead.</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Persistence. </w:t>
      </w:r>
      <w:r>
        <w:rPr>
          <w:rFonts w:ascii="Times New Roman" w:hAnsi="Times New Roman"/>
          <w:b w:val="false"/>
          <w:i w:val="false"/>
          <w:caps w:val="false"/>
          <w:smallCaps w:val="false"/>
          <w:sz w:val="20"/>
        </w:rPr>
        <w:t>The second component of our technology platform is engineering NK cells with mbIL-15 to enhance persistence. We believe increased persistence could result in improved clinical activity. Because IL-15 is a selective driver of NK activation and expansion, tethering IL-15 to the surface of our engineered NK cells serves to stimulate the naturally occurring IL-15 receptor on these NKs, and thereby provide weeks of persistence in animal models. Because mbIL-15 selectively stimulates NK cells without systemic circulation, we believe that mbIL-15 provides meaningful advantages as compared to secreted IL-15 or the systemic administration of other cytokines such as IL-2 or IL-21. The first graph below shows data from a cell culture experiment which demonstrates the increase of the number and persistence of NK cells engineered with mbIL-15, as compared to unmodified NK cells or NK cells expressing soluble IL-15. The second graph below shows the increased number and persistence in mice of NK cells engineered with mbIL-15, as compared to unmodified NK cells, as a percentage of total peripheral blood mononuclear cells, or PBMCs.</w:t>
      </w:r>
    </w:p>
    <w:p>
      <w:pPr>
        <w:pStyle w:val="TextBody"/>
        <w:spacing w:before="0" w:after="0"/>
        <w:jc w:val="center"/>
        <w:rPr>
          <w:caps w:val="false"/>
          <w:smallCaps w:val="false"/>
        </w:rPr>
      </w:pPr>
      <w:r>
        <w:rPr>
          <w:caps w:val="false"/>
          <w:smallCaps w:val="false"/>
        </w:rPr>
        <w:drawing>
          <wp:inline distT="0" distB="0" distL="0" distR="0">
            <wp:extent cx="5953125" cy="3990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53125" cy="3990975"/>
                    </a:xfrm>
                    <a:prstGeom prst="rect">
                      <a:avLst/>
                    </a:prstGeom>
                  </pic:spPr>
                </pic:pic>
              </a:graphicData>
            </a:graphic>
          </wp:inline>
        </w:drawing>
      </w:r>
    </w:p>
    <w:p>
      <w:pPr>
        <w:pStyle w:val="TextBody"/>
        <w:spacing w:before="0" w:after="0"/>
        <w:rPr>
          <w:rFonts w:ascii="Times New Roman" w:hAnsi="Times New Roman"/>
          <w:b w:val="false"/>
          <w:i w:val="false"/>
          <w:caps w:val="false"/>
          <w:smallCaps w:val="false"/>
          <w:sz w:val="20"/>
        </w:rPr>
      </w:pPr>
      <w:bookmarkStart w:id="14" w:name="_Hlk65671298"/>
      <w:bookmarkEnd w:id="14"/>
      <w:r>
        <w:rPr>
          <w:rFonts w:ascii="Times New Roman" w:hAnsi="Times New Roman"/>
          <w:b w:val="false"/>
          <w:i w:val="false"/>
          <w:caps w:val="false"/>
          <w:smallCaps w:val="false"/>
          <w:sz w:val="20"/>
        </w:rPr>
        <w:t>Source: Imamura et al., Blood. 2014 Aug 14;124(7):1081-8</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915025" cy="413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15025" cy="4133850"/>
                    </a:xfrm>
                    <a:prstGeom prst="rect">
                      <a:avLst/>
                    </a:prstGeom>
                  </pic:spPr>
                </pic:pic>
              </a:graphicData>
            </a:graphic>
          </wp:inline>
        </w:drawing>
      </w:r>
    </w:p>
    <w:p>
      <w:pPr>
        <w:pStyle w:val="TextBody"/>
        <w:spacing w:before="0" w:after="0"/>
        <w:rPr/>
      </w:pPr>
      <w:r>
        <w:rPr/>
        <w:t> </w:t>
      </w:r>
    </w:p>
    <w:p>
      <w:pPr>
        <w:pStyle w:val="TextBody"/>
        <w:spacing w:before="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Targeting and Signaling. </w:t>
      </w:r>
      <w:r>
        <w:rPr>
          <w:rFonts w:ascii="Times New Roman" w:hAnsi="Times New Roman"/>
          <w:b w:val="false"/>
          <w:i w:val="false"/>
          <w:caps w:val="false"/>
          <w:smallCaps w:val="false"/>
          <w:sz w:val="20"/>
        </w:rPr>
        <w:t xml:space="preserve">The third element of our technology platform is CARs optimized for NK cells, based on extensive preclinical evaluation of different possible constructs. We have performed extensive optimization of the CARs that serve to target our engineered NK cells to cancer cells as well as provide signals that engage the cancer cell killing activity found naturally in NK cells. For both NKX101 and NKX019, we have found that using the OX40 costimulatory domain enhances the ability of the engineered NK cells to kill cancerous cells repeatedly in several </w:t>
      </w:r>
      <w:r>
        <w:rPr>
          <w:rFonts w:ascii="Times New Roman" w:hAnsi="Times New Roman"/>
          <w:b w:val="false"/>
          <w:i/>
          <w:caps w:val="false"/>
          <w:smallCaps w:val="false"/>
          <w:sz w:val="20"/>
        </w:rPr>
        <w:t>in vitro</w:t>
      </w:r>
      <w:r>
        <w:rPr>
          <w:rFonts w:ascii="Times New Roman" w:hAnsi="Times New Roman"/>
          <w:b/>
          <w:i w:val="false"/>
          <w:caps w:val="false"/>
          <w:smallCaps w:val="false"/>
          <w:sz w:val="20"/>
        </w:rPr>
        <w:t xml:space="preserve"> </w:t>
      </w:r>
      <w:r>
        <w:rPr>
          <w:rFonts w:ascii="Times New Roman" w:hAnsi="Times New Roman"/>
          <w:b w:val="false"/>
          <w:i w:val="false"/>
          <w:caps w:val="false"/>
          <w:smallCaps w:val="false"/>
          <w:sz w:val="20"/>
        </w:rPr>
        <w:t>models, as compared to CAR-NK cells that include other costimulatory domains commonly used for CAR-T cells. We confirmed these findings in animal models for both product candidates.</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Cryopreservation. </w:t>
      </w:r>
      <w:r>
        <w:rPr>
          <w:rFonts w:ascii="Times New Roman" w:hAnsi="Times New Roman"/>
          <w:b w:val="false"/>
          <w:i w:val="false"/>
          <w:caps w:val="false"/>
          <w:smallCaps w:val="false"/>
          <w:sz w:val="20"/>
        </w:rPr>
        <w:t>The fourth constituent of our technology platform is cryopreservation of our engineered NK cells, the ability to freeze and store these cells for an extended time. The development of robust cryopreservation techniques is a result of our insight into the biology of engineered NK cells as well as extensive experimental optimization. Based on our preclinical data, we are able to freeze and subsequently thaw individual doses of engineered NK cells without significant loss of cancer cell killing potency of our engineered NK cells as shown in the graph below. Cryopreservation of our allogeneic CAR-NK cells will enable their off-the-shelf use in medical centers around the world, for administration to a patient at any time. Therefore, we believe that our cryopreservation of CAR-NK cells will enable us to achieve the attractive commercial profile of an off-the-shelf, allogeneic cell therapy.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943600" cy="3371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371850"/>
                    </a:xfrm>
                    <a:prstGeom prst="rect">
                      <a:avLst/>
                    </a:prstGeom>
                  </pic:spPr>
                </pic:pic>
              </a:graphicData>
            </a:graphic>
          </wp:inline>
        </w:drawing>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these key elements of our technology platform have the potential to grant us a key competitive advantage if our product candidates are approved. As illustrated in the image below, our engineered CAR-NK cells generally consist of an NK cell engineered with a swappable targeting receptor, OX40 costimulatory domain, CD3ζ signaling moiety, and mbIL-15.</w:t>
      </w:r>
    </w:p>
    <w:p>
      <w:pPr>
        <w:pStyle w:val="TextBody"/>
        <w:spacing w:before="0" w:after="0"/>
        <w:rPr/>
      </w:pPr>
      <w:r>
        <w:rPr/>
        <w:t> </w:t>
      </w:r>
    </w:p>
    <w:p>
      <w:pPr>
        <w:pStyle w:val="TextBody"/>
        <w:spacing w:before="120" w:after="0"/>
        <w:jc w:val="center"/>
        <w:rPr>
          <w:caps w:val="false"/>
          <w:smallCaps w:val="false"/>
        </w:rPr>
      </w:pPr>
      <w:r>
        <w:rPr>
          <w:caps w:val="false"/>
          <w:smallCaps w:val="false"/>
        </w:rPr>
        <w:drawing>
          <wp:inline distT="0" distB="0" distL="0" distR="0">
            <wp:extent cx="5934075" cy="3429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34075" cy="3429000"/>
                    </a:xfrm>
                    <a:prstGeom prst="rect">
                      <a:avLst/>
                    </a:prstGeom>
                  </pic:spPr>
                </pic:pic>
              </a:graphicData>
            </a:graphic>
          </wp:inline>
        </w:drawing>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demonstrated the potential power of combining the different elements of our technology platform in the discovery and preclinical development of NKX101. In a model of osteosarcoma, the treatment of mice with NK cells engineered to express mbIL-15 and an early version of the NKG2D ligand targeting CAR resulted in durable suppression of tumor cell growth for 63 days whereas treatment of mice with NK cells engineered to express the CAR alone, or with NK cells lacking a CAR, resulted in a significant reduction in the control of tumor growth. The effect on tumor growth when we combine an NKG2D-CAR with mbIL-15 is shown visually and graphically in the figure below.</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6019800" cy="4752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19800" cy="4752975"/>
                    </a:xfrm>
                    <a:prstGeom prst="rect">
                      <a:avLst/>
                    </a:prstGeom>
                  </pic:spPr>
                </pic:pic>
              </a:graphicData>
            </a:graphic>
          </wp:inline>
        </w:drawing>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1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Our Pipeline of Product Candidates and Discovery Programs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of our product candidates and discovery programs incorporate each of the four components of our technology platform, which we believe provides the best opportunity for achieving clinically meaningful results in our development program. Our current pipeline of product candidates and discovery programs is shown below. </w:t>
      </w:r>
    </w:p>
    <w:p>
      <w:pPr>
        <w:pStyle w:val="TextBody"/>
        <w:spacing w:before="120" w:after="0"/>
        <w:rPr>
          <w:caps w:val="false"/>
          <w:smallCaps w:val="false"/>
        </w:rPr>
      </w:pPr>
      <w:r>
        <w:rPr>
          <w:caps w:val="false"/>
          <w:smallCaps w:val="false"/>
        </w:rPr>
        <w:drawing>
          <wp:inline distT="0" distB="0" distL="0" distR="0">
            <wp:extent cx="5895975" cy="2466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895975" cy="2466975"/>
                    </a:xfrm>
                    <a:prstGeom prst="rect">
                      <a:avLst/>
                    </a:prstGeom>
                  </pic:spPr>
                </pic:pic>
              </a:graphicData>
            </a:graphic>
          </wp:inline>
        </w:drawing>
      </w:r>
    </w:p>
    <w:p>
      <w:pPr>
        <w:pStyle w:val="TextBody"/>
        <w:spacing w:before="120" w:after="0"/>
        <w:rPr/>
      </w:pPr>
      <w:r>
        <w:rPr/>
        <w:t> </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NKX101</w:t>
      </w:r>
    </w:p>
    <w:p>
      <w:pPr>
        <w:pStyle w:val="TextBody"/>
        <w:spacing w:before="120" w:after="0"/>
        <w:rPr>
          <w:rFonts w:ascii="Times New Roman" w:hAnsi="Times New Roman"/>
          <w:b w:val="false"/>
          <w:i w:val="false"/>
          <w:caps w:val="false"/>
          <w:smallCaps w:val="false"/>
          <w:sz w:val="20"/>
        </w:rPr>
      </w:pPr>
      <w:bookmarkStart w:id="15" w:name="_Hlk654600471"/>
      <w:bookmarkEnd w:id="15"/>
      <w:r>
        <w:rPr>
          <w:rFonts w:ascii="Times New Roman" w:hAnsi="Times New Roman"/>
          <w:b w:val="false"/>
          <w:i w:val="false"/>
          <w:caps w:val="false"/>
          <w:smallCaps w:val="false"/>
          <w:sz w:val="20"/>
        </w:rPr>
        <w:t>Our product candidate NKX101 consists of allogeneic, donor-derived and expanded NK cells that have been genetically engineered to express mbIL-15 along with a CAR containing an NKG2D activating receptor, an OX40 costimulatory domain and a CD3ζ signaling moiety. We have designed NKX101 to increase longevity, potency and activity as compared to non-engineered NK cells. NKG2D is the primary activating receptor for NK cells and functions by detecting eight known stress ligands, signals produced by cancerous or virally infected cells. The detection of these stress ligands by NKG2D is the primary basis for tumor surveillance by NK cells and is the basis of the mechanism of action for NKX101. We believe the activity of non-engineered NKs in treating cancer validates targeting NKG2D ligands through the NKG2D receptor as the mechanism of action for NKX101. Our IND for NKX101 for the treatment of relapsed or refractory AML and higher-risk MDS was cleared by the FDA in July 2020</w:t>
      </w:r>
      <w:bookmarkStart w:id="16" w:name="_Hlk65460047"/>
      <w:bookmarkEnd w:id="16"/>
      <w:r>
        <w:rPr>
          <w:rFonts w:ascii="Times New Roman" w:hAnsi="Times New Roman"/>
          <w:b w:val="false"/>
          <w:i w:val="false"/>
          <w:caps w:val="false"/>
          <w:smallCaps w:val="false"/>
          <w:sz w:val="20"/>
        </w:rPr>
        <w:t>, and patient dosing in a Phase 1 monotherapy dose-finding study was initiated in November 2020. We are planning a broad clinical program for NKX101 for blood cancers and for solid tumors. Our initial indications include AML, MDS, liver cancer, a bile duct cancer known as cholangiocarcinoma, as well as surgically removed colon cancer cases where only liver metastases remain.</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rPr/>
      </w:pPr>
      <w:r>
        <w:rPr/>
        <w:t> </w:t>
      </w:r>
    </w:p>
    <w:p>
      <w:pPr>
        <w:pStyle w:val="TextBody"/>
        <w:spacing w:before="120" w:after="0"/>
        <w:jc w:val="center"/>
        <w:rPr>
          <w:caps w:val="false"/>
          <w:smallCaps w:val="false"/>
        </w:rPr>
      </w:pPr>
      <w:r>
        <w:rPr>
          <w:caps w:val="false"/>
          <w:smallCaps w:val="false"/>
        </w:rPr>
        <w:drawing>
          <wp:inline distT="0" distB="0" distL="0" distR="0">
            <wp:extent cx="5924550" cy="3914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24550" cy="3914775"/>
                    </a:xfrm>
                    <a:prstGeom prst="rect">
                      <a:avLst/>
                    </a:prstGeom>
                  </pic:spPr>
                </pic:pic>
              </a:graphicData>
            </a:graphic>
          </wp:inline>
        </w:drawing>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created NKX101 based on our understanding of NK cell biology, including extensive comparison and optimization of different ways to enhance natural NKG2D signaling and targeting of cells which display NKG2D ligands. Based on our preclinical studies, levels of NKG2D are increased at least ten-fold in NKX101 as compared to non-engineered NK cells. Because NKG2D is the primary activating receptor for NK cells, through its detection of stress ligands displayed by cancerous cells, NKX101 is thereby designed to increase the natural cancer cell killing ability of NK cells. Although some cancer cells are able to evade detection and killing by NK cells through shedding of NKG2D ligands, thereby reducing ligand display on the cell surface and creating soluble decoys, NKX101 maintains its ability to recognize tumor cells through increased numbers of NKG2D receptors and more potent signaling from those engineered receptors. Furthermore, we found in preclinical studies that the addition of mbIL-15 and the OX40 costimulatory domain each increase the activity of engineered NK cells. Because NKG2D is the primary activating receptor responsible for innate immune surveillance of cancerous cells, we believe that NKX101 presents a broad opportunity to treat a variety of blood cancers, as well as, potentially, solid tumors, which collectively represent approximately 90% of all cancer incidences in the United States.</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NKX101 for Blood Cancers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November 2020, the first patient in a Phase 1 clinical trial of NKX101 for the treatment of relapsed/refractory AML or higher risk MDS was treated. This multi-center clinical trial is designed to evaluate safety, pharmacokinetics, and preliminary anti-tumor activity of NKX101. According to the federal Surveillance, Epidemiology, and End Results, or SEER, Program database, the incidence of AML in the United States is approximately 21,000 cases per year, and newly-diagnosed patients have a five-year survival rate of approximately 30%. We believe there is a substantial unmet medical need for patients with relapsed or refractory AML and higher-risk MDS and that these diseases represent a significant market opportunity.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ongoing Phase 1 clinical trial comprises standard dose-finding and dose expansion phases. Patients are expected to receive lymphodepleting chemotherapy prior to administration of NKX101 in order to allow our engineered NK cells the opportunity to kill cancerous cells without first being cleared by the patient’s immune system. The lymphodepletion regimen being used in the NKX101 clinical trial is based upon the most commonly used regimen found in our systematic literature review of allogeneic cells and is also similar to that used for the four approved CAR-T therapies.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relationship between the degree of HLA matching and the clearance of donor NK cells by the patient’s immune system has not been conclusively demonstrated. While we intend to develop and commercialize products that do not require any HLA matching, we are planning to manufacture patient-specific NKX101 from haplomatched donors for the dose-finding phase of the NKX101 clinical trial. Following the dose-finding phase, we intend to open a dose expansion phase of this trial wherein we plan to treat six subjects with off-the-shelf NKX101 for which HLA matching will not be required. This will allow us to compare the clinical activity for the haplomatched and off-the-shelf groups, and we expect to be able to establish that haplomatched cells are not necessary for clinical activity.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dosing schema is shown in the graphic below. Our starting dose of 100 million cells is based upon the established tolerability of non-engineered NK cells from academic literature. </w:t>
      </w:r>
    </w:p>
    <w:p>
      <w:pPr>
        <w:pStyle w:val="TextBody"/>
        <w:spacing w:before="0" w:after="0"/>
        <w:rPr/>
      </w:pPr>
      <w:r>
        <w:rPr/>
        <w:t> </w:t>
      </w:r>
    </w:p>
    <w:p>
      <w:pPr>
        <w:pStyle w:val="TextBody"/>
        <w:spacing w:before="0" w:after="0"/>
        <w:rPr>
          <w:caps w:val="false"/>
          <w:smallCaps w:val="false"/>
        </w:rPr>
      </w:pPr>
      <w:r>
        <w:rPr>
          <w:caps w:val="false"/>
          <w:smallCaps w:val="false"/>
        </w:rPr>
        <w:drawing>
          <wp:inline distT="0" distB="0" distL="0" distR="0">
            <wp:extent cx="5943600" cy="30099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3009900"/>
                    </a:xfrm>
                    <a:prstGeom prst="rect">
                      <a:avLst/>
                    </a:prstGeom>
                  </pic:spPr>
                </pic:pic>
              </a:graphicData>
            </a:graphic>
          </wp:inline>
        </w:drawing>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we expect that the initial subjects treated with NKX101 in clinical studies will be hospitalized for a minimum of 24 hours observation after infusion, a favorable tolerability profile may potentially allow for administration of NKX101 in an outpatient setting. This could represent a significant competitive advantage for NKX101 and our engineered NK product candidates more generally, as compared to the approved CAR-T therapies.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NKX101 for Solid Tumors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also plan to evaluate NKX101 in patients with solid tumors. We expect our initial solid tumor clinical trial to include patients with liver cancer, a bile duct cancer known as intrahepatic cholangiocarcinoma, as well as patients with surgically removed colon cancer where only liver metastases remain. These tumors represent an attractive opportunity for the initial solid tumor indication for NKX101 for several reasons, including the overexpression of NKG2D ligands in many liver cancers, the opportunity to deliver NKX101 directly to the liver and the substantial unmet medical need for the treatment of these cancers. According to the federal SEER database, the incidence of liver and intrahepatic cholangiocarcinoma in the U.S. is approximately 42,000 cases per year, and the five-year survival rate is approximately 20%.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plan to deliver our engineered NK cells directly to the site of the tumor by injection into the hepatic artery, a standard technique for delivering anticancer drugs to the liver which has also been used for the delivery of CAR-T cells and unmodified NK cells to the liver. This method takes advantage of the differential blood supply in the liver and the localization of tumor tissue, where tumor tissue is predominantly supplied by the hepatic artery and surrounding liver is predominantly supplied by the portal vein. By injecting into the hepatic artery, this technique allows us to concentrate cells specifically to the tumor area. Because the liver to some degree naturally excludes the immune cells that can clear allogeneic NK cells, lymphodepleting chemotherapy prior to administration is not planned. However, we may choose to add this element based on data from this clinical trial.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planning to file an IND amendment for this clinical program in 2022, with the first patient receiving NKX101 thereafter. The NKX101 Phase 1 trial in solid tumors may also incorporate a dose-finding and dose-expansion component.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this program is successful, we believe that it would establish proof of concept for treating solid tumors with engineered NK cells, and enable us to evaluate a broader solid tumor clinical development program.</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NKX019</w:t>
      </w:r>
    </w:p>
    <w:p>
      <w:pPr>
        <w:pStyle w:val="TextBody"/>
        <w:spacing w:lineRule="auto" w:line="288"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product candidate NKX019 is for the treatment of various B-cell malignancies, including DLBCL, ALL, and several other B-cell malignancies. NKX019 consists of allogeneic, donor-derived and expanded NK cells that have been genetically engineered to express mbIL-15 along with a CAR containing a CD19 binder, an OX40 costimulatory domain and a CD3ζ signaling moiety. We chose to target CD19 based on the clinical validation provided by Kymriah®, Yescarta®, Tecartus™ and Breyanzi® which have all shown to improve remission rates and overall survival in patients with various B-cell malignancies, as well as the significant unmet medical need that remains for treating B-cell malignancies despite these recent approvals. Furthermore, a recent publication by researchers at M.D. Anderson Cancer Center of a cohort of patients treated with a CAR-NK therapy targeting CD19 achieved a complete remission in seven of 11 of these patients. </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915025" cy="37814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15025" cy="3781425"/>
                    </a:xfrm>
                    <a:prstGeom prst="rect">
                      <a:avLst/>
                    </a:prstGeom>
                  </pic:spPr>
                </pic:pic>
              </a:graphicData>
            </a:graphic>
          </wp:inline>
        </w:drawing>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preclinical studies have demonstrated activity of NKX019 in a mouse model of leukemia, and have also shown that cryopreserved NKX019 administered after thawing maintains the anti-cancer activity of freshly-prepared NKX019.</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934075" cy="6200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34075" cy="6200775"/>
                    </a:xfrm>
                    <a:prstGeom prst="rect">
                      <a:avLst/>
                    </a:prstGeom>
                  </pic:spPr>
                </pic:pic>
              </a:graphicData>
            </a:graphic>
          </wp:inline>
        </w:drawing>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to submit an IND for NKX019 in the first quarter of 2021 and to treat the first subject in the second half of 2021. When we reach the dose expansion segment of this clinical trial, we plan to evaluate different B-cell malignancies in separate expansion cohorts. </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plan to treat all subjects in the clinical trial with off-the-shelf NKX019, manufactured from healthy donors without any planned HLA matching. The Phase 1 study may include ex-U.S. clinical sites, which we expect to contribute to enrollment in this clinical trial.</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Additional Pipeline Candidates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third product candidate is a CAR-NK that incorporates all of the core elements of our NK cell engineering platform, along with certain new technologies we are currently developing. This product candidate targets a tumor antigen that is found on certain solid tumor cells as well as blood cancers. We expect to submit an IND for this product candidate in 2022.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developing a fourth allogeneic, off-the-shelf product candidate containing both CAR-NK cells and CAR-T cells that combines the advantages of the innate and adaptive immune systems. We expect that this will be one product, NK+T, and will incorporate all of the core elements of our NK cell engineering platform. We are currently evaluating gene editing technologies to enable the production of allogeneic CAR-T cells with reduced risk of GVHD and enhanced resistance to immunosuppression. We are also evaluating potential antigens and targets for this product candidate. Our NK+T product candidate could incorporate two different targets into the CAR-NK and CAR-T cells, based on the differing pharmacokinetic and pharmacodynamic profile of these two cell types. We expect to submit an IND for this product candidate in 2023.</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Manufacturing</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process for the generation of an allogeneic, off-the-shelf NK cell therapy requires a number of steps. To achieve a commercially viable product, we believe that each of these steps must be scalable, reproducible and cost-effective and must provide consistent cancer cell killing potency of our CAR-NK cells once these cells are frozen and then thawed. Therefore, we have focused on developing a manufacturing process that incorporates the following elements: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starting material consisting of bona fide NK cells with inherent cytotoxic and tumor-recognizing capabilities, as compared to other NK cell sources in which these fundamental features must be engineered into the cells;</w:t>
            </w:r>
          </w:p>
        </w:tc>
      </w:tr>
    </w:tbl>
    <w:tbl>
      <w:tblPr>
        <w:tblW w:w="7345" w:type="dxa"/>
        <w:jc w:val="left"/>
        <w:tblInd w:w="0" w:type="dxa"/>
        <w:tblCellMar>
          <w:top w:w="0" w:type="dxa"/>
          <w:left w:w="0" w:type="dxa"/>
          <w:bottom w:w="0" w:type="dxa"/>
          <w:right w:w="0" w:type="dxa"/>
        </w:tblCellMar>
      </w:tblPr>
      <w:tblGrid>
        <w:gridCol w:w="60"/>
        <w:gridCol w:w="110"/>
        <w:gridCol w:w="71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1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 cell source which provides high numbers of easily characterized NK cells;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expansion technology which increases the number of NK cells by orders of magnitude, without inducing exhaustion;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techniques for genetic engineering of NK cells which are cost-effective and which introduce a controlled and specified range of the number of copies of the gene into each cell;</w:t>
            </w:r>
          </w:p>
        </w:tc>
      </w:tr>
    </w:tbl>
    <w:tbl>
      <w:tblPr>
        <w:tblW w:w="9340" w:type="dxa"/>
        <w:jc w:val="left"/>
        <w:tblInd w:w="0" w:type="dxa"/>
        <w:tblCellMar>
          <w:top w:w="0" w:type="dxa"/>
          <w:left w:w="0" w:type="dxa"/>
          <w:bottom w:w="0" w:type="dxa"/>
          <w:right w:w="0" w:type="dxa"/>
        </w:tblCellMar>
      </w:tblPr>
      <w:tblGrid>
        <w:gridCol w:w="60"/>
        <w:gridCol w:w="110"/>
        <w:gridCol w:w="91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1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cryopreservation techniques that permit bulk CAR-NK cells to be frozen in individual doses;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techniques for thawing the frozen NK cell product that are easy to adopt in different clinical settings, and that provide consistent CAR-NK cell recovery, viability and potency.</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overall manufacturing scheme is shown in the diagram below.</w:t>
      </w:r>
    </w:p>
    <w:p>
      <w:pPr>
        <w:pStyle w:val="TextBody"/>
        <w:spacing w:before="0" w:after="0"/>
        <w:rPr/>
      </w:pPr>
      <w:r>
        <w:rPr/>
        <w:t> </w:t>
      </w:r>
    </w:p>
    <w:p>
      <w:pPr>
        <w:pStyle w:val="TextBody"/>
        <w:spacing w:before="0" w:after="0"/>
        <w:jc w:val="center"/>
        <w:rPr>
          <w:caps w:val="false"/>
          <w:smallCaps w:val="false"/>
        </w:rPr>
      </w:pPr>
      <w:r>
        <w:rPr>
          <w:caps w:val="false"/>
          <w:smallCaps w:val="false"/>
        </w:rPr>
        <w:drawing>
          <wp:inline distT="0" distB="0" distL="0" distR="0">
            <wp:extent cx="5972175" cy="1905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72175" cy="1905000"/>
                    </a:xfrm>
                    <a:prstGeom prst="rect">
                      <a:avLst/>
                    </a:prstGeom>
                  </pic:spPr>
                </pic:pic>
              </a:graphicData>
            </a:graphic>
          </wp:inline>
        </w:drawing>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source material for production of our off-the-shelf NK cell therapy product is NK cells collected from healthy donors by leukapheresis, the selective collection of white blood cells from plasma. We then isolate the NK cells from the other cells in the leukapheresis product. Next, we selectively activate the NK cells by co-culture with our proprietary, engineered K562 stimulatory cell line. After initial expansion, we engineer the expanded NK cells using a gamma-retrovirus to express mbIL-15 and the CAR. We further expand the NK cells, followed by harvesting and cryopreservation to form the final cell product. For off-the-shelf administration, clinical sites will thaw the CAR-NK product candidate for administration to patients at the clinical site.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clinical supply of NKX101, we currently manufacture NKX101, the K562 stimulatory cell line, and the gamma-retrovirus at third-party contract manufacturing sites. We believe that establishing our own internal cGMP manufacturing capabilities will facilitate clinical product supply, lower the risk of manufacturing disruptions, and enable more cost-effective manufacturing for clinical and commercial supply of our product candidates. In 2020, we completed the construction of a 2,700-square foot clinical cGMP facility within our primary corporate location in South San Francisco, California. The total expense to complete the construction, including laboratory and manufacturing equipment, was approximately $6 million. This facility is currently undergoing qualification so that we can begin production of NKX019 for the expected clinical trial later in 2021. In 2022, we intend to initiate NKX101 manufacturing at our cGMP facility. Subsequently, we plan to manufacture the proprietary, engineered K562 cells and gamma-retrovirus as well as NKX101 at our cGMP facility. We believe that this clinical cGMP facility will be capable of supplying our needs for our non-pivotal clinical trials.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also in the early stages of designing a separate, larger commercial cGMP facility for manufacturing engineered NK cells, K562 cells and potentially gamma-retrovirus, for pivotal clinical trials as well as for eventual commercial supply. We have initiated a site search and evaluation process for this facility.</w:t>
      </w:r>
    </w:p>
    <w:p>
      <w:pPr>
        <w:pStyle w:val="TextBody"/>
        <w:spacing w:before="240" w:after="0"/>
        <w:rPr>
          <w:rFonts w:ascii="Times New Roman" w:hAnsi="Times New Roman"/>
          <w:b w:val="false"/>
          <w:i w:val="false"/>
          <w:caps w:val="false"/>
          <w:smallCaps w:val="false"/>
          <w:sz w:val="20"/>
        </w:rPr>
      </w:pPr>
      <w:bookmarkStart w:id="17" w:name="_Hlk64019397"/>
      <w:bookmarkEnd w:id="17"/>
      <w:r>
        <w:rPr>
          <w:rFonts w:ascii="Times New Roman" w:hAnsi="Times New Roman"/>
          <w:b w:val="false"/>
          <w:i w:val="false"/>
          <w:caps w:val="false"/>
          <w:smallCaps w:val="false"/>
          <w:sz w:val="20"/>
        </w:rPr>
        <w:t xml:space="preserve">During our process development of NKX019 for cGMP manufacturing, we have produced NKX019 with greater than 3,000 fold expansion of the NK cell starting material. We believe that we can achieve comparable expansion efficiency for commercial production.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we can achieve a cost of manufacturing for commercial NKX101 and NKX019 at peak capacity of approximately $2,000 per dose, based on achieving 500 doses per manufacturing run at our highest planned Phase 1 dose of one billion CAR-NK cells per dose and on our current estimates for the costs of raw materials, consumables, rent, construction, equipment, labor and overhead.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Compliance with government regulations related to the manufacture of our product candidates may require significant effort and financial resources. The design, construction, qualification and regulatory approvals for our cGMP manufacturing facilities require substantial capital and technical expertise. The facilities will be subject to inspection by the FDA and other regulatory agencies to ensure compliance with cGMP. Any delays in receiving regulatory approvals for our manufacturing facilities or any failure by us to comply with applicable regulations at our manufacturing facilities could delay our development and commercialization activities. In addition, if our product candidates fail to meet the required specifications after manufacture or if we change the manufacturing process, we may need to obtain additional regulatory approvals. If we are not able to obtain the necessary additional regulatory approvals, we may need to perform additional clinical trials or manufacturing runs or further refine our manufacturing processes, which could delay development and commercialization of our product candidates and cost substantial additional capital.  Any delays in our development and commercialization activities could have a material effect on our business, financial position, results of operations and competitive position.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Patents, Trademarks and Proprietary Technology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Our patent portfolio consists of a combination of issued patents and pending patent applications licensed from third parties, jointly owned with third parties, and assigned solely to us based on our ongoing development activities. The patents and applications in our portfolio can be categorized as related to our NK cell engineering platform (e.g., natural killer cell expansion and/or persistence), NKX101, NKX019, or future pipeline product candidates and alternative technologies. Some of our issued patents and licensed patent applications are exclusively licensed to us in therapeutic fields of use from the National University of Singapore, St. Jude Children’s Research Hospital, Inc., or both (collectively Licensors). As of December 31, 2020, the patent portfolio that is assigned to us, jointly owned with others or licensed to us includes at least ten issued utility patents and at least 70 pending utility patent applications.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least six of the issued utility patents and at least 25 of the pending utility patent applications are related to our NK cell engineering platform, and include manufacturing process, treatment and compositions of matter claims relating to NK cell expansion and/or NK cell persistence. These issued utility patents include United States, European, Chinese and Japanese patents; these pending utility patent applications include applications in the United States, Australia, Brazil, Canada, China, Europe, Hong Kong, India, Israel, Japan, Mexico, New Zealand, the Russian Federation, Singapore, South Korea, and Ukraine. These issued utility patents and pending utility patent applications are licensed from Licensors. The estimated expiration dates of the issued utility patents are between approximately 2024 and 2035 (with certain commercially relevant patents extending through approximately 2035), and the estimated expiration dates of these pending utility patent applications are between approximately 2024 and 2038 (with certain commercially relevant patents extending through approximately 2035).</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least ten of the issued utility patents and at least 40 of the pending utility patent applications are related to our NKX101 product, and include manufacturing process, treatment and compositions of matter claims (e.g., targeting NKG2D ligand-expressing tumors, local delivery to tumors and combination therapies). These issued utility patents include United States, European, Chinese and Japanese patents and are licensed from Licensors. These pending utility patent applications include applications in the United States, Australia, Brazil, Canada, China, Europe, Hong Kong, India, Israel, Japan, Mexico, New Zealand, the Russian Federation, Singapore, South Korea, Ukraine, and the Patent Cooperation Treaty, or PCT. Of these pending patent applications, at least 15 are owned or co-owned by us, with the remaining licensed from Licensors. The estimated expiration dates of the issued utility patents are between approximately 2024 and 2035 (with certain commercially relevant patents extending through approximately 2035), and the estimated expiration dates of these pending utility patent applications are between approximately 2024 and 2039 (with certain commercially relevant patents extending through approximately 2039).</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least six of the issued utility patents and at least 30 of the pending utility patent applications are related to our NKX019 product, and include manufacturing process, treatment and compositions of matter claims (e.g., targeting CD-19-expressing tumors). These issued utility patents include United States, European, Chinese and Japanese patents and are licensed from Licensors. These pending utility patent applications include applications in the United States, Australia, Brazil, Canada, China, Europe, Hong Kong, India, Israel, Japan, Mexico, New Zealand, the Russian Federation, Singapore, South Korea, Ukraine, and the PCT. Of these pending patent applications, at least eight are owned or co-owned by us, with the remaining licensed from Licensors. The estimated expiration dates of the issued utility patents are between approximately 2024 and 2035 (with certain commercially relevant patents extending through approximately 2035), and the estimated expiration dates of these pending utility patent applications are between approximately 2024 and 2040 (with certain commercially relevant patents extending through approximately 2040).</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August 2016, we entered into a license agreement with the Licensors. Pursuant to this license, the Licensors granted to us an exclusive, worldwide, royalty-bearing, sublicensable license under specified patents and patent applications related to NK cell technology in the field of therapeutics. Payments to the Licensors pursuant to the license agreement include single-digit royalty payments on commercial sales, a portion of any sublicensing revenue, patent expenses, license maintenance fees and milestone payments upon completion of certain regulatory and commercial milestones related to the clinical development and commercialization of our product candidates, in an aggregate amount of up to 5 million Singapore Dollars, or SGD. The License Agreement also includes certain performance objectives which obligate us to meet various milestones related to the clinical development and commercialization of our product candidates over time for up to 120 months after the effective date of the License Agreement. The term of the license agreement extends until expiration of the last of the patent rights licensed to us by the Licensors, which is currently expected to occur in approximately 2039. We may terminate the license agreement at will upon 90 days’ prior written notice to the Licensors. The Licensors may terminate the license agreement for certain conditions such as uncured material breach by us, the cession of our business, or our insolvency, liquidation, or receivership.</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government has certain rights in some of our licensed patents (including U.S. Patent Nos. 7,435,596, 8,026,097 and certain related U.S. patent applications, which relate to our NK cell engineering platform) in accordance with the Bayh-Dole Act of 1980. These rights in certain technology developed under government-funded research include, for example, a license to use those inventions for governmental purposes and the right to require us to grant exclusive licenses to such inventions to a third party under certain circumstances. In addition, the U.S. government requires that any products embodying any of these inventions or produced through the use of any of these inventions be manufactured substantially in the United States.  For further details about risks related to the government’s rights in such inventions, see “—The U.S. government could choose to exercise certain rights in technology developed under government-funded research, which could eliminate our exclusive use of such technology or require us to commercialize our product candidates in a way we consider sub-optimal,” in the section titled “Risk Factors” in Part I, Item 1a in this Annual Report on Form 10-K.</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also protect our brand through trademark rights. As of December 31, 2020, we are the listed owner of two U.S. registered and pending trademarks and 20 foreign registered and pending trademarks. The trademarks NKARTA and ENGINEER, ENHANCE, EXPAND are filed trademarks that we own in the United States and certain foreign countries. In order to supplement the protection of our brand, we also have a registered internet domain name.</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Government Regulation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FDA Approval Process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United States, the FDA regulates investigational drugs, including biological products, under the Federal Food, Drug, and Cosmetic Act, or FDCA, and its implementing regulations. Marketing authorization of a biological product via a biologics license application, or BLA, occurs under section 351 of the Public Health Service Act, or PHSA.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imposition of a clinical hold, refusal by the FDA to approve applications, withdrawal of an approval, import/export delays, issuance of warning letters and other types of enforcement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DOJ, or other governmental entities. The clinical testing, manufacturing, labeling, storage, distribution, record keeping, advertising, promotion, import, export and marketing, among other things, of our product candidates are governed by extensive regulation by governmental authorities in the United States and other countries. The FDA, under the FDCA and PHSA, regulates biopharmaceutical products in the United States. The steps required before a product candidate may be approved for marketing in the United States generally include:</w:t>
      </w:r>
    </w:p>
    <w:tbl>
      <w:tblPr>
        <w:tblW w:w="9355" w:type="dxa"/>
        <w:jc w:val="left"/>
        <w:tblInd w:w="0" w:type="dxa"/>
        <w:tblCellMar>
          <w:top w:w="0" w:type="dxa"/>
          <w:left w:w="0" w:type="dxa"/>
          <w:bottom w:w="0" w:type="dxa"/>
          <w:right w:w="0" w:type="dxa"/>
        </w:tblCellMar>
      </w:tblPr>
      <w:tblGrid>
        <w:gridCol w:w="60"/>
        <w:gridCol w:w="110"/>
        <w:gridCol w:w="91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1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preclinical laboratory tests and animal tests conducted under Good Laboratory Practices, or GLP;</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submission to the FDA of an IND for human clinical testing, which must become effective before human clinical trials commence;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approval by an independent institutional review board, or IRB, representing each clinical site before each clinical trial may be initiated;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adequate and well-controlled human clinical trials to establish the safety and efficacy of the product for each indication and conducted in accordance with Good Clinical Practices, or GCP;</w:t>
            </w:r>
          </w:p>
        </w:tc>
      </w:tr>
    </w:tbl>
    <w:tbl>
      <w:tblPr>
        <w:tblW w:w="5290" w:type="dxa"/>
        <w:jc w:val="left"/>
        <w:tblInd w:w="0" w:type="dxa"/>
        <w:tblCellMar>
          <w:top w:w="0" w:type="dxa"/>
          <w:left w:w="0" w:type="dxa"/>
          <w:bottom w:w="0" w:type="dxa"/>
          <w:right w:w="0" w:type="dxa"/>
        </w:tblCellMar>
      </w:tblPr>
      <w:tblGrid>
        <w:gridCol w:w="60"/>
        <w:gridCol w:w="110"/>
        <w:gridCol w:w="51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preparation and submission to the FDA of a BLA;</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FDA acceptance, review and approval of the BLA, which might include an advisory committee review;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satisfactory completion of an FDA inspection of the manufacturing facilities at which the product, or components thereof, are made to assess compliance with cGMPs and in the case of cell-based advanced therapy, additionally, current Good Tissue Practices.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testing and approval process typically requires many years and substantial effort and financial resources, and the receipt and timing of any approval is uncertain. The actual time required may vary substantially based upon the type, complexity, and novelty of the product or disease. For example, the FDA has, at times, taken longer than its usual 30-day window to complete its review of certain first-of kind IND applications. In addition, the FDA may suspend clinical trials at any time on various grounds, including a finding that the subjects or patients are being exposed to an unreasonable and significant health risk.</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Preclinical and Human Clinical Trials in Support of a BLA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Preclinical studies generally include laboratory evaluations of product chemistry, formulation, and toxicity, as well as animal studies to assess the potential safety and bioactivity of the product candidate. The conduct of preclinical trials is subject to federal regulations and requirements including GLP regulations. The results of the preclinical studies, together with manufacturing information and analytical data, among other things,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If outstanding concerns cannot be resolved, the FDA will place the clinical trial, or a portion of it, on clinical hold. A partial clinical hold stops new patients from enrolling in a clinical trial. A complete clinical hold further requires all patients currently enrolled to discontinue treatment with the product candidate being evaluated. The FDA may also initiate a clinical hold after the 30 days if, for example, significant public health risks arise during the trial, if FDA believes the study is not being conducted in accordance with FDA regulations, or if results from additional preclinical studies are required by the FDA to evaluate the potential risk and benefit to patients for such a trial. Clinical holds may be temporary or permanent.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Clinical trials involve the administration of the product candidate to human subjects under the supervision of qualified investigators in accordance with federal regulations, in compliance with GCP requirements, and in accordance with a protocol submitted to FDA as part of the IND detailing the objectives of the trial, the parameters used to monitor safety, and the effectiveness criteria, if any, to be evaluated. Each clinical trial and informed consent information must also be reviewed and approved by an independent IRB at each of the sites at which the trial will be conducted. The IRB will consider, among other things, ethical factors, the safety of human subjects and the possible liability of the institution. An IRB may also require the clinical trial at the site to be halted, either temporarily or permanently, for failure to comply with the IRB’s requirements, or may impose other conditions if it believes that the patients are subject to unacceptable risk.</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Clinical trials to support BLAs for marketing approval are typically conducted in three sequential phases prior to approval, but the phases may overlap or be combined. These phases generally include the following:</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Phase 1. </w:t>
      </w:r>
      <w:r>
        <w:rPr>
          <w:rFonts w:ascii="Times New Roman" w:hAnsi="Times New Roman"/>
          <w:b w:val="false"/>
          <w:i w:val="false"/>
          <w:caps w:val="false"/>
          <w:smallCaps w:val="false"/>
          <w:sz w:val="20"/>
        </w:rPr>
        <w:t>Phase 1 clinical trials represent the initial introduction of a product candidate into human subjects. In Phase 1 trials of cellular therapies, the product candidate is tested for safety, including adverse effects.</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Phase 2. </w:t>
      </w:r>
      <w:r>
        <w:rPr>
          <w:rFonts w:ascii="Times New Roman" w:hAnsi="Times New Roman"/>
          <w:b w:val="false"/>
          <w:i w:val="false"/>
          <w:caps w:val="false"/>
          <w:smallCaps w:val="false"/>
          <w:sz w:val="20"/>
        </w:rPr>
        <w:t>Phase 2 clinical trials usually involve studies in a limited patient population to (i) evaluate the efficacy of the product candidate for specific indications, (ii) determine dosage tolerance and optimal dosage and (iii) identify possible adverse effects and safety risks.</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Phase 3. </w:t>
      </w:r>
      <w:r>
        <w:rPr>
          <w:rFonts w:ascii="Times New Roman" w:hAnsi="Times New Roman"/>
          <w:b w:val="false"/>
          <w:i w:val="false"/>
          <w:caps w:val="false"/>
          <w:smallCaps w:val="false"/>
          <w:sz w:val="20"/>
        </w:rPr>
        <w:t>If a product candidate is found to be potentially effective and to have an acceptable safety profile in Phase 2 clinical trials, the clinical trial program will be expanded to Phase 3 clinical trials to further demonstrate clinical efficacy, optimal dosage and safety within a larger number of patients, typically at geographically dispersed clinical trial sites.</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Phase 4. </w:t>
      </w:r>
      <w:r>
        <w:rPr>
          <w:rFonts w:ascii="Times New Roman" w:hAnsi="Times New Roman"/>
          <w:b w:val="false"/>
          <w:i w:val="false"/>
          <w:caps w:val="false"/>
          <w:smallCaps w:val="false"/>
          <w:sz w:val="20"/>
        </w:rPr>
        <w:t>Phase 4 clinical trials may be conducted after approval to gain additional experience from the treatment of patients in the intended therapeutic indication and to document a clinical benefit in the case of drugs approved under accelerated approval regulations, or when otherwise requested by the FDA (post-approval commitments) or required by the FDA (post-approval requirements). Failure to promptly conduct any required Phase 4 clinical trials could result in enforcement action or withdrawal of approval.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Phase 2/3 trial design is often used in the development of pharmaceutical and biological products. The trial includes Phase 2 elements, such as an early interim analysis of safety or activity, and Phase 3 elements, such as larger patient populations with less restrictive enrollment criteria. With appropriate statistical restrictions, an early interim analysis of clinical or physiologic activity and/or safety may provide for the trial to be stopped, changed or continued before a large number of patients have been enrolled, while still allowing all data from enrolled patients to count in the analysis used to support approval.</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pivotal trial is a clinical trial that is designed to meet regulatory requirements to demonstrate a product candidate’s safety and efficacy to support the approval of the drug or biologic. Generally, pivotal trials are Phase 3 trials, but the FDA may accept results from any phase clinical trial if the design provides a well-controlled and reliable assessment of clinical benefit, particularly in situations in which there is an unmet medical need and the results are sufficiently robust.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the IRB or the clinical trial sponsor may suspend or terminate a clinical trial at any time on various grounds, including a finding that the research subjects are being exposed to an unacceptable health risk. Additionally, an independent group of qualified experts organized by the clinical trial sponsor, often known as a data safety monitoring board or committee, may oversee some clinical studies. Depending on the trial design, this group may provide authorization for whether or not a trial may move forward at designated check points based on access to certain data from the trial. We may also suspend or terminate a clinical trial based on evolving business objectives and the competitive climate.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Clinical trials require substantial time, effort and financial resources. The costs associated with running clinical trials typically increase as a product candidate advances to later stage clinical trials, since the later stage clinical trials typically involve a larger number of patients than the early-stage clinical trials. If a clinical trial for one of our product candidates is put on clinical hold by the FDA (or another regulatory authority in a foreign country), further development and any eventual commercialization of that product candidate would be delayed or may not be possible at all.  Any delays in our clinical trials or termination of a program due to a clinical hold could materially adversely affect our business, financial conditions, results of operations, growth prospects and competitive position.</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Submission and Review of a BLA</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results of preclinical studies and clinical trials, together with detailed information on the product’s manufacture, composition, quality, controls and proposed labeling, among other things, are submitted to the FDA in the form of a BLA, requesting approval to market the product. The cost of preparing and submitting a BLA is substantial. The application must also be accompanied by a significant user fee payment, which typically increases annually, although waivers may be granted in limited cases. Under an approved BLA, the applicant is also subject to an annual program fee. The FDA has 60 days from its receipt of a BLA to determine whether the application will be accepted for filing based on the Agency’s determination that it is adequately organized and sufficiently complete to permit substantive review. Once the submission is accepted for filing, the FDA begins an in-depth review. The FDA has substantial discretion in the approval process and may refuse to accept an application or decide that the data are insufficient for approval and require additional preclinical, clinical or other studies.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Once a BLA has been accepted for filing, the FDA sets a user fee goal date that informs the applicant of the specific date by which the FDA intends to complete its review. The FDA has agreed to certain performance goals to complete the review of BLAs. This is typically ten months from the date that the FDA accepts the BLA for filing for standard review BLAs. Applications classified as Priority Review are reviewed within six months of the date the FDA accepts the BLA for filing. A BLA can be classified for Priority Review when the FDA determines the biologic product has the potential to treat a serious or life-threatening condition and, if approved, would be a significant improvement in safety or effectiveness compared to available therapies. The review process can be extended by FDA requests for additional information or clarification. The FDA reviews BLAs to determine, among other things, whether the proposed product is safe and effective for its intended use, and whether the product is being manufactured in accordance with cGMP to assure and preserve the product’s identity, strength, quality and purity. The FDA may also refer applications for novel biologic products, or biologic products that present difficult questions of safety or efficacy, to be reviewed by an advisory committee—typically a panel that includes clinicians, statisticians and other experts—for review, evaluation, and a recommendation as to whether the BLA should be approved. The FDA is not bound by the recommendation of an advisory committee, but generally follows such recommendations.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Before approving a BLA, the FDA typically will inspect the facilities at which the product is manufactured and will not approve the product unless the manufacturing facilities comply with cGMP. Additionally, the FDA will typically inspect one or more clinical trial sites for compliance with GCP and integrity of the data supporting safety and efficacy.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approval process, the FDA also will determine whether a REMS is necessary to assure the safe use of the product. If the FDA concludes a REMS is needed, the sponsor of the application must submit a proposed REMS, and the FDA will not approve the application without an approved REMS, if required. A REMS can include medication guides, communication plans for healthcare professionals, and elements to assure a product’s safe use, or ETASU. An ETASU can include, but is not limited to, special training or certification for prescribing or dispensing the product, dispensing the product only under certain circumstances, special monitoring, and the use of patient-specific registries. A REMS can substantially increase the costs of obtaining approval. The FDA could also require a special warning, known as a boxed warning, to be included in the product labeling in order to highlight a particular safety risk. The FDA may delay approval of a BLA if applicable regulatory criteria are not satisfied and/or the FDA requires additional testing or information. The FDA may require substantial post-marketing testing and surveillance to monitor safety or efficacy of a product.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the basis of the FDA’s evaluation of the BLA and accompanying information, including the results of the inspection of the manufacturing facilities, the FDA will issue either an approval of the BLA or a Complete Response Letter, detailing the deficiencies in the submission and the additional testing or information required for reconsideration of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and distribution of the biologic with specific prescribing information for specific indications. Even with submission of this additional information, the FDA may ultimately decide that the application does not satisfy the regulatory criteria for approval.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Once granted, product approvals may be withdrawn if compliance with regulatory standards is not maintained or problems are identified following initial marketing. Changes to some of the conditions established in an approved BLA, including changes in indications, product labeling,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unable to obtain a BLA for a product candidate accepted or approved, commercialization of that product candidate will be delayed or we may not be able to commercialize that product candidate at all.  This would have a material effect on our business, financial conditions, results of operations, growth prospects and competitive position.</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Expedited Programs, Accelerated Approval Programs, and Breakthrough Therapy Designation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sponsor may seek approval of its drug candidate under programs designed to accelerate FDA’s review and approval of BLAs. For example, the FDA may grant Fast Track Designation to a drug intended for treatment of a serious or life-threatening disease or condition that has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the application meets relevant criteria. 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requires post-marketing studies or completion of ongoing studies after marketing authorization to verify the drug’s clinical benefit in relationship to the surrogate endpoint or ultimate outcome in relationship to the clinical benefit.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results of the Phase 3 clinical trials or trials submitted in a BLA, upon the request of an applicant, the FDA may grant the BLA a priority review designation, which sets the target date for FDA action on the application at six months after the FDA accepts the application for filing. The FDA grants priority review where there is evidence that the proposed drug would be a significant improvement in the safety or effectiveness of the treatment, diagnosis or prevention of a serious condition. If the criteria for priority review are not met,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 sponsor may seek FDA designation of its drug candidate as a breakthrough therapy if the drug can, alone or in combination with one or more other drugs,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breakthrough therapy designation allows companies to work earlier, more closely, and frequently with the FDA, and they may be eligible for priority review and accelerated approval. The sponsor of a new biologic product candidate may request that the FDA designate the candidate for a specific indication as a Breakthrough Therapy concurrent with, or after, the submission of the IND for the biologic product candidate. The FDA must determine if the biological product qualifies for Breakthrough Therapy designation within 60 days of receipt of the sponsor’s request.</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Special Protocol Assessment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company may reach an agreement with the FDA under the Special Protocol Assessment, or SPA, process as to the required design and size of clinical trials intended to form the primary basis of an efficacy claim. Under the FDCA and FDA guidance implementing the statutory requirement, an SPA is generally binding upon the FDA except in limited circumstances, such as if the FDA identifies a substantial scientific issue essential to determining safety or efficacy after the clinical trial begins, public health concerns emerge that were unrecognized at the time of the protocol assessment, the sponsor and the FDA agree to the change in writing, or if the clinical trial sponsor fails to follow the protocol that was agreed upon with the FDA.</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Regenerative Medicine Advanced Therapies and Priority Medicine Designation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Cell-based advanced therapies intended to treat, modify, reverse or cure a serious medical condition can receive Regenerative Medicine Advanced Therapy, or RMAT, designation from the FDA once preliminary clinical evidence has been obtained demonstrating the therapy has the potential to address unmet medical needs for the condition. Similar to breakthrough therapy designation, the RMAT allows companies developing regenerative medicine therapies to work earlier, more closely, and frequently with the FDA, and RMAT designated products may be eligible for priority review and accelerated approval. Interaction and communication between the FDA and the sponsor of the trial can help to identify the most efficient path for clinical development while minimizing the number of patients placed in ineffective control regimens. The timing of a sponsor’s request for designation and FDA response are the same as for the breakthrough therapy designation program. Like the other expedited development programs previously mentioned, RMAT designation does not change the scientific or medical standard for approval or the quality of evidence necessary to support approval. In Europe, the European Medicines Agency, or EMA, can grant PRIority MEdicine, or PRIME, designation to support development of product candidates that may address unmet needs and improve quality of life, based on the potential to benefit patients from early clinical data.</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Disclosure of Clinical Trial Information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Sponsors of clinical trials of FDA-regulated products, including biological products, are required to register and disclose certain clinical trial information on the website www.clintrials.gov.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 Failure to timely register a covered clinical study or to submit study results as provided for in the law can give rise to civil monetary penalties and also prevent the non-compliant party from receiving future grant funds from the federal government. The U.S. National Institutes of Health’s, or NIH, Final Rule on ClinicalTrials.gov registration and reporting requirements became effective in 2017, and both NIH and FDA have signaled the government’s willingness to begin enforcing those requirements against non-compliant clinical trial sponsors.</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Orphan Drugs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Orphan Drug Act, the FDA may grant orphan designation to a drug intended to treat a rare disease or condition affecting fewer than 200,000 individuals in the United States, or in other limited cases. Orphan drug designation must be requested before submitting a BLA. If the FDA grants orphan drug designation, the identity of the biological product and its potential orphan disease use are disclosed publicly by the FDA. Orphan drug designation does not convey any advantage in or shorten the duration of the regulatory review and approval process, though companies developing orphan drugs may be eligible for certain incentives, including tax credits for qualified clinical testing. In addition, a BLA for a product that has received orphan drug designation is not subject to a prescription drug user fee unless the application includes an indication other than the rare disease or condition for which the drug was designated.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Generally,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A product can be considered clinically superior if it is safer, more effective or makes a major contribution to patient care. Competitors, however, may receive approval of different active moieties for the same indication or obtain approval for the same active moiety for a different indication. In some cases, orphan drug status is contingent on a product with an orphan drug designation demonstrating that it is clinically superior to a previously approved product or products.</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Pediatric Information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Pediatric Research Equity Act, or PREA, new drug applications, or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with orphan product designation except a product with a new active ingredient that is a molecularly targeted cancer product intended for the treatment of an adult cancer and directed at a molecular target determined by the FDA to be substantially relevant to the growth or progression of a pediatric cancer that is subject to an NDA or BLA submitted on or after August 18, 2020.</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Additional Controls for Biologics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Biosimilars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previously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small number of biosimilar products and no interchangeable products have been approved under the BPCIA. Complexities associated with the larger, and often more complex, structures of biological products, as well as the process by which such products are manufactured, pose significant hurdles to biosimilar product implementation, which is still being evaluated by the FDA.</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reference biologic is granted 12 years of exclusivity from the time of first licensure, or BLA approval, of the reference product, and no application for a biosimilar can be submitted for four years from the date of licensure of the reference product. The first biologic product submitted under the biosimilar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Post-Approval Requirements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Approved drugs and biologics that are manufactured or distributed in the United States pursuant to FDA approvals are subject to pervasive and continuing regulation by the FDA, including, among other things, requirements relating to recordkeeping, periodic reporting, product sampling and distribution, advertising and promotion including standards and regulations for direct-to-consumer advertising, off label promotion, industry-sponsored scientific and educational activities and promotional activities involving the Internet. Biologics may be marketed only for the approved indications and in a manner consistent with the provisions of the approved labeling and reporting of adverse experiences with the product.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may impose a number of post-approval requirements as a condition of approval of a BLA. For example, the FDA may require post-marketing testing, including Phase 4 clinical trials, and surveillance programs to further assess and monitor the product’s safety and effectiveness after commercialization or the FDA may place conditions on an approval that could restrict the distribution or use of the product. The FDA may also require a REMS, which could involve requirements for, among other things, medication guides, special trainings for prescribers and dispensers, patient registries and elements to assure safe use.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entities involved in the manufacture and distribution of approved drugs are required to register their establishments with the FDA and state agencies and are subject to periodic unannounced inspections by the FDA and these state agencies for compliance with cGMP requirements. The FDA has promulgated specific requirements for drug cGMP.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 party manufacturers that the sponsor may decide to use. Accordingly, manufacturers must continue to expend time, money and effort in the area of production and quality control to maintain cGMP compliance.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restrictions on the marketing or manufacturing of the product, suspension of the approval, complete withdrawal of the product from the market or product recalls;</w:t>
            </w:r>
          </w:p>
        </w:tc>
      </w:tr>
    </w:tbl>
    <w:tbl>
      <w:tblPr>
        <w:tblW w:w="5935" w:type="dxa"/>
        <w:jc w:val="left"/>
        <w:tblInd w:w="0" w:type="dxa"/>
        <w:tblCellMar>
          <w:top w:w="0" w:type="dxa"/>
          <w:left w:w="0" w:type="dxa"/>
          <w:bottom w:w="0" w:type="dxa"/>
          <w:right w:w="0" w:type="dxa"/>
        </w:tblCellMar>
      </w:tblPr>
      <w:tblGrid>
        <w:gridCol w:w="60"/>
        <w:gridCol w:w="110"/>
        <w:gridCol w:w="57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7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fines, warning letters or holds on post-approval clinical trials;</w:t>
            </w:r>
          </w:p>
        </w:tc>
      </w:tr>
    </w:tbl>
    <w:tbl>
      <w:tblPr>
        <w:tblW w:w="8395" w:type="dxa"/>
        <w:jc w:val="left"/>
        <w:tblInd w:w="0" w:type="dxa"/>
        <w:tblCellMar>
          <w:top w:w="0" w:type="dxa"/>
          <w:left w:w="0" w:type="dxa"/>
          <w:bottom w:w="0" w:type="dxa"/>
          <w:right w:w="0" w:type="dxa"/>
        </w:tblCellMar>
      </w:tblPr>
      <w:tblGrid>
        <w:gridCol w:w="60"/>
        <w:gridCol w:w="110"/>
        <w:gridCol w:w="82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2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refusal of the FDA to approve applications or supplements to approved applications, or</w:t>
            </w:r>
          </w:p>
        </w:tc>
      </w:tr>
    </w:tbl>
    <w:tbl>
      <w:tblPr>
        <w:tblW w:w="4600" w:type="dxa"/>
        <w:jc w:val="left"/>
        <w:tblInd w:w="0" w:type="dxa"/>
        <w:tblCellMar>
          <w:top w:w="0" w:type="dxa"/>
          <w:left w:w="0" w:type="dxa"/>
          <w:bottom w:w="0" w:type="dxa"/>
          <w:right w:w="0" w:type="dxa"/>
        </w:tblCellMar>
      </w:tblPr>
      <w:tblGrid>
        <w:gridCol w:w="60"/>
        <w:gridCol w:w="110"/>
        <w:gridCol w:w="44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43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suspension or revocation of product approvals;</w:t>
            </w:r>
          </w:p>
        </w:tc>
      </w:tr>
    </w:tbl>
    <w:tbl>
      <w:tblPr>
        <w:tblW w:w="8095" w:type="dxa"/>
        <w:jc w:val="left"/>
        <w:tblInd w:w="0" w:type="dxa"/>
        <w:tblCellMar>
          <w:top w:w="0" w:type="dxa"/>
          <w:left w:w="0" w:type="dxa"/>
          <w:bottom w:w="0" w:type="dxa"/>
          <w:right w:w="0" w:type="dxa"/>
        </w:tblCellMar>
      </w:tblPr>
      <w:tblGrid>
        <w:gridCol w:w="60"/>
        <w:gridCol w:w="110"/>
        <w:gridCol w:w="79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92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product seizure or detention, or refusal to permit the import or export of products; or</w:t>
            </w:r>
          </w:p>
        </w:tc>
      </w:tr>
    </w:tbl>
    <w:tbl>
      <w:tblPr>
        <w:tblW w:w="5620" w:type="dxa"/>
        <w:jc w:val="left"/>
        <w:tblInd w:w="0" w:type="dxa"/>
        <w:tblCellMar>
          <w:top w:w="0" w:type="dxa"/>
          <w:left w:w="0" w:type="dxa"/>
          <w:bottom w:w="0" w:type="dxa"/>
          <w:right w:w="0" w:type="dxa"/>
        </w:tblCellMar>
      </w:tblPr>
      <w:tblGrid>
        <w:gridCol w:w="60"/>
        <w:gridCol w:w="110"/>
        <w:gridCol w:w="54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4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injunctions or the imposition of civil or criminal penalties.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strictly regulates marketing, labeling, advertising and promotion of products that are placed on the market. Drugs may be promoted only for the approved indications and in accordance with the provisions of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Foreign Regulation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Coverage, Reimbursement and Pricing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Significant uncertainty exists as to the coverage and reimbursement status of any products for which we may obtain regulatory approval. In the United States and foreign markets, sales of any products for which we receive regulatory approval for commercial sale will depend, in part, on the availability of coverage and the adequacy of reimbursement from third-party payors. Third-party payors include government authorities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third-party payor’s decision to provide coverage for a product does not imply that an adequate reimbursement rate will be approved. For example, the payor’s reimbursement payment rate may not be adequate or may require co-payments that patients find unacceptably high. Additionally, coverage and reimbursement for products can differ significantly from payor to payor. Adequate third-party reimbursement may not be available to enable us to maintain price levels sufficient to realize an appropriate return on our investment in product development. Further, some third-party payors may require pre-approval of coverage for new or innovative devices or drug therapies before they provide reimbursement for use of such therapies.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Third-party payors are increasingly challenging the price and examining the medical necessity and cost-effectiveness of products and services, in addition to their safety and efficacy. To obtain coverage and reimbursement for any product that might be approved for sale,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Thus, obtaining and maintaining reimbursement status is time-consuming and costly.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U.S. and foreign governments regularly consider reform measures that affect healthcare coverage and costs. For example, the U.S.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products. The Patient Protection and Affordable Care Act, as amended by the Health Care and Education Reconciliation Act, or collectively, the ACA, contains provisions that may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 Centers for Medicare and Medicaid Services, or CMS, may develop new payment and delivery models, such as bundled payment models. Adoption of government controls and measures, and tightening of restrictive policies in jurisdictions with existing controls and measures, could limit payments for our products.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marketability of any products for which we receive regulatory approval for commercial sale may suffer if the government and third-party payors fail to provide adequate coverage and reimbursement. In addition, the focus on cost containment measures, particularly in the United States, has increased and we expect will continue to increase the pressure on pharmaceutical pricing. Coverage policies and third-party reimbursement rates may change at any time. Even if we attain favorable coverage and reimbursement status for one or more products for which we receive regulatory approval, less favorable coverage policies and reimbursement rates may be implemented in the future.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European Union Coverage Reimbursement and Pricing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 effectiveness of a particular drug candidate to currently available therapies, or so called health technology assessments, in order to obtain reimbursement or pricing approval.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Healthcare Laws and Regulations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Physicians, other healthcare providers, and third-party payors will play a primary role in the recommendation and prescription of any product candidates for which we obtain marketing approval. Our arrangements with healthcare professionals, principal investigators, consultants, customers and third-party payors are and will be subject to various federal, state and foreign fraud and abuse laws and other healthcare laws and regulations. These laws and regulations may impact, among other things, our arrangements with third-party payors, healthcare professionals who participate in our clinical research programs, healthcare professionals and others who purchase, recommend or prescribe our approved products, and our proposed sales, marketing, distribution and education programs. The U.S. federal and state healthcare laws and regulations that may affect our ability to operate include, without limitation, the following: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federal Anti-Kickback Statute, which prohibits persons from, among other things, knowingly and willfully soliciting, receiving, offering or paying remuneration, directly or indirectly, in cash or in kind, to induce or reward either the referral of an individual for, or the purchase, order or recommendation of, any good or service, for which payment may be made under federally funded healthcare programs, such as Medicare and Medicaid. The term “remuneration” has been broadly interpreted to include anything of value;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federal civil and criminal false claims laws, including, without limitation, the federal civil monetary penalties law and the civil False Claims Act (which can be enforced by private citizens through qui tam actions),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federal Health Insurance Portability and Accountability Act of 1996, or HIPAA, which creates federal criminal laws that prohibit, among other things, executing or attempting to execute a scheme to defraud any healthcare benefit program knowingly and willfully falsifying, concealing or covering up a material fact or making any materially false statement in connection with the delivery of or payment for healthcare benefits, items or services;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HIPAA, as amended by the Health Information Technology for Economic and Clinical Health Act of 2009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 such as certain healthcare providers, health plans and healthcare clearinghouses and their respective business associates who use, disclose, store or otherwise process HIPAA-protected health information on their behalf;</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federal transparency requirements under the Physician Payments Sunshine Act, created under the ACA, which requires certain manufacturers of drugs, devices, biologics and medical supplies reimbursed under Medicare, Medicaid or the Children’s Health Insurance Program, or CHIP, to report to the Department of Health and Human Services, or HHS, information related to payments and other transfers of value provided to physicians and teaching hospitals and physician ownership and investment interests;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Analogous state laws and regulations, such as state anti-kickback and false claims laws, that impose similar restrictions and may apply to items or services reimbursed by non-governmental third-party payors, including private insurers;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w:t>
            </w:r>
          </w:p>
        </w:tc>
      </w:tr>
    </w:tbl>
    <w:tbl>
      <w:tblPr>
        <w:tblW w:w="8200" w:type="dxa"/>
        <w:jc w:val="left"/>
        <w:tblInd w:w="0" w:type="dxa"/>
        <w:tblCellMar>
          <w:top w:w="0" w:type="dxa"/>
          <w:left w:w="0" w:type="dxa"/>
          <w:bottom w:w="0" w:type="dxa"/>
          <w:right w:w="0" w:type="dxa"/>
        </w:tblCellMar>
      </w:tblPr>
      <w:tblGrid>
        <w:gridCol w:w="60"/>
        <w:gridCol w:w="110"/>
        <w:gridCol w:w="80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03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State and local laws requiring the registration of pharmaceutical sales representatives;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State health information privacy and data breach notification laws, which govern the collection, use, disclosure and protection of health-related and other personal information, many of which differ from each other in significant ways and often are not pre-empted by HIPAA, thus complicating compliance efforts;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State unfair and deceptive trade practices statutes, pursuant to which significant statutory fines and penalties can be imposed against pharmaceutical companies alleged to have engaged in consumer fraud.</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be required to spend substantial time and money to ensure that our business arrangements with third parties comply with applicable healthcare laws and regulations. Recent healthcare reform legislation has strengthened these federal and state healthcare laws. For example, the ACA amends the intent requirement of the federal Anti-Kickback Statute and criminal healthcare fraud statutes to clarify that liability under these statutes does not require a person or entity to have actual knowledge of the statutes or a specific intent to violate them. Moreover, the ACA provides that the government may assert that a claim that includes items or services resulting from a violation of the federal Anti-Kickback Statute constitutes a false or fraudulent claim for purposes of the civil False Claims Act. Because of the breadth of these laws and the narrowness of the statutory exceptions and safe harbors available, it is possible that some of our business activities could be subject to challenge under one or more of such laws.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found to be in violation of these laws, we may be subject to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reputational harm, in which case we may be required to curtail or restructure our operations. Moreover, we expect that there will continue to be federal and state laws and regulations, proposed and implemented, that could impact our future operations and business.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Healthcare Reform</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legislative landscape in the United States continues to evolve.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In March 2010, the ACA was enacted, which includes measures that have significantly changed health care financing by both governmental and private insurers. The provisions of the ACA of importance to the pharmaceutical and biotechnology industry are, among others, the following: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an annual, nondeductible fee on any entity that manufactures or imports certain branded prescription drug agents or biologic agents, which is apportioned among these entities according to their market share in certain government healthcare programs;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an increase in the rebates a manufacturer must pay under the Medicaid Drug Rebate Program to 23.1% and 13% of the average manufacturer price for branded and generic drugs, respectively;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 new Medicare Part D coverage gap discount program, in which manufacturers must agree to offer 70% point-of-sale discounts to negotiated prices of applicable brand drugs to eligible beneficiaries during their coverage gap period, as a condition for the manufacturer’s outpatient drugs to be covered under Medicare Part 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extension of manufacturers’ Medicaid rebate liability to covered drugs dispensed to individuals who are enrolled in Medicaid managed care organizations, unless the drug is subject to discounts under the 340B drug discount program;</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 new methodology by which rebates owed by manufacturers under the Medicaid Drug Rebate Program are calculated for drugs that are inhaled, infused, instilled, implanted or injected;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expansion of the entities eligible for discounts under the Public Health Service pharmaceutical pricing program;</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new requirements under the federal Physician Payments Sunshine Act for drug manufacturers to report information related to payments and other transfers of value made to physicians and teaching hospitals as well as ownership or investment interests held by physicians and their immediate family members;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 new Patient-Centered Outcomes Research Institute to oversee, identify priorities in, and conduct, comparative clinical effectiveness research, along with funding for such research;</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creation of the Independent Payment Advisory Board, which, if and when impaneled, will have authority to recommend certain changes to the Medicare program that could result in reduced payments for prescription drugs;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establishment of a Center for Medicare and Medicaid Innovation at CMS to test innovative payment and service delivery models to lower Medicare and Medicaid spending, potentially including prescription drug spending.</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Some of the provisions of the ACA have yet to be implemented, and there have been judicial and Congressional challenges to certain aspects of the ACA, as well as recent efforts by the Trump administration to repeal or replace certain aspects of the ACA. Since January 2017, former President Trump has signed two Executive Orders and other directives designed to delay the implementation of certain provisions of the ACA or otherwise circumvent some of the requirements for health insurance mandated by the ACA. On January 28, 2021, however, President Biden rescinded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of 2017 includes a provision repealing the tax-based shared responsibility payment imposed by the ACA on certain individuals who fail to maintain qualifying health coverage for all or part of a year that is commonly referred to as the “individual mandates.”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the U.S. Supreme Court agreed to hear this case. Oral argument in the case took place on November 10, 2020. On February 10, 2021, the Biden Administration withdrew DOJ’s support for this lawsuit. A ruling by the Court is expected sometime this year.</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Additionally, on January 22, 2018, former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Congress could consider other legislation to repeal or replace certain elements of the ACA.</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other federal health reform measures have been proposed and adopted in the United States since the ACA was enacted. For example, as a result of the Budget Control Act of 2011, providers are subject to Medicare payment reductions of 2% per fiscal year which went into effect on April 1, 2013 and, due to subsequent legislative amendments to the statute, will remain in effect through 2030 pursuant to the CARES Act. However, the Medicare sequester reductions under the Budget Control Act of 2011 will be suspended from May 1, 2020 through March 31, 2021 due to the COVID-19 pandemic. Further, the American Taxpayer Relief Act of 2012 reduced Medicare payments to several providers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At this time, it is unclear how the introduction of the quality payment program will impact overall physician reimbursement under the Medicare program.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Further,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HHS, has solicited feedback on some of these measures and, at the same, has implemented others under its existing authority. On July 24, 2020 and September 13, 2020, the former presidential administration announced several executive orders related to prescription drug pricing that seek to implement several of the administration's proposals.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likelihood of implementation of any of the other former U.S. presidential administration's reform initiatives is uncertain, particularly in light of the new presidential administration. Congress and the executive branch have each indicated that it will continue to seek new legislative and/or administrative measures to control drug costs, making this area subject to ongoing uncertainty. In addition, the probability of success of other policies enacted over the final months of the Trump Administration and their impact on the U.S. prescription drug marketplace is unknown. There are likely to be political and legal challenges associated with implementing these reforms as they are currently envisioned, and the January 20, 2021 transition to a new Democrat-led presidential administration created further uncertainty. Following his inauguration, President Biden took immediate steps to order a regulatory freeze on all pending substantive executive actions in order to permit incoming department and agency heads to review whether questions of fact, policy, and law may be implicated and to determine how to proceed.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or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Additional Regulation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foreign countries that impose similar obligations.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Anti-Corruption Laws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Foreign Corrupt Practices Act, or the FCPA, the U.S. domestic bribery statute contained in 18 U.S.C. §201, the U.S. Travel Act, the USA PATRIOT Act, and possibly other state and national anti-bribery and anti-money laundering laws in countries in which we conduct activities. These anti-corruption laws prohibit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This could become relevant in the conduct of international clinical trials where the sites for such trials may be a government-owned hospital.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wholly outside the United States, can result in criminal and civil fines, imprisonment, disgorgement, oversight and debarment from government contracts.</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Foreign Regulation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regulations in the U.S., we will be subject to a variety of foreign regulations governing clinical trials and commercial sales and distribution of our products to the extent we choose to develop or sell any products outside of the U.S.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Competition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biopharmaceutical industry in general, and the cell therapy field in particular, is characterized by rapidly advancing and changing technologies, intense competition and a strong emphasis on intellectual property. We face substantial and increasing competition from many different sources, including large and specialty biopharmaceutical companies, academic research institutions, governmental agencies and public and private research institutions. Competitors may compete with us in hiring scientific and management personnel, establishing clinical study sites, recruiting patients to participate in clinical trials and acquiring technologies complementary to, or necessary for, our programs.</w:t>
      </w:r>
    </w:p>
    <w:p>
      <w:pPr>
        <w:pStyle w:val="TextBody"/>
        <w:spacing w:lineRule="auto" w:line="288" w:before="240" w:after="0"/>
        <w:rPr>
          <w:rFonts w:ascii="Times New Roman" w:hAnsi="Times New Roman"/>
          <w:b w:val="false"/>
          <w:i w:val="false"/>
          <w:caps w:val="false"/>
          <w:smallCaps w:val="false"/>
          <w:sz w:val="20"/>
        </w:rPr>
      </w:pPr>
      <w:bookmarkStart w:id="18" w:name="_Hlk640469641"/>
      <w:bookmarkEnd w:id="18"/>
      <w:r>
        <w:rPr>
          <w:rFonts w:ascii="Times New Roman" w:hAnsi="Times New Roman"/>
          <w:b w:val="false"/>
          <w:i w:val="false"/>
          <w:caps w:val="false"/>
          <w:smallCaps w:val="false"/>
          <w:sz w:val="20"/>
        </w:rPr>
        <w:t>The autologous CAR-T therapies Kymriah®, Yescarta®, Tecartus™ and Breyanzi®, which have been commercially approved, are direct competitors to our product candidate NKX019. Our known biopharmaceutical competitors developing allogeneic CAR-NK or CAR-T therapies currently include Allogene, Cellectis, Celularity, Celyad, CRISPR Therapeutics, Gamida Cell, Glycostem</w:t>
      </w:r>
      <w:bookmarkStart w:id="19" w:name="_Hlk64046964"/>
      <w:bookmarkEnd w:id="19"/>
      <w:r>
        <w:rPr>
          <w:rFonts w:ascii="Times New Roman" w:hAnsi="Times New Roman"/>
          <w:b w:val="false"/>
          <w:i w:val="false"/>
          <w:caps w:val="false"/>
          <w:smallCaps w:val="false"/>
          <w:sz w:val="20"/>
        </w:rPr>
        <w:t xml:space="preserve">, Sanofi, Fate Therapeutics, NantKwest, Precision BioSciences and Takeda, each of which has clinical-stage allogeneic programs, as well as numerous other biopharmaceutical companies including Astellas, Artiva Biosciences, Bristol-Myers Squibb, NKMax, ONK Therapeutics, Surface Oncology, Novartis and Gilead with earlier-stage allogeneic programs. Furthermore, a number of companies are seeking to harness NK or T cell biology through engagers which seek to direct a patient’s own NK or T cells to the site of a tumor. Such competitors include Affimed, Amgen, Dragonfly Therapeutics, Innate Pharma, Servier and other biopharmaceutical companies.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numerous academic institutions are conducting preclinical and clinical research in these areas. Furthermore, a number of biopharmaceutical companies and academic groups are focused on engineering other white blood cell types including NKT cells and gamma-delta T cells, which may offer some of the same advantages as engineered NK cells. Finally, research in immuno-oncology is one of the most active areas for the discovery and clinical development of new anticancer therapies in the biopharmaceutical industry. New approaches, such as bispecific antibodies, as well as refinements of existing modalities, such as immune checkpoint inhibitors, are constantly emerging.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Many of our current or potential competitors have significantly greater financial, technical and human resources, as well as more expertise in research and development, manufacturing, preclinical testing, conducting clinical studies and trials and commercializing and marketing approved products, than us. Mergers and acquisitions in the biopharmaceutical industry may result in even greater resource concentration among a smaller number of competitors. Smaller or early-stage companies may also prove to be significant competitors, either alone or through collaborative arrangements with large and established companies.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price and degree of reimbursement.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bookmarkStart w:id="20" w:name="_Hlk62462076"/>
      <w:bookmarkEnd w:id="20"/>
      <w:r>
        <w:rPr>
          <w:rFonts w:ascii="Times New Roman" w:hAnsi="Times New Roman"/>
          <w:b/>
          <w:i w:val="false"/>
          <w:caps w:val="false"/>
          <w:smallCaps w:val="false"/>
          <w:sz w:val="20"/>
        </w:rPr>
        <w:t xml:space="preserve">Human Capital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that our values – patient first, data driven, intellectually honest, transparent, diverse, inclusive, work/life balance, respectful, humble, creative, and ethical – are the foundations for our team and our behaviors for promoting creativity, innovation and productivity. As of December 31, 2020, we had 95 full-time employees, 33 of whom have Ph.D., M.D. or J.D. degrees. Of these full-time employees, 84 employees are engaged in research and development activities and 11 employees are engaged in finance, business development and other general and administrative functions. We have no collective bargaining agreements with our employees and we have not experienced any work stoppages. We consider our relations with our employees to be good.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a diverse and inclusive work environment is critical for driving innovation, workforce productivity and the development of new cell therapies. We embrace the principles of workplace development, diversity and inclusion set forth by the Biotechnology Innovation Organization, or BIO. As part of comprehensive approach to diversity, equity and inclusion at Nkarta, we rely on data to identify gaps, set priorities and enable ongoing measurement of our progress. We publish these quarterly data on our website in the spirit of shared responsibility and accountability. Nothing on our website shall be deemed incorporated by reference into this Annual Report on Form 10-K.</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Compensation, Benefits and Well-being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strive to offer fair, market-competitive compensation and benefits that support our employees’ overall well-being. To ensure alignment with our short- and long-term objectives, our compensation programs for all employees include base pay, short-term incentives, and opportunities for long-term incentives. Our well-being and benefit programs focus on four key pillars: physical, emotional, financial and community. We offer a wide array of benefits including comprehensive health insurance, generous time-off and leave, and retirement and financial support.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response to the COVID-19 pandemic, we implemented significant changes that we determined were in the best interest of our employees as well as the communities in which we operate. This includes having the vast majority of our employees work from home, while implementing additional safety measures for employees continuing critical on-site work. We also provide flexible work hours and paid time off for employees who cannot work due to circumstances related to COVID-19. We have actively encouraged employees to structure their days and work to best help address caregiving responsibilities they have with family members as well as taking care of themselves personally.</w:t>
      </w:r>
    </w:p>
    <w:p>
      <w:pPr>
        <w:pStyle w:val="TextBody"/>
        <w:spacing w:before="240" w:after="0"/>
        <w:jc w:val="center"/>
        <w:rPr>
          <w:rFonts w:ascii="Times New Roman" w:hAnsi="Times New Roman"/>
          <w:b w:val="false"/>
          <w:i w:val="false"/>
          <w:caps w:val="false"/>
          <w:smallCaps w:val="false"/>
          <w:sz w:val="20"/>
        </w:rPr>
      </w:pPr>
      <w:bookmarkStart w:id="21" w:name="_AEIOULastRenderedPageBreakAEIOU2"/>
      <w:bookmarkEnd w:id="21"/>
      <w:r>
        <w:rPr>
          <w:rFonts w:ascii="Times New Roman" w:hAnsi="Times New Roman"/>
          <w:b w:val="false"/>
          <w:i w:val="false"/>
          <w:caps w:val="false"/>
          <w:smallCaps w:val="false"/>
          <w:sz w:val="20"/>
        </w:rPr>
        <w:t>38</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22" w:name="ITEM_1A_RISK_FACTORS"/>
      <w:bookmarkEnd w:id="22"/>
      <w:r>
        <w:rPr>
          <w:rFonts w:ascii="Times New Roman" w:hAnsi="Times New Roman"/>
          <w:b/>
          <w:i w:val="false"/>
          <w:caps w:val="false"/>
          <w:smallCaps w:val="false"/>
          <w:sz w:val="20"/>
        </w:rPr>
        <w:t xml:space="preserve">Item 1A. Risk Factors. </w:t>
      </w:r>
    </w:p>
    <w:p>
      <w:pPr>
        <w:pStyle w:val="TextBody"/>
        <w:spacing w:before="120" w:after="0"/>
        <w:rPr>
          <w:rFonts w:ascii="Times New Roman" w:hAnsi="Times New Roman"/>
          <w:b w:val="false"/>
          <w:i/>
          <w:caps w:val="false"/>
          <w:smallCaps w:val="false"/>
          <w:sz w:val="20"/>
        </w:rPr>
      </w:pPr>
      <w:bookmarkStart w:id="23" w:name="Item1B"/>
      <w:bookmarkEnd w:id="23"/>
      <w:r>
        <w:rPr>
          <w:rFonts w:ascii="Times New Roman" w:hAnsi="Times New Roman"/>
          <w:b w:val="false"/>
          <w:i/>
          <w:caps w:val="false"/>
          <w:smallCaps w:val="false"/>
          <w:sz w:val="20"/>
        </w:rPr>
        <w:t xml:space="preserve">An investment in shares of our common stock involves a high degree of risk. You should carefully consider the following risk factors, as well as all of the other information contained in this Annual Report on Form 10-K,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Annual Report on Form 10-K also contains forward-looking statements and estimates that involve risks and uncertainties. Our actual results could differ materially from those anticipated in the forward-looking statements as a result of specific factors, including the risks and uncertainties described below.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OUR FINANCIAL POSITION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have a limited operating history and do not have any products approved for sale.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development-stage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have incurred significant losses since our inception and we expect to continue to incur significant losses for the foreseeable future.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Since our inception in 2015, we have incurred significant operating losses. Our net losses were $91.4 million and $21.1 million for the years ended December 31, 2020 and 2019, respectively. Our accumulated deficit was $118.0 million as of December 31, 2020. We expect to continue to incur increasing operating losses for the foreseeable future as we continue to develop our product candidates. In addition, we anticipate that our expenses will increase substantially if, and as, we: </w:t>
      </w:r>
    </w:p>
    <w:tbl>
      <w:tblPr>
        <w:tblW w:w="4690" w:type="dxa"/>
        <w:jc w:val="left"/>
        <w:tblInd w:w="0" w:type="dxa"/>
        <w:tblCellMar>
          <w:top w:w="0" w:type="dxa"/>
          <w:left w:w="0" w:type="dxa"/>
          <w:bottom w:w="0" w:type="dxa"/>
          <w:right w:w="0" w:type="dxa"/>
        </w:tblCellMar>
      </w:tblPr>
      <w:tblGrid>
        <w:gridCol w:w="60"/>
        <w:gridCol w:w="110"/>
        <w:gridCol w:w="45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5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continue the clinical development of NKX101; </w:t>
            </w:r>
          </w:p>
        </w:tc>
      </w:tr>
    </w:tbl>
    <w:tbl>
      <w:tblPr>
        <w:tblW w:w="7360" w:type="dxa"/>
        <w:jc w:val="left"/>
        <w:tblInd w:w="0" w:type="dxa"/>
        <w:tblCellMar>
          <w:top w:w="0" w:type="dxa"/>
          <w:left w:w="0" w:type="dxa"/>
          <w:bottom w:w="0" w:type="dxa"/>
          <w:right w:w="0" w:type="dxa"/>
        </w:tblCellMar>
      </w:tblPr>
      <w:tblGrid>
        <w:gridCol w:w="60"/>
        <w:gridCol w:w="110"/>
        <w:gridCol w:w="71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1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advance additional product candidates to clinical trials, including NKX019; </w:t>
            </w:r>
          </w:p>
        </w:tc>
      </w:tr>
    </w:tbl>
    <w:tbl>
      <w:tblPr>
        <w:tblW w:w="7060" w:type="dxa"/>
        <w:jc w:val="left"/>
        <w:tblInd w:w="0" w:type="dxa"/>
        <w:tblCellMar>
          <w:top w:w="0" w:type="dxa"/>
          <w:left w:w="0" w:type="dxa"/>
          <w:bottom w:w="0" w:type="dxa"/>
          <w:right w:w="0" w:type="dxa"/>
        </w:tblCellMar>
      </w:tblPr>
      <w:tblGrid>
        <w:gridCol w:w="60"/>
        <w:gridCol w:w="110"/>
        <w:gridCol w:w="68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8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develop our current product candidates for additional disease indications;</w:t>
            </w:r>
          </w:p>
        </w:tc>
      </w:tr>
    </w:tbl>
    <w:tbl>
      <w:tblPr>
        <w:tblW w:w="5800" w:type="dxa"/>
        <w:jc w:val="left"/>
        <w:tblInd w:w="0" w:type="dxa"/>
        <w:tblCellMar>
          <w:top w:w="0" w:type="dxa"/>
          <w:left w:w="0" w:type="dxa"/>
          <w:bottom w:w="0" w:type="dxa"/>
          <w:right w:w="0" w:type="dxa"/>
        </w:tblCellMar>
      </w:tblPr>
      <w:tblGrid>
        <w:gridCol w:w="60"/>
        <w:gridCol w:w="110"/>
        <w:gridCol w:w="56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63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seek to discover and develop additional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establish and qualify our own clinical- and commercial-scale current good manufacturing practices, or cGMP, facilities;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submit a BLA, or marketing authorization application, or MAA, for NKX101 and/or NKX019 and/or seek marketing approvals for any of our other product candidates that successfully complete clinical trials; </w:t>
            </w:r>
          </w:p>
        </w:tc>
      </w:tr>
    </w:tbl>
    <w:tbl>
      <w:tblPr>
        <w:tblW w:w="9130" w:type="dxa"/>
        <w:jc w:val="left"/>
        <w:tblInd w:w="0" w:type="dxa"/>
        <w:tblCellMar>
          <w:top w:w="0" w:type="dxa"/>
          <w:left w:w="0" w:type="dxa"/>
          <w:bottom w:w="0" w:type="dxa"/>
          <w:right w:w="0" w:type="dxa"/>
        </w:tblCellMar>
      </w:tblPr>
      <w:tblGrid>
        <w:gridCol w:w="60"/>
        <w:gridCol w:w="110"/>
        <w:gridCol w:w="89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9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seek regulatory approval of our product candidates in various jurisdictions for commercial sale;</w:t>
            </w:r>
          </w:p>
        </w:tc>
      </w:tr>
    </w:tbl>
    <w:tbl>
      <w:tblPr>
        <w:tblW w:w="6220" w:type="dxa"/>
        <w:jc w:val="left"/>
        <w:tblInd w:w="0" w:type="dxa"/>
        <w:tblCellMar>
          <w:top w:w="0" w:type="dxa"/>
          <w:left w:w="0" w:type="dxa"/>
          <w:bottom w:w="0" w:type="dxa"/>
          <w:right w:w="0" w:type="dxa"/>
        </w:tblCellMar>
      </w:tblPr>
      <w:tblGrid>
        <w:gridCol w:w="60"/>
        <w:gridCol w:w="110"/>
        <w:gridCol w:w="60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0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maintain, expand and protect our intellectual property portfolio; </w:t>
            </w:r>
          </w:p>
        </w:tc>
      </w:tr>
    </w:tbl>
    <w:tbl>
      <w:tblPr>
        <w:tblW w:w="6235" w:type="dxa"/>
        <w:jc w:val="left"/>
        <w:tblInd w:w="0" w:type="dxa"/>
        <w:tblCellMar>
          <w:top w:w="0" w:type="dxa"/>
          <w:left w:w="0" w:type="dxa"/>
          <w:bottom w:w="0" w:type="dxa"/>
          <w:right w:w="0" w:type="dxa"/>
        </w:tblCellMar>
      </w:tblPr>
      <w:tblGrid>
        <w:gridCol w:w="60"/>
        <w:gridCol w:w="110"/>
        <w:gridCol w:w="60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0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acquire or in-license other product candidates and technologies; </w:t>
            </w:r>
          </w:p>
        </w:tc>
      </w:tr>
    </w:tbl>
    <w:tbl>
      <w:tblPr>
        <w:tblW w:w="6745" w:type="dxa"/>
        <w:jc w:val="left"/>
        <w:tblInd w:w="0" w:type="dxa"/>
        <w:tblCellMar>
          <w:top w:w="0" w:type="dxa"/>
          <w:left w:w="0" w:type="dxa"/>
          <w:bottom w:w="0" w:type="dxa"/>
          <w:right w:w="0" w:type="dxa"/>
        </w:tblCellMar>
      </w:tblPr>
      <w:tblGrid>
        <w:gridCol w:w="60"/>
        <w:gridCol w:w="110"/>
        <w:gridCol w:w="65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5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incur additional costs associated with operating as a public company;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8245" w:type="dxa"/>
        <w:jc w:val="left"/>
        <w:tblInd w:w="0" w:type="dxa"/>
        <w:tblCellMar>
          <w:top w:w="0" w:type="dxa"/>
          <w:left w:w="0" w:type="dxa"/>
          <w:bottom w:w="0" w:type="dxa"/>
          <w:right w:w="0" w:type="dxa"/>
        </w:tblCellMar>
      </w:tblPr>
      <w:tblGrid>
        <w:gridCol w:w="60"/>
        <w:gridCol w:w="110"/>
        <w:gridCol w:w="80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0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increase our employee headcount and related expenses to support these activities;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develop or secure marketing, sales and distribution capabilities, either internally or with third parties, to support commercialization.</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never succeed in any or all of these activities and, even if we do, we may never generate revenues that are significant or large enough to achieve profitability.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have never generated revenue from product sales and may never achieve or maintain profitability.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continue to incur significant research and development and other expenses related to ongoing operations and the development of our co-lead product candidates, NKX101 and NKX019. All of our product candidates will require substantial additional development time and resources before we would be able to apply for or receive regulatory approvals and begin generating revenue from product sales. Neither the FDA nor any other regulatory authority has approved NKX101, NKX019 or any of our other product candidates, and we do not anticipate generating revenues from product sales unless and until such time as NKX101,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 </w:t>
      </w:r>
    </w:p>
    <w:tbl>
      <w:tblPr>
        <w:tblW w:w="5830" w:type="dxa"/>
        <w:jc w:val="left"/>
        <w:tblInd w:w="0" w:type="dxa"/>
        <w:tblCellMar>
          <w:top w:w="0" w:type="dxa"/>
          <w:left w:w="0" w:type="dxa"/>
          <w:bottom w:w="0" w:type="dxa"/>
          <w:right w:w="0" w:type="dxa"/>
        </w:tblCellMar>
      </w:tblPr>
      <w:tblGrid>
        <w:gridCol w:w="60"/>
        <w:gridCol w:w="110"/>
        <w:gridCol w:w="56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6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completing clinical development of our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seeking and obtaining regulatory approvals for product candidates for which we successfully complete positive clinical trials, if any;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launching and commercializing product candidates, by establishing a commercial infrastructure or, alternatively, collaborating with a commercialization partner;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qualifying for adequate coverage and reimbursement by government and third-party payors for our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establishing, maintaining and enhancing a sustainable, scalable, reproducible and transferable manufacturing process for each of our cell therapy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tc>
      </w:tr>
    </w:tbl>
    <w:tbl>
      <w:tblPr>
        <w:tblW w:w="8095" w:type="dxa"/>
        <w:jc w:val="left"/>
        <w:tblInd w:w="0" w:type="dxa"/>
        <w:tblCellMar>
          <w:top w:w="0" w:type="dxa"/>
          <w:left w:w="0" w:type="dxa"/>
          <w:bottom w:w="0" w:type="dxa"/>
          <w:right w:w="0" w:type="dxa"/>
        </w:tblCellMar>
      </w:tblPr>
      <w:tblGrid>
        <w:gridCol w:w="60"/>
        <w:gridCol w:w="110"/>
        <w:gridCol w:w="79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92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obtaining market acceptance of our product candidates as a viable treatment option; </w:t>
            </w:r>
          </w:p>
        </w:tc>
      </w:tr>
    </w:tbl>
    <w:tbl>
      <w:tblPr>
        <w:tblW w:w="6565" w:type="dxa"/>
        <w:jc w:val="left"/>
        <w:tblInd w:w="0" w:type="dxa"/>
        <w:tblCellMar>
          <w:top w:w="0" w:type="dxa"/>
          <w:left w:w="0" w:type="dxa"/>
          <w:bottom w:w="0" w:type="dxa"/>
          <w:right w:w="0" w:type="dxa"/>
        </w:tblCellMar>
      </w:tblPr>
      <w:tblGrid>
        <w:gridCol w:w="60"/>
        <w:gridCol w:w="110"/>
        <w:gridCol w:w="63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3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addressing any competing technological and market developments; </w:t>
            </w:r>
          </w:p>
        </w:tc>
      </w:tr>
    </w:tbl>
    <w:tbl>
      <w:tblPr>
        <w:tblW w:w="6910" w:type="dxa"/>
        <w:jc w:val="left"/>
        <w:tblInd w:w="0" w:type="dxa"/>
        <w:tblCellMar>
          <w:top w:w="0" w:type="dxa"/>
          <w:left w:w="0" w:type="dxa"/>
          <w:bottom w:w="0" w:type="dxa"/>
          <w:right w:w="0" w:type="dxa"/>
        </w:tblCellMar>
      </w:tblPr>
      <w:tblGrid>
        <w:gridCol w:w="60"/>
        <w:gridCol w:w="110"/>
        <w:gridCol w:w="67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7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implementing additional internal systems and infrastructure, as needed;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negotiating favorable terms in any collaboration, licensing or other arrangements into which we may enter and performing our obligations in such collaborations;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maintaining, protecting and expanding our portfolio of intellectual property rights, including patents, trade secrets, know-how, and trademarks; </w:t>
            </w:r>
          </w:p>
        </w:tc>
      </w:tr>
    </w:tbl>
    <w:tbl>
      <w:tblPr>
        <w:tblW w:w="8065" w:type="dxa"/>
        <w:jc w:val="left"/>
        <w:tblInd w:w="0" w:type="dxa"/>
        <w:tblCellMar>
          <w:top w:w="0" w:type="dxa"/>
          <w:left w:w="0" w:type="dxa"/>
          <w:bottom w:w="0" w:type="dxa"/>
          <w:right w:w="0" w:type="dxa"/>
        </w:tblCellMar>
      </w:tblPr>
      <w:tblGrid>
        <w:gridCol w:w="60"/>
        <w:gridCol w:w="110"/>
        <w:gridCol w:w="78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8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avoiding and defending against third-party interference or infringement claims; and </w:t>
            </w:r>
          </w:p>
        </w:tc>
      </w:tr>
    </w:tbl>
    <w:tbl>
      <w:tblPr>
        <w:tblW w:w="5005" w:type="dxa"/>
        <w:jc w:val="left"/>
        <w:tblInd w:w="0" w:type="dxa"/>
        <w:tblCellMar>
          <w:top w:w="0" w:type="dxa"/>
          <w:left w:w="0" w:type="dxa"/>
          <w:bottom w:w="0" w:type="dxa"/>
          <w:right w:w="0" w:type="dxa"/>
        </w:tblCellMar>
      </w:tblPr>
      <w:tblGrid>
        <w:gridCol w:w="60"/>
        <w:gridCol w:w="110"/>
        <w:gridCol w:w="48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8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attracting, hiring and retaining qualified personnel.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anticipate incurring significant costs associated with commercializing any approved product candidate. Our expenses could increase beyond our current expectations if we are required by the FDA or other global regulatory authorities to perform clinical trials and other preclinical studies in addition to those that we currently anticipate.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will require additional capital, which, if available, may cause dilution to our stockholders, restrict our operations or require us to relinquish rights to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financed our operations primarily through private placements of our preferred stock, proceeds from our previous collaboration with GlaxoSmithKline, or GSK, and from our recently completed initial public offering, or IPO, in July 2020. We intend to use the proceeds from our IPO to, among other uses, advance NKX101 and NKX019 through clinical development. Developing pharmaceutical products and conducting preclinical studies and clinical trials is expensive. As of December 31, 2020, we had cash, cash equivalents, restricted cash and short-term investments of $315.3 million. Our research and development expenses increased from $17.2 million for the year ended December 31, 2019 to $36.2 million for the year ended December 31, 2020.</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Until and unless we can generate substantial product revenue, we expect to finance our cash needs through the proceeds from our IPO, a combination of equity offerings and debt financings, and potentially through additional license and development agreements or strategic partnerships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business and the business or operations of our research partners and other third parties with whom we conduct business could be adversely affected by the effects of health epidemics, including the recent COVID-19 pandemic, in regions where we or third parties on which we rely have business operations.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COVID-19 pandemic has disrupted economic activity and business operations worldwide, including the San Francisco Bay Area, where our primary operations are located. The coronavirus pandemic is evolving, and multiple variants of the virus that causes COVID-19 are circulating globally. To date the pandemic has led to the implementation of various responses, including government-imposed stay-at-home orders and quarantines, travel restrictions and other public health safety measures to mitigate the impact of the pandemic. We continue to monitor these changes and update our operations as necessary to comply with any state, county or local health orders.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response to government-imposed stay-at-home orders and quarantines, we have implemented work-from-home policies for employees and adjusted our operations to maximize employee safety and to comply with directives from health authorities. The effects of quarantines, stay-at-home, executive and similar government orders, or the perception that such orders, shutdowns or other restrictions on the conduct of business operations could occur, in the United States and other countries, could negatively impact our operations and the operations of third parties we rely on, such as our contract manufacturing sites in Colorado, Ohio, and Ontario, and disrupt or delay the enrollment of patients at our clinical sites. For example, at some of our contract manufacturing sites, COVID-19-related restrictions, including temporary shutdowns, and instances of COVID-19 cases impacting personnel have resulted in some delays. In addition, we experienced some delays in construction of our cGMP manufacturing facility and in our internal research efforts due to the initial government-imposed stay-at-home orders early in the pandemic in 2020. However, COVID-19 did not materially impact the timelines we previously announced for the filing of the NKX101 IND or the dosing of the first patient in the NKX101 clinical trial, and we do not expect COVID-19 to have a material impact on the current timeline for the filing of the NKX019 IND. Furthermore, COVID-19-related restrictions may delay any regulatory reviews by the FDA or other health authorities, including related to the IND submission for our product candidates, the magnitude of which will depend, in part, on the length and severity of the restrictions and other limitations on our ability to conduct our business in the ordinary course. Even if the current restrictions are lifted in the State of California or the County of San Mateo, similar or additional restrictions could be imposed again later.</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the COVID-19 pandemic has significantly disrupted global financial markets and could continue to restrict the level of economic activity, and may limit our ability to access capital, which could in the future negatively affect our liquidity now or in the future. A recession or market correction resulting from the spread of COVID-19 could materially affect our business and the value of our common stock.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predict the potential future impacts of COVID-19, including its variants, on us and third parties with whom we conduct business. As a result of the COVID-19 pandemic or other pandemic, epidemic or outbreak of an infectious disease, we may experience disruptions that could severely impact our business, preclinical studies and clinical trials,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delays or difficulties in enrolling patients in our clinical trials, including our ongoing NKX101 clinical trial and our planned NKX019 clinical trial;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delays or difficulties in clinical site initiation, including difficulties in recruiting clinical site investigators and clinical site staff and in training medical personnel on how to properly thaw and administer our product candidates;</w:t>
            </w:r>
          </w:p>
        </w:tc>
      </w:tr>
    </w:tbl>
    <w:tbl>
      <w:tblPr>
        <w:tblW w:w="5155" w:type="dxa"/>
        <w:jc w:val="left"/>
        <w:tblInd w:w="0" w:type="dxa"/>
        <w:tblCellMar>
          <w:top w:w="0" w:type="dxa"/>
          <w:left w:w="0" w:type="dxa"/>
          <w:bottom w:w="0" w:type="dxa"/>
          <w:right w:w="0" w:type="dxa"/>
        </w:tblCellMar>
      </w:tblPr>
      <w:tblGrid>
        <w:gridCol w:w="60"/>
        <w:gridCol w:w="110"/>
        <w:gridCol w:w="49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9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delays or difficulties in recruitment of key personnel;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diversion of healthcare resources away from the conduct of clinical trials, including the diversion of hospitals serving as our clinical trial sites and hospital staff supporting the conduct of our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interruption or delays in the operations of the FDA or other regulatory authorities, which may impact review and approval timelines;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systems;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interruption of, or delays in manufacture of our product candidates at our in-house manufacturing facility due to staffing shortages, production slowdowns and disruptions or inability to procure critical raw materials or other supplies in a timely fashion;</w:t>
            </w:r>
          </w:p>
        </w:tc>
      </w:tr>
    </w:tbl>
    <w:tbl>
      <w:tblPr>
        <w:tblW w:w="9295" w:type="dxa"/>
        <w:jc w:val="left"/>
        <w:tblInd w:w="0" w:type="dxa"/>
        <w:tblCellMar>
          <w:top w:w="0" w:type="dxa"/>
          <w:left w:w="0" w:type="dxa"/>
          <w:bottom w:w="0" w:type="dxa"/>
          <w:right w:w="0" w:type="dxa"/>
        </w:tblCellMar>
      </w:tblPr>
      <w:tblGrid>
        <w:gridCol w:w="60"/>
        <w:gridCol w:w="110"/>
        <w:gridCol w:w="91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12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interruptions in preclinical studies due to restricted or limited operations at our laboratory facility;</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interruptions, or delays in receiving supplies and materials necessary for our business operations, and research and development activities;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limitations on employee resources that would otherwise be focused on the conduct of our preclinical studies and clinical trials, including because of sickness of employees or their families or the desire of employees to avoid contact with large groups of people; and </w:t>
            </w:r>
          </w:p>
        </w:tc>
      </w:tr>
    </w:tbl>
    <w:tbl>
      <w:tblPr>
        <w:tblW w:w="5935" w:type="dxa"/>
        <w:jc w:val="left"/>
        <w:tblInd w:w="0" w:type="dxa"/>
        <w:tblCellMar>
          <w:top w:w="0" w:type="dxa"/>
          <w:left w:w="0" w:type="dxa"/>
          <w:bottom w:w="0" w:type="dxa"/>
          <w:right w:w="0" w:type="dxa"/>
        </w:tblCellMar>
      </w:tblPr>
      <w:tblGrid>
        <w:gridCol w:w="60"/>
        <w:gridCol w:w="110"/>
        <w:gridCol w:w="57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7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interruption or delays to our discovery and clinical activities.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ultimate impact of the COVID-19 outbreak or a similar health epidemic is highly uncertain. </w:t>
      </w:r>
      <w:r>
        <w:rPr>
          <w:rFonts w:ascii="Times New Roman" w:hAnsi="Times New Roman"/>
          <w:b w:val="false"/>
          <w:i w:val="false"/>
          <w:caps w:val="false"/>
          <w:smallCaps w:val="false"/>
          <w:color w:val="000000"/>
          <w:sz w:val="20"/>
        </w:rPr>
        <w:t xml:space="preserve">These impacts will depend on future developments that are highly uncertain and cannot be predicted with confidence, such as the duration of the outbreak and the effectiveness of actions taken in the United States and other countries to contain, vaccinate against, and treat the disease. </w:t>
      </w:r>
      <w:r>
        <w:rPr>
          <w:rFonts w:ascii="Times New Roman" w:hAnsi="Times New Roman"/>
          <w:b w:val="false"/>
          <w:i w:val="false"/>
          <w:caps w:val="false"/>
          <w:smallCaps w:val="false"/>
          <w:sz w:val="20"/>
        </w:rPr>
        <w:t xml:space="preserve">We do not yet know the full extent of potential delays or impacts on our business, our clinical trials, healthcare systems or the global economy as a whole, but these delays could have a material impact on our operations.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Our Business and Industry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Our business depends upon the success of our CAR-NK cell technology platform. </w:t>
      </w:r>
    </w:p>
    <w:p>
      <w:pPr>
        <w:pStyle w:val="TextBody"/>
        <w:spacing w:before="240" w:after="0"/>
        <w:rPr>
          <w:rFonts w:ascii="Times New Roman" w:hAnsi="Times New Roman"/>
          <w:b w:val="false"/>
          <w:i w:val="false"/>
          <w:caps w:val="false"/>
          <w:smallCaps w:val="false"/>
          <w:sz w:val="20"/>
        </w:rPr>
      </w:pPr>
      <w:bookmarkStart w:id="24" w:name="_Hlk54862925"/>
      <w:bookmarkEnd w:id="24"/>
      <w:r>
        <w:rPr>
          <w:rFonts w:ascii="Times New Roman" w:hAnsi="Times New Roman"/>
          <w:b w:val="false"/>
          <w:i w:val="false"/>
          <w:caps w:val="false"/>
          <w:smallCaps w:val="false"/>
          <w:sz w:val="20"/>
        </w:rPr>
        <w:t>Our success depends on our ability to utilize our CAR-NK technology platform to generate product candidates, to obtain regulatory approval for product candidates derived from it, and to then commercialize our product candidates addressing one or more indications. A Phase 1 clinical trial to evaluate our first CAR NK product in humans has commenced. All of our product candidates developed from our technology platform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CAR-NK engineering technology.</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Utilizing CAR-NK cells represents a novel approach to the treatment of cancer, and we must overcome significant challenges in order to develop, commercialize and manufacture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concentrated our research and development efforts on utilizing CAR-NK cells as an immuno-oncology therapy. To date, the FDA has approved only a few cell-based therapies for commercialization and no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CAR-NK platform product candidates are novel, and cell-based therapies are relatively new, regulatory agencies may lack precedents for evaluating product candidates like our CAR-NK product candidates. This novelty may lengthen the regulatory review process, including the time it takes for the FDA to review our IND applications if and when submitted, increase our development costs and delay or prevent approval and commercialization of our CAR-NK platform product candidates. Additionally, advancing novel immuno-oncology therapies creates significant challenges for us, including: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training a sufficient number of medical personnel on how to properly thaw and administer our cells, especially in our planned solid tumor trial wherein the cells are given through a procedure by trained medical doctors; </w:t>
            </w:r>
          </w:p>
        </w:tc>
      </w:tr>
    </w:tbl>
    <w:tbl>
      <w:tblPr>
        <w:tblW w:w="5410" w:type="dxa"/>
        <w:jc w:val="left"/>
        <w:tblInd w:w="0" w:type="dxa"/>
        <w:tblCellMar>
          <w:top w:w="0" w:type="dxa"/>
          <w:left w:w="0" w:type="dxa"/>
          <w:bottom w:w="0" w:type="dxa"/>
          <w:right w:w="0" w:type="dxa"/>
        </w:tblCellMar>
      </w:tblPr>
      <w:tblGrid>
        <w:gridCol w:w="60"/>
        <w:gridCol w:w="110"/>
        <w:gridCol w:w="52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2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enrolling sufficient numbers of patients in clinical trials;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educating medical personnel regarding the potential side-effect profile of our cells and, as the clinical program progresses, on observed side effects with the therapy;</w:t>
            </w:r>
          </w:p>
        </w:tc>
      </w:tr>
    </w:tbl>
    <w:tbl>
      <w:tblPr>
        <w:tblW w:w="8560" w:type="dxa"/>
        <w:jc w:val="left"/>
        <w:tblInd w:w="0" w:type="dxa"/>
        <w:tblCellMar>
          <w:top w:w="0" w:type="dxa"/>
          <w:left w:w="0" w:type="dxa"/>
          <w:bottom w:w="0" w:type="dxa"/>
          <w:right w:w="0" w:type="dxa"/>
        </w:tblCellMar>
      </w:tblPr>
      <w:tblGrid>
        <w:gridCol w:w="60"/>
        <w:gridCol w:w="110"/>
        <w:gridCol w:w="83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3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developing a reliable and safe and an effective means of genetically modifying our cells; </w:t>
            </w:r>
          </w:p>
        </w:tc>
      </w:tr>
    </w:tbl>
    <w:tbl>
      <w:tblPr>
        <w:tblW w:w="8920" w:type="dxa"/>
        <w:jc w:val="left"/>
        <w:tblInd w:w="0" w:type="dxa"/>
        <w:tblCellMar>
          <w:top w:w="0" w:type="dxa"/>
          <w:left w:w="0" w:type="dxa"/>
          <w:bottom w:w="0" w:type="dxa"/>
          <w:right w:w="0" w:type="dxa"/>
        </w:tblCellMar>
      </w:tblPr>
      <w:tblGrid>
        <w:gridCol w:w="60"/>
        <w:gridCol w:w="110"/>
        <w:gridCol w:w="87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7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manufacturing and cryopreservation our cells on a large scale and in a cost-effective manner;</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7915" w:type="dxa"/>
        <w:jc w:val="left"/>
        <w:tblInd w:w="0" w:type="dxa"/>
        <w:tblCellMar>
          <w:top w:w="0" w:type="dxa"/>
          <w:left w:w="0" w:type="dxa"/>
          <w:bottom w:w="0" w:type="dxa"/>
          <w:right w:w="0" w:type="dxa"/>
        </w:tblCellMar>
      </w:tblPr>
      <w:tblGrid>
        <w:gridCol w:w="60"/>
        <w:gridCol w:w="110"/>
        <w:gridCol w:w="77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sourcing starting material suitable for clinical and commercial manufacturing;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establishing sales and marketing capabilities, as well as developing a manufacturing process and distribution network to support the commercialization of any approved products.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must be able to overcome these challenges in order for us to develop, commercialize and manufacture our product candidates utilizing CAR-NK cells.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Certain aspects of the function and production of CAR-NK cells are currently unknown or poorly understood, and may only become known through further preclinical testing and clinical trials. Any potential re-engineering required may result in delays and additional expenses.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Current clinical experience with NK cell therapy is predominantly based on cells from haplomatched donors, i.e., at least half of the major HLA types matched between donor and recipient. Our clinical development plan for NKX101 will seek to establish what degree of HLA matching, if any, is required for NKX101 to exhibit necessary levels of clinical activity and duration of response. While we believe that a high degree of HLA matching will not be required for clinically meaningful activity and durability of response, if it becomes apparent through preclinical testing or clinical trials that such matching is required, the production of NKX101 as standardized product for all patients will not be achievable. Instead, we would need to establish a bank of engineered CAR-NK cells for each of our product candidates where dozens of different donors will be required to achieve coverage of a large fraction of the addressable patient population.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the killer immunoglobulin-like receptor, or KIR, is found on the surface of NK cells and recognizes certain HLA types. If there is a match between KIR and the HLA type, KIR acts as a natural inhibitor of NK activity, thereby serving to prevent immune reactions against an individual’s own cells. If we discover that a KIR mismatch is required to achieve clinically meaningful activity and durability of response, we will need to factor KIR mismatch into the donor and product selection process for patients enrolled in our clinical trials.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tumors are sometimes able to evade detection by naturally occurring NK cells by shedding the NKG2D ligands found on malignant cells. While NKX101 has been engineered to overcome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Finally, there is limited history of CAR-NK cells manufacturing for clinical use, and our understanding of NK cell biology is continuously expanding.  If we find that our current manufacturing processes are inadequate, or should we identify opportunities for material improvement, adaptation of process improvements may require significant periods of time.  Process improvements might also necessitate new pre-clinical studies and clinical protocols to establish product comparability. If we are unable to show comparability after a process change, further changes to our manufacturing process and/or clinical trials will be required.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foregoing processes would require us to redesign the clinical protocols and clinical trials for our product candidates, and could require significant additional time and resources to complete and the participation of a significant number of additional clinical trial participants and donors, any of which would delay the clinical development of our product candidates and their eventual commercialization.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Clinical development involves a lengthy and expensive process with an uncertain outcome, and we may encounter substantial delays due to a variety of reasons outside our control.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 </w:t>
      </w:r>
    </w:p>
    <w:tbl>
      <w:tblPr>
        <w:tblW w:w="6640" w:type="dxa"/>
        <w:jc w:val="left"/>
        <w:tblInd w:w="0" w:type="dxa"/>
        <w:tblCellMar>
          <w:top w:w="0" w:type="dxa"/>
          <w:left w:w="0" w:type="dxa"/>
          <w:bottom w:w="0" w:type="dxa"/>
          <w:right w:w="0" w:type="dxa"/>
        </w:tblCellMar>
      </w:tblPr>
      <w:tblGrid>
        <w:gridCol w:w="60"/>
        <w:gridCol w:w="110"/>
        <w:gridCol w:w="64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4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delays in obtaining regulatory approval to commence a clinical trial;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delays in reaching agreement on acceptable terms with prospective clinical trial sites, the terms of which can be subject to extensive negotiation and may vary significantly among different trial sites; </w:t>
            </w:r>
          </w:p>
        </w:tc>
      </w:tr>
    </w:tbl>
    <w:tbl>
      <w:tblPr>
        <w:tblW w:w="8590" w:type="dxa"/>
        <w:jc w:val="left"/>
        <w:tblInd w:w="0" w:type="dxa"/>
        <w:tblCellMar>
          <w:top w:w="0" w:type="dxa"/>
          <w:left w:w="0" w:type="dxa"/>
          <w:bottom w:w="0" w:type="dxa"/>
          <w:right w:w="0" w:type="dxa"/>
        </w:tblCellMar>
      </w:tblPr>
      <w:tblGrid>
        <w:gridCol w:w="60"/>
        <w:gridCol w:w="110"/>
        <w:gridCol w:w="84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4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inability to recruit sufficient patients for our clinical trials in a timely manner or at all;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delays in achieving a sufficient number of clinical trial sites or obtaining the required IRB approval at each clinical trial site;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imposition of a temporary or permanent clinical hold by us or by the FDA or other regulatory agencies based on emerging data; </w:t>
            </w:r>
          </w:p>
        </w:tc>
      </w:tr>
    </w:tbl>
    <w:tbl>
      <w:tblPr>
        <w:tblW w:w="6520" w:type="dxa"/>
        <w:jc w:val="left"/>
        <w:tblInd w:w="0" w:type="dxa"/>
        <w:tblCellMar>
          <w:top w:w="0" w:type="dxa"/>
          <w:left w:w="0" w:type="dxa"/>
          <w:bottom w:w="0" w:type="dxa"/>
          <w:right w:w="0" w:type="dxa"/>
        </w:tblCellMar>
      </w:tblPr>
      <w:tblGrid>
        <w:gridCol w:w="60"/>
        <w:gridCol w:w="110"/>
        <w:gridCol w:w="63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3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clinical sites deviating from trial protocol or dropping out of a trial;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inability to obtain long-term follow-up data due to patient drop out or in cases where patients elect to receive post-protocol treatment for their disease before it progresses;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suspension or termination of a clinical trial by the institutional review boards, or IRBs of the institutions in which such trials are being conducted or by the Data Safety Monitoring Board, or DSMB (where applicable);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delays in sufficiently developing, characterizing or controlling a manufacturing process suitable for clinical trials, or production delays, shutdowns or setbacks at any of our contract manufacturers;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delays due to additional regulatory, site and clinical trial participant approvals required if a product candidate, especially a product candidate custom manufactured for a specific patient, does not meet the required specifications;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delays in reaching a consensus with regulatory agencies on the design or implementation of our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changes in regulatory requirements or guidance that may require us to amend or submit new clinical protocols, or such requirements may not be as we anticipate;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changes in the standard of care on which a clinical development plan was based, which may require new or additional trials;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insufficient quantities or inadequate quality of our product candidates or other materials necessary to conduct preclinical studies or clinical trials of our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clinical trials of our product candidates producing negative or inconclusive results, which may result in our deciding, or regulators requiring us, to conduct additional clinical trials or abandon product development programs;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failure of enrolled patients in foreign countries to adhere to clinical protocol as a result of differences in healthcare services or cultural customs, or additional administrative burdens associated with foreign regulatory schemes; or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disruptions caused by the COVID-19 pandemic may increase the likelihood that we encounter such difficulties or delays in initiating, enrolling, conducting or completing our planned and ongoing preclinical studies and clinical trials, as applicable. For example, the FDA temporarily postponed routine surveillance inspections of domestic manufacturing facilities in response to the COVID-19 pandemic, and in July 2020, it began to work toward resuming prioritized domestic inspections of mission-critical inspections on a case-by-case basis. The FDA has developed a rating system to assist in determining when and where it is safest to conduct prioritized domestic inspections. Should the FDA determine that an inspection is necessary for approval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If global health concerns continue to prevent the FDA or other regulatory authorities from conducting their regular inspections, reviews or other regulatory activities, it could significantly impact the ability of the FDA to timely review and process our regulatory submissions. 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guarantee that NKX101 and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NKX101 and NKX019 will be successful in clinical trials or receive regulatory approval. The FDA, and other comparable global regulatory authorities can delay, limit or deny approval of a product candidate for many reasons. For further details about such reasons, see “—Clinical development involves a lengthy and expensive process with an uncertain outcome, and we may encounter substantial delays due to a variety of reasons outside our control.” Any delay in obtaining, or inability to obtain, applicable regulatory approval will delay or harm our ability to successfully commercialize NKX101 and NKX019 and materially adversely affect our business, financial condition, results of operations and growth prospects.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NKX101 is in an early-stage clinical trial and is subject to the risks inherent in drug development. In November 2020, the first patient in the first-in-human Phase 1 clinical trial of NKX101 for the treatment of relapsed/refractory AML or higher risk MDS was treated. If our Phase 1 or our later clinical trials of NKX101 encounter safety, efficacy, manufacturing problems, enrollment issues, development delays, regulatory issues, or other problems, our development plans for NKX101 could be significantly impaired, which could materially adversely affect our business, financial condition, results of operations and growth prospects.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because NKX101 is our most advanced product candidate, and because our other product candidates are based on similar technology, if our clinical trials of NKX101 encounter safety, efficacy, manufacturing problems, enrollment issues, development delays, regulatory issues, or other problems, our development plans for our other product candidates in our pipeline could also be significantly impaired, which could materially adversely affect our business, financial condition, results of operations and growth prospects.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also plan to develop NKX101 for additional indications if we are able to obtain clinical proof-of-concept from our NKX101 Phase 1 trials for blood cancers including AML and MDS, as well as hepatocellular carcinomas and other cancers localized to the liver. We may not be able to advance any of these indications through the development process.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will be limited.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the development of NKX101 for treating solid tumors is subject to a number of risks related to use of cell therapies in general including a hostile tumor micro-environment and trafficking to tumor site. Additional risks from direct liver delivery using a catheter through the hepatic artery generally include potential damage to arteries from the catheter placement itself, from use of imaging contrast, radiation exposure, and differences between catheter models potentially introducing variability into the observed clinical effects. The development of treatments to treat solid tumors often requires larger and more expensive clinical trials than for treating blood cancers.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plan to file an IND on NKX019 in the first quarter of 2021 and plan to develop NKX019 in patients with B-cell malignancies. Due to the availability of six commercially available agents that target CD19 including four autologous CAR-T products and two monoclonal antibody products, we may have difficulty enrolling subjects into trials with NKX019 who have not previously been exposed to a CD19 directed agent. This could impact the ability to obtain data about NKX019 activity and slow enrollment. For these reasons, the Phase 1 clinical trial of NKX019 may include clinical trial sites outside the United States. If our planned IND for NKX019 is delayed or our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intend to develop our product candidates both as monotherapy and potentially as combination therapy, a common form of cancer treatment,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Enrollment and retention of patients in clinical trials is an expensive and time-consuming process and could be delayed, made more difficult or rendered impossible by multiple factors outside our control.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 </w:t>
      </w:r>
    </w:p>
    <w:tbl>
      <w:tblPr>
        <w:tblW w:w="3655" w:type="dxa"/>
        <w:jc w:val="left"/>
        <w:tblInd w:w="0" w:type="dxa"/>
        <w:tblCellMar>
          <w:top w:w="0" w:type="dxa"/>
          <w:left w:w="0" w:type="dxa"/>
          <w:bottom w:w="0" w:type="dxa"/>
          <w:right w:w="0" w:type="dxa"/>
        </w:tblCellMar>
      </w:tblPr>
      <w:tblGrid>
        <w:gridCol w:w="60"/>
        <w:gridCol w:w="110"/>
        <w:gridCol w:w="34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4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ability to open clinical trial sites; </w:t>
            </w:r>
          </w:p>
        </w:tc>
      </w:tr>
    </w:tbl>
    <w:tbl>
      <w:tblPr>
        <w:tblW w:w="4420" w:type="dxa"/>
        <w:jc w:val="left"/>
        <w:tblInd w:w="0" w:type="dxa"/>
        <w:tblCellMar>
          <w:top w:w="0" w:type="dxa"/>
          <w:left w:w="0" w:type="dxa"/>
          <w:bottom w:w="0" w:type="dxa"/>
          <w:right w:w="0" w:type="dxa"/>
        </w:tblCellMar>
      </w:tblPr>
      <w:tblGrid>
        <w:gridCol w:w="60"/>
        <w:gridCol w:w="110"/>
        <w:gridCol w:w="42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2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size and nature of the patient population; </w:t>
            </w:r>
          </w:p>
        </w:tc>
      </w:tr>
    </w:tbl>
    <w:tbl>
      <w:tblPr>
        <w:tblW w:w="5080" w:type="dxa"/>
        <w:jc w:val="left"/>
        <w:tblInd w:w="0" w:type="dxa"/>
        <w:tblCellMar>
          <w:top w:w="0" w:type="dxa"/>
          <w:left w:w="0" w:type="dxa"/>
          <w:bottom w:w="0" w:type="dxa"/>
          <w:right w:w="0" w:type="dxa"/>
        </w:tblCellMar>
      </w:tblPr>
      <w:tblGrid>
        <w:gridCol w:w="60"/>
        <w:gridCol w:w="110"/>
        <w:gridCol w:w="49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9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design and eligibility criteria of the clinical trial; </w:t>
            </w:r>
          </w:p>
        </w:tc>
      </w:tr>
    </w:tbl>
    <w:tbl>
      <w:tblPr>
        <w:tblW w:w="4075" w:type="dxa"/>
        <w:jc w:val="left"/>
        <w:tblInd w:w="0" w:type="dxa"/>
        <w:tblCellMar>
          <w:top w:w="0" w:type="dxa"/>
          <w:left w:w="0" w:type="dxa"/>
          <w:bottom w:w="0" w:type="dxa"/>
          <w:right w:w="0" w:type="dxa"/>
        </w:tblCellMar>
      </w:tblPr>
      <w:tblGrid>
        <w:gridCol w:w="60"/>
        <w:gridCol w:w="110"/>
        <w:gridCol w:w="39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9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proximity of subjects to clinical sites; </w:t>
            </w:r>
          </w:p>
        </w:tc>
      </w:tr>
    </w:tbl>
    <w:tbl>
      <w:tblPr>
        <w:tblW w:w="4210" w:type="dxa"/>
        <w:jc w:val="left"/>
        <w:tblInd w:w="0" w:type="dxa"/>
        <w:tblCellMar>
          <w:top w:w="0" w:type="dxa"/>
          <w:left w:w="0" w:type="dxa"/>
          <w:bottom w:w="0" w:type="dxa"/>
          <w:right w:w="0" w:type="dxa"/>
        </w:tblCellMar>
      </w:tblPr>
      <w:tblGrid>
        <w:gridCol w:w="60"/>
        <w:gridCol w:w="110"/>
        <w:gridCol w:w="40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0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patient referral practices of physicians; </w:t>
            </w:r>
          </w:p>
        </w:tc>
      </w:tr>
    </w:tbl>
    <w:tbl>
      <w:tblPr>
        <w:tblW w:w="9145" w:type="dxa"/>
        <w:jc w:val="left"/>
        <w:tblInd w:w="0" w:type="dxa"/>
        <w:tblCellMar>
          <w:top w:w="0" w:type="dxa"/>
          <w:left w:w="0" w:type="dxa"/>
          <w:bottom w:w="0" w:type="dxa"/>
          <w:right w:w="0" w:type="dxa"/>
        </w:tblCellMar>
      </w:tblPr>
      <w:tblGrid>
        <w:gridCol w:w="60"/>
        <w:gridCol w:w="110"/>
        <w:gridCol w:w="89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9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changing medical practice patterns or guidelines related to the indications we are investigating;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competing clinical trials or approved therapies which present an attractive alternative to patients and their physicians;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perceived risks and benefits of the product candidate under study, including as a result of adverse effects observed in similar or competing therapies;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ability to obtain and maintain patient consents due to various reasons, including but not limited to, patients’ unwillingness to participate due to the ongoing COVID-19 pandemic; </w:t>
            </w:r>
          </w:p>
        </w:tc>
      </w:tr>
    </w:tbl>
    <w:tbl>
      <w:tblPr>
        <w:tblW w:w="7705" w:type="dxa"/>
        <w:jc w:val="left"/>
        <w:tblInd w:w="0" w:type="dxa"/>
        <w:tblCellMar>
          <w:top w:w="0" w:type="dxa"/>
          <w:left w:w="0" w:type="dxa"/>
          <w:bottom w:w="0" w:type="dxa"/>
          <w:right w:w="0" w:type="dxa"/>
        </w:tblCellMar>
      </w:tblPr>
      <w:tblGrid>
        <w:gridCol w:w="60"/>
        <w:gridCol w:w="110"/>
        <w:gridCol w:w="75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risk that enrolled subjects will drop out or die before completion of the trial; </w:t>
            </w:r>
          </w:p>
        </w:tc>
      </w:tr>
    </w:tbl>
    <w:tbl>
      <w:tblPr>
        <w:tblW w:w="8455" w:type="dxa"/>
        <w:jc w:val="left"/>
        <w:tblInd w:w="0" w:type="dxa"/>
        <w:tblCellMar>
          <w:top w:w="0" w:type="dxa"/>
          <w:left w:w="0" w:type="dxa"/>
          <w:bottom w:w="0" w:type="dxa"/>
          <w:right w:w="0" w:type="dxa"/>
        </w:tblCellMar>
      </w:tblPr>
      <w:tblGrid>
        <w:gridCol w:w="60"/>
        <w:gridCol w:w="110"/>
        <w:gridCol w:w="82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patients failing to complete a clinical trial or returning for post-treatment follow-up;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ability to manufacture the requisite materials for a patient and clinical trial, including to custom manufacture haplomatched clinical trial material.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we need to compete with many ongoing clinical trials to recruit patients into our expected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at such clinical trial site. If we are unable to enroll a sufficient number of patients in our clinical trials in a timely manner, our completion of clinical trials may be delayed or may not be achieved, which would prevent us from commercializing our product candidates.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preclinical programs may experience delays or may never advance to clinical trials, which would adversely affect our ability to obtain regulatory approvals or commercialize these programs on a timely basis or at all.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order to obtain FDA or other regulatory authority approval to market a new biological product we must demonstrate proof of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began clinical development for our first product candidate, NKX101 in 2020, we plan to file an IND for our second product candidate, NKX019, in the first quarter of 2021, and the rest of our programs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inability to generate sufficient preclinical or other in vivo or in vitro data to support the initiation of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delays in reaching a consensus with regulatory agencies on acceptable clinical trial design or manufacturing process;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the FDA not allowing us to rely on previous findings of safety and efficacy for other similar but approved products and published scientific literature.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results of preclinical studies and early-stage clinical trials may not be predictive of future results. Initial success in any clinical trials may not be indicative of results obtained when these trials are completed or in later stage trials.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results of preclinical studies may not be predictive of the results of clinical trials, and the results of any early 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In addition, initial success in clinical trials may not be indicative of results obtained when such trials are completed. Interim or top line data from clinical trials that we may conduct are subject to the risk that one or more of the clinical outcomes may materially change as patient enrollment continues and more patient data become available. Preliminary data such as interim or top line data also remain subject to audit and verification procedures that may result in the final data being materially different from the preliminary data we previously announced. Negative differences between preliminary or interim data and final data could materially adversely affect the prospects of any product candidate that is impacted by such data updates.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any of our product candidates, or any competing product candidates, demonstrate serious adverse events, including the development of severe or fatal cytokine release syndrome, neurotoxicity or graft-versus-host disease, we may be required to halt or delay further clinical development.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the date of this Annual Report on Form 10-K, only one of our product candidates (NKX101) has been tested in cancer patients.  The first patient was dosed with NKX101 in November 2020. Prior to initiation of that clinical trial, we had only evaluated our product candidates in preclinical mouse models and had observed fatalities in mice as a result of lung toxicity when NKX101 was administered in extremely high doses that were significantly higher than those we would expect to use in humans. We therefore do not yet know if NKX101 or our other product candidates will have an acceptable safety profile in humans. As such, there can be no guarantee that any toxicity, or other adverse events, will not occur in human subjects during clinical trials. Results of our clinical trials could reveal a high and unacceptable severity and prevalence of side effects or unexpected characteristics.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studies indicate that NK cell-based therapies may be better-tolerated as compared to T cell-based therapies due to biologic differences between these cell types, there can be no assurance that patients will not experience CRS neurotoxicity, GVHD, or other serious adverse events. Severe adverse events associated with our product candidate NKX101 may also develop, since targeting NKG2D ligands is not yet a well-characterized modality. NKG2D targets multiple ligands, and the landscape of ligand expression is currently not fully understood. For example, there are risks that ligands may be expressed on either known or an as-yet-underappreciated population of healthy cells. Therefore, such cells may also be targeted by NKX101 and lead to adverse events of unknown frequency and severity. Such adverse events may cause delays in completion of our clinical programs. 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seek special designations by the regulatory authorities to expedite regulatory approvals, but may not be successful in receiving such designations, and even if received, they may not benefit the development and regulatory approval process.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seek various expedited programs available through regulatory authority such as RMAT Designation, Breakthrough Therapy Designation, Fast Track Designation, or PRIME, from regulatory authorities, for any product candidate that we develop. A product candidate may receive RMAT designation from the FDA if it is a regenerative medicine therapy that is intended to treat, modify, reverse or cure a serious or life 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Seeking and obtaining these designations is dependent upon results of our clinical program, and we cannot guarantee whether and when we may have the data from our clinical programs to support an application to obtain any such designation.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seek Orphan Drug Designation for our product candidates, and we may be unsuccessful or may be unable to maintain the benefits associated with Orphan Drug Designation, including the potential for market exclusivity.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Public opinion and scrutiny of cell-based immuno-oncology therapies for treating cancer may impact public perception of our company and product candidates, or impair our ability to conduct our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platform utilizes a relatively novel technology involving the genetic modification of human NK cells and utilization of those modified cells in other individuals, and no 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not identify or discover other product candidates and may fail to capitalize on programs or product candidates that may present a greater commercial opportunity or for which there is a greater likelihood of success.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cancers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research methodology or technology platform used may not be successful in identifying potential product candidates; </w:t>
            </w:r>
          </w:p>
        </w:tc>
      </w:tr>
    </w:tbl>
    <w:tbl>
      <w:tblPr>
        <w:tblW w:w="9490" w:type="dxa"/>
        <w:jc w:val="left"/>
        <w:tblInd w:w="0" w:type="dxa"/>
        <w:tblCellMar>
          <w:top w:w="0" w:type="dxa"/>
          <w:left w:w="0" w:type="dxa"/>
          <w:bottom w:w="0" w:type="dxa"/>
          <w:right w:w="0" w:type="dxa"/>
        </w:tblCellMar>
      </w:tblPr>
      <w:tblGrid>
        <w:gridCol w:w="60"/>
        <w:gridCol w:w="110"/>
        <w:gridCol w:w="93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3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competitors may develop alternatives that render our product candidates obsolete or less attractive; </w:t>
            </w:r>
          </w:p>
        </w:tc>
      </w:tr>
    </w:tbl>
    <w:tbl>
      <w:tblPr>
        <w:tblW w:w="9235" w:type="dxa"/>
        <w:jc w:val="left"/>
        <w:tblInd w:w="0" w:type="dxa"/>
        <w:tblCellMar>
          <w:top w:w="0" w:type="dxa"/>
          <w:left w:w="0" w:type="dxa"/>
          <w:bottom w:w="0" w:type="dxa"/>
          <w:right w:w="0" w:type="dxa"/>
        </w:tblCellMar>
      </w:tblPr>
      <w:tblGrid>
        <w:gridCol w:w="60"/>
        <w:gridCol w:w="110"/>
        <w:gridCol w:w="90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we may choose to cease development if we determine that clinical results do not show promise;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product candidates we develop may nevertheless be covered by third parties’ patents or other exclusive rights;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 product candidate may be shown to have harmful side effects or other characteristics that indicate it is unlikely to be effective or otherwise does not meet applicable regulatory criteria; and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 product candidate may not be accepted as safe and effective by patients, the medical community or third-party payors.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Because we have limited resources, we must choose to pursue and fund the development of specific types of treatment, or treatment for a specific type of cancer,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of these events occur, we may be forced to abandon or delay our development efforts with respect to a particular product candidate or fail to develop a potentially successful product candidate.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third parties that we rely on to conduct clinical trials do not successfully carry out their contractual duties, comply with regulatory requirements or meet expected deadlines, we may not be able to obtain marketing approval for or commercialize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have the ability to independently conduct clinical trials. We rely on medical institutions, clinical investigators, contract laboratories, and other third parties, such as contract research organization, or CROs, to conduct or otherwise support clinical trials for our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and the third parties on which we rely for clinical trials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The COVID-19 pandemic and government measures taken in response have also had a significant impact on our CROs, and we expect that they will face further disruption, which may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Although we intend to design the clinical trials for our product candidates, we plan to rely on third parties to conduct our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w:t>
      </w:r>
    </w:p>
    <w:tbl>
      <w:tblPr>
        <w:tblW w:w="2575" w:type="dxa"/>
        <w:jc w:val="left"/>
        <w:tblInd w:w="0" w:type="dxa"/>
        <w:tblCellMar>
          <w:top w:w="0" w:type="dxa"/>
          <w:left w:w="0" w:type="dxa"/>
          <w:bottom w:w="0" w:type="dxa"/>
          <w:right w:w="0" w:type="dxa"/>
        </w:tblCellMar>
      </w:tblPr>
      <w:tblGrid>
        <w:gridCol w:w="60"/>
        <w:gridCol w:w="110"/>
        <w:gridCol w:w="24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4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have staffing difficulties; </w:t>
            </w:r>
          </w:p>
        </w:tc>
      </w:tr>
    </w:tbl>
    <w:tbl>
      <w:tblPr>
        <w:tblW w:w="4285" w:type="dxa"/>
        <w:jc w:val="left"/>
        <w:tblInd w:w="0" w:type="dxa"/>
        <w:tblCellMar>
          <w:top w:w="0" w:type="dxa"/>
          <w:left w:w="0" w:type="dxa"/>
          <w:bottom w:w="0" w:type="dxa"/>
          <w:right w:w="0" w:type="dxa"/>
        </w:tblCellMar>
      </w:tblPr>
      <w:tblGrid>
        <w:gridCol w:w="60"/>
        <w:gridCol w:w="110"/>
        <w:gridCol w:w="411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1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fail to comply with contractual obligations; </w:t>
            </w:r>
          </w:p>
        </w:tc>
      </w:tr>
    </w:tbl>
    <w:tbl>
      <w:tblPr>
        <w:tblW w:w="4105" w:type="dxa"/>
        <w:jc w:val="left"/>
        <w:tblInd w:w="0" w:type="dxa"/>
        <w:tblCellMar>
          <w:top w:w="0" w:type="dxa"/>
          <w:left w:w="0" w:type="dxa"/>
          <w:bottom w:w="0" w:type="dxa"/>
          <w:right w:w="0" w:type="dxa"/>
        </w:tblCellMar>
      </w:tblPr>
      <w:tblGrid>
        <w:gridCol w:w="60"/>
        <w:gridCol w:w="110"/>
        <w:gridCol w:w="39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9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experience regulatory compliance issues; </w:t>
            </w:r>
          </w:p>
        </w:tc>
      </w:tr>
    </w:tbl>
    <w:tbl>
      <w:tblPr>
        <w:tblW w:w="6370" w:type="dxa"/>
        <w:jc w:val="left"/>
        <w:tblInd w:w="0" w:type="dxa"/>
        <w:tblCellMar>
          <w:top w:w="0" w:type="dxa"/>
          <w:left w:w="0" w:type="dxa"/>
          <w:bottom w:w="0" w:type="dxa"/>
          <w:right w:w="0" w:type="dxa"/>
        </w:tblCellMar>
      </w:tblPr>
      <w:tblGrid>
        <w:gridCol w:w="60"/>
        <w:gridCol w:w="110"/>
        <w:gridCol w:w="62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2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undergo changes in priorities or become financially distressed; or </w:t>
            </w:r>
          </w:p>
        </w:tc>
      </w:tr>
    </w:tbl>
    <w:tbl>
      <w:tblPr>
        <w:tblW w:w="7540" w:type="dxa"/>
        <w:jc w:val="left"/>
        <w:tblInd w:w="0" w:type="dxa"/>
        <w:tblCellMar>
          <w:top w:w="0" w:type="dxa"/>
          <w:left w:w="0" w:type="dxa"/>
          <w:bottom w:w="0" w:type="dxa"/>
          <w:right w:w="0" w:type="dxa"/>
        </w:tblCellMar>
      </w:tblPr>
      <w:tblGrid>
        <w:gridCol w:w="60"/>
        <w:gridCol w:w="110"/>
        <w:gridCol w:w="73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37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form relationships with other entities, some of which may be our competitors.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are not able to establish pharmaceutical or biotechnology collaborations on commercially reasonable terms, or at all, we may have to alter our development and commercialization plans.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Any of these relationships may require us to incur non-recurring and other charges, increase our near and long-term expenditures, issue securities that dilute our existing stockholders, relinquish valuable rights to our product candidates, or disrupt our management and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enter into collaborations with third parties to develop or commercialize our product candidates, our prospects with respect to those product candidates will depend in significant part on the success of those collaborations.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enter into future collaboration with third parties, we could face the following risks: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collaborators have significant discretion in determining the efforts and resources that they will apply to these collaborations;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collaborators could independently develop, or develop with third parties, products that compete directly or indirectly with our products or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tc>
      </w:tr>
    </w:tbl>
    <w:tbl>
      <w:tblPr>
        <w:tblW w:w="9310" w:type="dxa"/>
        <w:jc w:val="left"/>
        <w:tblInd w:w="0" w:type="dxa"/>
        <w:tblCellMar>
          <w:top w:w="0" w:type="dxa"/>
          <w:left w:w="0" w:type="dxa"/>
          <w:bottom w:w="0" w:type="dxa"/>
          <w:right w:w="0" w:type="dxa"/>
        </w:tblCellMar>
      </w:tblPr>
      <w:tblGrid>
        <w:gridCol w:w="60"/>
        <w:gridCol w:w="110"/>
        <w:gridCol w:w="91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1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collaboration agreements may restrict our right to independently pursue new product candidates.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conflicts arise between our collaborators and us, our collaborators may act in a manner adverse to us and could limit our ability to implement our strategies.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if we enter into new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spacing w:before="360" w:after="0"/>
        <w:rPr>
          <w:rFonts w:ascii="Times New Roman" w:hAnsi="Times New Roman"/>
          <w:b/>
          <w:i/>
          <w:caps w:val="false"/>
          <w:smallCaps w:val="false"/>
          <w:sz w:val="20"/>
        </w:rPr>
      </w:pPr>
      <w:bookmarkStart w:id="25" w:name="_Hlk64800722"/>
      <w:bookmarkEnd w:id="25"/>
      <w:r>
        <w:rPr>
          <w:rFonts w:ascii="Times New Roman" w:hAnsi="Times New Roman"/>
          <w:b/>
          <w:i/>
          <w:caps w:val="false"/>
          <w:smallCaps w:val="false"/>
          <w:sz w:val="20"/>
        </w:rPr>
        <w:t xml:space="preserve">If we fail to compete effectively with academic institutions and other biopharmaceutical companies that develop similar or alternatives to cellular immunotherapy product candidates, our business will be materially adversely affected. </w:t>
      </w:r>
    </w:p>
    <w:p>
      <w:pPr>
        <w:pStyle w:val="TextBody"/>
        <w:spacing w:lineRule="auto" w:line="288"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Kymriah®, Yescarta®, Tecartus™ and Breyanzi®, which have been commercially approved, are direct competitors to our product candidate NKX019. Our known biopharmaceutical competitors developing allogeneic CAR-NK or CAR-T therapies currently include Allogene, Cellectis, Celularity, Celyad, CRISPR Therapeutics, Gamida Cell, Glycostem, Sanofi, Fate Therapeutics, NantKwest, Precision BioSciences and Takeda, each of which has clinical-stage allogeneic programs, as well as numerous other biopharmaceutical companies including Astellas, Artiva Biosciences, Bristol-Myers Squibb, NKMax, ONK Therapeutics, Surface Oncology, Novartis and Gilead with earlier-stage allogeneic programs. Furthermore, many companies are seeking to harness NK biology through engagers that seek to direct a patient’s own NK cells to the site of a tumor. Such competitors include Affimed, Amgen, Dragonfly Therapeutics, Innate Pharma, and Servier. In addition, numerous academic institutions are conducting preclinical and clinical research in these areas, as well as with other white blood cell types including NKT cells and gamma-delta T cells. It is also possible that new competitors, including those developing similar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will need to increase the size of our organization, and we may experience difficulties in managing growth.</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2020, we had 95 full-time employees. We will need to continue to expand our managerial, operational, clinical, quality, human resources, legal, manufacturing, finance, commercial and other resources in order to manage our operations and clinical trials, continue our development activities and eventually commercialize our product candidates. Our management and personnel, systems and facilities currently in place may not be adequate to support this future growth. Our need to effectively execute our growth strategy requires that we:</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 </w:t>
            </w:r>
          </w:p>
        </w:tc>
      </w:tr>
    </w:tbl>
    <w:tbl>
      <w:tblPr>
        <w:tblW w:w="3715" w:type="dxa"/>
        <w:jc w:val="left"/>
        <w:tblInd w:w="0" w:type="dxa"/>
        <w:tblCellMar>
          <w:top w:w="0" w:type="dxa"/>
          <w:left w:w="0" w:type="dxa"/>
          <w:bottom w:w="0" w:type="dxa"/>
          <w:right w:w="0" w:type="dxa"/>
        </w:tblCellMar>
      </w:tblPr>
      <w:tblGrid>
        <w:gridCol w:w="60"/>
        <w:gridCol w:w="110"/>
        <w:gridCol w:w="35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5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manage our clinical trials effectively; </w:t>
            </w:r>
          </w:p>
        </w:tc>
      </w:tr>
    </w:tbl>
    <w:tbl>
      <w:tblPr>
        <w:tblW w:w="6865" w:type="dxa"/>
        <w:jc w:val="left"/>
        <w:tblInd w:w="0" w:type="dxa"/>
        <w:tblCellMar>
          <w:top w:w="0" w:type="dxa"/>
          <w:left w:w="0" w:type="dxa"/>
          <w:bottom w:w="0" w:type="dxa"/>
          <w:right w:w="0" w:type="dxa"/>
        </w:tblCellMar>
      </w:tblPr>
      <w:tblGrid>
        <w:gridCol w:w="60"/>
        <w:gridCol w:w="110"/>
        <w:gridCol w:w="66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6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identify, recruit, retain, incentivize and integrate additional employees; </w:t>
            </w:r>
          </w:p>
        </w:tc>
      </w:tr>
    </w:tbl>
    <w:tbl>
      <w:tblPr>
        <w:tblW w:w="7945" w:type="dxa"/>
        <w:jc w:val="left"/>
        <w:tblInd w:w="0" w:type="dxa"/>
        <w:tblCellMar>
          <w:top w:w="0" w:type="dxa"/>
          <w:left w:w="0" w:type="dxa"/>
          <w:bottom w:w="0" w:type="dxa"/>
          <w:right w:w="0" w:type="dxa"/>
        </w:tblCellMar>
      </w:tblPr>
      <w:tblGrid>
        <w:gridCol w:w="60"/>
        <w:gridCol w:w="110"/>
        <w:gridCol w:w="77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expand into additional office and laboratory space as we grow our employee base;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complete the qualification of our in-house clinical GMP manufacturing facility and establish and validate a commercial GMP manufacturing facility; and</w:t>
            </w:r>
          </w:p>
        </w:tc>
      </w:tr>
    </w:tbl>
    <w:tbl>
      <w:tblPr>
        <w:tblW w:w="10150" w:type="dxa"/>
        <w:jc w:val="left"/>
        <w:tblInd w:w="0" w:type="dxa"/>
        <w:tblCellMar>
          <w:top w:w="0" w:type="dxa"/>
          <w:left w:w="0" w:type="dxa"/>
          <w:bottom w:w="0" w:type="dxa"/>
          <w:right w:w="0" w:type="dxa"/>
        </w:tblCellMar>
      </w:tblPr>
      <w:tblGrid>
        <w:gridCol w:w="60"/>
        <w:gridCol w:w="110"/>
        <w:gridCol w:w="99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9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continue to improve our operational, financial and management controls, reports systems and procedures.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are unable to attract skilled employees, increase the size of our organization or manage our future growth effectively, it will impair our ability to execute our business strategy and our business, financial condition, results of operations and growth prospects will be materially adversely affected.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fail to attract and retain senior management, clinical, and key scientific personnel, we may be unable to successfully develop our product candidates, conduct our clinical trials and commercialize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manufacturing activities,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Product liability lawsuits against us could cause us to incur substantial liabilities and could limit commercialization of any product candidate that we may develop.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 </w:t>
      </w:r>
    </w:p>
    <w:tbl>
      <w:tblPr>
        <w:tblW w:w="6550" w:type="dxa"/>
        <w:jc w:val="left"/>
        <w:tblInd w:w="0" w:type="dxa"/>
        <w:tblCellMar>
          <w:top w:w="0" w:type="dxa"/>
          <w:left w:w="0" w:type="dxa"/>
          <w:bottom w:w="0" w:type="dxa"/>
          <w:right w:w="0" w:type="dxa"/>
        </w:tblCellMar>
      </w:tblPr>
      <w:tblGrid>
        <w:gridCol w:w="60"/>
        <w:gridCol w:w="110"/>
        <w:gridCol w:w="63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3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decreased demand for any product candidate that we may develop; </w:t>
            </w:r>
          </w:p>
        </w:tc>
      </w:tr>
    </w:tbl>
    <w:tbl>
      <w:tblPr>
        <w:tblW w:w="1735" w:type="dxa"/>
        <w:jc w:val="left"/>
        <w:tblInd w:w="0" w:type="dxa"/>
        <w:tblCellMar>
          <w:top w:w="0" w:type="dxa"/>
          <w:left w:w="0" w:type="dxa"/>
          <w:bottom w:w="0" w:type="dxa"/>
          <w:right w:w="0" w:type="dxa"/>
        </w:tblCellMar>
      </w:tblPr>
      <w:tblGrid>
        <w:gridCol w:w="60"/>
        <w:gridCol w:w="110"/>
        <w:gridCol w:w="15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5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loss of revenue; </w:t>
            </w:r>
          </w:p>
        </w:tc>
      </w:tr>
    </w:tbl>
    <w:tbl>
      <w:tblPr>
        <w:tblW w:w="5815" w:type="dxa"/>
        <w:jc w:val="left"/>
        <w:tblInd w:w="0" w:type="dxa"/>
        <w:tblCellMar>
          <w:top w:w="0" w:type="dxa"/>
          <w:left w:w="0" w:type="dxa"/>
          <w:bottom w:w="0" w:type="dxa"/>
          <w:right w:w="0" w:type="dxa"/>
        </w:tblCellMar>
      </w:tblPr>
      <w:tblGrid>
        <w:gridCol w:w="60"/>
        <w:gridCol w:w="110"/>
        <w:gridCol w:w="56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6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substantial monetary awards to trial participants or patients; </w:t>
            </w:r>
          </w:p>
        </w:tc>
      </w:tr>
    </w:tbl>
    <w:tbl>
      <w:tblPr>
        <w:tblW w:w="5545" w:type="dxa"/>
        <w:jc w:val="left"/>
        <w:tblInd w:w="0" w:type="dxa"/>
        <w:tblCellMar>
          <w:top w:w="0" w:type="dxa"/>
          <w:left w:w="0" w:type="dxa"/>
          <w:bottom w:w="0" w:type="dxa"/>
          <w:right w:w="0" w:type="dxa"/>
        </w:tblCellMar>
      </w:tblPr>
      <w:tblGrid>
        <w:gridCol w:w="60"/>
        <w:gridCol w:w="110"/>
        <w:gridCol w:w="53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3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significant time and costs to defend the related litigation; </w:t>
            </w:r>
          </w:p>
        </w:tc>
      </w:tr>
    </w:tbl>
    <w:tbl>
      <w:tblPr>
        <w:tblW w:w="3925" w:type="dxa"/>
        <w:jc w:val="left"/>
        <w:tblInd w:w="0" w:type="dxa"/>
        <w:tblCellMar>
          <w:top w:w="0" w:type="dxa"/>
          <w:left w:w="0" w:type="dxa"/>
          <w:bottom w:w="0" w:type="dxa"/>
          <w:right w:w="0" w:type="dxa"/>
        </w:tblCellMar>
      </w:tblPr>
      <w:tblGrid>
        <w:gridCol w:w="60"/>
        <w:gridCol w:w="110"/>
        <w:gridCol w:w="37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7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withdrawal of clinical trial participants; </w:t>
            </w:r>
          </w:p>
        </w:tc>
      </w:tr>
    </w:tbl>
    <w:tbl>
      <w:tblPr>
        <w:tblW w:w="2680" w:type="dxa"/>
        <w:jc w:val="left"/>
        <w:tblInd w:w="0" w:type="dxa"/>
        <w:tblCellMar>
          <w:top w:w="0" w:type="dxa"/>
          <w:left w:w="0" w:type="dxa"/>
          <w:bottom w:w="0" w:type="dxa"/>
          <w:right w:w="0" w:type="dxa"/>
        </w:tblCellMar>
      </w:tblPr>
      <w:tblGrid>
        <w:gridCol w:w="60"/>
        <w:gridCol w:w="110"/>
        <w:gridCol w:w="25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5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increased insurance costs; </w:t>
            </w:r>
          </w:p>
        </w:tc>
      </w:tr>
    </w:tbl>
    <w:tbl>
      <w:tblPr>
        <w:tblW w:w="7660" w:type="dxa"/>
        <w:jc w:val="left"/>
        <w:tblInd w:w="0" w:type="dxa"/>
        <w:tblCellMar>
          <w:top w:w="0" w:type="dxa"/>
          <w:left w:w="0" w:type="dxa"/>
          <w:bottom w:w="0" w:type="dxa"/>
          <w:right w:w="0" w:type="dxa"/>
        </w:tblCellMar>
      </w:tblPr>
      <w:tblGrid>
        <w:gridCol w:w="60"/>
        <w:gridCol w:w="110"/>
        <w:gridCol w:w="74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4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inability to commercialize any product candidate that we may develop; and </w:t>
            </w:r>
          </w:p>
        </w:tc>
      </w:tr>
    </w:tbl>
    <w:tbl>
      <w:tblPr>
        <w:tblW w:w="6280" w:type="dxa"/>
        <w:jc w:val="left"/>
        <w:tblInd w:w="0" w:type="dxa"/>
        <w:tblCellMar>
          <w:top w:w="0" w:type="dxa"/>
          <w:left w:w="0" w:type="dxa"/>
          <w:bottom w:w="0" w:type="dxa"/>
          <w:right w:w="0" w:type="dxa"/>
        </w:tblCellMar>
      </w:tblPr>
      <w:tblGrid>
        <w:gridCol w:w="60"/>
        <w:gridCol w:w="110"/>
        <w:gridCol w:w="61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1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injury to our reputation and significant negative media attention.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such outcomes could materially adversely affect our business, financial condition, results of operations and growth prospects.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insurance policies may be inadequate, may not cover all of our potential liabilities and may potentially expose us to unrecoverable risks.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business involves the use of hazardous materials and we and our third-party manufacturers and suppliers must comply with environmental laws and regulations, which can be expensive and restrict how we do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research and development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eliminate the risk of contamination, which could cause an interruption of our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58</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Manufacturing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introducing a gamma-retrovirus with genes encoding the proteins we wish to express, cryopreservation, storage and eventually shipment. As a result of these complexities, the cost to manufacture our cellular product candidates, engineered K562 cells and viral vector is generally higher than traditional small-molecule chemical compounds or biologics, and the manufacturing process is presently less reliable and more difficult to reproduce. Furthermore, for certain patients in the early portion of our Phase 1 study of NKX101, we plan to dose patients with haplomatched NKX101. This requires custom manufacturing for each patient, which is especially complex.</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early portion of our NKX101 Phase 1 clinical trial, when we expect to custom manufacture haplomatched, donor-derived product candidates for specific patients, the manufactured product candidate for any specific patient may fail to meet the required specifications for any of a variety of reasons, including variability in starting material, deviations from normal manufacturing process, or insufficient optimization of specific process steps. This failure to meet specifications could result in delays related to obtaining additional regulatory, site and patient approvals to continue dosing the patient in the clinical trial. If the required additional approvals cannot be obtained, additional delays may occur as manufacturing would need to be restarted and/or the patient may be unable to remain in the study. If, for any reason in the initial portion of our NKX101 study where we expect to conduct haplomatched manufacturing, we lose the starting material for a manufactured product for one of our clinical trial patients at any point in the process, the manufacturing process for that patient would need to be restarted and the resulting delay could require restarting the manufacturing process, or could result in such patient no longer participating in our clinical trial. Any delay in the clinical development or commercialization of NKX101 could materially adversely affect our business, financial condition, results of operations and growth prospects.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59</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make changes to our manufacturing process at various points during development, and even after commercialization, for various reasons, such as to control costs, achieve scale, decrease processing time, increase manufacturing success rate or for other reasons.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Changes to our process made during the course of clinical development could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validate process changes during the scale up to commercialization.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Although we plan to begin manufacturing at least certain product candidates in our own internal manufacturing facilities, we may encounter problems with the internal production of our product candidates.  We have completed the construction of a cGMP facility for the production of certain of our product candidates for our early-stage clinical trials, but we do not yet have a facility for the commercial-scale manufacture of our product candidates.  Our manufacturing facilities will be subject to compliance with regulatory requirements, which we may struggle to meet.  Building a commercial-scale facility and manufacturing product candidates in our own facilities will require an increase in staff and significant internal resources. We may encounter problems with properly staffing our internal manufacturing facilities due to hiring challenges or other issues.  For example, factors such as the COVID-19 pandemic and COVID-19-related restrictions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In addition, we may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yet operate our own cGMP facilities for the production of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clinical or commercial scale. We currently rely on a third-party manufacturer for our clinical supply of NKX101. We expect to continue to outsource NKX101 manufacturing even if we have our internal facility, at least for a certain amount of time. We compete with other companies for access to third party cGMP facilities and cannot assure continued access.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currently outsource manufacturing of certain critical materials necessary for production of our product candidates, including K562 cells and viral vectors. Even if we successfully establish and qualify our own cGMP manufacturing facilities and manufacture our own product candidates on a clinical or commercial scale, we will continue to outsource manufacturing of certain materials necessary for production of our product candidates, at least for a certain amount of time.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are able to establish and maintain arrangements with third-party manufacturers, reliance on third-party manufacturers entails risks, including:</w:t>
      </w:r>
    </w:p>
    <w:tbl>
      <w:tblPr>
        <w:tblW w:w="7315" w:type="dxa"/>
        <w:jc w:val="left"/>
        <w:tblInd w:w="0" w:type="dxa"/>
        <w:tblCellMar>
          <w:top w:w="0" w:type="dxa"/>
          <w:left w:w="0" w:type="dxa"/>
          <w:bottom w:w="0" w:type="dxa"/>
          <w:right w:w="0" w:type="dxa"/>
        </w:tblCellMar>
      </w:tblPr>
      <w:tblGrid>
        <w:gridCol w:w="60"/>
        <w:gridCol w:w="110"/>
        <w:gridCol w:w="71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1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reliance on the third-party for regulatory compliance and quality assurance; </w:t>
            </w:r>
          </w:p>
        </w:tc>
      </w:tr>
    </w:tbl>
    <w:tbl>
      <w:tblPr>
        <w:tblW w:w="6865" w:type="dxa"/>
        <w:jc w:val="left"/>
        <w:tblInd w:w="0" w:type="dxa"/>
        <w:tblCellMar>
          <w:top w:w="0" w:type="dxa"/>
          <w:left w:w="0" w:type="dxa"/>
          <w:bottom w:w="0" w:type="dxa"/>
          <w:right w:w="0" w:type="dxa"/>
        </w:tblCellMar>
      </w:tblPr>
      <w:tblGrid>
        <w:gridCol w:w="60"/>
        <w:gridCol w:w="110"/>
        <w:gridCol w:w="66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6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possible breach of the manufacturing agreement by the third-party;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possible misappropriation of our proprietary information, including our trade secrets and know-how;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possible termination or nonrenewal of the agreement by the third-party at a time that is costly or inconvenient for us.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the third parties that we engage to supply any materials or to manufacture any products for our preclinical tests and clinical trials should cease to continue to do so for any reason, including due to the effects of the COVID-19 pandemic and the actions undertaken by governments and private enterprises to contain COVID-19,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At some of our contract manufacturing sites, COVID-19-related restrictions, including temporary shutdowns, and instances of COVID-19 cases impacting personnel have resulted in some delays. However, COVID-19 did not materially impact the timelines we previously announced for the filing of the NKX101 IND or the dosing of the first patient in the NKX101 clinical trial, and we do not expect COVID-19 to have a material impact on the current timeline for the filing of the NKX019 IND.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current and anticipated dependence upon others for the manufacture of our product candidates and materials necessary for production of our product candidates may adversely affect our profit margins and our ability to develop product candidates and commercialize any products that receive marketing approval on a timely and competitive basis.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are reliant on a sole supplier for certain steps of our manufacturing process.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manufacturing process for NKX101 and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disruption in supply of these instruments and reagents could result in delays in our clinical trials, which would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Delays in commissioning and receiving regulatory approvals for our manufacturing facilities could delay our development plans and thereby limit our ability to develop our product candidates and generate revenues.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that internal cGMP manufacturing is important to facilitate clinical product supply, lower the risk of manufacturing disruptions and enable more cost-effective manufacturing. We have completed the construction of a cGMP facility in South San Francisco, California that will allow us to supply the product candidates needed for our early-stage clinical trials. We also plan to build a facility for the commercial-scale manufacture of our product candidates in the future. The design, construction, qualification and regulatory approvals for such facilities require substantial capital and technical expertise and any delay would limit our development activities and our opportunities for growth.</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also may encounter problems with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complying with regulations regarding evolving donor infectious disease testing, traceability, manufacturing, release of product candidates and other requirements from regulatory authorities outside the United States;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achieving adequate or clinical-grade materials that meet regulatory agency standards or specifications with consistent and acceptable production yield and costs; </w:t>
            </w:r>
          </w:p>
        </w:tc>
      </w:tr>
    </w:tbl>
    <w:tbl>
      <w:tblPr>
        <w:tblW w:w="6700" w:type="dxa"/>
        <w:jc w:val="left"/>
        <w:tblInd w:w="0" w:type="dxa"/>
        <w:tblCellMar>
          <w:top w:w="0" w:type="dxa"/>
          <w:left w:w="0" w:type="dxa"/>
          <w:bottom w:w="0" w:type="dxa"/>
          <w:right w:w="0" w:type="dxa"/>
        </w:tblCellMar>
      </w:tblPr>
      <w:tblGrid>
        <w:gridCol w:w="60"/>
        <w:gridCol w:w="110"/>
        <w:gridCol w:w="65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53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bacterial, fungal or viral contamination in our manufacturing facility; </w:t>
            </w:r>
          </w:p>
        </w:tc>
      </w:tr>
    </w:tbl>
    <w:tbl>
      <w:tblPr>
        <w:tblW w:w="6715" w:type="dxa"/>
        <w:jc w:val="left"/>
        <w:tblInd w:w="0" w:type="dxa"/>
        <w:tblCellMar>
          <w:top w:w="0" w:type="dxa"/>
          <w:left w:w="0" w:type="dxa"/>
          <w:bottom w:w="0" w:type="dxa"/>
          <w:right w:w="0" w:type="dxa"/>
        </w:tblCellMar>
      </w:tblPr>
      <w:tblGrid>
        <w:gridCol w:w="60"/>
        <w:gridCol w:w="110"/>
        <w:gridCol w:w="65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5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disruptions due to natural disasters or supply chain interruptions; and </w:t>
            </w:r>
          </w:p>
        </w:tc>
      </w:tr>
    </w:tbl>
    <w:tbl>
      <w:tblPr>
        <w:tblW w:w="6385" w:type="dxa"/>
        <w:jc w:val="left"/>
        <w:tblInd w:w="0" w:type="dxa"/>
        <w:tblCellMar>
          <w:top w:w="0" w:type="dxa"/>
          <w:left w:w="0" w:type="dxa"/>
          <w:bottom w:w="0" w:type="dxa"/>
          <w:right w:w="0" w:type="dxa"/>
        </w:tblCellMar>
      </w:tblPr>
      <w:tblGrid>
        <w:gridCol w:w="60"/>
        <w:gridCol w:w="110"/>
        <w:gridCol w:w="621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2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shortages of qualified personnel, raw materials or key contractors.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optimal donor and manufacturing parameters for our product candidates have not been definitively established, which may hinder our ability to optimize our product candidates or to address any safety or efficacy issues that may arise.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we have not, at present, fully characterized or identified how donor characteristics and manufacturing process parameters affect the optimal cancer cell killing ability for our engineered NK 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are dependent on third parties to store our CAR-NK cells, viral vector, master and working cell banks of the engineered K562 cells, and any damage or loss would cause delays in replacement, and our business could suffer.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CAR-NK cells, the viral vector, and the master and working cell banks of the engineered K562 cells are stored in freezers at third-party biorepositories and will also be stored in our freezers at our production facility. If these materials are damaged at these facilities, including by the loss or malfunction of these freezers or our back-up power systems, as well as by damage from fire, power loss or other natural disasters, we would need to establish replacement CAR-NK cells, viral vector, and master and working cell banks of the engineered K562 cells, which would impact clinical supply and delay our patients’ treatments. If we are unable to establish replacement materials, we could incur significant additional expenses and liability to patients whose treatment is delayed, and our business could suffer.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have not yet developed a validated methodology for freezing and thawing commercial-scale quantities of CAR-NK cells, which we believe will be required for the storage and distribution of our CAR-NK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not yet demonstrated that CAR-NK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 If we are unable to freeze CAR-NK cells for shipping purposes, our ability to promote adoption and standardization of our products, as well as achieve economies of scale by centralizing our production facility, will be limited. Even if we are able to successfully freeze and thaw CAR-NK cells in large quantities, we will still need to develop a cost-effective and reliable distribution and logistics network, which we may be unable to accomplish.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we have not yet demonstrated long-term stability of cryopreserved CAR-NK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these and other reasons, we have not yet established the long-term stability of our cryopreserved CAR-NK Cells and we may not be able to commercialize CAR-NK cells on a large scale or in a cost-effective manner. If such product is found to be instable, we would be required to conduct more frequent manufacturing runs, which could cause us to incur significant additional expenses.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Our Intellectual Property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If our license agreement with National University of Singapore and St. Jude’s Children’s Research Hospital, Inc. is terminated, we could lose our rights to key components enabling our NK cell engineering platform.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August 2016, we entered into a license agreement with the National University of Singapore and St. Jude Children’s Research Hospital, Inc., or the Licensors. Pursuant to this license, the Licensors granted to us an exclusive, worldwide, royalty-bearing, sublicensable license under specified patents and patent applications related to NK cell technology in the field of therapeutics.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which could impede or prevent our successful commercialization of such product candidates and materially adversely affect our business, financial condition, results of operations and growth prospects.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our patent license agreement with the Licensors is field-specific and has been granted to us in the field of therapeutics. This license agreement permits to Licensors to practice the licensed rights, and to allow non-profit academic third parties to practice the licensed rights for certain academic purposes. As such, certain patents in a patent family that is licensed to us by the Licensors have been licensed to at least one other third party. Although these patents should not be overlapping with our licensed patents,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development and commercialization rights to our current and future product candidates and technology are subject, in part, to the terms and conditions of licenses granted to us by others.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patent portfolio consists of a combination of issued patents and pending patent applications licensed from third parties, jointly owned with third parties and assigned solely to us based on our ongoing development activities. We are reliant upon certain of these rights and proprietary technology from third parties for the engineering and development of our current and future product candidates. However, these and other licenses may not provide exclusive rights to use such intellectual property and technology in all relevant fields of use and in all territories in which we choose to develop or commercialize our technology and products in the future. As a result, we may not be able to prevent competitors from developing and commercializing competitive products in territories included in all of our licenses.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an institution.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also may in some instances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have materially adversely affect our business, financial condition, results of operations and growth prospects.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certain circumstances such as a material breach of terms, our licensors could terminate our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impaired. Additionally, we may be required to reimburse our licensors for all of their expenses related to the prosecution, maintenance, enforcement and defense of patents and patent applications that we in-license from them.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harm our competitive position, and our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Duration of patent terms may be inadequate to protect our competitive position on our product candidates for an adequate amount of time, and the expiration of our patents may subject us to increased competition.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2020, the patent portfolio that is assigned to us, jointly owned with others or licensed to us includes nine issued U.S. patents, one issued European patent, one issued Chinese patent, one issued Japanese patent, 8 pending U.S. patent applications and 45 pending international patent applications, across our Platform, NKX101 and NKX019 families. Our portfolio of issued patents, excluding pending patent applications, has expiration dates between 2024 and 2035. Our portfolio, including issued patents, and including pending applications if they issue, has expiration dates between 2024 and 2041. At least 45 of our issued patents and pending patent applications relate to supporting commercialization of our current product candidates, while the remaining issued patents and pending patent applications relate to future product candidates and alternative technologies. We plan to file additional patent applications that could potentially allow for further increase of the exclusive market protection for use of NKX101 and NKX019. However, we can provide no assurance that we will be able to file or receive additional patent protection for these or other product candidates.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In addition, if we fail to apply for applicable patent term extensions or adjustments, we will have a more limited time during which we can enforce our granted patent rights.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or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any patent protection we obtain is not sufficiently robust, our competitors could develop and commercialize products and technology similar or identical to ours.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patent position of biotechnology and pharmaceutical companies generally is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patent prosecution process is expensive, time-consuming and complex, and we may not be able to file, prosecute, maintain, enforce or license all necessary or desirable patent applications at a reasonable cost or in a timely manner. We may also fail to identify patentable aspects of our research and development output before it is too late to obtain patent protection.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Claim scope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Even after issuance, our owned and in-licensed patents may be subject to challenge, which if successful could require us to obtain licenses from third parties, which may not be available on commercially reasonable terms or at all, or to cease the use of the underlying technology, which could materially adversely affect our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our patents are determined to be valid and enforceable, they may not be interpreted sufficiently broadly to prevent others from marketing products similar to ours or designing around our patents.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currently involved in one patent re-examination proceeding. On August 1, 2018, a third party requested ex-parte re-examination of certain claims of U.S. Patent No. 9,511,092 and this re-examination is currently pending with the USPTO. On August 2, 2019, a third party requested an ex-parte re-examination on the remaining claims of U.S. Patent No. 9,511,092, with the USPTO subsequently issuing a Reexamination Certificate confirming patentability of the claims in an amended form on August 18, 2020. U.S. Patent No. 9,511,092 relates generally to chimeric receptor complexes that bind certain specific natural killer cell ligands and methods of using natural killer cells. U.S. Patent No. 9,511,092 does not relate to our current product candidates but may relate to future product candidates or alternative technologies.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not identify relevant third-party patents or may incorrectly interpret the relevance, scope or expiration of a third-party patent, which could materially adversely affect our ability to develop, manufacture and market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are many patents issued or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products or technology similar to ours. Any such patent application may have priority over our patent applications or patents, which could further require us to obtain rights to patents directed to such technologies. If third parties have filed such patent applications, an interference proceeding in the United States can be initiated by such third party, or by the USPTO itself, to determine who was the first to invent any of the subject matter recited by the patent claims of our applications.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are not covered by a third party patent or may incorrectly predict whether a third party’s pending application will issue with claims of relevant scope. Our determination of the expiration date of any patent in the United States or elsewhere that we consider relevant may also be incorrect. 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success depends in part on our ability to develop, manufacture and market our technology and use our technology without infringing the proprietary rights of third parties. As the relevant product industries expand and more patents are issued, the risk increases that there may be patents issued to third parties that relate to our products and technology of which we are not aware or that we may need to challenge to continue our operations as currently contemplated. As a result, our technology and any future products that we commercialize could be alleged to infringe patent rights and other proprietary rights of third parties, which may require costly litigation and, if we are not successful, could cause us to pay substantial damages and/or limit our ability to commercialize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face allegations that we have infringed the trademarks, copyrights, patents and other intellectual property rights of third parties. 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Results of any such litigation are difficult to predict and may require us to stop treating certain conditions, obtain licenses or modify our product candidates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or require us to take a license from a third party, which the third party is not required to do at a commercially reasonable price or at all. If a license is available from a third party, we may have to pay substantial royalties, upfront fees, milestone fees, or grant cross-licenses to intellectual property rights for our products. We may also have to redesign our products so they do not infringe third-party intellectual property rights, which may not be possible or may require substantial monetary expenditures and time, during which our products may not be available for manufacture, use, or sale.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or service features, which could in turn reduce demand for our products.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also, from time to time, seek to enforce our intellectual property rights against infringers when we determine that a successful outcome is probable and may lead to an increase in the value of the intellectual property.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choose to enforce our patent rights against a party, that party could counterclaim that our patent is invalid and/or unenforceable. The defendant may challenge our patents through proceedings before the Patent Trial and Appeal Board, or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will not seek to protect our intellectual property rights in all jurisdictions throughout the world and we may not be able to adequately enforce our intellectual property rights even in the jurisdictions where we seek protection.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a number of international patents and patent applications and expect to continue to pursue patent protection in many of the significant markets in which we intend to do business. However, filing, prosecuting and defending patents relating to our product candidates,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the protection offered by intellectual property rights in certain countries outside of the United States may be less extensive than those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Changes in U.S. patent law or the patent law of other jurisdictions could decrease the certainty of our ability to obtain patents and diminish the value of patents in general, thereby impairing our ability to protect our current and any future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over the past 20 years,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Changes in either the patent laws or interpretation of the patent laws in the United States could increase the uncertainties and costs surrounding the prosecution of patent applications and the enforcement or defense of issued patents. Under the Leahy-Smith America Invents Act, or the America Invents Act,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However, the America Invents Act and its implementation could increase the uncertainties and costs surrounding the prosecution of our patent applications and the enforcement or defense of our issued patents, all of which could materially adversely affect our business, financial condition, results of operations and growth prospects.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70</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fail to obtain or enforce assignments of intellectual property rights from our employees and contractors.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are not able to adequately prevent disclosure of trade secrets and other proprietary information, the value of our technology and products could be materially diminished.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outside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U.S. government could choose to exercise certain rights in technology developed under government-funded research, which could eliminate our exclusive use of such technology or require us to commercialize our product candidates in a way we consider sub-optimal.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U.S. government has certain rights in some of our licensed patents (including U.S. Patent Nos. 7,435,596, 8,026,097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has the right to require us to grant exclusive licenses to such inventions to a third party if the U.S. government determines that: (i) adequate steps have not been taken to commercialize the invention; (ii) government action is necessary to meet public health or safety needs; or (iii) government action is necessary to meet requirements for public use under federal regulations.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future in-licensed intellectual property is generated through the use of U.S. government funding, these provisions of the Bayh-Dole Act may apply.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If we are unable to obtain a waiver from the government agency that provided the underlying research funding, we may be limited in our ability to contract with non-U.S. product manufacturers for products related to such intellectual property.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Commercialization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currently have no sales, marketing or distribution organizational infrastructure. We will need to develop internal sales, marketing and distribution capabilities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product candidates, including NKX101 and NKX019, could be subject to regulatory limitations following approval, if and when such approval is granted.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NKX101 and NKX019 or other product candidates in development.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if we or others identify side-effects after any of our products are on the market, if manufacturing problems occur subsequent to regulatory approval, or if we, our manufacturers or our partners fail to comply with regulatory requirements, including those mentioned above, we or our partners could be subject to the following: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restrictions on our ability to conduct clinical trials, including full or partial clinical holds on ongoing or planned clinical trials; </w:t>
            </w:r>
          </w:p>
        </w:tc>
      </w:tr>
    </w:tbl>
    <w:tbl>
      <w:tblPr>
        <w:tblW w:w="5455" w:type="dxa"/>
        <w:jc w:val="left"/>
        <w:tblInd w:w="0" w:type="dxa"/>
        <w:tblCellMar>
          <w:top w:w="0" w:type="dxa"/>
          <w:left w:w="0" w:type="dxa"/>
          <w:bottom w:w="0" w:type="dxa"/>
          <w:right w:w="0" w:type="dxa"/>
        </w:tblCellMar>
      </w:tblPr>
      <w:tblGrid>
        <w:gridCol w:w="60"/>
        <w:gridCol w:w="110"/>
        <w:gridCol w:w="52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2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restrictions on such products’ manufacturing processes; </w:t>
            </w:r>
          </w:p>
        </w:tc>
      </w:tr>
    </w:tbl>
    <w:tbl>
      <w:tblPr>
        <w:tblW w:w="2950" w:type="dxa"/>
        <w:jc w:val="left"/>
        <w:tblInd w:w="0" w:type="dxa"/>
        <w:tblCellMar>
          <w:top w:w="0" w:type="dxa"/>
          <w:left w:w="0" w:type="dxa"/>
          <w:bottom w:w="0" w:type="dxa"/>
          <w:right w:w="0" w:type="dxa"/>
        </w:tblCellMar>
      </w:tblPr>
      <w:tblGrid>
        <w:gridCol w:w="60"/>
        <w:gridCol w:w="110"/>
        <w:gridCol w:w="27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7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changes to the product label; </w:t>
            </w:r>
          </w:p>
        </w:tc>
      </w:tr>
    </w:tbl>
    <w:tbl>
      <w:tblPr>
        <w:tblW w:w="4180" w:type="dxa"/>
        <w:jc w:val="left"/>
        <w:tblInd w:w="0" w:type="dxa"/>
        <w:tblCellMar>
          <w:top w:w="0" w:type="dxa"/>
          <w:left w:w="0" w:type="dxa"/>
          <w:bottom w:w="0" w:type="dxa"/>
          <w:right w:w="0" w:type="dxa"/>
        </w:tblCellMar>
      </w:tblPr>
      <w:tblGrid>
        <w:gridCol w:w="60"/>
        <w:gridCol w:w="110"/>
        <w:gridCol w:w="40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0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restrictions on the marketing of a product; </w:t>
            </w:r>
          </w:p>
        </w:tc>
      </w:tr>
    </w:tbl>
    <w:tbl>
      <w:tblPr>
        <w:tblW w:w="3535" w:type="dxa"/>
        <w:jc w:val="left"/>
        <w:tblInd w:w="0" w:type="dxa"/>
        <w:tblCellMar>
          <w:top w:w="0" w:type="dxa"/>
          <w:left w:w="0" w:type="dxa"/>
          <w:bottom w:w="0" w:type="dxa"/>
          <w:right w:w="0" w:type="dxa"/>
        </w:tblCellMar>
      </w:tblPr>
      <w:tblGrid>
        <w:gridCol w:w="60"/>
        <w:gridCol w:w="110"/>
        <w:gridCol w:w="33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3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restrictions on product distribution; </w:t>
            </w:r>
          </w:p>
        </w:tc>
      </w:tr>
    </w:tbl>
    <w:tbl>
      <w:tblPr>
        <w:tblW w:w="5290" w:type="dxa"/>
        <w:jc w:val="left"/>
        <w:tblInd w:w="0" w:type="dxa"/>
        <w:tblCellMar>
          <w:top w:w="0" w:type="dxa"/>
          <w:left w:w="0" w:type="dxa"/>
          <w:bottom w:w="0" w:type="dxa"/>
          <w:right w:w="0" w:type="dxa"/>
        </w:tblCellMar>
      </w:tblPr>
      <w:tblGrid>
        <w:gridCol w:w="60"/>
        <w:gridCol w:w="110"/>
        <w:gridCol w:w="51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requirements to conduct post-marketing clinical trials; </w:t>
            </w:r>
          </w:p>
        </w:tc>
      </w:tr>
    </w:tbl>
    <w:tbl>
      <w:tblPr>
        <w:tblW w:w="4330" w:type="dxa"/>
        <w:jc w:val="left"/>
        <w:tblInd w:w="0" w:type="dxa"/>
        <w:tblCellMar>
          <w:top w:w="0" w:type="dxa"/>
          <w:left w:w="0" w:type="dxa"/>
          <w:bottom w:w="0" w:type="dxa"/>
          <w:right w:w="0" w:type="dxa"/>
        </w:tblCellMar>
      </w:tblPr>
      <w:tblGrid>
        <w:gridCol w:w="60"/>
        <w:gridCol w:w="110"/>
        <w:gridCol w:w="41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1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Untitled or Warning Letters from the FDA; </w:t>
            </w:r>
          </w:p>
        </w:tc>
      </w:tr>
    </w:tbl>
    <w:tbl>
      <w:tblPr>
        <w:tblW w:w="4315" w:type="dxa"/>
        <w:jc w:val="left"/>
        <w:tblInd w:w="0" w:type="dxa"/>
        <w:tblCellMar>
          <w:top w:w="0" w:type="dxa"/>
          <w:left w:w="0" w:type="dxa"/>
          <w:bottom w:w="0" w:type="dxa"/>
          <w:right w:w="0" w:type="dxa"/>
        </w:tblCellMar>
      </w:tblPr>
      <w:tblGrid>
        <w:gridCol w:w="60"/>
        <w:gridCol w:w="110"/>
        <w:gridCol w:w="41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1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withdrawal of the product from the market; </w:t>
            </w:r>
          </w:p>
        </w:tc>
      </w:tr>
    </w:tbl>
    <w:tbl>
      <w:tblPr>
        <w:tblW w:w="9310" w:type="dxa"/>
        <w:jc w:val="left"/>
        <w:tblInd w:w="0" w:type="dxa"/>
        <w:tblCellMar>
          <w:top w:w="0" w:type="dxa"/>
          <w:left w:w="0" w:type="dxa"/>
          <w:bottom w:w="0" w:type="dxa"/>
          <w:right w:w="0" w:type="dxa"/>
        </w:tblCellMar>
      </w:tblPr>
      <w:tblGrid>
        <w:gridCol w:w="60"/>
        <w:gridCol w:w="110"/>
        <w:gridCol w:w="91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1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refusal to approve pending applications or supplements to approved applications that we submit; </w:t>
            </w:r>
          </w:p>
        </w:tc>
      </w:tr>
    </w:tbl>
    <w:tbl>
      <w:tblPr>
        <w:tblW w:w="1945" w:type="dxa"/>
        <w:jc w:val="left"/>
        <w:tblInd w:w="0" w:type="dxa"/>
        <w:tblCellMar>
          <w:top w:w="0" w:type="dxa"/>
          <w:left w:w="0" w:type="dxa"/>
          <w:bottom w:w="0" w:type="dxa"/>
          <w:right w:w="0" w:type="dxa"/>
        </w:tblCellMar>
      </w:tblPr>
      <w:tblGrid>
        <w:gridCol w:w="60"/>
        <w:gridCol w:w="110"/>
        <w:gridCol w:w="17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7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recall of products; </w:t>
            </w:r>
          </w:p>
        </w:tc>
      </w:tr>
    </w:tbl>
    <w:tbl>
      <w:tblPr>
        <w:tblW w:w="5380" w:type="dxa"/>
        <w:jc w:val="left"/>
        <w:tblInd w:w="0" w:type="dxa"/>
        <w:tblCellMar>
          <w:top w:w="0" w:type="dxa"/>
          <w:left w:w="0" w:type="dxa"/>
          <w:bottom w:w="0" w:type="dxa"/>
          <w:right w:w="0" w:type="dxa"/>
        </w:tblCellMar>
      </w:tblPr>
      <w:tblGrid>
        <w:gridCol w:w="60"/>
        <w:gridCol w:w="110"/>
        <w:gridCol w:w="52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2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fines, restitution or disgorgement of profits or revenue; </w:t>
            </w:r>
          </w:p>
        </w:tc>
      </w:tr>
    </w:tbl>
    <w:tbl>
      <w:tblPr>
        <w:tblW w:w="4975" w:type="dxa"/>
        <w:jc w:val="left"/>
        <w:tblInd w:w="0" w:type="dxa"/>
        <w:tblCellMar>
          <w:top w:w="0" w:type="dxa"/>
          <w:left w:w="0" w:type="dxa"/>
          <w:bottom w:w="0" w:type="dxa"/>
          <w:right w:w="0" w:type="dxa"/>
        </w:tblCellMar>
      </w:tblPr>
      <w:tblGrid>
        <w:gridCol w:w="60"/>
        <w:gridCol w:w="110"/>
        <w:gridCol w:w="48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8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suspension or withdrawal of regulatory approvals; </w:t>
            </w:r>
          </w:p>
        </w:tc>
      </w:tr>
    </w:tbl>
    <w:tbl>
      <w:tblPr>
        <w:tblW w:w="5275" w:type="dxa"/>
        <w:jc w:val="left"/>
        <w:tblInd w:w="0" w:type="dxa"/>
        <w:tblCellMar>
          <w:top w:w="0" w:type="dxa"/>
          <w:left w:w="0" w:type="dxa"/>
          <w:bottom w:w="0" w:type="dxa"/>
          <w:right w:w="0" w:type="dxa"/>
        </w:tblCellMar>
      </w:tblPr>
      <w:tblGrid>
        <w:gridCol w:w="60"/>
        <w:gridCol w:w="110"/>
        <w:gridCol w:w="51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refusal to permit the import or export of our products; </w:t>
            </w:r>
          </w:p>
        </w:tc>
      </w:tr>
    </w:tbl>
    <w:tbl>
      <w:tblPr>
        <w:tblW w:w="1750" w:type="dxa"/>
        <w:jc w:val="left"/>
        <w:tblInd w:w="0" w:type="dxa"/>
        <w:tblCellMar>
          <w:top w:w="0" w:type="dxa"/>
          <w:left w:w="0" w:type="dxa"/>
          <w:bottom w:w="0" w:type="dxa"/>
          <w:right w:w="0" w:type="dxa"/>
        </w:tblCellMar>
      </w:tblPr>
      <w:tblGrid>
        <w:gridCol w:w="60"/>
        <w:gridCol w:w="110"/>
        <w:gridCol w:w="15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5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product seizure; </w:t>
            </w:r>
          </w:p>
        </w:tc>
      </w:tr>
    </w:tbl>
    <w:tbl>
      <w:tblPr>
        <w:tblW w:w="1600" w:type="dxa"/>
        <w:jc w:val="left"/>
        <w:tblInd w:w="0" w:type="dxa"/>
        <w:tblCellMar>
          <w:top w:w="0" w:type="dxa"/>
          <w:left w:w="0" w:type="dxa"/>
          <w:bottom w:w="0" w:type="dxa"/>
          <w:right w:w="0" w:type="dxa"/>
        </w:tblCellMar>
      </w:tblPr>
      <w:tblGrid>
        <w:gridCol w:w="60"/>
        <w:gridCol w:w="110"/>
        <w:gridCol w:w="14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43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injunctions; or </w:t>
            </w:r>
          </w:p>
        </w:tc>
      </w:tr>
    </w:tbl>
    <w:tbl>
      <w:tblPr>
        <w:tblW w:w="3985" w:type="dxa"/>
        <w:jc w:val="left"/>
        <w:tblInd w:w="0" w:type="dxa"/>
        <w:tblCellMar>
          <w:top w:w="0" w:type="dxa"/>
          <w:left w:w="0" w:type="dxa"/>
          <w:bottom w:w="0" w:type="dxa"/>
          <w:right w:w="0" w:type="dxa"/>
        </w:tblCellMar>
      </w:tblPr>
      <w:tblGrid>
        <w:gridCol w:w="60"/>
        <w:gridCol w:w="110"/>
        <w:gridCol w:w="381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8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imposition of civil or criminal penalties.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market opportunities for our product candidates, if and when approved, may be limited, and if such market opportunities are smaller than we expect, our revenues could be materially adversely affected and our business could suffer. </w:t>
      </w:r>
    </w:p>
    <w:p>
      <w:pPr>
        <w:pStyle w:val="TextBody"/>
        <w:spacing w:before="240" w:after="0"/>
        <w:rPr>
          <w:rFonts w:ascii="Times New Roman" w:hAnsi="Times New Roman"/>
          <w:b w:val="false"/>
          <w:i w:val="false"/>
          <w:caps w:val="false"/>
          <w:smallCaps w:val="false"/>
          <w:sz w:val="20"/>
        </w:rPr>
      </w:pPr>
      <w:bookmarkStart w:id="26" w:name="_Hlk65448846"/>
      <w:bookmarkEnd w:id="26"/>
      <w:r>
        <w:rPr>
          <w:rFonts w:ascii="Times New Roman" w:hAnsi="Times New Roman"/>
          <w:b w:val="false"/>
          <w:i w:val="false"/>
          <w:caps w:val="false"/>
          <w:smallCaps w:val="false"/>
          <w:sz w:val="20"/>
        </w:rPr>
        <w:t xml:space="preserve">Our initial clinical trials evaluate NKX101 and NKX019 in relapsed/refractory patients who have been previously treated with other anti-cancer therapies. We do not know at this time whether either NKX101 or NKX019 or any of our product candidates will be safe for use in humans or whether they will demonstrate any anti-cancer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 of patients who have the cancers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commercial success of any of our product candidates will depend upon such product candidate’s degree of market acceptance by physicians, patients, third-party payors and others in the medical community.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 </w:t>
      </w:r>
    </w:p>
    <w:tbl>
      <w:tblPr>
        <w:tblW w:w="8065" w:type="dxa"/>
        <w:jc w:val="left"/>
        <w:tblInd w:w="0" w:type="dxa"/>
        <w:tblCellMar>
          <w:top w:w="0" w:type="dxa"/>
          <w:left w:w="0" w:type="dxa"/>
          <w:bottom w:w="0" w:type="dxa"/>
          <w:right w:w="0" w:type="dxa"/>
        </w:tblCellMar>
      </w:tblPr>
      <w:tblGrid>
        <w:gridCol w:w="60"/>
        <w:gridCol w:w="110"/>
        <w:gridCol w:w="78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8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efficacy and safety of such product candidates as demonstrated in clinical trials; </w:t>
            </w:r>
          </w:p>
        </w:tc>
      </w:tr>
    </w:tbl>
    <w:tbl>
      <w:tblPr>
        <w:tblW w:w="8575" w:type="dxa"/>
        <w:jc w:val="left"/>
        <w:tblInd w:w="0" w:type="dxa"/>
        <w:tblCellMar>
          <w:top w:w="0" w:type="dxa"/>
          <w:left w:w="0" w:type="dxa"/>
          <w:bottom w:w="0" w:type="dxa"/>
          <w:right w:w="0" w:type="dxa"/>
        </w:tblCellMar>
      </w:tblPr>
      <w:tblGrid>
        <w:gridCol w:w="60"/>
        <w:gridCol w:w="110"/>
        <w:gridCol w:w="84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4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potential and perceived advantages of product candidates over alternative treatments; </w:t>
            </w:r>
          </w:p>
        </w:tc>
      </w:tr>
    </w:tbl>
    <w:tbl>
      <w:tblPr>
        <w:tblW w:w="5260" w:type="dxa"/>
        <w:jc w:val="left"/>
        <w:tblInd w:w="0" w:type="dxa"/>
        <w:tblCellMar>
          <w:top w:w="0" w:type="dxa"/>
          <w:left w:w="0" w:type="dxa"/>
          <w:bottom w:w="0" w:type="dxa"/>
          <w:right w:w="0" w:type="dxa"/>
        </w:tblCellMar>
      </w:tblPr>
      <w:tblGrid>
        <w:gridCol w:w="60"/>
        <w:gridCol w:w="110"/>
        <w:gridCol w:w="50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0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cost of treatment relative to alternative treatments; </w:t>
            </w:r>
          </w:p>
        </w:tc>
      </w:tr>
    </w:tbl>
    <w:tbl>
      <w:tblPr>
        <w:tblW w:w="7825" w:type="dxa"/>
        <w:jc w:val="left"/>
        <w:tblInd w:w="0" w:type="dxa"/>
        <w:tblCellMar>
          <w:top w:w="0" w:type="dxa"/>
          <w:left w:w="0" w:type="dxa"/>
          <w:bottom w:w="0" w:type="dxa"/>
          <w:right w:w="0" w:type="dxa"/>
        </w:tblCellMar>
      </w:tblPr>
      <w:tblGrid>
        <w:gridCol w:w="60"/>
        <w:gridCol w:w="110"/>
        <w:gridCol w:w="76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6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clinical indications for which the product candidate is approved by the FDA; </w:t>
            </w:r>
          </w:p>
        </w:tc>
      </w:tr>
    </w:tbl>
    <w:tbl>
      <w:tblPr>
        <w:tblW w:w="7225" w:type="dxa"/>
        <w:jc w:val="left"/>
        <w:tblInd w:w="0" w:type="dxa"/>
        <w:tblCellMar>
          <w:top w:w="0" w:type="dxa"/>
          <w:left w:w="0" w:type="dxa"/>
          <w:bottom w:w="0" w:type="dxa"/>
          <w:right w:w="0" w:type="dxa"/>
        </w:tblCellMar>
      </w:tblPr>
      <w:tblGrid>
        <w:gridCol w:w="60"/>
        <w:gridCol w:w="110"/>
        <w:gridCol w:w="70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willingness of physicians to refer patients and prescribe new therapies; </w:t>
            </w:r>
          </w:p>
        </w:tc>
      </w:tr>
    </w:tbl>
    <w:tbl>
      <w:tblPr>
        <w:tblW w:w="6580" w:type="dxa"/>
        <w:jc w:val="left"/>
        <w:tblInd w:w="0" w:type="dxa"/>
        <w:tblCellMar>
          <w:top w:w="0" w:type="dxa"/>
          <w:left w:w="0" w:type="dxa"/>
          <w:bottom w:w="0" w:type="dxa"/>
          <w:right w:w="0" w:type="dxa"/>
        </w:tblCellMar>
      </w:tblPr>
      <w:tblGrid>
        <w:gridCol w:w="60"/>
        <w:gridCol w:w="110"/>
        <w:gridCol w:w="64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4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willingness of the target patient population to try new therapies; </w:t>
            </w:r>
          </w:p>
        </w:tc>
      </w:tr>
    </w:tbl>
    <w:tbl>
      <w:tblPr>
        <w:tblW w:w="5350" w:type="dxa"/>
        <w:jc w:val="left"/>
        <w:tblInd w:w="0" w:type="dxa"/>
        <w:tblCellMar>
          <w:top w:w="0" w:type="dxa"/>
          <w:left w:w="0" w:type="dxa"/>
          <w:bottom w:w="0" w:type="dxa"/>
          <w:right w:w="0" w:type="dxa"/>
        </w:tblCellMar>
      </w:tblPr>
      <w:tblGrid>
        <w:gridCol w:w="60"/>
        <w:gridCol w:w="110"/>
        <w:gridCol w:w="51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nature, prevalence and severity of any side effects;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product labeling or product insert requirements imposed by the FDA or other regulatory authorities, including any limitations or warnings contained in a product’s approved labeling; </w:t>
            </w:r>
          </w:p>
        </w:tc>
      </w:tr>
    </w:tbl>
    <w:tbl>
      <w:tblPr>
        <w:tblW w:w="4765" w:type="dxa"/>
        <w:jc w:val="left"/>
        <w:tblInd w:w="0" w:type="dxa"/>
        <w:tblCellMar>
          <w:top w:w="0" w:type="dxa"/>
          <w:left w:w="0" w:type="dxa"/>
          <w:bottom w:w="0" w:type="dxa"/>
          <w:right w:w="0" w:type="dxa"/>
        </w:tblCellMar>
      </w:tblPr>
      <w:tblGrid>
        <w:gridCol w:w="60"/>
        <w:gridCol w:w="110"/>
        <w:gridCol w:w="45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5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relative convenience and ease of administration; </w:t>
            </w:r>
          </w:p>
        </w:tc>
      </w:tr>
    </w:tbl>
    <w:tbl>
      <w:tblPr>
        <w:tblW w:w="5695" w:type="dxa"/>
        <w:jc w:val="left"/>
        <w:tblInd w:w="0" w:type="dxa"/>
        <w:tblCellMar>
          <w:top w:w="0" w:type="dxa"/>
          <w:left w:w="0" w:type="dxa"/>
          <w:bottom w:w="0" w:type="dxa"/>
          <w:right w:w="0" w:type="dxa"/>
        </w:tblCellMar>
      </w:tblPr>
      <w:tblGrid>
        <w:gridCol w:w="60"/>
        <w:gridCol w:w="110"/>
        <w:gridCol w:w="55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52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timing of market introduction of competitive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adverse publicity concerning our product candidates or favorable publicity about competing products and treatments;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sufficient third-party payor coverage, any limitations in terms of center or personnel training requirement imposed by third parties and adequate reimbursement; </w:t>
            </w:r>
          </w:p>
        </w:tc>
      </w:tr>
    </w:tbl>
    <w:tbl>
      <w:tblPr>
        <w:tblW w:w="8890" w:type="dxa"/>
        <w:jc w:val="left"/>
        <w:tblInd w:w="0" w:type="dxa"/>
        <w:tblCellMar>
          <w:top w:w="0" w:type="dxa"/>
          <w:left w:w="0" w:type="dxa"/>
          <w:bottom w:w="0" w:type="dxa"/>
          <w:right w:w="0" w:type="dxa"/>
        </w:tblCellMar>
      </w:tblPr>
      <w:tblGrid>
        <w:gridCol w:w="60"/>
        <w:gridCol w:w="110"/>
        <w:gridCol w:w="87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7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limitations or warnings contained in the FDA-approved labeling for our product candidates; </w:t>
            </w:r>
          </w:p>
        </w:tc>
      </w:tr>
    </w:tbl>
    <w:tbl>
      <w:tblPr>
        <w:tblW w:w="4510" w:type="dxa"/>
        <w:jc w:val="left"/>
        <w:tblInd w:w="0" w:type="dxa"/>
        <w:tblCellMar>
          <w:top w:w="0" w:type="dxa"/>
          <w:left w:w="0" w:type="dxa"/>
          <w:bottom w:w="0" w:type="dxa"/>
          <w:right w:w="0" w:type="dxa"/>
        </w:tblCellMar>
      </w:tblPr>
      <w:tblGrid>
        <w:gridCol w:w="60"/>
        <w:gridCol w:w="110"/>
        <w:gridCol w:w="43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3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any FDA requirement to undertake a REMS; </w:t>
            </w:r>
          </w:p>
        </w:tc>
      </w:tr>
    </w:tbl>
    <w:tbl>
      <w:tblPr>
        <w:tblW w:w="6670" w:type="dxa"/>
        <w:jc w:val="left"/>
        <w:tblInd w:w="0" w:type="dxa"/>
        <w:tblCellMar>
          <w:top w:w="0" w:type="dxa"/>
          <w:left w:w="0" w:type="dxa"/>
          <w:bottom w:w="0" w:type="dxa"/>
          <w:right w:w="0" w:type="dxa"/>
        </w:tblCellMar>
      </w:tblPr>
      <w:tblGrid>
        <w:gridCol w:w="60"/>
        <w:gridCol w:w="110"/>
        <w:gridCol w:w="65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5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effectiveness of our sales, marketing and distribution efforts; and </w:t>
            </w:r>
          </w:p>
        </w:tc>
      </w:tr>
    </w:tbl>
    <w:tbl>
      <w:tblPr>
        <w:tblW w:w="3325" w:type="dxa"/>
        <w:jc w:val="left"/>
        <w:tblInd w:w="0" w:type="dxa"/>
        <w:tblCellMar>
          <w:top w:w="0" w:type="dxa"/>
          <w:left w:w="0" w:type="dxa"/>
          <w:bottom w:w="0" w:type="dxa"/>
          <w:right w:w="0" w:type="dxa"/>
        </w:tblCellMar>
      </w:tblPr>
      <w:tblGrid>
        <w:gridCol w:w="60"/>
        <w:gridCol w:w="110"/>
        <w:gridCol w:w="31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1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potential product liability claims.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a product candidate displays a favorable efficacy and safety profile in preclinical studies and clinical trials, market acceptance of the product will not be fully known until after such product is launched. Our product candidates may not achieve broad market acceptance.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insurance coverage and reimbursement status of newly approved products is uncertain. Failure to obtain or maintain adequate coverage and reimbursement for our product candidates, if approved, could limit our ability to market such products and to generate product revenue.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the cost of a single administration of one of our cell therapy product candidates to be substantial, when and if they achieve regulatory approval. We expect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CMS the agency responsible for administering Medicare. It is difficult to predict what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 It is difficult to predict what third-party payors will decide with respect to the coverage and reimbursement for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Healthcare reform initiatives and other administrative and legislative proposals may harm our business.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payors. Among the provisions of the ACA, those of greatest importance to the pharmaceutical and biotechnology industries include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 new methodology by which rebates owed by manufacturers under the Medicaid Drug Rebate Program are calculated for drugs that are inhaled, infused, instilled, implanted or injected;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tc>
      </w:tr>
    </w:tbl>
    <w:tbl>
      <w:tblPr>
        <w:tblW w:w="5425" w:type="dxa"/>
        <w:jc w:val="left"/>
        <w:tblInd w:w="0" w:type="dxa"/>
        <w:tblCellMar>
          <w:top w:w="0" w:type="dxa"/>
          <w:left w:w="0" w:type="dxa"/>
          <w:bottom w:w="0" w:type="dxa"/>
          <w:right w:w="0" w:type="dxa"/>
        </w:tblCellMar>
      </w:tblPr>
      <w:tblGrid>
        <w:gridCol w:w="60"/>
        <w:gridCol w:w="110"/>
        <w:gridCol w:w="52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2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 licensure framework for follow-on biologic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 new Patient-Centered Outcomes Research Institute to oversee, identify priorities in, and conduct comparative clinical effectiveness research, along with funding for such research;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establishment of the CMS to test innovative payment and service delivery models to lower Medicare and Medicaid spending, potentially including prescription drug spending.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its enactment, there have been judicial and Congressional challenges to certain aspects of the ACA, and we expect there will be additional challenges and amendments to the ACA. For example, the Tax Cuts and Jobs Act of 2017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Further, the 2020 federal spending package eliminated, effective January 1, 2020, the ACA-mandated “Cadillac” tax on high-cost employer-sponsored health coverage and medical device tax and, effective January 1, 2021, also eliminated the health insurer. On December 14, 2018, a U.S. District Court Judge in the Northern District of Texas ruled that the individual mandate is an inseverable feature of the ACA, and therefore, because it was repealed as part of the Tax Act, the remaining provisions of the ACA are invalid as well. The U.S. Supreme Court is currently reviewing this case, but it is unknown when a decision will be reached.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March 31, 2021 due to the COVID-19 pandemic. Proposed legislation, if passed, would extend this suspension until the end of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have also been a number of proposals in the United States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Recent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Congress and the Trump administration have each indicated that it will continue to seek new legislative and/or administrative measures to control drug costs. On May 11, 2018, the Trump administration issued a plan to lower drug prices.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 On July 24, 2020 and September 13, 2020, former President Trump signed several executive orders aimed at lowering drug prices. As a result, the FDA released a final rule on September 24, 2020, effective November 30, 2020, providing guidance for states to build and submit importation plans for drugs from Canada. Further, on November 20, 2020, the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changes may adversely impact the prices we or our future collaborators may charge for our products candidates, if commercialized.</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Obtaining and maintaining marketing approval or commercialization of our product candidates in one jurisdiction does not mean that we will be successful in obtaining marketing approval of our product candidates in other jurisdictions.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market approved products outside the United States, we expect that we will be subject to additional risks in commercialization, including: </w:t>
      </w:r>
    </w:p>
    <w:tbl>
      <w:tblPr>
        <w:tblW w:w="7660" w:type="dxa"/>
        <w:jc w:val="left"/>
        <w:tblInd w:w="0" w:type="dxa"/>
        <w:tblCellMar>
          <w:top w:w="0" w:type="dxa"/>
          <w:left w:w="0" w:type="dxa"/>
          <w:bottom w:w="0" w:type="dxa"/>
          <w:right w:w="0" w:type="dxa"/>
        </w:tblCellMar>
      </w:tblPr>
      <w:tblGrid>
        <w:gridCol w:w="60"/>
        <w:gridCol w:w="110"/>
        <w:gridCol w:w="74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4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different regulatory requirements for approval of therapies in foreign countries; </w:t>
            </w:r>
          </w:p>
        </w:tc>
      </w:tr>
    </w:tbl>
    <w:tbl>
      <w:tblPr>
        <w:tblW w:w="4915" w:type="dxa"/>
        <w:jc w:val="left"/>
        <w:tblInd w:w="0" w:type="dxa"/>
        <w:tblCellMar>
          <w:top w:w="0" w:type="dxa"/>
          <w:left w:w="0" w:type="dxa"/>
          <w:bottom w:w="0" w:type="dxa"/>
          <w:right w:w="0" w:type="dxa"/>
        </w:tblCellMar>
      </w:tblPr>
      <w:tblGrid>
        <w:gridCol w:w="60"/>
        <w:gridCol w:w="110"/>
        <w:gridCol w:w="47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7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reduced protection for intellectual property rights; </w:t>
            </w:r>
          </w:p>
        </w:tc>
      </w:tr>
    </w:tbl>
    <w:tbl>
      <w:tblPr>
        <w:tblW w:w="7105" w:type="dxa"/>
        <w:jc w:val="left"/>
        <w:tblInd w:w="0" w:type="dxa"/>
        <w:tblCellMar>
          <w:top w:w="0" w:type="dxa"/>
          <w:left w:w="0" w:type="dxa"/>
          <w:bottom w:w="0" w:type="dxa"/>
          <w:right w:w="0" w:type="dxa"/>
        </w:tblCellMar>
      </w:tblPr>
      <w:tblGrid>
        <w:gridCol w:w="60"/>
        <w:gridCol w:w="110"/>
        <w:gridCol w:w="69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unexpected changes in tariffs, trade barriers and regulatory requirements;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economic weakness, including inflation, or political instability in particular foreign economies and markets; </w:t>
            </w:r>
          </w:p>
        </w:tc>
      </w:tr>
    </w:tbl>
    <w:tbl>
      <w:tblPr>
        <w:tblW w:w="10045" w:type="dxa"/>
        <w:jc w:val="left"/>
        <w:tblInd w:w="0" w:type="dxa"/>
        <w:tblCellMar>
          <w:top w:w="0" w:type="dxa"/>
          <w:left w:w="0" w:type="dxa"/>
          <w:bottom w:w="0" w:type="dxa"/>
          <w:right w:w="0" w:type="dxa"/>
        </w:tblCellMar>
      </w:tblPr>
      <w:tblGrid>
        <w:gridCol w:w="60"/>
        <w:gridCol w:w="110"/>
        <w:gridCol w:w="98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8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compliance with tax, employment, immigration and labor laws for employees living or traveling abroad;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foreign currency fluctuations, which could result in increased operating expenses and reduced revenues, and other obligations incident to doing business in another country;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78</w:t>
      </w:r>
    </w:p>
    <w:p>
      <w:pPr>
        <w:pStyle w:val="HorizontalLine"/>
        <w:rPr/>
      </w:pPr>
      <w:r>
        <w:rPr/>
      </w:r>
    </w:p>
    <w:p>
      <w:pPr>
        <w:pStyle w:val="TextBody"/>
        <w:spacing w:before="0" w:after="0"/>
        <w:rPr/>
      </w:pPr>
      <w:r>
        <w:rPr/>
        <w:t> </w:t>
      </w:r>
    </w:p>
    <w:tbl>
      <w:tblPr>
        <w:tblW w:w="5380" w:type="dxa"/>
        <w:jc w:val="left"/>
        <w:tblInd w:w="0" w:type="dxa"/>
        <w:tblCellMar>
          <w:top w:w="0" w:type="dxa"/>
          <w:left w:w="0" w:type="dxa"/>
          <w:bottom w:w="0" w:type="dxa"/>
          <w:right w:w="0" w:type="dxa"/>
        </w:tblCellMar>
      </w:tblPr>
      <w:tblGrid>
        <w:gridCol w:w="60"/>
        <w:gridCol w:w="110"/>
        <w:gridCol w:w="52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21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foreign reimbursement, pricing and insurance regimes; </w:t>
            </w:r>
          </w:p>
        </w:tc>
      </w:tr>
    </w:tbl>
    <w:tbl>
      <w:tblPr>
        <w:tblW w:w="9370" w:type="dxa"/>
        <w:jc w:val="left"/>
        <w:tblInd w:w="0" w:type="dxa"/>
        <w:tblCellMar>
          <w:top w:w="0" w:type="dxa"/>
          <w:left w:w="0" w:type="dxa"/>
          <w:bottom w:w="0" w:type="dxa"/>
          <w:right w:w="0" w:type="dxa"/>
        </w:tblCellMar>
      </w:tblPr>
      <w:tblGrid>
        <w:gridCol w:w="60"/>
        <w:gridCol w:w="110"/>
        <w:gridCol w:w="92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2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workforce uncertainty in countries where labor unrest is more common than in the United States;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production shortages resulting from any events affecting raw material supply or manufacturing capabilities abroad;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business interruptions resulting from geopolitical actions, including war and terrorism, natural disasters including earthquakes, typhoons, floods and fires, and other public health crises, illnesses, epidemics or pandemics, such as the potential impact of the COVID-19 outbreak.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business operations and relationships with investigators, healthcare professionals, consultants, third-party payors, patient organizations and customers will be subject to applicable fraud and abuse and other healthcare laws and regulations, which could expose us to penalties.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HIPAA, the Health Information Technology for Economic and Clinical Health Act, or HITECH,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fail to comply with evolving European and other privacy laws.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we conduct clinical trials in the European Economic Area, or EEA, we may be subject to additional privacy laws. The General Data Protection Regulation, (EU) 2016/679, or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Risks Related to Our Common Stock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A significant portion of our total outstanding shares are eligible to be sold into the market, which could cause the market price of our common stock to drop significantly.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Sales of a substantial number of shares of our common stock in the public market, or the perception in the market that the holders of a large number of stockholders intend to sell shares of our common stock, could reduce the market price of our common stock. As of March 22, 2021, we had 32,791,817 shares of common stock outstanding.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Holders of an aggregate of 14,689,215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a registration statement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Concentration of ownership of our shares of common stock among our existing executive officers, directors and principal stockholders may prevent new investors from influencing significant corporate decisions.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22, 2021, our directors and executive officers, and entities affiliated with them, as well as holders of more than 5% of our outstanding shares of common stock, in the aggregate beneficially own 69%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are an “emerging growth company” under the Jumpstart Our Business Startups Act, or JOBS Act, and a “smaller reporting company” and we rely on exemptions from certain disclosure and governance requirements applicable to emerging growth companies and smaller reporting companies, as a result of which our common stock may be less attractive to investors.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$1.07 billion or (c) in which we are deemed to be a “large accelerated filer” under the rules of the U.S. Securities and Exchange Commission, which means the market value of our common stock that is held by non-affiliates exceeds $700 million as of the prior June 30; and (2) the date on which we have issued more than $1.0 billion in non-convertible debt during the prior three-year period.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taken advantage of reduced reporting burdens in this Annual Report on Form 10-K. In addition, Section 107 of the JOBS Act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We have an irrevocable election not to take advantage of the benefits of this extended transition period.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after either (i) the market value of our stock held by non-affiliates is less than $250 million or (ii) our annual revenue is less than $100 million during the most recently completed fiscal year and the market value of our stock held by non-affiliates is less than $700 million. To the extent we take advantage of such reduced disclosure obligations, it may also make comparison of our financial statements with other public companies difficult or impossible.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severance and change in control agreements with our executive officers may require us to pay severance benefits to any of those persons who are terminated, which could materially adversely affect our financial condition or results of operations.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could materially adversely affect our financial condition and results of operations. In addition, these potential severance payments may discourage or prevent third parties from seeking a business combination with us.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ability to use our net operating loss carryovers and certain other tax attributes may be limited.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described above under “—We have incurred significant losses since our inception and we expect to continue to incur significant losses for the foreseeable future,” we have incurred net losses since our inception and anticipate that we will continue to incur significant losses for the foreseeable future. Under the Internal Revenue Code of 1986, or the Code, a corporation is generally allowed a deduction for net operating losses, or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Cuts and Jobs Act of 2017, or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Recently enacted legislation, the Coronavirus Aid, Relief and Economic Security Act, or the CARES Act, temporarily reverses the limitations imposed by the Tax Act by suspending the 80% taxable income limitation to permit a corporation to offset without limitation its taxable income in 2019 or 2020 with NOL carryforwards generated in prior years. The CARES Act also allows NOLs generated in tax years 2018-2020 to be carried back up to five years.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do not expect to pay any cash dividends to the holders of our common stock for the foreseeable future.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certificate of incorporation, bylaws and Delaware law contain provisions that may have the effect of delaying or preventing a change in control of us or changes in our management. Our certificate of incorporation and bylaws include provisions that:</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authorize “blank check” preferred stock, which could be issued by our board of directors without stockholder approval and may contain voting, liquidation, dividend and other rights superior to our common stock;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establish a classified board of directors such that not all members of the board are elected at one time, which may delay the ability of our stockholders to change the membership of a majority of our board of directors;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specify that only our board of directors, the Chairperson of our board of directors, our Chief Executive Officer or the President, or holders of greater than 10% of our common stock can call special meetings of our stockholders;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establish an advance notice procedure for stockholder approvals to be brought before an annual meeting of our stockholders, including proposed nominations of persons for election to our board of directors;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provide that a majority of directors then in office, even though less than a quorum, may fill vacancies on our board of directors; </w:t>
            </w:r>
          </w:p>
        </w:tc>
      </w:tr>
    </w:tbl>
    <w:tbl>
      <w:tblPr>
        <w:tblW w:w="8260" w:type="dxa"/>
        <w:jc w:val="left"/>
        <w:tblInd w:w="0" w:type="dxa"/>
        <w:tblCellMar>
          <w:top w:w="0" w:type="dxa"/>
          <w:left w:w="0" w:type="dxa"/>
          <w:bottom w:w="0" w:type="dxa"/>
          <w:right w:w="0" w:type="dxa"/>
        </w:tblCellMar>
      </w:tblPr>
      <w:tblGrid>
        <w:gridCol w:w="60"/>
        <w:gridCol w:w="110"/>
        <w:gridCol w:w="80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0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specify that no stockholder is permitted to cumulate votes at any election of directors; </w:t>
            </w:r>
          </w:p>
        </w:tc>
      </w:tr>
    </w:tbl>
    <w:tbl>
      <w:tblPr>
        <w:tblW w:w="8125" w:type="dxa"/>
        <w:jc w:val="left"/>
        <w:tblInd w:w="0" w:type="dxa"/>
        <w:tblCellMar>
          <w:top w:w="0" w:type="dxa"/>
          <w:left w:w="0" w:type="dxa"/>
          <w:bottom w:w="0" w:type="dxa"/>
          <w:right w:w="0" w:type="dxa"/>
        </w:tblCellMar>
      </w:tblPr>
      <w:tblGrid>
        <w:gridCol w:w="60"/>
        <w:gridCol w:w="110"/>
        <w:gridCol w:w="79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9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expressly authorize our board of directors to modify, alter or repeal our bylaws;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require supermajority votes of the holders of our common stock to amend specified provisions of our Certificate of Incorporation and bylaws.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provisions, alone or together, could delay or prevent hostile takeovers and changes in control or changes in our management.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because we are incorporated in the State of Delaware, we are governed by the provisions of Section 203 of the Delaware General Corporation Law, which limits the ability of stockholders owning in excess of 15% of our outstanding voting stock to merge or combine with us.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certificate of incorporation includes a forum selection clause, which could limit our stockholders’ ability to obtain a favorable judicial forum for disputes with us.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 </w:t>
      </w:r>
    </w:p>
    <w:tbl>
      <w:tblPr>
        <w:tblW w:w="5350" w:type="dxa"/>
        <w:jc w:val="left"/>
        <w:tblInd w:w="0" w:type="dxa"/>
        <w:tblCellMar>
          <w:top w:w="0" w:type="dxa"/>
          <w:left w:w="0" w:type="dxa"/>
          <w:bottom w:w="0" w:type="dxa"/>
          <w:right w:w="0" w:type="dxa"/>
        </w:tblCellMar>
      </w:tblPr>
      <w:tblGrid>
        <w:gridCol w:w="60"/>
        <w:gridCol w:w="110"/>
        <w:gridCol w:w="51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derivative action or proceeding brought on our behalf;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action asserting a claim of breach of a fiduciary duty owed by any of our directors, officers or other employees to us or our stockholders;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action asserting a claim against us arising pursuant to any provision of the Delaware General Corporation Law, our certificate of incorporation or our bylaws; or </w:t>
            </w:r>
          </w:p>
        </w:tc>
      </w:tr>
    </w:tbl>
    <w:tbl>
      <w:tblPr>
        <w:tblW w:w="8470" w:type="dxa"/>
        <w:jc w:val="left"/>
        <w:tblInd w:w="0" w:type="dxa"/>
        <w:tblCellMar>
          <w:top w:w="0" w:type="dxa"/>
          <w:left w:w="0" w:type="dxa"/>
          <w:bottom w:w="0" w:type="dxa"/>
          <w:right w:w="0" w:type="dxa"/>
        </w:tblCellMar>
      </w:tblPr>
      <w:tblGrid>
        <w:gridCol w:w="60"/>
        <w:gridCol w:w="110"/>
        <w:gridCol w:w="83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3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other action asserting a claim against us that is governed by the internal affairs doctrine.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exclusive forum provision is intended to apply to claims arising under Delaware state law and is not intended to apply to claims brought pursuant to the Exchange Act or the Securities Act of 1934 as amended, or the Exchange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84</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General Risk Factors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The market price for our common stock may be volatile, which could contribute to the loss of all or part of your investment.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trading price of our common stock is likely to be highly volatile and subject to wide fluctuations in response to various factors, some of which are beyond our control.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Factors affecting the trading price of our common stock may include, but are not limited to: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decision to initiate a clinical study, not to initiate a clinical study or to terminate an existing clinical study; </w:t>
            </w:r>
          </w:p>
        </w:tc>
      </w:tr>
    </w:tbl>
    <w:tbl>
      <w:tblPr>
        <w:tblW w:w="9100" w:type="dxa"/>
        <w:jc w:val="left"/>
        <w:tblInd w:w="0" w:type="dxa"/>
        <w:tblCellMar>
          <w:top w:w="0" w:type="dxa"/>
          <w:left w:w="0" w:type="dxa"/>
          <w:bottom w:w="0" w:type="dxa"/>
          <w:right w:w="0" w:type="dxa"/>
        </w:tblCellMar>
      </w:tblPr>
      <w:tblGrid>
        <w:gridCol w:w="60"/>
        <w:gridCol w:w="110"/>
        <w:gridCol w:w="89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93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adverse regulatory decisions, including failure to receive regulatory approval for our products; </w:t>
            </w:r>
          </w:p>
        </w:tc>
      </w:tr>
    </w:tbl>
    <w:tbl>
      <w:tblPr>
        <w:tblW w:w="9775" w:type="dxa"/>
        <w:jc w:val="left"/>
        <w:tblInd w:w="0" w:type="dxa"/>
        <w:tblCellMar>
          <w:top w:w="0" w:type="dxa"/>
          <w:left w:w="0" w:type="dxa"/>
          <w:bottom w:w="0" w:type="dxa"/>
          <w:right w:w="0" w:type="dxa"/>
        </w:tblCellMar>
      </w:tblPr>
      <w:tblGrid>
        <w:gridCol w:w="60"/>
        <w:gridCol w:w="110"/>
        <w:gridCol w:w="96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6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success or failure of competitive products, immunotherapy drugs or cellular therapies more generally; </w:t>
            </w:r>
          </w:p>
        </w:tc>
      </w:tr>
    </w:tbl>
    <w:tbl>
      <w:tblPr>
        <w:tblW w:w="7945" w:type="dxa"/>
        <w:jc w:val="left"/>
        <w:tblInd w:w="0" w:type="dxa"/>
        <w:tblCellMar>
          <w:top w:w="0" w:type="dxa"/>
          <w:left w:w="0" w:type="dxa"/>
          <w:bottom w:w="0" w:type="dxa"/>
          <w:right w:w="0" w:type="dxa"/>
        </w:tblCellMar>
      </w:tblPr>
      <w:tblGrid>
        <w:gridCol w:w="60"/>
        <w:gridCol w:w="110"/>
        <w:gridCol w:w="77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adverse developments concerning our manufacturers or our strategic partnerships;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tc>
      </w:tr>
    </w:tbl>
    <w:tbl>
      <w:tblPr>
        <w:tblW w:w="9325" w:type="dxa"/>
        <w:jc w:val="left"/>
        <w:tblInd w:w="0" w:type="dxa"/>
        <w:tblCellMar>
          <w:top w:w="0" w:type="dxa"/>
          <w:left w:w="0" w:type="dxa"/>
          <w:bottom w:w="0" w:type="dxa"/>
          <w:right w:w="0" w:type="dxa"/>
        </w:tblCellMar>
      </w:tblPr>
      <w:tblGrid>
        <w:gridCol w:w="60"/>
        <w:gridCol w:w="110"/>
        <w:gridCol w:w="91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1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operating and stock price performance of other companies that investors deem comparable to us;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sales of substantial amounts of common stock by our directors, executive officers or significant stockholders or the perception that such sales could occur;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general economic and political conditions such as recessions, interest rates, fuel prices, elections, drug pricing policies, international currency fluctuations, acts of war or terrorism, and other public health crises, illnesses, epidemics or pandemics, such as the potential impact of the COVID-19 outbreak; and </w:t>
            </w:r>
          </w:p>
        </w:tc>
      </w:tr>
    </w:tbl>
    <w:tbl>
      <w:tblPr>
        <w:tblW w:w="4315" w:type="dxa"/>
        <w:jc w:val="left"/>
        <w:tblInd w:w="0" w:type="dxa"/>
        <w:tblCellMar>
          <w:top w:w="0" w:type="dxa"/>
          <w:left w:w="0" w:type="dxa"/>
          <w:bottom w:w="0" w:type="dxa"/>
          <w:right w:w="0" w:type="dxa"/>
        </w:tblCellMar>
      </w:tblPr>
      <w:tblGrid>
        <w:gridCol w:w="60"/>
        <w:gridCol w:w="110"/>
        <w:gridCol w:w="41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1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other factors discussed in these risk factors.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example, the trading prices for common stock of other biopharmaceutical and biotechnology companies have been highly volatile as a result of the COVID-19 pandemic. The COVID-19 outbreak continues to rapidly evolve. The extent to which the outbreak may impact our business, preclinical studies and clinical trials will depend on future developments, which are highly uncertain and cannot be predicted with confidence.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Any acquisitions or strategic collaborations may increase our capital requirements, dilute our stockholders, cause us to incur debt or assume contingent liabilities or subject us to other risks.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 </w:t>
      </w:r>
    </w:p>
    <w:tbl>
      <w:tblPr>
        <w:tblW w:w="5215" w:type="dxa"/>
        <w:jc w:val="left"/>
        <w:tblInd w:w="0" w:type="dxa"/>
        <w:tblCellMar>
          <w:top w:w="0" w:type="dxa"/>
          <w:left w:w="0" w:type="dxa"/>
          <w:bottom w:w="0" w:type="dxa"/>
          <w:right w:w="0" w:type="dxa"/>
        </w:tblCellMar>
      </w:tblPr>
      <w:tblGrid>
        <w:gridCol w:w="60"/>
        <w:gridCol w:w="110"/>
        <w:gridCol w:w="50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0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increased operating expenses and cash requirements;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85</w:t>
      </w:r>
    </w:p>
    <w:p>
      <w:pPr>
        <w:pStyle w:val="HorizontalLine"/>
        <w:rPr/>
      </w:pPr>
      <w:r>
        <w:rPr/>
      </w:r>
    </w:p>
    <w:p>
      <w:pPr>
        <w:pStyle w:val="TextBody"/>
        <w:spacing w:before="0" w:after="0"/>
        <w:rPr/>
      </w:pPr>
      <w:r>
        <w:rPr/>
        <w:t> </w:t>
      </w:r>
    </w:p>
    <w:tbl>
      <w:tblPr>
        <w:tblW w:w="106" w:type="dxa"/>
        <w:jc w:val="left"/>
        <w:tblInd w:w="0" w:type="dxa"/>
        <w:tblCellMar>
          <w:top w:w="0" w:type="dxa"/>
          <w:left w:w="0" w:type="dxa"/>
          <w:bottom w:w="0" w:type="dxa"/>
          <w:right w:w="0" w:type="dxa"/>
        </w:tblCellMar>
      </w:tblPr>
      <w:tblGrid>
        <w:gridCol w:w="60"/>
        <w:gridCol w:w="23"/>
        <w:gridCol w:w="23"/>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r>
    </w:tbl>
    <w:tbl>
      <w:tblPr>
        <w:tblW w:w="6670" w:type="dxa"/>
        <w:jc w:val="left"/>
        <w:tblInd w:w="0" w:type="dxa"/>
        <w:tblCellMar>
          <w:top w:w="0" w:type="dxa"/>
          <w:left w:w="0" w:type="dxa"/>
          <w:bottom w:w="0" w:type="dxa"/>
          <w:right w:w="0" w:type="dxa"/>
        </w:tblCellMar>
      </w:tblPr>
      <w:tblGrid>
        <w:gridCol w:w="60"/>
        <w:gridCol w:w="110"/>
        <w:gridCol w:w="65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50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assumption of indebtedness or contingent or unknown liabilities;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assimilation of operations, intellectual property and drugs of an acquired company, including difficulties associated with integrating new personnel; </w:t>
            </w:r>
          </w:p>
        </w:tc>
      </w:tr>
    </w:tbl>
    <w:tbl>
      <w:tblPr>
        <w:tblW w:w="9055" w:type="dxa"/>
        <w:jc w:val="left"/>
        <w:tblInd w:w="0" w:type="dxa"/>
        <w:tblCellMar>
          <w:top w:w="0" w:type="dxa"/>
          <w:left w:w="0" w:type="dxa"/>
          <w:bottom w:w="0" w:type="dxa"/>
          <w:right w:w="0" w:type="dxa"/>
        </w:tblCellMar>
      </w:tblPr>
      <w:tblGrid>
        <w:gridCol w:w="60"/>
        <w:gridCol w:w="110"/>
        <w:gridCol w:w="88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8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adequately prosecuting and maintaining protection of any acquired intellectual property rights;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diversion of our management’s attention from our existing drug programs and initiatives in pursuing such a strategic partnership, merger or acquisition;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retention of key employees, the loss of key personnel, and uncertainties about our ability to maintain key business relationships;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risks and uncertainties associated with the other party to such a transaction, including the prospects of that party and their existing drugs or product candidates and regulatory approvals;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could be subject to securities class action litigation.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securities analysts do not publish research or reports about our business or if they publish negative reports or downgrade our stock, the price of our common stock could decline.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86</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incur significant increased costs as a result of operating as a public company, and our management is required to devote substantial time to new compliance initiatives.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Sarbanes-Oxley Act requires, among other things, that we maintain effective internal control over financial reporting and disclosure controls and procedures.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the later of our second annual report on Form 10-K or the first annual report on Form 10-K following the date on which we are no longer an emerging growth company unless we are a smaller reporting company.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87</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will be required to report upon the effectiveness of our internal control over financial reporting beginning with the annual report for our fiscal year ending December 31, 2021.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disclosure controls and procedures may not prevent or detect all errors or acts of fraud.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Changes to, or interpretations of, financial accounting standards may affect our results of operations and could cause us to change our business practices.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prepare our financial statements in accordance with U.S. generally accepted accounting principles, or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Computer system interruptions or security breaches could significantly disrupt our product development programs and our ability to operate our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internal computer systems, cloud-based computing services and those of our current and any future collaborators and other contractors or consultants are vulnerable to damage or interruption from computer viruses, ransomware, malware, data corruption, cyber-based attacks, unauthorized access, natural disasters, terrorism, war and telecommunication and electrical failures. If a significant system failure, accident or security breach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Furthermore, federal, state and international laws and regulations, such as the European Union’s General Data Protection Regulation, or the GDPR, which took effect in May 2018, and the California Consumer Protection Act, or CCPA which took effect on January 1, 2020, as well as the California Consumer Privacy Act, which was passed in November 2020 and makes a number of significant amendments to the CCPA, can expose us to enforcement actions and investigations by regulatory authorities, and potentially result in regulatory penalties and significant legal liability, if our information technology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In addition, our software systems include cloud-based applications that are hosted by third-party service providers with security and information technology systems subject to similar risks.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 </w:t>
      </w:r>
    </w:p>
    <w:p>
      <w:pPr>
        <w:pStyle w:val="TextBody"/>
        <w:spacing w:before="360" w:after="0"/>
        <w:rPr>
          <w:rFonts w:ascii="Times New Roman" w:hAnsi="Times New Roman"/>
          <w:b/>
          <w:i w:val="false"/>
          <w:caps w:val="false"/>
          <w:smallCaps w:val="false"/>
          <w:sz w:val="20"/>
        </w:rPr>
      </w:pPr>
      <w:bookmarkStart w:id="27" w:name="ITEM_1B_UNRESOLVED_STAFF_COMMENTS"/>
      <w:bookmarkEnd w:id="27"/>
      <w:r>
        <w:rPr>
          <w:rFonts w:ascii="Times New Roman" w:hAnsi="Times New Roman"/>
          <w:b/>
          <w:i w:val="false"/>
          <w:caps w:val="false"/>
          <w:smallCaps w:val="false"/>
          <w:sz w:val="20"/>
        </w:rPr>
        <w:t xml:space="preserve">Item 1B. Unresolved Staff Comments.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r>
        <w:rPr>
          <w:rFonts w:ascii="Times New Roman" w:hAnsi="Times New Roman"/>
          <w:b w:val="false"/>
          <w:i w:val="false"/>
          <w:caps w:val="false"/>
          <w:smallCaps w:val="false"/>
          <w:color w:val="000000"/>
          <w:sz w:val="20"/>
        </w:rPr>
        <w:t>.</w:t>
      </w:r>
    </w:p>
    <w:p>
      <w:pPr>
        <w:pStyle w:val="TextBody"/>
        <w:spacing w:before="360" w:after="0"/>
        <w:rPr>
          <w:rFonts w:ascii="Times New Roman" w:hAnsi="Times New Roman"/>
          <w:b/>
          <w:i w:val="false"/>
          <w:caps w:val="false"/>
          <w:smallCaps w:val="false"/>
          <w:sz w:val="20"/>
        </w:rPr>
      </w:pPr>
      <w:bookmarkStart w:id="28" w:name="ITEM_2_PROPERTIES"/>
      <w:bookmarkEnd w:id="28"/>
      <w:r>
        <w:rPr>
          <w:rFonts w:ascii="Times New Roman" w:hAnsi="Times New Roman"/>
          <w:b/>
          <w:i w:val="false"/>
          <w:caps w:val="false"/>
          <w:smallCaps w:val="false"/>
          <w:sz w:val="20"/>
        </w:rPr>
        <w:t xml:space="preserve">Item 2. Properties.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facilities are located at two adjacent leased sites. The first site, located at 6000 Shoreline Court, Suites 102, 201, 203, 204 and 325, South San Francisco, California, consists of approximately 34,070 square feet of office and laboratory space and is primarily used for research, clinical, manufacturing and corporate activities. Our lease for Suite 325 commenced in January 2021. Our lease covering Suites 102, 204, and 325 expires in January 2029, with an option to extend this lease for an additional seven years. Our sublease covering Suites 201 and 203 expires in March 2021, after which our lease covering Suites 201 and 203 will be in effect, which expires in March 2024. The second site, located at 7000 Shoreline Court, South San Francisco, California, consists of 340 square feet of vivarium space and an additional 215 square feet of shared laboratory space, and is primarily used for preclinical research. Our agreement that provides for our use of these vivarium and laboratory spaces expires in April 2022.</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believe that these facilities are sufficient to meet our current needs. We also believe we will be able to obtain additional space, as needed, on commercially reasonable terms.</w:t>
      </w:r>
    </w:p>
    <w:p>
      <w:pPr>
        <w:pStyle w:val="TextBody"/>
        <w:spacing w:before="360" w:after="0"/>
        <w:rPr>
          <w:rFonts w:ascii="Times New Roman" w:hAnsi="Times New Roman"/>
          <w:b/>
          <w:i w:val="false"/>
          <w:caps w:val="false"/>
          <w:smallCaps w:val="false"/>
          <w:sz w:val="20"/>
        </w:rPr>
      </w:pPr>
      <w:bookmarkStart w:id="29" w:name="ITEM_3_LEGAL_PROCEEDINGS"/>
      <w:bookmarkEnd w:id="29"/>
      <w:r>
        <w:rPr>
          <w:rFonts w:ascii="Times New Roman" w:hAnsi="Times New Roman"/>
          <w:b/>
          <w:i w:val="false"/>
          <w:caps w:val="false"/>
          <w:smallCaps w:val="false"/>
          <w:sz w:val="20"/>
        </w:rPr>
        <w:t xml:space="preserve">Item 3. Legal Proceedings.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 There is one ongoing ex parte re-examination for one of our patents.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89</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August 1, 2018, a third party requested ex parte re-examination of certain claims of U.S. Patent No. 9,511,092, which relates generally to chimeric receptor complexes that bind certain specific natural killer cell ligands and methods of using natural killer cells. U.S. Patent No. 9,511,092 does not relate to our current product candidates but may relate to future product candidates or alternative technologies. This first re-examination by the USPTO is currently pending. On August 2, 2019, a third party requested an ex parte re-examination on the remaining claims of U.S. Patent No. 9,511,092, with the USPTO subsequently issuing a Reexamination Certificate confirming patentability of the claims in an amended form on August 18, 2020.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pStyle w:val="TextBody"/>
        <w:spacing w:before="360" w:after="0"/>
        <w:rPr>
          <w:rFonts w:ascii="Times New Roman" w:hAnsi="Times New Roman"/>
          <w:b/>
          <w:i w:val="false"/>
          <w:caps w:val="false"/>
          <w:smallCaps w:val="false"/>
          <w:sz w:val="20"/>
        </w:rPr>
      </w:pPr>
      <w:bookmarkStart w:id="30" w:name="ITEM_4_MINE_SAFETY_DISCLOSURES"/>
      <w:bookmarkEnd w:id="30"/>
      <w:r>
        <w:rPr>
          <w:rFonts w:ascii="Times New Roman" w:hAnsi="Times New Roman"/>
          <w:b/>
          <w:i w:val="false"/>
          <w:caps w:val="false"/>
          <w:smallCaps w:val="false"/>
          <w:sz w:val="20"/>
        </w:rPr>
        <w:t>Item 4. Mine Safety Disclosures.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Not applicable.</w:t>
      </w:r>
    </w:p>
    <w:p>
      <w:pPr>
        <w:pStyle w:val="TextBody"/>
        <w:spacing w:before="240" w:after="0"/>
        <w:jc w:val="center"/>
        <w:rPr>
          <w:rFonts w:ascii="Times New Roman" w:hAnsi="Times New Roman"/>
          <w:b w:val="false"/>
          <w:i w:val="false"/>
          <w:caps w:val="false"/>
          <w:smallCaps w:val="false"/>
          <w:sz w:val="20"/>
        </w:rPr>
      </w:pPr>
      <w:bookmarkStart w:id="31" w:name="_AEIOULastRenderedPageBreakAEIOU3"/>
      <w:bookmarkEnd w:id="31"/>
      <w:r>
        <w:rPr>
          <w:rFonts w:ascii="Times New Roman" w:hAnsi="Times New Roman"/>
          <w:b w:val="false"/>
          <w:i w:val="false"/>
          <w:caps w:val="false"/>
          <w:smallCaps w:val="false"/>
          <w:sz w:val="20"/>
        </w:rPr>
        <w:t>90</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32" w:name="Part_II"/>
      <w:bookmarkEnd w:id="32"/>
      <w:r>
        <w:rPr>
          <w:rFonts w:ascii="Times New Roman" w:hAnsi="Times New Roman"/>
          <w:b/>
          <w:i w:val="false"/>
          <w:caps w:val="false"/>
          <w:smallCaps w:val="false"/>
          <w:sz w:val="20"/>
        </w:rPr>
        <w:t>PART II</w:t>
      </w:r>
    </w:p>
    <w:p>
      <w:pPr>
        <w:pStyle w:val="TextBody"/>
        <w:spacing w:before="240" w:after="0"/>
        <w:rPr>
          <w:rFonts w:ascii="Times New Roman" w:hAnsi="Times New Roman"/>
          <w:b/>
          <w:i w:val="false"/>
          <w:caps w:val="false"/>
          <w:smallCaps w:val="false"/>
          <w:sz w:val="20"/>
        </w:rPr>
      </w:pPr>
      <w:bookmarkStart w:id="33" w:name="ITEM_5_MARKET_FOR_REGISTRANTS_COMMON_EQU"/>
      <w:bookmarkEnd w:id="33"/>
      <w:r>
        <w:rPr>
          <w:rFonts w:ascii="Times New Roman" w:hAnsi="Times New Roman"/>
          <w:b/>
          <w:i w:val="false"/>
          <w:caps w:val="false"/>
          <w:smallCaps w:val="false"/>
          <w:sz w:val="20"/>
        </w:rPr>
        <w:t xml:space="preserve">Item 5. Market for Registrant’s Common Equity, Related Stockholder Matters and Issuer Purchases of Equity Securities.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Market Information</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common stock has been listed on The Nasdaq Global Select Market under the symbol “NKTX” and has been publicly traded since July 10, 2020. Prior to that date, there was no public trading market for our common stock.</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Holders of Common Stock</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March 22, 2021, there were approximately 40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Dividend Policy</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color w:val="000000"/>
          <w:sz w:val="20"/>
        </w:rPr>
      </w:pPr>
      <w:bookmarkStart w:id="34" w:name="_Hlk623874361"/>
      <w:bookmarkEnd w:id="34"/>
      <w:r>
        <w:rPr>
          <w:rFonts w:ascii="Times New Roman" w:hAnsi="Times New Roman"/>
          <w:b/>
          <w:i w:val="false"/>
          <w:caps w:val="false"/>
          <w:smallCaps w:val="false"/>
          <w:color w:val="000000"/>
          <w:sz w:val="20"/>
        </w:rPr>
        <w:t>Stock Price Performance Graph</w:t>
      </w:r>
      <w:bookmarkStart w:id="35" w:name="_Hlk62387436"/>
      <w:bookmarkEnd w:id="35"/>
      <w:r>
        <w:rPr>
          <w:rFonts w:ascii="Times New Roman" w:hAnsi="Times New Roman"/>
          <w:b/>
          <w:i w:val="false"/>
          <w:caps w:val="false"/>
          <w:smallCaps w:val="false"/>
          <w:color w:val="000000"/>
          <w:sz w:val="20"/>
        </w:rPr>
        <w:t xml:space="preserve">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Notwithstanding any statement to the contrary in any of our previous or future filings with the SEC, the following information relating to the price performance of our common stock shall not be deemed “filed” with the SEC or “soliciting material” under the Exchange Act and shall not be incorporated by reference into any such filings.</w:t>
      </w:r>
    </w:p>
    <w:p>
      <w:pPr>
        <w:pStyle w:val="TextBody"/>
        <w:spacing w:before="240" w:after="0"/>
        <w:rPr>
          <w:rFonts w:ascii="Times New Roman" w:hAnsi="Times New Roman"/>
          <w:b w:val="false"/>
          <w:i w:val="false"/>
          <w:caps w:val="false"/>
          <w:smallCaps w:val="false"/>
          <w:color w:val="000000"/>
          <w:sz w:val="20"/>
        </w:rPr>
      </w:pPr>
      <w:bookmarkStart w:id="36" w:name="_Hlk660171281"/>
      <w:bookmarkStart w:id="37" w:name="_Hlk660171121"/>
      <w:bookmarkEnd w:id="36"/>
      <w:bookmarkEnd w:id="37"/>
      <w:r>
        <w:rPr>
          <w:rFonts w:ascii="Times New Roman" w:hAnsi="Times New Roman"/>
          <w:b w:val="false"/>
          <w:i w:val="false"/>
          <w:caps w:val="false"/>
          <w:smallCaps w:val="false"/>
          <w:color w:val="000000"/>
          <w:sz w:val="20"/>
        </w:rPr>
        <w:t>The table and graph below compares the cumulative total return to stockholders on our common stock to the cumulative total return on the Nasdaq Composite Index and the Nasdaq Biotechnology Index for the period beginning on July 10, 2020 (the date our common stock commenced trading on Nasdaq</w:t>
      </w:r>
      <w:bookmarkStart w:id="38" w:name="_Hlk66017112"/>
      <w:bookmarkEnd w:id="38"/>
      <w:r>
        <w:rPr>
          <w:rFonts w:ascii="Times New Roman" w:hAnsi="Times New Roman"/>
          <w:b w:val="false"/>
          <w:i w:val="false"/>
          <w:caps w:val="false"/>
          <w:smallCaps w:val="false"/>
          <w:color w:val="000000"/>
          <w:sz w:val="20"/>
        </w:rPr>
        <w:t xml:space="preserve"> Global Select Market</w:t>
      </w:r>
      <w:bookmarkStart w:id="39" w:name="_Hlk66017128"/>
      <w:bookmarkEnd w:id="39"/>
      <w:r>
        <w:rPr>
          <w:rFonts w:ascii="Times New Roman" w:hAnsi="Times New Roman"/>
          <w:b w:val="false"/>
          <w:i w:val="false"/>
          <w:caps w:val="false"/>
          <w:smallCaps w:val="false"/>
          <w:color w:val="000000"/>
          <w:sz w:val="20"/>
        </w:rPr>
        <w:t>) through December 31, 2020. The following assumes $100 invested on July 10, 2020 in our common stock at the closing price of $47.90 per share, otherwise reflects our stock and the Nasdaq Composite Index and the Nasdaq Biotechnology Index values as of close of trading, and assumes the reinvestment of dividends, if any. The stock price performance shown in the following graph is not intended to forecast or be indicative of possible future stock price performance.</w:t>
      </w:r>
    </w:p>
    <w:p>
      <w:pPr>
        <w:pStyle w:val="TextBody"/>
        <w:spacing w:before="3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COMPARISON OF 5 MONTH CUMULATIVE TOTAL RETURN</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Among Nkarta, Inc, the Nasdaq Composite Index, and the Nasdaq Biotechnology Index </w:t>
      </w:r>
    </w:p>
    <w:p>
      <w:pPr>
        <w:pStyle w:val="TextBody"/>
        <w:spacing w:before="0" w:after="0"/>
        <w:jc w:val="center"/>
        <w:rPr/>
      </w:pPr>
      <w:r>
        <w:rPr/>
        <w:t> </w:t>
      </w:r>
    </w:p>
    <w:p>
      <w:pPr>
        <w:pStyle w:val="TextBody"/>
        <w:spacing w:before="0" w:after="0"/>
        <w:rPr>
          <w:caps w:val="false"/>
          <w:smallCaps w:val="false"/>
        </w:rPr>
      </w:pPr>
      <w:r>
        <w:rPr>
          <w:caps w:val="false"/>
          <w:smallCaps w:val="false"/>
        </w:rPr>
        <w:drawing>
          <wp:inline distT="0" distB="0" distL="0" distR="0">
            <wp:extent cx="5076825" cy="2628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076825" cy="2628900"/>
                    </a:xfrm>
                    <a:prstGeom prst="rect">
                      <a:avLst/>
                    </a:prstGeom>
                  </pic:spPr>
                </pic:pic>
              </a:graphicData>
            </a:graphic>
          </wp:inline>
        </w:drawing>
      </w:r>
    </w:p>
    <w:p>
      <w:pPr>
        <w:pStyle w:val="TextBody"/>
        <w:spacing w:before="0" w:after="0"/>
        <w:rPr/>
      </w:pPr>
      <w:r>
        <w:rPr/>
        <w:t> </w:t>
      </w:r>
    </w:p>
    <w:tbl>
      <w:tblPr>
        <w:tblW w:w="7098" w:type="dxa"/>
        <w:jc w:val="center"/>
        <w:tblInd w:w="0" w:type="dxa"/>
        <w:tblCellMar>
          <w:top w:w="0" w:type="dxa"/>
          <w:left w:w="0" w:type="dxa"/>
          <w:bottom w:w="28" w:type="dxa"/>
          <w:right w:w="0" w:type="dxa"/>
        </w:tblCellMar>
      </w:tblPr>
      <w:tblGrid>
        <w:gridCol w:w="2075"/>
        <w:gridCol w:w="60"/>
        <w:gridCol w:w="152"/>
        <w:gridCol w:w="407"/>
        <w:gridCol w:w="60"/>
        <w:gridCol w:w="60"/>
        <w:gridCol w:w="152"/>
        <w:gridCol w:w="407"/>
        <w:gridCol w:w="60"/>
        <w:gridCol w:w="60"/>
        <w:gridCol w:w="152"/>
        <w:gridCol w:w="407"/>
        <w:gridCol w:w="60"/>
        <w:gridCol w:w="60"/>
        <w:gridCol w:w="152"/>
        <w:gridCol w:w="407"/>
        <w:gridCol w:w="60"/>
        <w:gridCol w:w="60"/>
        <w:gridCol w:w="176"/>
        <w:gridCol w:w="473"/>
        <w:gridCol w:w="60"/>
        <w:gridCol w:w="60"/>
        <w:gridCol w:w="176"/>
        <w:gridCol w:w="473"/>
        <w:gridCol w:w="60"/>
        <w:gridCol w:w="60"/>
        <w:gridCol w:w="176"/>
        <w:gridCol w:w="473"/>
        <w:gridCol w:w="60"/>
      </w:tblGrid>
      <w:tr>
        <w:trPr/>
        <w:tc>
          <w:tcPr>
            <w:tcW w:w="207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903" w:type="dxa"/>
            <w:gridSpan w:val="2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Cumulative Total Return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5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7/10/20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5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7/31/20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5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8/31/20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5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9/30/20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10/31/20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11/30/20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12/31/20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Nkarta, Inc.</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NASDAQ Biotechnology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NASDAQ Composite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Use of Proceeds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July 14, 2020, we completed our IPO. Our registration statement on Form S-1 (File No. 333-239301) relating to the IPO was declared effective by the SEC on July 9, 2020. The offering commenced on July 9, 2020 and following the sale of the shares upon the closing of the IPO, the offer terminated. We issued an aggregate of 16,100,000 shares of our common stock at a price of $18.00 per share for aggregate net cash proceeds of $265.1 million, after deducting underwriting discounts and commissions and other offering costs of $24.7 million. No offering expenses were paid directly or indirectly to any of our directors or officers (or their associates) or persons owning 10% or more of any class of our equity securities or to any other affiliates.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sale and issuance of 16,100,000 shares in the IPO closed on July 14, 2020. Cowen, Evercore ISI, Stifel, and Mizuho acted as joint book-running managers for the IPO.</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There has been no material change in the planned use of proceeds from our IPO as described in our Prospectus. As of December 31, 2020, we have not used any of the proceeds from our IPO. We invested the funds received in cash equivalents and other marketable securities in accordance with our investment policy.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Recent Sales of Unregistered Securities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Except as previously reported in our quarterly reports on Form 10-Q filed with the SEC on November 12, 2020 and August 20, 2020, there were no unregistered sales of equity securities during the period covered by this report.</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Issuer Purchases of Equity Securities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None.</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Securities Authorized for Issuance Under Equity Compensation Plans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required by this Item regarding equity compensation plans is incorporated by reference to the information set forth in Part III, Item 12 of this Annual Report on Form 10 K.</w:t>
      </w:r>
    </w:p>
    <w:p>
      <w:pPr>
        <w:pStyle w:val="TextBody"/>
        <w:spacing w:before="360" w:after="0"/>
        <w:rPr>
          <w:rFonts w:ascii="Times New Roman" w:hAnsi="Times New Roman"/>
          <w:b/>
          <w:i w:val="false"/>
          <w:caps w:val="false"/>
          <w:smallCaps w:val="false"/>
          <w:sz w:val="20"/>
        </w:rPr>
      </w:pPr>
      <w:bookmarkStart w:id="40" w:name="ITEM_6_SELECTED_FINANCIAL_DATA"/>
      <w:bookmarkEnd w:id="40"/>
      <w:r>
        <w:rPr>
          <w:rFonts w:ascii="Times New Roman" w:hAnsi="Times New Roman"/>
          <w:b/>
          <w:i w:val="false"/>
          <w:caps w:val="false"/>
          <w:smallCaps w:val="false"/>
          <w:sz w:val="20"/>
        </w:rPr>
        <w:t xml:space="preserve">Item 6. Selected Financial Data.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Not </w:t>
      </w:r>
      <w:r>
        <w:rPr>
          <w:rFonts w:ascii="Times New Roman" w:hAnsi="Times New Roman"/>
          <w:b w:val="false"/>
          <w:i w:val="false"/>
          <w:caps w:val="false"/>
          <w:smallCaps w:val="false"/>
          <w:color w:val="000000"/>
          <w:sz w:val="20"/>
        </w:rPr>
        <w:t>applicable</w:t>
      </w:r>
      <w:r>
        <w:rPr>
          <w:rFonts w:ascii="Times New Roman" w:hAnsi="Times New Roman"/>
          <w:b w:val="false"/>
          <w:i w:val="false"/>
          <w:caps w:val="false"/>
          <w:smallCaps w:val="false"/>
          <w:color w:val="000000"/>
          <w:sz w:val="24"/>
          <w:highlight w:val="white"/>
        </w:rPr>
        <w:t xml:space="preserve">. </w:t>
      </w:r>
    </w:p>
    <w:p>
      <w:pPr>
        <w:pStyle w:val="TextBody"/>
        <w:spacing w:before="240" w:after="0"/>
        <w:jc w:val="center"/>
        <w:rPr>
          <w:rFonts w:ascii="Times New Roman" w:hAnsi="Times New Roman"/>
          <w:b w:val="false"/>
          <w:i w:val="false"/>
          <w:caps w:val="false"/>
          <w:smallCaps w:val="false"/>
          <w:sz w:val="20"/>
        </w:rPr>
      </w:pPr>
      <w:bookmarkStart w:id="41" w:name="_AEIOULastRenderedPageBreakAEIOU4"/>
      <w:bookmarkEnd w:id="41"/>
      <w:r>
        <w:rPr>
          <w:rFonts w:ascii="Times New Roman" w:hAnsi="Times New Roman"/>
          <w:b w:val="false"/>
          <w:i w:val="false"/>
          <w:caps w:val="false"/>
          <w:smallCaps w:val="false"/>
          <w:sz w:val="20"/>
        </w:rPr>
        <w:t>93</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42" w:name="ITEM_7_MANAGEMENTS_DISCUSSION_ANALYSIS_F"/>
      <w:bookmarkEnd w:id="42"/>
      <w:r>
        <w:rPr>
          <w:rFonts w:ascii="Times New Roman" w:hAnsi="Times New Roman"/>
          <w:b/>
          <w:i w:val="false"/>
          <w:caps w:val="false"/>
          <w:smallCaps w:val="false"/>
          <w:sz w:val="20"/>
        </w:rPr>
        <w:t xml:space="preserve">Item 7. Management’s Discussion and Analysis of Financial Condition and Results of Operations.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The following discussion and analysis of our financial condition and results of operations should be read in conjunction with our financial statements and related notes appearing elsewhere in this Annual Report.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See “Cautionary Note Regarding Forward-Looking Statements” in this Annual Report.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Overview </w:t>
      </w:r>
    </w:p>
    <w:p>
      <w:pPr>
        <w:pStyle w:val="TextBody"/>
        <w:spacing w:before="240" w:after="0"/>
        <w:rPr>
          <w:rFonts w:ascii="Times New Roman" w:hAnsi="Times New Roman"/>
          <w:b w:val="false"/>
          <w:i w:val="false"/>
          <w:caps w:val="false"/>
          <w:smallCaps w:val="false"/>
          <w:color w:val="000000"/>
          <w:sz w:val="20"/>
        </w:rPr>
      </w:pPr>
      <w:bookmarkStart w:id="43" w:name="_Hlk62904849"/>
      <w:bookmarkEnd w:id="43"/>
      <w:r>
        <w:rPr>
          <w:rFonts w:ascii="Times New Roman" w:hAnsi="Times New Roman"/>
          <w:b w:val="false"/>
          <w:i w:val="false"/>
          <w:caps w:val="false"/>
          <w:smallCaps w:val="false"/>
          <w:color w:val="000000"/>
          <w:sz w:val="20"/>
        </w:rPr>
        <w:t>We are a biopharmaceutical company focused on the discovery, development and commercialization of allogeneic, off-the-shelf engineered natural killer, or NK, cell therapies to treat cancer. Our NK cell engineering platform builds on prior experience and success with engineering T cells and includes proprietary technologies that enable us to generate an abundant supply of NK cells, improve the persistence of these cells for sustained activity in the body, engineer enhanced NK cell recognition of tumor targets and to freeze, store and thaw our engineered NK cells for off-the-shelf use for the treatment of cancer. All of our product candidates are designed to be allogeneic, meaning they are produced using cells from a different person than the patient treated, as well as off-the-shelf, meaning they are produced in quantity, then frozen and therefore available for treating patients without delay, unlike existing autologous cell therapies, or cell therapies derived from a patient’s own cells. Based on recently published data and data presented at medical conferences from a number of clinical trials of certain NK cell therapies, we believe that engineered NK cells have the potential to be an effective cancer therapy, be well tolerated, and avoid some of the toxicities observed with other cell therapies. Our two co-lead product candidates are NKX101 and NKX019.</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NK cell engineering platform is designed to address the limitations and challenges of current technologies for engineering T cells and NK cells and is a result of our internal expertise and deep understanding of NK cell biology. Our platform includes proprietary technologies for NK cell expansion, persistence, targeting and cryopreservation. All of our product candidates incorporate each of the four components of our technology platform, which we believe provides the best opportunity for achieving clinically meaningful results in our development program. </w:t>
      </w:r>
    </w:p>
    <w:p>
      <w:pPr>
        <w:pStyle w:val="TextBody"/>
        <w:spacing w:before="240" w:after="0"/>
        <w:rPr>
          <w:rFonts w:ascii="Times New Roman" w:hAnsi="Times New Roman"/>
          <w:b w:val="false"/>
          <w:i w:val="false"/>
          <w:caps w:val="false"/>
          <w:smallCaps w:val="false"/>
          <w:color w:val="000000"/>
          <w:sz w:val="20"/>
        </w:rPr>
      </w:pPr>
      <w:bookmarkStart w:id="44" w:name="_Hlk55596659"/>
      <w:bookmarkEnd w:id="44"/>
      <w:r>
        <w:rPr>
          <w:rFonts w:ascii="Times New Roman" w:hAnsi="Times New Roman"/>
          <w:b w:val="false"/>
          <w:i w:val="false"/>
          <w:caps w:val="false"/>
          <w:smallCaps w:val="false"/>
          <w:color w:val="000000"/>
          <w:sz w:val="20"/>
        </w:rPr>
        <w:t>Our IND for NKX101 for the treatment of relapsed AML and higher-risk MDS was accepted by the FDA in July 2020. On November 12, 2020, we announced that the first patient was treated in the multi-center Phase 1 clinical trial of NKX101 for the treatment of relapsed/refractory AML or higher risk MDS. This first-in-human study evaluates the safety, pharmacokinetics, and preliminary anti-tumor activity of NKX101, administered in a cycle of three weekly infusions following lymphodepletion. The clinical trial consists of sequential dose-finding and dose-expansion parts and is designed to identify a recommended Phase 2 dose.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not generated any revenue from product sales and have funded our operations primarily from our initial public offering, the issuance of convertible promissory notes, private placements of our preferred stock and with proceeds from our previous collaboration with GSK. We have incurred a net loss of $91.4 million and $21.1 million during the years ended December 31, 2020 and 2019, respectively, and we expect to continue to incur significant losses for the foreseeable future. As of December 31, 2020, we had an accumulated deficit of $118.0 million. At December 31, 2020, we had cash, cash equivalents, restricted cash and short-term investments of $315.3 million.</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our operating expenses to significantly increase as we continue to develop and seek regulatory approvals for our product candidates, engage in other research and development activities to expand our pipeline of product candidates, maintain and expand our intellectual property portfolio, and ultimately establish a commercial organization and operate as a public company. Our net losses may fluctuate significantly from quarter-to-quarter and year-to-year, depending on the timing of our clinical trials, and our expenditures on other research and development activities.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will need substantial additional funding to support our continuing operations and pursue our long-term development strategy. We may seek additional funding through the issuance of our common stock,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Any failure to raise capital as and when needed would compromise our ability to execute on our business plan and may cause us to significantly delay, scale back or discontinue the development of some of our programs or curtail any efforts to expand our product pipeline.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issued shares of our Series B convertible preferred stock for aggregate gross proceeds of $64.4 million in the second tranche of our Series B convertible preferred stock financing on July 1, 2020. On July 14, 2020, we completed the initial public offering of our common stock, or the IPO. In connection with the IPO, we issued and sold 16,100,000 shares of our common stock, including 2,100,000 shares associated with the full exercise of the underwriters’ option to purchase additional shares, at a price to the public of $18.00 per share. We received approximately $265.1 million in net proceeds, after deducting underwriting discounts and commissions and other offering costs of $24.7 million. The shares began trading on the Nasdaq Global Select Market on July 10, 2020. Upon completion of the IPO, all of our outstanding shares of convertible preferred stock converted into 14,689,215 shares of our common stock.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connection with the IPO, our board of directors and stockholders approved the restated certificate of amendment to our certificate of incorporation to, among other things, effect a 1-for-3.7 reverse stock split of our issued and outstanding shares of common stock, as well as a proportional adjustment to the existing conversion ratios for our convertible preferred stock. The reverse stock split was effected on July 1, 2020. All issued and outstanding common stock and convertible preferred stock and related share and per share amounts contained in this Annual Report have been retroactively adjusted to reflect the reverse stock split for all periods presented.</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COVID-19 global pandemic continued to spread throughout the United States and around the world in the fourth quarter of 2020, and multiple variants of the virus that causes COVID-19 are circulating globally. The COVID-19 pandemic is contributing to a general slowdown in the global economy and may affect our business, results of operations, financial condition, and future strategic plans and those of third parties on which we rely, including by causing disruptions in the supply of our product candidates and the conduct of current and future clinical trials. In addition, the COVID-19 pandemic may affect the operations of the FDA and other health authorities, which could result in delays of reviews and approvals, including with respect to our product candidates. The extent of the impact of the COVID-19 pandemic on our operational and financial performance will depend on certain developments, including the duration and spread of the outbreak, and its impact on our planned preclinical studies and clinical trials, employees and vendors, all of which are uncertain and cannot be predicted. We have taken certain precautionary measures to minimize exposure of our employees to the virus and to comply with directives from public health officials. This includes work from home policies for our employees as well as enhanced safety measures for scientists who are in our labs and manufacturing facility. Some of the third-party vendors that we use have experienced disruptions during this pandemic. However, COVID-19 did not materially impact the timelines we previously announced for the filing of the NKX101 IND or the dosing of the first patient in the NKX101 clinical trial, and we do not expect COVID-19 to have a material impact on the current timeline for the filing of the NKX019 IND. At this time, the extent to which the COVID-19 pandemic may impact our financial condition or results of operations is uncertain and these precautionary measures may negatively impact our productivity, and cause disruptions or delays to our activities and timelines. In response to the pandemic, the CARES Act was signed into law on March 27, 2020. The CARES Act, among other things, includes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We continue to evaluate the impact of the CARES Act on our financial position, results of operations and cash flows. We currently do not believe the CARES Act will have a material impact on our financial condition, results of operations, or liquidity.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95</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Financial Operations Overview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Collaboration Revenue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currently have no therapeutic products approved for sale, and we have never generated any revenue from the sale of any therapeutic products. Our ability to generate product revenues will depend on the successful development and eventual commercialization of our product candidates. We may look to generate revenue from collaboration and license agreements in the future, as well as from product sales, which approval we do not expect for several years, if ever. Prior to the year ended December 31, 2019, we generated revenue from a collaboration and license agreement with GSK, which terminated in December 2018. Through 2019, the Company recognized a total collaboration revenue of $7.9 million from the collaboration agreement with GSK. Revenue recognized was a nominal amount of $0.1 million during 2019 due to the wind-down efforts associated with this agreement. Costs incurred in performing the research services under this agreement were recorded as research and development expense in our financial statements.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Operating Expenses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Research and Development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Research and development costs consist primarily of costs incurred for the discovery and clinical development of our drug candidates, which include: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employee-related expenses, including salaries, related benefits, travel and share-based compensation expenses for employees engaged in research and development functions; </w:t>
            </w:r>
          </w:p>
        </w:tc>
      </w:tr>
    </w:tbl>
    <w:tbl>
      <w:tblPr>
        <w:tblW w:w="9550" w:type="dxa"/>
        <w:jc w:val="left"/>
        <w:tblInd w:w="0" w:type="dxa"/>
        <w:tblCellMar>
          <w:top w:w="0" w:type="dxa"/>
          <w:left w:w="0" w:type="dxa"/>
          <w:bottom w:w="0" w:type="dxa"/>
          <w:right w:w="0" w:type="dxa"/>
        </w:tblCellMar>
      </w:tblPr>
      <w:tblGrid>
        <w:gridCol w:w="60"/>
        <w:gridCol w:w="110"/>
        <w:gridCol w:w="938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938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expenses incurred in connection with research, laboratory consumables, sponsored research, and preclinical studies;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cost of consultants engaged in research and development related services and the cost to manufacture drug products for use in our preclinical studies and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facilities, depreciation and other expenses, which include allocated expenses for rent and maintenance of facilities, insurance and supplies; </w:t>
            </w:r>
          </w:p>
        </w:tc>
      </w:tr>
    </w:tbl>
    <w:tbl>
      <w:tblPr>
        <w:tblW w:w="3730" w:type="dxa"/>
        <w:jc w:val="left"/>
        <w:tblInd w:w="0" w:type="dxa"/>
        <w:tblCellMar>
          <w:top w:w="0" w:type="dxa"/>
          <w:left w:w="0" w:type="dxa"/>
          <w:bottom w:w="0" w:type="dxa"/>
          <w:right w:w="0" w:type="dxa"/>
        </w:tblCellMar>
      </w:tblPr>
      <w:tblGrid>
        <w:gridCol w:w="60"/>
        <w:gridCol w:w="110"/>
        <w:gridCol w:w="35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35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costs related to regulatory compliance; and </w:t>
            </w:r>
          </w:p>
        </w:tc>
      </w:tr>
    </w:tbl>
    <w:tbl>
      <w:tblPr>
        <w:tblW w:w="2695" w:type="dxa"/>
        <w:jc w:val="left"/>
        <w:tblInd w:w="0" w:type="dxa"/>
        <w:tblCellMar>
          <w:top w:w="0" w:type="dxa"/>
          <w:left w:w="0" w:type="dxa"/>
          <w:bottom w:w="0" w:type="dxa"/>
          <w:right w:w="0" w:type="dxa"/>
        </w:tblCellMar>
      </w:tblPr>
      <w:tblGrid>
        <w:gridCol w:w="60"/>
        <w:gridCol w:w="110"/>
        <w:gridCol w:w="252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52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cost of annual license fees. </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research and development expenses through December 31, 2020 were primarily incurred in connection with the preclinical development of our most advanced program, NKX101. However, we have not historically tracked research and development expenses by program. We typically have various early 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these costs incurred for these early stage research and drug discovery programs on a project-specific basis.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table summarizes our research and development expenses for the years ended December 31, 2020 and 2019.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w:t>
      </w:r>
    </w:p>
    <w:p>
      <w:pPr>
        <w:pStyle w:val="TextBody"/>
        <w:spacing w:before="0" w:after="0"/>
        <w:rPr/>
      </w:pPr>
      <w:r>
        <w:rPr/>
        <w:t> </w:t>
      </w:r>
    </w:p>
    <w:tbl>
      <w:tblPr>
        <w:tblW w:w="6578" w:type="dxa"/>
        <w:jc w:val="center"/>
        <w:tblInd w:w="0" w:type="dxa"/>
        <w:tblCellMar>
          <w:top w:w="0" w:type="dxa"/>
          <w:left w:w="0" w:type="dxa"/>
          <w:bottom w:w="28" w:type="dxa"/>
          <w:right w:w="0" w:type="dxa"/>
        </w:tblCellMar>
      </w:tblPr>
      <w:tblGrid>
        <w:gridCol w:w="4550"/>
        <w:gridCol w:w="60"/>
        <w:gridCol w:w="154"/>
        <w:gridCol w:w="727"/>
        <w:gridCol w:w="73"/>
        <w:gridCol w:w="73"/>
        <w:gridCol w:w="154"/>
        <w:gridCol w:w="727"/>
        <w:gridCol w:w="60"/>
      </w:tblGrid>
      <w:tr>
        <w:trPr/>
        <w:tc>
          <w:tcPr>
            <w:tcW w:w="45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 external development program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NKX101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8,145</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4,154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NKX019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1,141</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Program 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589</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Unallocated internal research and development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Personnel related (including share-based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16,989</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7,604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9,356</w:t>
            </w:r>
          </w:p>
        </w:tc>
        <w:tc>
          <w:tcPr>
            <w:tcW w:w="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5,433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55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research and development costs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36,220</w:t>
            </w:r>
          </w:p>
        </w:tc>
        <w:tc>
          <w:tcPr>
            <w:tcW w:w="7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17,217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near term and in the future.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successful development of our drug candidates is highly uncertain. This is due to numerous risks and uncertainties, including the following: </w:t>
      </w:r>
    </w:p>
    <w:tbl>
      <w:tblPr>
        <w:tblW w:w="5290" w:type="dxa"/>
        <w:jc w:val="left"/>
        <w:tblInd w:w="0" w:type="dxa"/>
        <w:tblCellMar>
          <w:top w:w="0" w:type="dxa"/>
          <w:left w:w="0" w:type="dxa"/>
          <w:bottom w:w="0" w:type="dxa"/>
          <w:right w:w="0" w:type="dxa"/>
        </w:tblCellMar>
      </w:tblPr>
      <w:tblGrid>
        <w:gridCol w:w="60"/>
        <w:gridCol w:w="110"/>
        <w:gridCol w:w="51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1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successful completion of preclinical studies and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delays in regulators or institutional review boards authorizing us or our investigators to commence our clinical trials or in our ability to negotiate agreements with clinical trial sites or contract research organizations; </w:t>
            </w:r>
          </w:p>
        </w:tc>
      </w:tr>
    </w:tbl>
    <w:tbl>
      <w:tblPr>
        <w:tblW w:w="6280" w:type="dxa"/>
        <w:jc w:val="left"/>
        <w:tblInd w:w="0" w:type="dxa"/>
        <w:tblCellMar>
          <w:top w:w="0" w:type="dxa"/>
          <w:left w:w="0" w:type="dxa"/>
          <w:bottom w:w="0" w:type="dxa"/>
          <w:right w:w="0" w:type="dxa"/>
        </w:tblCellMar>
      </w:tblPr>
      <w:tblGrid>
        <w:gridCol w:w="60"/>
        <w:gridCol w:w="110"/>
        <w:gridCol w:w="61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1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number of enrolled participants and clinical sites included in the trials; </w:t>
            </w:r>
          </w:p>
        </w:tc>
      </w:tr>
    </w:tbl>
    <w:tbl>
      <w:tblPr>
        <w:tblW w:w="7690" w:type="dxa"/>
        <w:jc w:val="left"/>
        <w:tblInd w:w="0" w:type="dxa"/>
        <w:tblCellMar>
          <w:top w:w="0" w:type="dxa"/>
          <w:left w:w="0" w:type="dxa"/>
          <w:bottom w:w="0" w:type="dxa"/>
          <w:right w:w="0" w:type="dxa"/>
        </w:tblCellMar>
      </w:tblPr>
      <w:tblGrid>
        <w:gridCol w:w="60"/>
        <w:gridCol w:w="110"/>
        <w:gridCol w:w="752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52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raising additional funds necessary to complete clinical development of our drug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obtaining and maintaining patent, trade secret and other intellectual property protection and regulatory exclusivity for our drug candidates; </w:t>
            </w:r>
          </w:p>
        </w:tc>
      </w:tr>
    </w:tbl>
    <w:tbl>
      <w:tblPr>
        <w:tblW w:w="7060" w:type="dxa"/>
        <w:jc w:val="left"/>
        <w:tblInd w:w="0" w:type="dxa"/>
        <w:tblCellMar>
          <w:top w:w="0" w:type="dxa"/>
          <w:left w:w="0" w:type="dxa"/>
          <w:bottom w:w="0" w:type="dxa"/>
          <w:right w:w="0" w:type="dxa"/>
        </w:tblCellMar>
      </w:tblPr>
      <w:tblGrid>
        <w:gridCol w:w="60"/>
        <w:gridCol w:w="110"/>
        <w:gridCol w:w="689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689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establishing manufacturing capabilities, for clinical supplies of our drug candidates; </w:t>
            </w:r>
          </w:p>
        </w:tc>
      </w:tr>
    </w:tbl>
    <w:tbl>
      <w:tblPr>
        <w:tblW w:w="2755" w:type="dxa"/>
        <w:jc w:val="left"/>
        <w:tblInd w:w="0" w:type="dxa"/>
        <w:tblCellMar>
          <w:top w:w="0" w:type="dxa"/>
          <w:left w:w="0" w:type="dxa"/>
          <w:bottom w:w="0" w:type="dxa"/>
          <w:right w:w="0" w:type="dxa"/>
        </w:tblCellMar>
      </w:tblPr>
      <w:tblGrid>
        <w:gridCol w:w="60"/>
        <w:gridCol w:w="110"/>
        <w:gridCol w:w="2585"/>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2585"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results of our clinical trials; </w:t>
            </w:r>
          </w:p>
        </w:tc>
      </w:tr>
    </w:tbl>
    <w:tbl>
      <w:tblPr>
        <w:tblW w:w="6130" w:type="dxa"/>
        <w:jc w:val="left"/>
        <w:tblInd w:w="0" w:type="dxa"/>
        <w:tblCellMar>
          <w:top w:w="0" w:type="dxa"/>
          <w:left w:w="0" w:type="dxa"/>
          <w:bottom w:w="0" w:type="dxa"/>
          <w:right w:w="0" w:type="dxa"/>
        </w:tblCellMar>
      </w:tblPr>
      <w:tblGrid>
        <w:gridCol w:w="60"/>
        <w:gridCol w:w="110"/>
        <w:gridCol w:w="59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9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protecting and enforcing our rights in our intellectual property portfolio; </w:t>
            </w:r>
          </w:p>
        </w:tc>
      </w:tr>
    </w:tbl>
    <w:tbl>
      <w:tblPr>
        <w:tblW w:w="7480" w:type="dxa"/>
        <w:jc w:val="left"/>
        <w:tblInd w:w="0" w:type="dxa"/>
        <w:tblCellMar>
          <w:top w:w="0" w:type="dxa"/>
          <w:left w:w="0" w:type="dxa"/>
          <w:bottom w:w="0" w:type="dxa"/>
          <w:right w:w="0" w:type="dxa"/>
        </w:tblCellMar>
      </w:tblPr>
      <w:tblGrid>
        <w:gridCol w:w="60"/>
        <w:gridCol w:w="110"/>
        <w:gridCol w:w="731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731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maintaining a continued acceptable safety profile of the products following approval; and</w:t>
            </w:r>
          </w:p>
        </w:tc>
      </w:tr>
    </w:tbl>
    <w:tbl>
      <w:tblPr>
        <w:tblW w:w="5830" w:type="dxa"/>
        <w:jc w:val="left"/>
        <w:tblInd w:w="0" w:type="dxa"/>
        <w:tblCellMar>
          <w:top w:w="0" w:type="dxa"/>
          <w:left w:w="0" w:type="dxa"/>
          <w:bottom w:w="0" w:type="dxa"/>
          <w:right w:w="0" w:type="dxa"/>
        </w:tblCellMar>
      </w:tblPr>
      <w:tblGrid>
        <w:gridCol w:w="60"/>
        <w:gridCol w:w="110"/>
        <w:gridCol w:w="5660"/>
      </w:tblGrid>
      <w:tr>
        <w:trPr/>
        <w:tc>
          <w:tcPr>
            <w:tcW w:w="6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120" w:after="0"/>
              <w:jc w:val="left"/>
              <w:rPr>
                <w:caps w:val="false"/>
                <w:smallCaps w:val="false"/>
                <w:color w:val="000000"/>
                <w:spacing w:val="0"/>
              </w:rPr>
            </w:pPr>
            <w:r>
              <w:rPr>
                <w:caps w:val="false"/>
                <w:smallCaps w:val="false"/>
                <w:color w:val="000000"/>
                <w:spacing w:val="0"/>
              </w:rPr>
              <w:t>•</w:t>
            </w:r>
          </w:p>
        </w:tc>
        <w:tc>
          <w:tcPr>
            <w:tcW w:w="5660" w:type="dxa"/>
            <w:tcBorders/>
            <w:shd w:fill="auto" w:val="clear"/>
          </w:tcPr>
          <w:p>
            <w:pPr>
              <w:pStyle w:val="TableContents"/>
              <w:spacing w:before="12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business interruptions resulting from the COVID-19 global pandemic.</w:t>
            </w:r>
          </w:p>
        </w:tc>
      </w:tr>
    </w:tbl>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change in the outcome of any of these variables with respect to the development of our drug candidates may significantly impact the costs and timing associated with the development of our drug candidates. We may never succeed in obtaining regulatory approval for any of our drug candidates.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97</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General and Administrative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our general and administrative expenses will increase for the foreseeable future to support our increased research and development activities and to reflect increased costs associated with operating as a public company. These increased costs will likely include increased expenses related to audit, legal, regulatory and tax-related services associated with maintaining compliance with exchange listing and SEC requirements, director and officer insurance premiums and investor relations costs.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Other Income (Expense)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Change in Fair Value of Preferred Stock Purchase Right Liability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August 2019, we entered into a Series B Preferred Stock Purchase Agreement that contained future purchase rights that were required to be accounted for as liabilities and remeasured to fair value at each reporting date, with any change in the fair value reported as a component of other expense, net. We recorded periodic adjustments to the estimated fair value of the preferred stock purchase rights until they were exercised in July 2020. Upon the exercise of the preferred stock purchase right, the final remeasurement adjustment of the convertible preferred stock purchase right liability was recorded and was reclassified to additional paid-in capital on the balance sheets.</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Change in Fair Value of Derivative Liability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May 2019, we issued convertible promissory notes that contained certain conversion options that were required to be accounted for as liabilities and remeasured to fair value at each reporting date, with changes in the fair value reported as a component of other income (expense). In August 2019, our convertible promissory notes and related accrued interest converted into Series B convertible preferred stock and as such a final remeasurement adjustment was recorded at that time.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Loss from Extinguishment of Debt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loss from extinguishment of debt represented the write-off of the unamortized debt issuance costs, slightly offset by the remaining unamortized debt discount, on the date the convertible promissory notes converted into Series B convertible preferred stock.</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Interest Income </w:t>
      </w:r>
    </w:p>
    <w:p>
      <w:pPr>
        <w:pStyle w:val="TextBody"/>
        <w:spacing w:before="120" w:after="0"/>
        <w:rPr>
          <w:rFonts w:ascii="Times New Roman" w:hAnsi="Times New Roman"/>
          <w:b w:val="false"/>
          <w:i w:val="false"/>
          <w:caps w:val="false"/>
          <w:smallCaps w:val="false"/>
          <w:color w:val="000000"/>
          <w:sz w:val="20"/>
        </w:rPr>
      </w:pPr>
      <w:bookmarkStart w:id="45" w:name="_Hlk666225151"/>
      <w:bookmarkEnd w:id="45"/>
      <w:r>
        <w:rPr>
          <w:rFonts w:ascii="Times New Roman" w:hAnsi="Times New Roman"/>
          <w:b w:val="false"/>
          <w:i w:val="false"/>
          <w:caps w:val="false"/>
          <w:smallCaps w:val="false"/>
          <w:color w:val="000000"/>
          <w:sz w:val="20"/>
        </w:rPr>
        <w:t>Interest income consists of interest earned on our cash, cash equivalents and short-term investments</w:t>
      </w:r>
      <w:bookmarkStart w:id="46" w:name="_Hlk66622515"/>
      <w:bookmarkEnd w:id="46"/>
      <w:r>
        <w:rPr>
          <w:rFonts w:ascii="Times New Roman" w:hAnsi="Times New Roman"/>
          <w:b w:val="false"/>
          <w:i w:val="false"/>
          <w:caps w:val="false"/>
          <w:smallCaps w:val="false"/>
          <w:color w:val="000000"/>
          <w:sz w:val="20"/>
        </w:rPr>
        <w:t xml:space="preserve"> and adjustments related to amortization of purchase premiums and accretion of discounts of short-term investments.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Interest Expense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Interest expense consisted of interest on our convertible promissory notes that were outstanding during 2019.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98</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subject to corporate U.S. federal and state income taxation. As of December 31, 2020, we had federal and state net operating loss carryforwards of approximately $63.3 million and $62.7 million, respectively. Of the $63.3 million federal net operating loss carryforwards, $3.2 million will begin expiring in 2035, if not utilized, while $60.1 million can be carried forward indefinitely. The state tax loss carryforwards will begin expiring in 2036, if not utilized. As of December 31, 2020, we had federal and state research and development tax credits of approximately $3.2 million and $1.9 million, respectively. If not utilized, the federal research tax credit will begin to expire in 2035. The California research tax credit can be carried forward indefinitely.</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Utilization of the net operating loss carryforwards may be subject to a substantial annual limitation due to the ownership change limitations provided by the Internal Revenue Code of 1986, as amended, and similar state provisions. This annual limitation may result in the expiration of net operating losses and credits before utilization. We have not performed an analysis to determine the limitation of our net operating loss carryforwards.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estimate our income tax provision, including deferred tax assets and liabilities, based on management’s judgment. We record a valuation allowance to reduce our deferred tax assets to the amounts that are more likely than not to be realized. We consider future taxable income, ongoing tax planning strategies and our historical financial performance in assessing the need for a valuation allowance. If we expect to realize deferred tax assets for which we have previously recorded a valuation allowance, we will reduce the valuation allowance in the period in which such determination is first made.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record liabilities related to uncertain tax positions in accordance with the guidance that clarifies the accounting for uncertainty in income taxes recognized in an enterprise’s financial statements by prescribing a minimum recognition threshold and measurement attribute for the financial statement recognition and measurement of a tax position taken or expected to be taken in a tax return. As of December 31, 2020 and 2019, we had gross unrecognized tax benefits of $0.8 million and $0.3 million, respectively, all of which would affect our income tax expense if recognized, before consideration of our valuation allowance. As of December 31, 2020, we do not expect our unrecognized tax benefits will significantly change over the next 12 months.</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Results of Operations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summarizes our results of operations for the periods indicated (in thousands):</w:t>
      </w:r>
    </w:p>
    <w:p>
      <w:pPr>
        <w:pStyle w:val="TextBody"/>
        <w:spacing w:before="0" w:after="0"/>
        <w:rPr/>
      </w:pPr>
      <w:r>
        <w:rPr/>
        <w:t> </w:t>
      </w:r>
    </w:p>
    <w:tbl>
      <w:tblPr>
        <w:tblW w:w="6747" w:type="dxa"/>
        <w:jc w:val="center"/>
        <w:tblInd w:w="0" w:type="dxa"/>
        <w:tblCellMar>
          <w:top w:w="0" w:type="dxa"/>
          <w:left w:w="0" w:type="dxa"/>
          <w:bottom w:w="28" w:type="dxa"/>
          <w:right w:w="0" w:type="dxa"/>
        </w:tblCellMar>
      </w:tblPr>
      <w:tblGrid>
        <w:gridCol w:w="3785"/>
        <w:gridCol w:w="60"/>
        <w:gridCol w:w="141"/>
        <w:gridCol w:w="734"/>
        <w:gridCol w:w="90"/>
        <w:gridCol w:w="67"/>
        <w:gridCol w:w="141"/>
        <w:gridCol w:w="734"/>
        <w:gridCol w:w="80"/>
        <w:gridCol w:w="60"/>
        <w:gridCol w:w="125"/>
        <w:gridCol w:w="650"/>
        <w:gridCol w:w="80"/>
      </w:tblGrid>
      <w:tr>
        <w:trPr/>
        <w:tc>
          <w:tcPr>
            <w:tcW w:w="37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Collaboration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36,220</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19,003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15,288</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5,247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10,041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51,508</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22,464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29,044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(51,508</w:t>
            </w:r>
          </w:p>
        </w:tc>
        <w:tc>
          <w:tcPr>
            <w:tcW w:w="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(22,349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(29,159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purchase right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(40,163</w:t>
            </w:r>
          </w:p>
        </w:tc>
        <w:tc>
          <w:tcPr>
            <w:tcW w:w="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(41,481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8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derivative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8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extinguishment of debt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313</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9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8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income (expense),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(39,853</w:t>
            </w:r>
          </w:p>
        </w:tc>
        <w:tc>
          <w:tcPr>
            <w:tcW w:w="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1,273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(41,126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(91,361</w:t>
            </w:r>
          </w:p>
        </w:tc>
        <w:tc>
          <w:tcPr>
            <w:tcW w:w="9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(21,076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(70,285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Collaboration revenue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Revenue earned under our collaboration and license agreement with GSK were nil and $0.1 million for the years ended December 31, 2020 and 2019, respectively. Collaboration revenue recognized during 2019 was nominal in amount and was related to wind-down activities as the collaboration agreement with GSK was terminated in December 2018. There will be no further revenues recognized after 2019 under this agreement.</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spacing w:before="240" w:after="0"/>
        <w:rPr>
          <w:rFonts w:ascii="Times New Roman" w:hAnsi="Times New Roman"/>
          <w:b w:val="false"/>
          <w:i w:val="false"/>
          <w:caps w:val="false"/>
          <w:smallCaps w:val="false"/>
          <w:color w:val="000000"/>
          <w:sz w:val="20"/>
        </w:rPr>
      </w:pPr>
      <w:bookmarkStart w:id="47" w:name="_Hlk552374751"/>
      <w:bookmarkEnd w:id="47"/>
      <w:r>
        <w:rPr>
          <w:rFonts w:ascii="Times New Roman" w:hAnsi="Times New Roman"/>
          <w:b w:val="false"/>
          <w:i w:val="false"/>
          <w:caps w:val="false"/>
          <w:smallCaps w:val="false"/>
          <w:color w:val="000000"/>
          <w:sz w:val="20"/>
        </w:rPr>
        <w:t>Research and development expenses were $36.2 million and $17.2 million for the years ended December 31, 2020 and 2019, respectively. The increase of $19.0 million was primarily due to increases of $9.4 million in personnel costs, including an increase in share-based compensation expense of $1.5 million as a result of continued growth in headcount, and increases of $5.7 million in our external program costs related to NKX101, NKX019 and Program 3, and $4.0 million in other internal research costs, primarily consisting of research and laboratory supplies and facilities expenses.</w:t>
      </w:r>
      <w:bookmarkStart w:id="48" w:name="_Hlk55237475"/>
      <w:bookmarkEnd w:id="48"/>
      <w:r>
        <w:rPr>
          <w:rFonts w:ascii="Times New Roman" w:hAnsi="Times New Roman"/>
          <w:b w:val="false"/>
          <w:i w:val="false"/>
          <w:caps w:val="false"/>
          <w:smallCaps w:val="false"/>
          <w:color w:val="000000"/>
          <w:sz w:val="20"/>
        </w:rPr>
        <w:t xml:space="preserve"> We expect our research and development expenses will increase in the future periods as we progress our product candidates and conduct our clinical trials and development activities.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spacing w:before="240" w:after="0"/>
        <w:rPr>
          <w:rFonts w:ascii="Times New Roman" w:hAnsi="Times New Roman"/>
          <w:b w:val="false"/>
          <w:i w:val="false"/>
          <w:caps w:val="false"/>
          <w:smallCaps w:val="false"/>
          <w:color w:val="000000"/>
          <w:sz w:val="20"/>
        </w:rPr>
      </w:pPr>
      <w:bookmarkStart w:id="49" w:name="_Hlk667408201"/>
      <w:bookmarkEnd w:id="49"/>
      <w:r>
        <w:rPr>
          <w:rFonts w:ascii="Times New Roman" w:hAnsi="Times New Roman"/>
          <w:b w:val="false"/>
          <w:i w:val="false"/>
          <w:caps w:val="false"/>
          <w:smallCaps w:val="false"/>
          <w:color w:val="000000"/>
          <w:sz w:val="20"/>
        </w:rPr>
        <w:t xml:space="preserve">General and administrative expenses were $15.3 million and $5.2 million for the years ended December 31, 2020 and 2019, respectively. The increase of $10.0 million was primarily due to an increase in personnel costs of $6.1 million, including an increase of $2.0 million in share-based compensation expense as a result of continued growth in headcount and $2.3 million in share-based compensation expense related to the modification of certain stock option granted to our former Chief Financial Officer under a Separation and Release Agreement that was executed in October 2020. The increases in general and administrative expense were also due to a $1.1 million increase in legal </w:t>
      </w:r>
      <w:bookmarkStart w:id="50" w:name="_Hlk66740820"/>
      <w:bookmarkEnd w:id="50"/>
      <w:r>
        <w:rPr>
          <w:rFonts w:ascii="Times New Roman" w:hAnsi="Times New Roman"/>
          <w:b w:val="false"/>
          <w:i w:val="false"/>
          <w:caps w:val="false"/>
          <w:smallCaps w:val="false"/>
          <w:color w:val="000000"/>
          <w:sz w:val="20"/>
        </w:rPr>
        <w:t>costs, and $1.2 million increases in outside consulting fees, and accounting and audit fees associated with maintaining compliance with exchange listing and SEC requirements as a public company, and a $1.6 million increase in other general and administrative expenses that included insurance, rent, depreciation expense and other facilities expense. We have incurred and expect to continue incur additional expenses as a result of being a public company following the completion of our IPO in July 2020, including costs to comply with the rules and regulations applicable to companies listed on a national securities exchange and costs related to compliance and reporting obligations pursuant to the rules and regulations of the SEC. In addition, we have incurred and expect to continue to incur increased expenses related to additional insurance, investor relations and other increases related to needs for additional human resources and professional services associated with being a public company.</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Change in fair value of preferred stock purchase right liability</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recognized a remeasurement adjustment for the change in fair value of preferred stock purchase right liability of $40.2 million in other expense and $1.3 million in other income for the years ended December 31, 2020 and 2019, respectively. This was related to the Series B Preferred Stock Purchase Agreement that we entered into in August 2019, which contained future purchase rights that were required to be accounted for as liabilities and remeasured to fair value at each reporting date, with any change in the fair value reported as a component of other expense, net. Upon the exercise of the preferred stock purchase right with the completion of the Series B Milestone Closing in July 2020, that resulted in the issuance of 27,066,206 shares of our Series B convertible preferred stock for an aggregate gross proceeds of $64.4 million, the final remeasurement adjustment of the preferred stock purchase right liability was recorded and reclassified to additional paid-in capital on the balance sheets.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Change in fair value of derivative liability</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change in fair value of derivative liability resulted in a remeasurement benefit of $0.9 million for the year ended December 31, 2019. This was related to the conversion of our convertible promissory notes and related accrued interest into Series B convertible preferred stock upon the sale of the Series B convertible preferred stock in August 2019. The final remeasurement adjustment of the derivative liability was recorded in August 2019.</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Loss from extinguishment of debt</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extinguishment of debt was $0.8 million for the year ended December 31, 2019. This was related to the conversion of our convertible promissory notes into our Series B convertible preferred stock in August 2019 that resulted in the write-off of all related unamortized debt issuance costs offset by the remaining unamortized debt discount.</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Interest income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 were $0.3 million and $0.3 million for the years ended December 31, 2020 and 2019 respectively. Interest income for the year ended December 31, 2020 was comprised of interest earned from short-term investments of $1.0 million, offset by amortization of purchase premiums and accretion of discounts of short-term investments of $0.7 million. Interest income for the year ended December 31, 2019 was related to interest income of $0.3 million.</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 was nil and $0.5 million for the years ended December 31, 2020 and 2019, respectively. The non-cash interest expense was related to a debt discount feature on our convertible promissory notes issued in May 2019.</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Liquidity and Capital Resources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Sources of Liquidity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2020, we had cash, cash equivalents, restricted cash and short-term investments of $315.3 million. In connection with our IPO which closed on July 14, 2020, we received $265.1 million in net proceeds, after deducting underwriting discounts and commissions and other offering expenses. We issued and sold 16,100,000 shares of our common stock, including 2,100,000 shares associated with the full exercise of the underwriters’ option to purchase additional shares, at a price to the public of $18.00 per share. On July 1, 2020, we issued 27,066,206 shares of our Series B convertible preferred stock at a price of $2.37935 per share for gross proceeds of $64.4 million in connection with the closing of the second tranche of our Series B convertible preferred stock financing upon the exercise of the preferred stock purchase right.</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Prior to our IPO, we funded our operations primarily through the issuance of convertible promissory notes and private placements of our convertible preferred stock with total gross proceeds of $126.0 million, and from our previous collaboration agreement with GSK which terminated in December 2018 of $7.9 million.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incurred net losses and negative cash flows from operations since our inception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Furthermore, we expect to incur additional costs associated with operating as a public company, including significant legal, accounting, investor relations and other expenses that we did not incur as a private company.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will need substantial additional funding to support our continuing operations and pursue our development strategy. Until such time as we can generate significant revenue from sales of our drug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believe that our cash and investment balances as of December 31, 2020 will be sufficient to meet our cash needs for at least 12 months following the issuance date of this Annual Report on Form 10-K.</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Cash Flows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table sets forth a summary of our cash flows for the periods indicated (in thousands): </w:t>
      </w:r>
    </w:p>
    <w:p>
      <w:pPr>
        <w:pStyle w:val="TextBody"/>
        <w:spacing w:before="0" w:after="0"/>
        <w:rPr/>
      </w:pPr>
      <w:r>
        <w:rPr/>
        <w:t> </w:t>
      </w:r>
    </w:p>
    <w:tbl>
      <w:tblPr>
        <w:tblW w:w="5413" w:type="dxa"/>
        <w:jc w:val="center"/>
        <w:tblInd w:w="0" w:type="dxa"/>
        <w:tblCellMar>
          <w:top w:w="0" w:type="dxa"/>
          <w:left w:w="0" w:type="dxa"/>
          <w:bottom w:w="28" w:type="dxa"/>
          <w:right w:w="0" w:type="dxa"/>
        </w:tblCellMar>
      </w:tblPr>
      <w:tblGrid>
        <w:gridCol w:w="3365"/>
        <w:gridCol w:w="60"/>
        <w:gridCol w:w="133"/>
        <w:gridCol w:w="803"/>
        <w:gridCol w:w="85"/>
        <w:gridCol w:w="63"/>
        <w:gridCol w:w="133"/>
        <w:gridCol w:w="691"/>
        <w:gridCol w:w="80"/>
      </w:tblGrid>
      <w:tr>
        <w:trPr/>
        <w:tc>
          <w:tcPr>
            <w:tcW w:w="33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3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(43,506</w:t>
            </w:r>
          </w:p>
        </w:tc>
        <w:tc>
          <w:tcPr>
            <w:tcW w:w="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(18,367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(210,081</w:t>
            </w:r>
          </w:p>
        </w:tc>
        <w:tc>
          <w:tcPr>
            <w:tcW w:w="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(18,295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6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329,817</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49,581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6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increase in cash and cash equivalents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76,230</w:t>
            </w:r>
          </w:p>
        </w:tc>
        <w:tc>
          <w:tcPr>
            <w:tcW w:w="8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12,919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Operating Activities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net cash used in operating activities for the year ended December 31, 2020 was $43.5 million was primarily due to our net loss of $91.4 million, adjusted for net non-cash charges of $48.7 million and a change in operating assets and liabilities of $0.8 million. The net non-cash charges of $48.7 million consisted primarily of change in fair value of our preferred stock purchase right liability of $40.2 million related to the </w:t>
      </w:r>
      <w:r>
        <w:rPr>
          <w:rFonts w:ascii="Times New Roman" w:hAnsi="Times New Roman"/>
          <w:b w:val="false"/>
          <w:i w:val="false"/>
          <w:caps w:val="false"/>
          <w:smallCaps w:val="false"/>
          <w:color w:val="000000"/>
          <w:sz w:val="20"/>
        </w:rPr>
        <w:t>remeasurement adjustment of the Series B convertible preferred stock purchase right liability</w:t>
      </w:r>
      <w:r>
        <w:rPr>
          <w:rFonts w:ascii="Times New Roman" w:hAnsi="Times New Roman"/>
          <w:b w:val="false"/>
          <w:i w:val="false"/>
          <w:caps w:val="false"/>
          <w:smallCaps w:val="false"/>
          <w:sz w:val="20"/>
        </w:rPr>
        <w:t xml:space="preserve">, share-based compensation of $6.7 million, depreciation and amortization of $0.8 million, investment accretion and amortization of $0.7 million and non-lease lease expense of $0.3 million.  The net change in operating assets and liabilities of $0.8 million was related to the increase in prepaid and other current assets of $3.6 million primarily due to higher prepayments for </w:t>
      </w:r>
      <w:r>
        <w:rPr>
          <w:rFonts w:ascii="Times New Roman" w:hAnsi="Times New Roman"/>
          <w:b w:val="false"/>
          <w:i w:val="false"/>
          <w:caps w:val="false"/>
          <w:smallCaps w:val="false"/>
          <w:color w:val="000000"/>
          <w:sz w:val="20"/>
        </w:rPr>
        <w:t>director and officer insurance premiums</w:t>
      </w:r>
      <w:r>
        <w:rPr>
          <w:rFonts w:ascii="Times New Roman" w:hAnsi="Times New Roman"/>
          <w:b w:val="false"/>
          <w:i w:val="false"/>
          <w:caps w:val="false"/>
          <w:smallCaps w:val="false"/>
          <w:sz w:val="20"/>
        </w:rPr>
        <w:t xml:space="preserve"> and other current assets, offset by an increase in accounts payable and accrued and other liabilities of $2.8 million </w:t>
      </w:r>
      <w:r>
        <w:rPr>
          <w:rFonts w:ascii="Times New Roman" w:hAnsi="Times New Roman"/>
          <w:b w:val="false"/>
          <w:i w:val="false"/>
          <w:caps w:val="false"/>
          <w:smallCaps w:val="false"/>
          <w:color w:val="000000"/>
          <w:sz w:val="20"/>
          <w:highlight w:val="white"/>
        </w:rPr>
        <w:t>as we continued to increase our research and development related activities</w:t>
      </w:r>
      <w:r>
        <w:rPr>
          <w:rFonts w:ascii="Times New Roman" w:hAnsi="Times New Roman"/>
          <w:b w:val="false"/>
          <w:i w:val="false"/>
          <w:caps w:val="false"/>
          <w:smallCaps w:val="false"/>
          <w:sz w:val="20"/>
        </w:rPr>
        <w: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net cash used in operating activities for the year ended December 31, 2019 of $18.4 million was primarily due to our net loss of $21.1 million, adjusted for non-cash charges of $0.5 million and a change in operating assets and liabilities of $2.2 million.  The net non-cash charges of $0.5 million consisted primarily share-based compensation of $0.9 million, depreciation and amortization of $0.4 million, offset by $1.0 million due to net changes in fair value of our preferred stock purchase right liability and derivative liability, non-cash loss from extinguishment of debt, and non-cash interest expense related to </w:t>
      </w:r>
      <w:r>
        <w:rPr>
          <w:rFonts w:ascii="Times New Roman" w:hAnsi="Times New Roman"/>
          <w:b w:val="false"/>
          <w:i w:val="false"/>
          <w:caps w:val="false"/>
          <w:smallCaps w:val="false"/>
          <w:color w:val="000000"/>
          <w:sz w:val="20"/>
        </w:rPr>
        <w:t>our convertible promissory notes that were outstanding during 2019</w:t>
      </w:r>
      <w:r>
        <w:rPr>
          <w:rFonts w:ascii="Times New Roman" w:hAnsi="Times New Roman"/>
          <w:b w:val="false"/>
          <w:i w:val="false"/>
          <w:caps w:val="false"/>
          <w:smallCaps w:val="false"/>
          <w:sz w:val="20"/>
        </w:rPr>
        <w:t xml:space="preserve">. The net change in operating assets and liabilities of $2.2 million is related to the increase in prepaid expenses and other current assets of $0.5 million, offset by an increase in accounts payable and accrued and other liabilities of $2.6 million </w:t>
      </w:r>
      <w:r>
        <w:rPr>
          <w:rFonts w:ascii="Times New Roman" w:hAnsi="Times New Roman"/>
          <w:b w:val="false"/>
          <w:i w:val="false"/>
          <w:caps w:val="false"/>
          <w:smallCaps w:val="false"/>
          <w:color w:val="000000"/>
          <w:sz w:val="20"/>
          <w:highlight w:val="white"/>
        </w:rPr>
        <w:t>due to the timing of payments</w:t>
      </w:r>
      <w:r>
        <w:rPr>
          <w:rFonts w:ascii="Times New Roman" w:hAnsi="Times New Roman"/>
          <w:b w:val="false"/>
          <w:i w:val="false"/>
          <w:caps w:val="false"/>
          <w:smallCaps w:val="false"/>
          <w:sz w:val="20"/>
        </w:rPr>
        <w:t>.</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Investing Activities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net cash used by investing activities for the years ended December 31, 2020 of $210.1 million was comprised of purchases of short-term investments of $222.6 million using the proceeds from Series B preferred stock upon the closing of Series B Preferred Stock Milestone Closing and proceeds from our initial public offering in July 2020, offset by proceeds from maturities of short-term investments of $20.0 million, and purchases of property and equipment of $7.5 million primarily related to the construction of our manufacturing facility.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net cash used in investing activities for the year ended December 31, 2019 of $18.3 million was primarily due to purchases of $16.4 million in short-term investments, using the proceeds received from our Series B convertible preferred stock financing in 2019, and purchases of property and equipment of $1.9 million to support our research activities. </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Financing Activities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provided by financing activities for the year ended December 31, 2020 of $329.8 million, was mainly due to the net proceeds of $265.1 million from initial public offering, after deducting </w:t>
      </w:r>
      <w:r>
        <w:rPr>
          <w:rFonts w:ascii="Times New Roman" w:hAnsi="Times New Roman"/>
          <w:b w:val="false"/>
          <w:i w:val="false"/>
          <w:caps w:val="false"/>
          <w:smallCaps w:val="false"/>
          <w:color w:val="000000"/>
          <w:sz w:val="20"/>
        </w:rPr>
        <w:t xml:space="preserve">underwriting discounts and commissions and other offering costs </w:t>
      </w:r>
      <w:r>
        <w:rPr>
          <w:rFonts w:ascii="Times New Roman" w:hAnsi="Times New Roman"/>
          <w:b w:val="false"/>
          <w:i w:val="false"/>
          <w:caps w:val="false"/>
          <w:smallCaps w:val="false"/>
          <w:sz w:val="20"/>
        </w:rPr>
        <w:t xml:space="preserve">of $24.7 million, net proceeds of $64.3 million from the issuance of our Series B convertible preferred stock, after deducting issuance costs of $0.1 million, and proceeds of $0.4 million from the exercise of stock options.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provided by financing activities for the year ended December 31, 2019 of $49.6 million, was primarily due to the proceeds of $6.0 million received from the issuance of our convertible promissory notes and the proceeds of $43.5 million received from the issuance of our Series B convertible preferred stock, net of issuance costs of $0.5 million.</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Funding Requirements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upon our current operating plans, we believe that our existing cash, cash equivalents, restricted cash and short-term investments will be sufficient to fund our operations for at least the next 12 months from the date of this filing.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future capital requirements will depend on many factors,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type, number, scope, progress, expansions, results, costs and timing of, our clinical trials and preclinical studies for our product candidates or other potential product candidates or indications which we are pursuing or may choose to pursue in the future; </w:t>
            </w:r>
          </w:p>
        </w:tc>
      </w:tr>
    </w:tbl>
    <w:tbl>
      <w:tblPr>
        <w:tblW w:w="7555" w:type="dxa"/>
        <w:jc w:val="left"/>
        <w:tblInd w:w="0" w:type="dxa"/>
        <w:tblCellMar>
          <w:top w:w="0" w:type="dxa"/>
          <w:left w:w="0" w:type="dxa"/>
          <w:bottom w:w="0" w:type="dxa"/>
          <w:right w:w="0" w:type="dxa"/>
        </w:tblCellMar>
      </w:tblPr>
      <w:tblGrid>
        <w:gridCol w:w="60"/>
        <w:gridCol w:w="110"/>
        <w:gridCol w:w="73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3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outcome, timing and costs of regulatory review of our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costs and timing of manufacturing for our product candidates, including commercial manufacturing and the costs associated with building our manufacturing facility;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efforts to enhance operational systems and hire additional personnel to satisfy our obligations as a public company, including enhanced internal controls over financial reporting;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costs associated with hiring additional personnel and consultants as our preclinical and clinical activities increase;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costs and timing of establishing or securing sales and marketing capabilities if any product candidate is approved;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our ability to achieve sufficient market acceptance, coverage and adequate reimbursement from third-party payors and adequate market share and revenue for any approved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patients’ willingness or ability to pay out-of-pocket for any approved products in the absence of coverage and/or adequate reimbursement from third-party payors;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terms and timing of establishing and maintaining collaborations, licenses and other similar arrangements, including payments required for meeting regulatory and commercial milestones or sales based royalties; </w:t>
            </w:r>
          </w:p>
        </w:tc>
      </w:tr>
    </w:tbl>
    <w:tbl>
      <w:tblPr>
        <w:tblW w:w="9790" w:type="dxa"/>
        <w:jc w:val="left"/>
        <w:tblInd w:w="0" w:type="dxa"/>
        <w:tblCellMar>
          <w:top w:w="0" w:type="dxa"/>
          <w:left w:w="0" w:type="dxa"/>
          <w:bottom w:w="0" w:type="dxa"/>
          <w:right w:w="0" w:type="dxa"/>
        </w:tblCellMar>
      </w:tblPr>
      <w:tblGrid>
        <w:gridCol w:w="60"/>
        <w:gridCol w:w="110"/>
        <w:gridCol w:w="96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62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the costs of obtaining, maintaining and enforcing our patent and other intellectual property rights; and </w:t>
            </w:r>
          </w:p>
        </w:tc>
      </w:tr>
    </w:tbl>
    <w:tbl>
      <w:tblPr>
        <w:tblW w:w="10060" w:type="dxa"/>
        <w:jc w:val="left"/>
        <w:tblInd w:w="0" w:type="dxa"/>
        <w:tblCellMar>
          <w:top w:w="0" w:type="dxa"/>
          <w:left w:w="0" w:type="dxa"/>
          <w:bottom w:w="0" w:type="dxa"/>
          <w:right w:w="0" w:type="dxa"/>
        </w:tblCellMar>
      </w:tblPr>
      <w:tblGrid>
        <w:gridCol w:w="60"/>
        <w:gridCol w:w="110"/>
        <w:gridCol w:w="98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8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costs associated with any product candidates, products or technologies that we may in-license or acquire.</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Until such time as we can generate significant revenue from sales of our therapeutic product candidates, if ever, we expect to finance our cash needs through public or private equity or debt financings or other capital sources, including potential collaborations, licenses and other similar arrangements.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Contractual Obligations and Commitments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May 2018, we entered into a lease agreement for our corporate office and laboratory space located in South San Francisco, California with an expiration date in May 2025. In April 2019, we executed the first amendment to the lease agreement for additional corporate space, laboratory space and manufacturing capabilities and an extension to the lease term through April 2026. The terms of the lease contain a rent abatement for the first month and rent escalation provisions. In addition to the base rent payments, we will be obligated to pay certain customary amounts for our share of operating expenses and tax obligations related to the facilities.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May 2020, we executed the second amendment to the lease agreement for an eight-year non-cancelable lease for additional office and laboratory space in the same building. The lease for the additional space provided for abatement of rent during the first three months of the lease and contained rent escalations during the term of the lease. The lease for this additional space is expected to commence in the first quarter of 2021 and expires in 2029. The lease also includes an extension of the lease term of our existing office and laboratory space beginning May 1, 2020 through the first quarter of 2029, with an option to extend the lease for an additional seven-year term.</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January 2021, we executed the third amendment to the lease agreement for a three-year non-cancelable lease for additional office space in the same building. The lease for this additional space is expected to commence in the second quarter of 2021 and expires in March 2024. The other terms of the existing lease remain unchanged.</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Off-Balance Sheet Arrangements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periods presented, we did not have, nor do we currently have, any off-balance sheet arrangements as defined under the rules and regulations of the SEC.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Critical Accounting Policies and Significant Judgments and Estimates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contingent assets and liabilities in our financial statements and accompanying notes. On an ongoing basis, we evaluate our estimates and judgments, including those related to preclinical studies and clinical trial accruals, share-based compensation and preferred stock purchase right liability</w:t>
      </w:r>
      <w:r>
        <w:rPr>
          <w:rFonts w:ascii="Times New Roman" w:hAnsi="Times New Roman"/>
          <w:b w:val="false"/>
          <w:i w:val="false"/>
          <w:caps w:val="false"/>
          <w:smallCaps w:val="false"/>
          <w:color w:val="000000"/>
          <w:sz w:val="20"/>
        </w:rPr>
        <w:t xml:space="preserve"> prior to the conversion of convertible preferred stock to common stock in July 2020</w:t>
      </w:r>
      <w:r>
        <w:rPr>
          <w:rFonts w:ascii="Times New Roman" w:hAnsi="Times New Roman"/>
          <w:b w:val="false"/>
          <w:i w:val="false"/>
          <w:caps w:val="false"/>
          <w:smallCaps w:val="false"/>
          <w:sz w:val="20"/>
        </w:rPr>
        <w:t xml:space="preserve">.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r>
        <w:rPr>
          <w:rFonts w:ascii="Times New Roman" w:hAnsi="Times New Roman"/>
          <w:b w:val="false"/>
          <w:i w:val="false"/>
          <w:caps w:val="false"/>
          <w:smallCaps w:val="false"/>
          <w:color w:val="000000"/>
          <w:sz w:val="20"/>
        </w:rPr>
        <w:t xml:space="preserve">See Note 2 to our financial statements included in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Part II, Item 8 of this Annual Report on Form 10-K for a summary of significant accounting policies and the effect on our financial statements.</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Recently Issued Accounting Pronouncements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 Recent Accounting Pronouncements in Note 2 to our financial statements included in Part II</w:t>
      </w:r>
      <w:r>
        <w:rPr>
          <w:rFonts w:ascii="Times New Roman" w:hAnsi="Times New Roman"/>
          <w:b w:val="false"/>
          <w:i w:val="false"/>
          <w:caps w:val="false"/>
          <w:smallCaps w:val="false"/>
          <w:color w:val="000000"/>
          <w:sz w:val="20"/>
        </w:rPr>
        <w:t>, Item 8</w:t>
      </w:r>
      <w:r>
        <w:rPr>
          <w:rFonts w:ascii="Times New Roman" w:hAnsi="Times New Roman"/>
          <w:b w:val="false"/>
          <w:i w:val="false"/>
          <w:caps w:val="false"/>
          <w:smallCaps w:val="false"/>
          <w:sz w:val="20"/>
        </w:rPr>
        <w:t xml:space="preserve"> of this Annual Report on Form 10-K.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Indemnification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permitted under Delaware law and in accordance with our bylaws, we indemnify our officers and directors for certain events or occurrences while the officer or director is or was serving in such capacity. We are also a party to indemnification agreements with our officers and directors. We believe the fair value of the indemnification rights and agreements is minimal. Accordingly, we have not recorded any liabilities for these indemnification rights and agreements as of December 31, 2020 and 2019.</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Segment Information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one business activity and operate in one reportable segment.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JOBS Act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Sarbanes-Oxley.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bookmarkStart w:id="51" w:name="ITEM_7A_QUANTITATIVE_QUALITATIVE_DISCLOS"/>
      <w:bookmarkEnd w:id="51"/>
      <w:r>
        <w:rPr>
          <w:rFonts w:ascii="Times New Roman" w:hAnsi="Times New Roman"/>
          <w:b/>
          <w:i w:val="false"/>
          <w:caps w:val="false"/>
          <w:smallCaps w:val="false"/>
          <w:sz w:val="20"/>
        </w:rPr>
        <w:t xml:space="preserve">Item 7A. Quantitative and Qualitative Disclosures About Market Risk.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and short-term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December 31, 2020, this change would not have had a material effect on the fair value of our investment portfolio as of that date.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 Inflation generally affects us by increasing our cost of labor and research and development contract costs. We do not believe inflation has had a material effect on our results of operations during the periods presented.</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believe that inflation, interest rate changes, or exchange rate fluctuations had a significant impact on our results of operations for any periods presented herein.</w:t>
      </w:r>
    </w:p>
    <w:p>
      <w:pPr>
        <w:pStyle w:val="TextBody"/>
        <w:spacing w:before="240" w:after="0"/>
        <w:jc w:val="center"/>
        <w:rPr>
          <w:rFonts w:ascii="Times New Roman" w:hAnsi="Times New Roman"/>
          <w:b w:val="false"/>
          <w:i w:val="false"/>
          <w:caps w:val="false"/>
          <w:smallCaps w:val="false"/>
          <w:sz w:val="20"/>
        </w:rPr>
      </w:pPr>
      <w:bookmarkStart w:id="52" w:name="_AEIOULastRenderedPageBreakAEIOU5"/>
      <w:bookmarkEnd w:id="52"/>
      <w:r>
        <w:rPr>
          <w:rFonts w:ascii="Times New Roman" w:hAnsi="Times New Roman"/>
          <w:b w:val="false"/>
          <w:i w:val="false"/>
          <w:caps w:val="false"/>
          <w:smallCaps w:val="false"/>
          <w:sz w:val="20"/>
        </w:rPr>
        <w:t>106</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bookmarkStart w:id="53" w:name="ITEM_8_FINANCIAL_STATEMENTS_SUPPLEMENTAR"/>
      <w:bookmarkEnd w:id="53"/>
      <w:r>
        <w:rPr>
          <w:rFonts w:ascii="Times New Roman" w:hAnsi="Times New Roman"/>
          <w:b/>
          <w:i w:val="false"/>
          <w:caps w:val="false"/>
          <w:smallCaps w:val="false"/>
          <w:sz w:val="20"/>
        </w:rPr>
        <w:t xml:space="preserve">Item 8. Financial Statements and Supplementary Data.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Nkarta,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Index to Financial Statements</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years ended December 31, 2020 and 2019</w:t>
      </w:r>
    </w:p>
    <w:p>
      <w:pPr>
        <w:pStyle w:val="TextBody"/>
        <w:spacing w:before="0" w:after="0"/>
        <w:rPr/>
      </w:pPr>
      <w:r>
        <w:rPr/>
        <w:t> </w:t>
      </w:r>
    </w:p>
    <w:tbl>
      <w:tblPr>
        <w:tblW w:w="6595" w:type="dxa"/>
        <w:jc w:val="center"/>
        <w:tblInd w:w="0" w:type="dxa"/>
        <w:tblCellMar>
          <w:top w:w="0" w:type="dxa"/>
          <w:left w:w="0" w:type="dxa"/>
          <w:bottom w:w="28" w:type="dxa"/>
          <w:right w:w="0" w:type="dxa"/>
        </w:tblCellMar>
      </w:tblPr>
      <w:tblGrid>
        <w:gridCol w:w="6215"/>
        <w:gridCol w:w="380"/>
      </w:tblGrid>
      <w:tr>
        <w:trPr/>
        <w:tc>
          <w:tcPr>
            <w:tcW w:w="62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w:t>
            </w:r>
          </w:p>
        </w:tc>
      </w:tr>
      <w:tr>
        <w:trPr/>
        <w:tc>
          <w:tcPr>
            <w:tcW w:w="6215" w:type="dxa"/>
            <w:tcBorders/>
            <w:shd w:fill="FFFFFF" w:val="clear"/>
            <w:tcMar>
              <w:bottom w:w="0" w:type="dxa"/>
            </w:tcMar>
          </w:tcPr>
          <w:p>
            <w:pPr>
              <w:pStyle w:val="TableContents"/>
              <w:spacing w:before="0" w:after="0"/>
              <w:ind w:left="0" w:right="0" w:hanging="0"/>
              <w:rPr/>
            </w:pPr>
            <w:hyperlink w:anchor="REPORT_INDEPENDENT_REGISTERED_PUBLIC_ACC">
              <w:r>
                <w:rPr>
                  <w:rStyle w:val="InternetLink"/>
                  <w:rFonts w:ascii="Times New Roman" w:hAnsi="Times New Roman"/>
                  <w:b w:val="false"/>
                  <w:i w:val="false"/>
                  <w:caps w:val="false"/>
                  <w:smallCaps w:val="false"/>
                  <w:sz w:val="20"/>
                  <w:u w:val="single"/>
                </w:rPr>
                <w:t>Report of Independent Registered Public Accounting Firm</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r>
      <w:tr>
        <w:trPr/>
        <w:tc>
          <w:tcPr>
            <w:tcW w:w="6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Audited Financial Statements</w:t>
            </w:r>
          </w:p>
        </w:tc>
        <w:tc>
          <w:tcPr>
            <w:tcW w:w="380" w:type="dxa"/>
            <w:tcBorders/>
            <w:shd w:fill="FFFFFF" w:val="clear"/>
            <w:tcMar>
              <w:bottom w:w="0" w:type="dxa"/>
            </w:tcMar>
            <w:vAlign w:val="bottom"/>
          </w:tcPr>
          <w:p>
            <w:pPr>
              <w:pStyle w:val="TableContents"/>
              <w:spacing w:before="0" w:after="0"/>
              <w:ind w:left="0" w:right="0" w:hanging="0"/>
              <w:jc w:val="right"/>
              <w:rPr/>
            </w:pPr>
            <w:r>
              <w:rPr/>
              <w:t> </w:t>
            </w:r>
          </w:p>
        </w:tc>
      </w:tr>
      <w:tr>
        <w:trPr/>
        <w:tc>
          <w:tcPr>
            <w:tcW w:w="6215" w:type="dxa"/>
            <w:tcBorders/>
            <w:shd w:fill="FFFFFF" w:val="clear"/>
            <w:tcMar>
              <w:bottom w:w="0" w:type="dxa"/>
            </w:tcMar>
          </w:tcPr>
          <w:p>
            <w:pPr>
              <w:pStyle w:val="TableContents"/>
              <w:spacing w:before="0" w:after="0"/>
              <w:ind w:left="360" w:right="0" w:hanging="0"/>
              <w:rPr/>
            </w:pPr>
            <w:hyperlink w:anchor="BALANCE_SHEETS">
              <w:r>
                <w:rPr>
                  <w:rStyle w:val="InternetLink"/>
                  <w:rFonts w:ascii="Times New Roman" w:hAnsi="Times New Roman"/>
                  <w:b w:val="false"/>
                  <w:i w:val="false"/>
                  <w:caps w:val="false"/>
                  <w:smallCaps w:val="false"/>
                  <w:sz w:val="20"/>
                  <w:u w:val="single"/>
                </w:rPr>
                <w:t>Balance Sheets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w:t>
            </w:r>
          </w:p>
        </w:tc>
      </w:tr>
      <w:tr>
        <w:trPr/>
        <w:tc>
          <w:tcPr>
            <w:tcW w:w="6215" w:type="dxa"/>
            <w:tcBorders/>
            <w:shd w:fill="FFFFFF" w:val="clear"/>
            <w:tcMar>
              <w:bottom w:w="0" w:type="dxa"/>
            </w:tcMar>
          </w:tcPr>
          <w:p>
            <w:pPr>
              <w:pStyle w:val="TableContents"/>
              <w:spacing w:before="0" w:after="0"/>
              <w:ind w:left="360" w:right="0" w:hanging="0"/>
              <w:rPr/>
            </w:pPr>
            <w:hyperlink w:anchor="STATEMENTS_OPERATIONS_COMPREHENSIVE_LOSS">
              <w:r>
                <w:rPr>
                  <w:rStyle w:val="InternetLink"/>
                  <w:rFonts w:ascii="Times New Roman" w:hAnsi="Times New Roman"/>
                  <w:b w:val="false"/>
                  <w:i w:val="false"/>
                  <w:caps w:val="false"/>
                  <w:smallCaps w:val="false"/>
                  <w:sz w:val="20"/>
                  <w:u w:val="single"/>
                </w:rPr>
                <w:t>Statements of Operation and Comprehensive Loss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w:t>
            </w:r>
          </w:p>
        </w:tc>
      </w:tr>
      <w:tr>
        <w:trPr/>
        <w:tc>
          <w:tcPr>
            <w:tcW w:w="6215" w:type="dxa"/>
            <w:tcBorders/>
            <w:shd w:fill="FFFFFF" w:val="clear"/>
            <w:tcMar>
              <w:bottom w:w="0" w:type="dxa"/>
            </w:tcMar>
          </w:tcPr>
          <w:p>
            <w:pPr>
              <w:pStyle w:val="TableContents"/>
              <w:spacing w:before="0" w:after="0"/>
              <w:ind w:left="360" w:right="0" w:hanging="0"/>
              <w:rPr/>
            </w:pPr>
            <w:hyperlink w:anchor="STATEMENTS_CONVERTIBLE_PREFERRED_STOCK_S">
              <w:r>
                <w:rPr>
                  <w:rStyle w:val="InternetLink"/>
                  <w:rFonts w:ascii="Times New Roman" w:hAnsi="Times New Roman"/>
                  <w:b w:val="false"/>
                  <w:i w:val="false"/>
                  <w:caps w:val="false"/>
                  <w:smallCaps w:val="false"/>
                  <w:sz w:val="20"/>
                  <w:u w:val="single"/>
                </w:rPr>
                <w:t>Statements of Convertible Preferred Stock and Stockholders' Equity (Deficit)</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w:t>
            </w:r>
          </w:p>
        </w:tc>
      </w:tr>
      <w:tr>
        <w:trPr/>
        <w:tc>
          <w:tcPr>
            <w:tcW w:w="6215" w:type="dxa"/>
            <w:tcBorders/>
            <w:shd w:fill="FFFFFF" w:val="clear"/>
            <w:tcMar>
              <w:bottom w:w="0" w:type="dxa"/>
            </w:tcMar>
          </w:tcPr>
          <w:p>
            <w:pPr>
              <w:pStyle w:val="TableContents"/>
              <w:spacing w:before="0" w:after="0"/>
              <w:ind w:left="360" w:right="0" w:hanging="0"/>
              <w:rPr/>
            </w:pPr>
            <w:hyperlink w:anchor="STATEMENTS_CASH_FLOWS">
              <w:r>
                <w:rPr>
                  <w:rStyle w:val="InternetLink"/>
                  <w:rFonts w:ascii="Times New Roman" w:hAnsi="Times New Roman"/>
                  <w:b w:val="false"/>
                  <w:i w:val="false"/>
                  <w:caps w:val="false"/>
                  <w:smallCaps w:val="false"/>
                  <w:sz w:val="20"/>
                  <w:u w:val="single"/>
                </w:rPr>
                <w:t>Statements of Cash Flows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w:t>
            </w:r>
          </w:p>
        </w:tc>
      </w:tr>
      <w:tr>
        <w:trPr/>
        <w:tc>
          <w:tcPr>
            <w:tcW w:w="6215" w:type="dxa"/>
            <w:tcBorders/>
            <w:shd w:fill="FFFFFF" w:val="clear"/>
            <w:tcMar>
              <w:bottom w:w="0" w:type="dxa"/>
            </w:tcMar>
          </w:tcPr>
          <w:p>
            <w:pPr>
              <w:pStyle w:val="TableContents"/>
              <w:spacing w:before="0" w:after="0"/>
              <w:ind w:left="360" w:right="0" w:hanging="0"/>
              <w:rPr/>
            </w:pPr>
            <w:hyperlink w:anchor="Notes">
              <w:r>
                <w:rPr>
                  <w:rStyle w:val="InternetLink"/>
                  <w:rFonts w:ascii="Times New Roman" w:hAnsi="Times New Roman"/>
                  <w:b w:val="false"/>
                  <w:i w:val="false"/>
                  <w:caps w:val="false"/>
                  <w:smallCaps w:val="false"/>
                  <w:sz w:val="20"/>
                  <w:u w:val="single"/>
                </w:rPr>
                <w:t>Notes to Financial Statements</w:t>
              </w:r>
            </w:hyperlink>
          </w:p>
        </w:tc>
        <w:tc>
          <w:tcPr>
            <w:tcW w:w="3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bookmarkStart w:id="54" w:name="REPORT_INDEPENDENT_REGISTERED_PUBLIC_ACC"/>
      <w:bookmarkEnd w:id="54"/>
      <w:r>
        <w:rPr>
          <w:rFonts w:ascii="Times New Roman" w:hAnsi="Times New Roman"/>
          <w:b/>
          <w:i w:val="false"/>
          <w:caps w:val="false"/>
          <w:smallCaps w:val="false"/>
          <w:color w:val="000000"/>
          <w:sz w:val="20"/>
        </w:rPr>
        <w:t>Report of Independent Registered Public Accounting Firm</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the Stockholders and Board of Directors of Nkarta, Inc. </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Opinion on the Financial Statements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audited the accompanying balance sheets of Nkarta, Inc. (the Company) as of December 31, 2020 and 2019, the related statements of operations and comprehensive loss, convertible preferred stock and stockholders’ equity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U.S. generally accepted accounting principles.</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Basis for Opinion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360" w:after="360"/>
        <w:jc w:val="right"/>
        <w:rPr>
          <w:rFonts w:ascii="Times New Roman" w:hAnsi="Times New Roman"/>
          <w:b w:val="false"/>
          <w:i w:val="false"/>
          <w:caps w:val="false"/>
          <w:smallCaps w:val="false"/>
          <w:color w:val="000000"/>
          <w:sz w:val="20"/>
        </w:rPr>
      </w:pPr>
      <w:bookmarkStart w:id="55" w:name="_Hlk67483042"/>
      <w:bookmarkEnd w:id="55"/>
      <w:r>
        <w:rPr>
          <w:rFonts w:ascii="Times New Roman" w:hAnsi="Times New Roman"/>
          <w:b w:val="false"/>
          <w:i w:val="false"/>
          <w:caps w:val="false"/>
          <w:smallCaps w:val="false"/>
          <w:color w:val="000000"/>
          <w:sz w:val="20"/>
        </w:rPr>
        <w:t>/s/ Ernst &amp; Young LLP</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served as the Company’s auditor since 2019.</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Redwood City, California</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p>
      <w:pPr>
        <w:pStyle w:val="TextBody"/>
        <w:spacing w:before="240" w:after="0"/>
        <w:jc w:val="center"/>
        <w:rPr>
          <w:rFonts w:ascii="Times New Roman" w:hAnsi="Times New Roman"/>
          <w:b w:val="false"/>
          <w:i w:val="false"/>
          <w:caps w:val="false"/>
          <w:smallCaps w:val="false"/>
          <w:sz w:val="20"/>
        </w:rPr>
      </w:pPr>
      <w:bookmarkStart w:id="56" w:name="_AEIOULastRenderedPageBreakAEIOU7"/>
      <w:bookmarkEnd w:id="56"/>
      <w:r>
        <w:rPr>
          <w:rFonts w:ascii="Times New Roman" w:hAnsi="Times New Roman"/>
          <w:b w:val="false"/>
          <w:i w:val="false"/>
          <w:caps w:val="false"/>
          <w:smallCaps w:val="false"/>
          <w:sz w:val="20"/>
        </w:rPr>
        <w:t>108</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NKARTA, INC.</w:t>
      </w:r>
    </w:p>
    <w:p>
      <w:pPr>
        <w:pStyle w:val="TextBody"/>
        <w:spacing w:before="0" w:after="0"/>
        <w:jc w:val="center"/>
        <w:rPr>
          <w:rFonts w:ascii="Times New Roman" w:hAnsi="Times New Roman"/>
          <w:b/>
          <w:i w:val="false"/>
          <w:caps w:val="false"/>
          <w:smallCaps w:val="false"/>
          <w:color w:val="000000"/>
          <w:sz w:val="20"/>
        </w:rPr>
      </w:pPr>
      <w:bookmarkStart w:id="57" w:name="BALANCE_SHEETS"/>
      <w:bookmarkEnd w:id="57"/>
      <w:r>
        <w:rPr>
          <w:rFonts w:ascii="Times New Roman" w:hAnsi="Times New Roman"/>
          <w:b/>
          <w:i w:val="false"/>
          <w:caps w:val="false"/>
          <w:smallCaps w:val="false"/>
          <w:color w:val="000000"/>
          <w:sz w:val="20"/>
        </w:rPr>
        <w:t xml:space="preserve">Balance Sheets </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thousands, except share and per share data)</w:t>
      </w:r>
    </w:p>
    <w:p>
      <w:pPr>
        <w:pStyle w:val="TextBody"/>
        <w:spacing w:before="0" w:after="0"/>
        <w:rPr/>
      </w:pPr>
      <w:r>
        <w:rPr/>
        <w:t> </w:t>
      </w:r>
    </w:p>
    <w:tbl>
      <w:tblPr>
        <w:tblW w:w="8195" w:type="dxa"/>
        <w:jc w:val="center"/>
        <w:tblInd w:w="0" w:type="dxa"/>
        <w:tblCellMar>
          <w:top w:w="0" w:type="dxa"/>
          <w:left w:w="0" w:type="dxa"/>
          <w:bottom w:w="28" w:type="dxa"/>
          <w:right w:w="0" w:type="dxa"/>
        </w:tblCellMar>
      </w:tblPr>
      <w:tblGrid>
        <w:gridCol w:w="6260"/>
        <w:gridCol w:w="60"/>
        <w:gridCol w:w="125"/>
        <w:gridCol w:w="755"/>
        <w:gridCol w:w="80"/>
        <w:gridCol w:w="60"/>
        <w:gridCol w:w="125"/>
        <w:gridCol w:w="650"/>
        <w:gridCol w:w="80"/>
      </w:tblGrid>
      <w:tr>
        <w:trPr/>
        <w:tc>
          <w:tcPr>
            <w:tcW w:w="62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9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96,692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20,607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investments, available-for-sale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218,221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16,384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3,922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318,835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37,465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cash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9,350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3,080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8,505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7,144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337,650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48,412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 convertible preferred stock and stockholders' equity (deficit)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1,882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current portion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Preferred stock purchase right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1,478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and other current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6,253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net of current portion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5,780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16,430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14,079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Commitments and contingencies (Note 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Convertible preferred stock, $0.0001 par value; no shares and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54,350,179 shares authorized at December 31, 2020 and 2019,</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 xml:space="preserve">respectively; no shares and 27,283,973 shares issued and outstanding at </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December 31, 2020 and 2019, respectively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Stockholders' equity (deficit):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Preferred stock, $0.0001 par value; 54,350,179 shares and no shares</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authorized at December 31, 2020 and 2019, respectively; no shares</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issued and outstanding at December 31, 2020 and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$0.0001 par value; 100,000,000 and 71,919,982 shares</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authorized at December 31, 2020 and 2019, respectively; 32,627,963</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and 1,600,601 shares issued and outstanding at December 31, 2020</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and 2019, respectively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 capital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439,235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26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other comprehensive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26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(118,021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(26,660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26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stockholders' equity (deficit)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321,220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(25,482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26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 convertible preferred stock and stockholders' equity (deficit)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337,650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48,412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See accompanying notes to the financial statements.</w:t>
      </w:r>
    </w:p>
    <w:p>
      <w:pPr>
        <w:pStyle w:val="TextBody"/>
        <w:spacing w:before="240" w:after="0"/>
        <w:jc w:val="center"/>
        <w:rPr>
          <w:rFonts w:ascii="Times New Roman" w:hAnsi="Times New Roman"/>
          <w:b w:val="false"/>
          <w:i w:val="false"/>
          <w:caps w:val="false"/>
          <w:smallCaps w:val="false"/>
          <w:sz w:val="20"/>
        </w:rPr>
      </w:pPr>
      <w:bookmarkStart w:id="58" w:name="_AEIOULastRenderedPageBreakAEIOU8"/>
      <w:bookmarkEnd w:id="58"/>
      <w:r>
        <w:rPr>
          <w:rFonts w:ascii="Times New Roman" w:hAnsi="Times New Roman"/>
          <w:b w:val="false"/>
          <w:i w:val="false"/>
          <w:caps w:val="false"/>
          <w:smallCaps w:val="false"/>
          <w:sz w:val="20"/>
        </w:rPr>
        <w:t>109</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bookmarkStart w:id="59" w:name="Operations"/>
      <w:bookmarkEnd w:id="59"/>
      <w:r>
        <w:rPr>
          <w:rFonts w:ascii="Times New Roman" w:hAnsi="Times New Roman"/>
          <w:b/>
          <w:i w:val="false"/>
          <w:caps w:val="false"/>
          <w:smallCaps w:val="false"/>
          <w:color w:val="000000"/>
          <w:sz w:val="20"/>
        </w:rPr>
        <w:t>NKARTA, INC.</w:t>
      </w:r>
    </w:p>
    <w:p>
      <w:pPr>
        <w:pStyle w:val="TextBody"/>
        <w:spacing w:before="0" w:after="0"/>
        <w:jc w:val="center"/>
        <w:rPr>
          <w:rFonts w:ascii="Times New Roman" w:hAnsi="Times New Roman"/>
          <w:b/>
          <w:i w:val="false"/>
          <w:caps w:val="false"/>
          <w:smallCaps w:val="false"/>
          <w:color w:val="000000"/>
          <w:sz w:val="20"/>
        </w:rPr>
      </w:pPr>
      <w:bookmarkStart w:id="60" w:name="STATEMENTS_OPERATIONS_COMPREHENSIVE_LOSS"/>
      <w:bookmarkEnd w:id="60"/>
      <w:r>
        <w:rPr>
          <w:rFonts w:ascii="Times New Roman" w:hAnsi="Times New Roman"/>
          <w:b/>
          <w:i w:val="false"/>
          <w:caps w:val="false"/>
          <w:smallCaps w:val="false"/>
          <w:color w:val="000000"/>
          <w:sz w:val="20"/>
        </w:rPr>
        <w:t>Statements of Operations and Comprehensive Loss</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thousands, except share and per share data)</w:t>
      </w:r>
    </w:p>
    <w:p>
      <w:pPr>
        <w:pStyle w:val="TextBody"/>
        <w:spacing w:before="0" w:after="0"/>
        <w:rPr/>
      </w:pPr>
      <w:r>
        <w:rPr/>
        <w:t> </w:t>
      </w:r>
    </w:p>
    <w:tbl>
      <w:tblPr>
        <w:tblW w:w="7355" w:type="dxa"/>
        <w:jc w:val="center"/>
        <w:tblInd w:w="0" w:type="dxa"/>
        <w:tblCellMar>
          <w:top w:w="0" w:type="dxa"/>
          <w:left w:w="0" w:type="dxa"/>
          <w:bottom w:w="28" w:type="dxa"/>
          <w:right w:w="0" w:type="dxa"/>
        </w:tblCellMar>
      </w:tblPr>
      <w:tblGrid>
        <w:gridCol w:w="5030"/>
        <w:gridCol w:w="60"/>
        <w:gridCol w:w="125"/>
        <w:gridCol w:w="950"/>
        <w:gridCol w:w="80"/>
        <w:gridCol w:w="60"/>
        <w:gridCol w:w="125"/>
        <w:gridCol w:w="845"/>
        <w:gridCol w:w="80"/>
      </w:tblGrid>
      <w:tr>
        <w:trPr/>
        <w:tc>
          <w:tcPr>
            <w:tcW w:w="50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8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Collaboration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36,220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15,288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5,247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51,508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22,464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(51,508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(22,349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preferred stock purchase right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(40,163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derivative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extinguishment of debt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3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income (expense),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(39,853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1,273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(91,361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(21,076</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3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(91,361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(21,076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comprehensive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30"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loss on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3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(91,356</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(21,078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3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basic and 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03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number of common shares used in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net loss per share, basic and 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16,806,262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1,462,511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See accompanying notes to the financial statements.</w:t>
      </w:r>
    </w:p>
    <w:p>
      <w:pPr>
        <w:pStyle w:val="TextBody"/>
        <w:spacing w:before="240" w:after="0"/>
        <w:jc w:val="center"/>
        <w:rPr>
          <w:rFonts w:ascii="Times New Roman" w:hAnsi="Times New Roman"/>
          <w:b w:val="false"/>
          <w:i w:val="false"/>
          <w:caps w:val="false"/>
          <w:smallCaps w:val="false"/>
          <w:sz w:val="20"/>
        </w:rPr>
      </w:pPr>
      <w:bookmarkStart w:id="61" w:name="_AEIOULastRenderedPageBreakAEIOU9"/>
      <w:bookmarkEnd w:id="61"/>
      <w:r>
        <w:rPr>
          <w:rFonts w:ascii="Times New Roman" w:hAnsi="Times New Roman"/>
          <w:b w:val="false"/>
          <w:i w:val="false"/>
          <w:caps w:val="false"/>
          <w:smallCaps w:val="false"/>
          <w:sz w:val="20"/>
        </w:rPr>
        <w:t>110</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bookmarkStart w:id="62" w:name="Stockholders_Equity"/>
      <w:bookmarkEnd w:id="62"/>
      <w:r>
        <w:rPr>
          <w:rFonts w:ascii="Times New Roman" w:hAnsi="Times New Roman"/>
          <w:b/>
          <w:i w:val="false"/>
          <w:caps w:val="false"/>
          <w:smallCaps w:val="false"/>
          <w:color w:val="000000"/>
          <w:sz w:val="20"/>
        </w:rPr>
        <w:t>NKARTA, INC.</w:t>
      </w:r>
    </w:p>
    <w:p>
      <w:pPr>
        <w:pStyle w:val="TextBody"/>
        <w:spacing w:before="0" w:after="0"/>
        <w:jc w:val="center"/>
        <w:rPr>
          <w:rFonts w:ascii="Times New Roman" w:hAnsi="Times New Roman"/>
          <w:b/>
          <w:i w:val="false"/>
          <w:caps w:val="false"/>
          <w:smallCaps w:val="false"/>
          <w:color w:val="000000"/>
          <w:sz w:val="20"/>
        </w:rPr>
      </w:pPr>
      <w:bookmarkStart w:id="63" w:name="STATEMENTS_CONVERTIBLE_PREFERRED_STOCK_S"/>
      <w:bookmarkEnd w:id="63"/>
      <w:r>
        <w:rPr>
          <w:rFonts w:ascii="Times New Roman" w:hAnsi="Times New Roman"/>
          <w:b/>
          <w:i w:val="false"/>
          <w:caps w:val="false"/>
          <w:smallCaps w:val="false"/>
          <w:color w:val="000000"/>
          <w:sz w:val="20"/>
        </w:rPr>
        <w:t xml:space="preserve">Statements of </w:t>
      </w:r>
      <w:bookmarkStart w:id="64" w:name="STATEMENTS_CONVERTIBLE_PREFERRED_STOCK_S"/>
      <w:bookmarkEnd w:id="64"/>
      <w:r>
        <w:rPr>
          <w:rFonts w:ascii="Times New Roman" w:hAnsi="Times New Roman"/>
          <w:b/>
          <w:i w:val="false"/>
          <w:caps w:val="false"/>
          <w:smallCaps w:val="false"/>
          <w:color w:val="000000"/>
          <w:sz w:val="20"/>
        </w:rPr>
        <w:t>Convertible Preferred Stock and Stockholders’ Equity (Deficit)</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thousands, except share data)</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2606"/>
        <w:gridCol w:w="60"/>
        <w:gridCol w:w="60"/>
        <w:gridCol w:w="890"/>
        <w:gridCol w:w="80"/>
        <w:gridCol w:w="60"/>
        <w:gridCol w:w="110"/>
        <w:gridCol w:w="665"/>
        <w:gridCol w:w="80"/>
        <w:gridCol w:w="60"/>
        <w:gridCol w:w="60"/>
        <w:gridCol w:w="60"/>
        <w:gridCol w:w="841"/>
        <w:gridCol w:w="60"/>
        <w:gridCol w:w="60"/>
        <w:gridCol w:w="170"/>
        <w:gridCol w:w="405"/>
        <w:gridCol w:w="60"/>
        <w:gridCol w:w="60"/>
        <w:gridCol w:w="110"/>
        <w:gridCol w:w="605"/>
        <w:gridCol w:w="60"/>
        <w:gridCol w:w="60"/>
        <w:gridCol w:w="111"/>
        <w:gridCol w:w="674"/>
        <w:gridCol w:w="80"/>
        <w:gridCol w:w="60"/>
        <w:gridCol w:w="277"/>
        <w:gridCol w:w="658"/>
        <w:gridCol w:w="80"/>
        <w:gridCol w:w="60"/>
        <w:gridCol w:w="128"/>
        <w:gridCol w:w="712"/>
        <w:gridCol w:w="83"/>
      </w:tblGrid>
      <w:tr>
        <w:trPr/>
        <w:tc>
          <w:tcPr>
            <w:tcW w:w="2606"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Convertible</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Preferred Stock</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1" w:type="dxa"/>
            <w:gridSpan w:val="2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Stockholders' Equity (Deficit)</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$0.00001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Additional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Accumulated</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Other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Total</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Stockholders'</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Number of</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Amount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Number of</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Shares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gridSpan w:val="2"/>
            <w:tcBorders>
              <w:bottom w:val="single" w:sz="6" w:space="0" w:color="000000"/>
            </w:tcBorders>
            <w:shd w:fill="FFFFFF" w:val="clear"/>
            <w:vAlign w:val="bottom"/>
          </w:tcPr>
          <w:p>
            <w:pPr>
              <w:pStyle w:val="TableContents"/>
              <w:spacing w:before="0" w:after="0"/>
              <w:ind w:left="0" w:right="0" w:hanging="0"/>
              <w:jc w:val="center"/>
              <w:rPr>
                <w:rFonts w:ascii="Calibri" w:hAnsi="Calibri"/>
                <w:b/>
                <w:i w:val="false"/>
                <w:caps w:val="false"/>
                <w:smallCaps w:val="false"/>
                <w:color w:val="000000"/>
                <w:sz w:val="14"/>
              </w:rPr>
            </w:pPr>
            <w:r>
              <w:rPr>
                <w:rFonts w:ascii="Calibri" w:hAnsi="Calibri"/>
                <w:b/>
                <w:i w:val="false"/>
                <w:caps w:val="false"/>
                <w:smallCaps w:val="false"/>
                <w:color w:val="000000"/>
                <w:sz w:val="14"/>
              </w:rPr>
              <w:t>Par</w:t>
            </w:r>
          </w:p>
          <w:p>
            <w:pPr>
              <w:pStyle w:val="TableContents"/>
              <w:spacing w:before="0" w:after="0"/>
              <w:ind w:left="0" w:right="0" w:hanging="0"/>
              <w:jc w:val="center"/>
              <w:rPr>
                <w:rFonts w:ascii="Calibri" w:hAnsi="Calibri"/>
                <w:b/>
                <w:i w:val="false"/>
                <w:caps w:val="false"/>
                <w:smallCaps w:val="false"/>
                <w:color w:val="000000"/>
                <w:sz w:val="14"/>
              </w:rPr>
            </w:pPr>
            <w:r>
              <w:rPr>
                <w:rFonts w:ascii="Calibri" w:hAnsi="Calibri"/>
                <w:b/>
                <w:i w:val="false"/>
                <w:caps w:val="false"/>
                <w:smallCaps w:val="false"/>
                <w:color w:val="000000"/>
                <w:sz w:val="14"/>
              </w:rPr>
              <w:t>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Paid-In</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Capital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Accumulated</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Comprehensive</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Loss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Equity</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(Deficit)</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at January 1, 2019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6,170,349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12,709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1,231,840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(5,584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1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(5,396</w:t>
            </w:r>
          </w:p>
        </w:tc>
        <w:tc>
          <w:tcPr>
            <w:tcW w:w="83"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60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Beneficial conversion feature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upon issuance of convertible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Reacquisition of beneficial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conversion feature upon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settlement of promissory notes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Series B convertible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preferred stock upon conversion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of promissory notes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2,621,181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6,237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Series B convertible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preferred stock, net of 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18,492,443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43,548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Series B preferred stock purchase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right liability upon issuance of</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Series B convertible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(2,795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Vesting of shares of common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subject to repurchase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354,632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common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upon exercise of stock option,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net of repurchase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14,129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Share-based compensation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947</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Unrealized loss on short-term</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tc>
        <w:tc>
          <w:tcPr>
            <w:tcW w:w="8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606"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(21,076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(21,076</w:t>
            </w:r>
          </w:p>
        </w:tc>
        <w:tc>
          <w:tcPr>
            <w:tcW w:w="83"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606"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at December 31, 2019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27,283,973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59,815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1,600,601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1,179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7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(26,660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1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(25,482</w:t>
            </w:r>
          </w:p>
        </w:tc>
        <w:tc>
          <w:tcPr>
            <w:tcW w:w="83"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60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Series B second tranche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convertible preferred stock, net of</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27,066,206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64,321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Reclassification of preferred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purchase right liability to equity</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upon issuance of convertible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41,641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Conversion of convertible preferred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stock to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(54,350,179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(165,777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14,689,215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165,776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165,777</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common stock upon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initial public offering, net of</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issuance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16,100,000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265,095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265,096</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Vesting of shares of common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subject to repurchase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85,304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common stock</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upon exercise of stock option,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net of repurchase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152,843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387</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Share-based compensation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6,748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6,748</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Unrealized loss on short-term</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06"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(91,361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(91,361</w:t>
            </w:r>
          </w:p>
        </w:tc>
        <w:tc>
          <w:tcPr>
            <w:tcW w:w="83"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606"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at December 31,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32,627,963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439,235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7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(118,021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1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321,220</w:t>
            </w:r>
          </w:p>
        </w:tc>
        <w:tc>
          <w:tcPr>
            <w:tcW w:w="8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See accompanying notes to the financial statements.</w:t>
      </w:r>
    </w:p>
    <w:p>
      <w:pPr>
        <w:pStyle w:val="TextBody"/>
        <w:spacing w:before="240" w:after="0"/>
        <w:jc w:val="center"/>
        <w:rPr>
          <w:rFonts w:ascii="Times New Roman" w:hAnsi="Times New Roman"/>
          <w:b w:val="false"/>
          <w:i w:val="false"/>
          <w:caps w:val="false"/>
          <w:smallCaps w:val="false"/>
          <w:sz w:val="20"/>
        </w:rPr>
      </w:pPr>
      <w:bookmarkStart w:id="65" w:name="_AEIOULastRenderedPageBreakAEIOU10"/>
      <w:bookmarkEnd w:id="65"/>
      <w:r>
        <w:rPr>
          <w:rFonts w:ascii="Times New Roman" w:hAnsi="Times New Roman"/>
          <w:b w:val="false"/>
          <w:i w:val="false"/>
          <w:caps w:val="false"/>
          <w:smallCaps w:val="false"/>
          <w:sz w:val="20"/>
        </w:rPr>
        <w:t>111</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NKARTA, INC.</w:t>
      </w:r>
    </w:p>
    <w:p>
      <w:pPr>
        <w:pStyle w:val="TextBody"/>
        <w:spacing w:before="0" w:after="0"/>
        <w:jc w:val="center"/>
        <w:rPr>
          <w:rFonts w:ascii="Times New Roman" w:hAnsi="Times New Roman"/>
          <w:b/>
          <w:i w:val="false"/>
          <w:caps w:val="false"/>
          <w:smallCaps w:val="false"/>
          <w:color w:val="000000"/>
          <w:sz w:val="20"/>
        </w:rPr>
      </w:pPr>
      <w:bookmarkStart w:id="66" w:name="STATEMENTS_CASH_FLOWS"/>
      <w:bookmarkEnd w:id="66"/>
      <w:r>
        <w:rPr>
          <w:rFonts w:ascii="Times New Roman" w:hAnsi="Times New Roman"/>
          <w:b/>
          <w:i w:val="false"/>
          <w:caps w:val="false"/>
          <w:smallCaps w:val="false"/>
          <w:color w:val="000000"/>
          <w:sz w:val="20"/>
        </w:rPr>
        <w:t xml:space="preserve">Statements of Cash Flows </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thousands)</w:t>
      </w:r>
    </w:p>
    <w:p>
      <w:pPr>
        <w:pStyle w:val="TextBody"/>
        <w:spacing w:before="0" w:after="0"/>
        <w:rPr/>
      </w:pPr>
      <w:r>
        <w:rPr/>
        <w:t> </w:t>
      </w:r>
    </w:p>
    <w:tbl>
      <w:tblPr>
        <w:tblW w:w="7978" w:type="dxa"/>
        <w:jc w:val="center"/>
        <w:tblInd w:w="0" w:type="dxa"/>
        <w:tblCellMar>
          <w:top w:w="0" w:type="dxa"/>
          <w:left w:w="0" w:type="dxa"/>
          <w:bottom w:w="28" w:type="dxa"/>
          <w:right w:w="0" w:type="dxa"/>
        </w:tblCellMar>
      </w:tblPr>
      <w:tblGrid>
        <w:gridCol w:w="5930"/>
        <w:gridCol w:w="60"/>
        <w:gridCol w:w="133"/>
        <w:gridCol w:w="803"/>
        <w:gridCol w:w="85"/>
        <w:gridCol w:w="63"/>
        <w:gridCol w:w="133"/>
        <w:gridCol w:w="691"/>
        <w:gridCol w:w="80"/>
      </w:tblGrid>
      <w:tr>
        <w:trPr/>
        <w:tc>
          <w:tcPr>
            <w:tcW w:w="59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3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flows from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(91,361</w:t>
            </w:r>
          </w:p>
        </w:tc>
        <w:tc>
          <w:tcPr>
            <w:tcW w:w="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(21,076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Adjustments to reconcile net loss to 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Share-based compensation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6,748</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786</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Accretion of discount and amortization of premium on investments,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738</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lease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262</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preferred stock purchase right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40,163</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derivative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loss from extinguishment of debt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interest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Changes in operating assets and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(3,645</w:t>
            </w:r>
          </w:p>
        </w:tc>
        <w:tc>
          <w:tcPr>
            <w:tcW w:w="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 and accrued and other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2,817</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2,642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(43,506</w:t>
            </w:r>
          </w:p>
        </w:tc>
        <w:tc>
          <w:tcPr>
            <w:tcW w:w="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(18,367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flows from investing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Purchases of available-for-sale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(222,570</w:t>
            </w:r>
          </w:p>
        </w:tc>
        <w:tc>
          <w:tcPr>
            <w:tcW w:w="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(16,367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maturities of available-for-sale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20,000</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 of property and equipment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(7,511</w:t>
            </w:r>
          </w:p>
        </w:tc>
        <w:tc>
          <w:tcPr>
            <w:tcW w:w="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investing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(210,081</w:t>
            </w:r>
          </w:p>
        </w:tc>
        <w:tc>
          <w:tcPr>
            <w:tcW w:w="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(18,295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flows from 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issuance of convertible preferred stock,</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net of 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64,321</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43,548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initial public offering, net of issuance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265,096</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stock option exercises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387</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early exercise of stock options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issuance of convertible notes, net of issuance costs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329,817</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49,581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increase in 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76,230</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12,919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cash equivalents and restricted cash at beginning of year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20,875</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7,956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cash equivalents and restricted cash at end of year</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97,105</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20,875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Reconciliation of cash, cash equivalents and restricted cash</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to the balance sheets: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96,692</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20,607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cash</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413</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cash, cash equivalents and restricted cash</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97,105</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20,875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Supplemental disclosures of non-cash investing and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20"/>
              </w:rPr>
              <w:t>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Acquisitions of property and equipment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455</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offering costs included in accrued and other current liabilities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See accompanying notes to the financial statements.</w:t>
      </w:r>
    </w:p>
    <w:p>
      <w:pPr>
        <w:pStyle w:val="TextBody"/>
        <w:spacing w:before="240" w:after="0"/>
        <w:jc w:val="center"/>
        <w:rPr>
          <w:rFonts w:ascii="Times New Roman" w:hAnsi="Times New Roman"/>
          <w:b w:val="false"/>
          <w:i w:val="false"/>
          <w:caps w:val="false"/>
          <w:smallCaps w:val="false"/>
          <w:sz w:val="20"/>
        </w:rPr>
      </w:pPr>
      <w:bookmarkStart w:id="67" w:name="_AEIOULastRenderedPageBreakAEIOU11"/>
      <w:bookmarkEnd w:id="67"/>
      <w:r>
        <w:rPr>
          <w:rFonts w:ascii="Times New Roman" w:hAnsi="Times New Roman"/>
          <w:b w:val="false"/>
          <w:i w:val="false"/>
          <w:caps w:val="false"/>
          <w:smallCaps w:val="false"/>
          <w:sz w:val="20"/>
        </w:rPr>
        <w:t>112</w:t>
      </w:r>
    </w:p>
    <w:p>
      <w:pPr>
        <w:pStyle w:val="HorizontalLine"/>
        <w:rPr/>
      </w:pPr>
      <w:r>
        <w:rPr/>
      </w:r>
    </w:p>
    <w:p>
      <w:pPr>
        <w:pStyle w:val="TextBody"/>
        <w:spacing w:before="0" w:after="0"/>
        <w:rPr/>
      </w:pPr>
      <w:r>
        <w:rPr/>
        <w:t> </w:t>
      </w:r>
    </w:p>
    <w:p>
      <w:pPr>
        <w:pStyle w:val="TextBody"/>
        <w:spacing w:before="240" w:after="0"/>
        <w:jc w:val="center"/>
        <w:rPr>
          <w:rFonts w:ascii="Times New Roman" w:hAnsi="Times New Roman"/>
          <w:b/>
          <w:i w:val="false"/>
          <w:caps w:val="false"/>
          <w:smallCaps w:val="false"/>
          <w:color w:val="000000"/>
          <w:sz w:val="20"/>
        </w:rPr>
      </w:pPr>
      <w:bookmarkStart w:id="68" w:name="Notes"/>
      <w:bookmarkEnd w:id="68"/>
      <w:r>
        <w:rPr>
          <w:rFonts w:ascii="Times New Roman" w:hAnsi="Times New Roman"/>
          <w:b/>
          <w:i w:val="false"/>
          <w:caps w:val="false"/>
          <w:smallCaps w:val="false"/>
          <w:color w:val="000000"/>
          <w:sz w:val="20"/>
        </w:rPr>
        <w:t>NKARTA, INC.</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Notes to the Financial Statements</w:t>
      </w:r>
    </w:p>
    <w:p>
      <w:pPr>
        <w:pStyle w:val="TextBody"/>
        <w:spacing w:before="360" w:after="0"/>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 xml:space="preserve">1. Description of Business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Description of the Business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Nkarta, Inc. (“Nkarta” or the “Company”) was incorporated in the State of Delaware in July 2015. The Company is a biopharmaceutical company developing engineered natural killer (“NK”) cells to fight cancer. The Company is focused on leveraging the natural potent power of NK cells to identify and kill abnormal cells and recruit adaptive immune effectors to generate responses that are specific and durable. Nkarta is combining its NK expansion platform technology with proprietary cell engineering technologies to generate an abundant supply of NK cells, engineer enhanced NK cell recognition of tumor targets, and improve persistence for sustained activity in the body for the treatment of cancer. Nkarta’s goal is to develop off-the-shelf NK cell therapy product candidates to improve outcomes for patients. </w:t>
      </w:r>
      <w:r>
        <w:rPr>
          <w:rFonts w:ascii="Times New Roman" w:hAnsi="Times New Roman"/>
          <w:b w:val="false"/>
          <w:i w:val="false"/>
          <w:caps w:val="false"/>
          <w:smallCaps w:val="false"/>
          <w:color w:val="000000"/>
          <w:sz w:val="20"/>
          <w:highlight w:val="white"/>
        </w:rPr>
        <w:t>The Company’s operations are based in South San Francisco, California and it operates in one segment.</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Initial Public Offering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July 14, 2020, the Company completed its initial public offering (“IPO”). The Company’s Registration Statement on Form S-1 (File No. 333-239301) relating to the IPO was declared effective by the Securities and Exchange Commission (“SEC”) on July 9, 2020. The shares began trading on the Nasdaq Global Select Market on July 10, 2020. The Company issued 16,100,000 shares of its common stock, including 2,100,000 shares associated with the full exercise of the underwriters’ option to purchase additional shares, at an offering price of $18.00 per share. Immediately prior to the closing of the Company’s IPO on July 14, 2020, all outstanding shares of the Company’s convertible preferred stock were converted into 14,689,215 shares of the Company’s common stock. In aggregate, the shares issued in the IPO generated approximately $265.1 million in net proceeds after deducting underwriting discounts and commissions and other offering costs.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Liquidity and Management Plans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accompanying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December 31, 2020, the Company had an accumulated deficit of $118.0 million and cash, cash equivalents, restricted cash and short-term investments of $315.3 million.</w:t>
      </w:r>
    </w:p>
    <w:p>
      <w:pPr>
        <w:pStyle w:val="TextBody"/>
        <w:spacing w:before="240" w:after="0"/>
        <w:rPr>
          <w:rFonts w:ascii="Times New Roman" w:hAnsi="Times New Roman"/>
          <w:b w:val="false"/>
          <w:i w:val="false"/>
          <w:caps w:val="false"/>
          <w:smallCaps w:val="false"/>
          <w:color w:val="000000"/>
          <w:sz w:val="20"/>
        </w:rPr>
      </w:pPr>
      <w:bookmarkStart w:id="69" w:name="_Hlk52616722"/>
      <w:bookmarkStart w:id="70" w:name="_Hlk52620651"/>
      <w:bookmarkStart w:id="71" w:name="_Hlk52615918"/>
      <w:bookmarkStart w:id="72" w:name="_Hlk52616709"/>
      <w:bookmarkEnd w:id="69"/>
      <w:bookmarkEnd w:id="70"/>
      <w:bookmarkEnd w:id="71"/>
      <w:bookmarkEnd w:id="72"/>
      <w:r>
        <w:rPr>
          <w:rFonts w:ascii="Times New Roman" w:hAnsi="Times New Roman"/>
          <w:b w:val="false"/>
          <w:i w:val="false"/>
          <w:caps w:val="false"/>
          <w:smallCaps w:val="false"/>
          <w:color w:val="000000"/>
          <w:sz w:val="20"/>
        </w:rPr>
        <w:t>Management plans to continue to incur substantial costs in order to conduct research and development activities and additional capital will be needed to undertake these activities. </w:t>
      </w:r>
      <w:r>
        <w:rPr>
          <w:rFonts w:ascii="Times New Roman" w:hAnsi="Times New Roman"/>
          <w:b w:val="false"/>
          <w:i w:val="false"/>
          <w:caps w:val="false"/>
          <w:smallCaps w:val="false"/>
          <w:color w:val="000000"/>
          <w:sz w:val="20"/>
          <w:highlight w:val="white"/>
        </w:rPr>
        <w:t>The Company intends to raise such capital through d</w:t>
      </w:r>
      <w:r>
        <w:rPr>
          <w:rFonts w:ascii="Times New Roman" w:hAnsi="Times New Roman"/>
          <w:b w:val="false"/>
          <w:i w:val="false"/>
          <w:caps w:val="false"/>
          <w:smallCaps w:val="false"/>
          <w:color w:val="000000"/>
          <w:sz w:val="20"/>
        </w:rPr>
        <w:t>ebt or equity financings or other arrangements to fund operations. Management believes that the Company’s current cash, cash equivalents, restricted cash and short-term investments, including the net proceeds of approximately $265.1 million from the closing of its IPO in July 2020 as described above, together with the aggregate gross proceeds of $64.4 million from the issuance of 27,066,206 shares of the Series B preferred stock upon the closing of the Series B Milestone Closing (defined below) on July 1, 2020, will provide sufficient funds to enable the Company to meet its obligations for at least twelve months from the filing date of this report.</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highlight w:val="white"/>
        </w:rPr>
        <w:t xml:space="preserve">2. </w:t>
      </w:r>
      <w:r>
        <w:rPr>
          <w:rFonts w:ascii="Times New Roman" w:hAnsi="Times New Roman"/>
          <w:b/>
          <w:i w:val="false"/>
          <w:caps w:val="false"/>
          <w:smallCaps w:val="false"/>
          <w:color w:val="000000"/>
          <w:sz w:val="20"/>
        </w:rPr>
        <w:t>Basis of Presentation and Significant Accounting Policies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Basis of Presentation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accompanying financial statements have been prepared in accordance with U.S. generally accepted accounting principle (“U.S. GAAP”).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Certain prior period amounts reported in the Company’s financial statements have been reclassified to conform to the current period presentation, with no impact on previously reported operating results or financial position.</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Reverse Stock Split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July 1, 2020, the Company effected a 1-for-3.7 reverse stock split (the “Reverse Stock Split”) of its issued and outstanding common stock. Accordingly, the conversion ratio for the Company’s outstanding convertible preferred stock was proportionately adjusted such that the common stock issuable upon conversion of such preferred stock was decreased in proportion to the Reverse Stock Split. The par value of the common stock was not adjusted as a result of the Reverse Stock Split. All references to common stock, options to purchase common stock, early exercised options, share data, per share data, convertible preferred stock (to the extent presented on an as-converted to common stock basis) and related information contained in these financial statements have been retrospectively adjusted to reflect the effect of the Reverse Stock Split for all periods presented.</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COVID-19 Pandemic </w:t>
      </w:r>
    </w:p>
    <w:p>
      <w:pPr>
        <w:pStyle w:val="TextBody"/>
        <w:spacing w:before="120" w:after="0"/>
        <w:rPr>
          <w:rFonts w:ascii="Times New Roman" w:hAnsi="Times New Roman"/>
          <w:b w:val="false"/>
          <w:i w:val="false"/>
          <w:caps w:val="false"/>
          <w:smallCaps w:val="false"/>
          <w:color w:val="000000"/>
          <w:sz w:val="20"/>
        </w:rPr>
      </w:pPr>
      <w:bookmarkStart w:id="73" w:name="_Hlk52619790"/>
      <w:bookmarkStart w:id="74" w:name="_Hlk52620016"/>
      <w:bookmarkEnd w:id="73"/>
      <w:bookmarkEnd w:id="74"/>
      <w:r>
        <w:rPr>
          <w:rFonts w:ascii="Times New Roman" w:hAnsi="Times New Roman"/>
          <w:b w:val="false"/>
          <w:i w:val="false"/>
          <w:caps w:val="false"/>
          <w:smallCaps w:val="false"/>
          <w:color w:val="000000"/>
          <w:sz w:val="20"/>
        </w:rPr>
        <w:t>On March 11, 2020, the World Health Organization declared the outbreak of a novel strain of coronavirus, COVID-19, as a global pandemic, which continued to spread throughout the United States and around the world in the fourth quarter of 2020. Multiple variants of the virus that causes COVID-19 are also circulating globally. The COVID-19 pandemic is contributing to a general slowdown in the global economy and may affect the Company’s business, results of operations, financial condition, and future strategic plans. The extent of the impact of the COVID-19 pandemic on the Company’s operational and financial performance will depend on certain developments, including the duration and spread of the outbreak, the effectiveness of actions taken in the United States and other countries to contain, vaccinate against, and treat the disease, and its impact on the Company’s planned preclinical studies and clinical trials, employees and vendors, all of which are uncertain and cannot be predicted. The Company has taken certain precautionary measures to minimize exposure of the Company’s employees to the virus and to comply with directives from public health officials. This includes work from home policies for employees as well as enhanced safety measures for scientists who are in labs and manufacturing facility. Some of the third-party vendors that the Company uses have experienced disruptions during this pandemic. However, COVID-19 did not materially impact the timelines the Company previously announced for the filing of the NKX101 IND or the dosing of the first patient in the NKX101 clinical trial, and the Company does not expect COVID-19 to have a material impact on the current timeline for the filing of the NKX019 IND. At this time, the extent to which the COVID-19 pandemic may impact the Company’s financial condition or results of operations is uncertain and these precautionary measures may negatively impact productivity, and cause disruptions or delays to the Company’s activities and timelines. In response to the pandemic, the Coronavirus Aid, Relief and Economic Security Act (the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impact on the Company’s income tax provision for the year ended December 31, 2020. The Company continues to evaluate the impact of the CARES Act on its financial position, results of operations and cash flows. The Company currently does not expect to apply for loans or grants under the CARES Act.</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Use of Estimates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fair value of assets and liabilities, convertible preferred stock,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114</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Concentration of Credit Risk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Financial instruments, which potentially subject the Company to concentration of credit risk, consist primarily of cash, cash equivalents and short-term investments. The Company maintains cash, cash equivalents and short-term investments with various high credit quality and are invested through banks and other financial institutions in the United States. Such deposits may be in excess of federally insured limits. Management believes that the Company is not exposed to significant credit risk due to the financial position of the depository institutions in which those deposits are held. The Company has not experienced any losses on deposits since inception.</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Comprehensive Loss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 consists of net loss and unrealized gains or losses on available-for-sale investments. The Company displays comprehensive loss and its components as part of the statements of operations and comprehensive loss.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Fair Value of Financial Instruments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Level 1: </w:t>
      </w:r>
      <w:r>
        <w:rPr>
          <w:rFonts w:ascii="Times New Roman" w:hAnsi="Times New Roman"/>
          <w:b w:val="false"/>
          <w:i w:val="false"/>
          <w:caps w:val="false"/>
          <w:smallCaps w:val="false"/>
          <w:color w:val="000000"/>
          <w:sz w:val="20"/>
        </w:rPr>
        <w:t>Observable inputs such as quoted prices in active markets;</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Level 2: </w:t>
      </w:r>
      <w:r>
        <w:rPr>
          <w:rFonts w:ascii="Times New Roman" w:hAnsi="Times New Roman"/>
          <w:b w:val="false"/>
          <w:i w:val="false"/>
          <w:caps w:val="false"/>
          <w:smallCaps w:val="false"/>
          <w:color w:val="000000"/>
          <w:sz w:val="20"/>
        </w:rPr>
        <w:t>Inputs, other than the quoted prices in active markets, that are observable either directly or indirectly; and</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Level 3: </w:t>
      </w:r>
      <w:r>
        <w:rPr>
          <w:rFonts w:ascii="Times New Roman" w:hAnsi="Times New Roman"/>
          <w:b w:val="false"/>
          <w:i w:val="false"/>
          <w:caps w:val="false"/>
          <w:smallCaps w:val="false"/>
          <w:color w:val="000000"/>
          <w:sz w:val="20"/>
        </w:rPr>
        <w:t>Unobservable inputs in which there is little or no market data, which require the reporting entity to develop its own assumptions.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carrying amounts of prepaid expenses and other current assets, accounts payable, accrued liabilities and other current liabilities are reasonable estimates of their fair value due to the short-term nature of these accounts.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Cash, Cash Equivalents, Short-term Investments and Restricted Cash</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Cash and Cash Equivalents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considers all highly liquid investments with insignificant interest rate risk and an original maturity of three months or less at the date of purchase to be cash equivalents. Cash includes demand deposits held in readily available checking accounts at a federally insured financial institution. Cash equivalents consist of money market funds.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Short-term Investments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investments consist of commercial debt securities, commercial paper and U.S. Government securities, classified as available-for-sale securities and have maturities of greater than three months but less than one year. The Company has classified all of its available-for-sale investment securities as current assets on the balance sheets because these are considered highly liquid securities and are available for use in current operations. The Company carries these securities at fair value, and reports unrealized gains and losses as a separate component of accumulated other comprehensive loss. The cost of debt securities is adjusted for amortization of purchase premiums and accretion of discounts to maturity. Such amortization and accretion is included in interest income in the statements of operations and comprehensive loss. Realized gains and losses on sales of securities are determined using the specific identification method and recorded in other income (expense), net in the statement of operations and comprehensive loss.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115</w:t>
      </w:r>
    </w:p>
    <w:p>
      <w:pPr>
        <w:pStyle w:val="HorizontalLine"/>
        <w:rPr/>
      </w:pPr>
      <w:r>
        <w:rPr/>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Restricted Cash</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is required to maintain a letter of credit related to its office and lab space lease. This cash is the collateral for that letter of credit and per the terms of the lease must remain in place until two months after the termination of the lease. As the remaining term of the lease as of December 31, 2020 is greater than one year, the related restricted cash has been classified as non-current.</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Property and Equipment, Net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which consist of leasehold improvements, furniture and fixtures, research equipment, computers and software and construction-in-progress are stated at cost less accumulated depreciation. Depreciation and amortization is calculated using the straight-line method over the estimated useful lives of the assets, which ranges from three to five years. Leasehold improvements are amortized over the remaining life of the lease for leasehold improvements at the time the asset is placed into service.</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Impairment of Long-Lived Assets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Through December 31, 2020, there has been no such impairment losses recorded by the Company.</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Deferred Offering Costs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offering costs that consisted of legal, accounting, printing and other fees and costs directly attributable to the IPO were capitalized. Upon the completion of the IPO in July 2020, the total deferred offering costs of $4.4 million were offset against the proceeds from the IPO and reclassified to additional paid-in capital on the balance sheets.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Preferred Stock Purchase Right Liability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at times enters into convertible preferred stock financings where, in addition to the initial closing, investors agree to buy, and the Company agrees to sell, additional shares of that convertible preferred stock at a fixed price in the event that certain agreed upon milestones are achieved or at the election of investors. The Company evaluates this purchase right and assesses whether it meets the definition of a freestanding instrument and, if so, determines the fair value of the purchase right liability and records it on the balance sheets with the remainder of the proceeds raised being allocated to convertible preferred stock. The preferred stock purchase right liability is revalued at each reporting period with changes in the fair value of the liability recorded as change in fair value of preferred stock purchase right in the statements of operations and comprehensive loss. A final revaluation adjustment of preferred stock purchase right liability was recorded at settlement in July 2020 and the resultant fair value was then reclassified to convertible preferred stock at that time.</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Convertible Preferred Stock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recorded all shares of convertible preferred stock at their respective issuance price less issuance costs on the dates of issuance. Convertible preferred stock was previously classified outside of stockholders’ equity (deficit) on the balance sheets as events triggering redemption were not solely within the Company’s control because the preferred stockholders had the ability to effect a liquidation event, as they have majority of the Company’s Board seats.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Immediately prior to the </w:t>
      </w:r>
      <w:r>
        <w:rPr>
          <w:rFonts w:ascii="Times New Roman" w:hAnsi="Times New Roman"/>
          <w:b w:val="false"/>
          <w:i w:val="false"/>
          <w:caps w:val="false"/>
          <w:smallCaps w:val="false"/>
          <w:color w:val="000000"/>
          <w:sz w:val="20"/>
        </w:rPr>
        <w:t>closing of the Company’s IPO in July 2020, all outstanding shares of the Company’s convertible preferred stock converted into the Company’s common stock. There were no outstanding shares of the Company’s convertible preferred stock as of December 31, 2020.</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116</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Revenue Recognition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Revenue is recognized in accordance with ASC 606 when a customer obtains control of promised goods or services. The Company applies the following five steps to recognize revenue: (i) identify the contract with a customer; (ii) identify the performance obligations in the contract; (iii) determine the transaction price; (iv) allocate the transaction price to performance obligations in the contract; and (v) determine the recognition period. The Company evaluates its performance obligations to determine whether each item represents a good or service that is distinct or has the same pattern of transfer as other deliverables. A deliverable is considered distinct if the customer can benefit from the good or service independently of other goods/services either in the contract or that can be obtained elsewhere, and the entity’s promise to transfer the good or service to the customer is separately identifiable from other promises in the contact. If the deliverable is not considered distinct, the Company combines such deliverables and accounts for them as a single performance obligation. The Company allocates the consideration to each deliverable at the inception of the arrangement based on the transaction price.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April 2017, the Company entered into the Collaboration and License Agreement (the “Collaboration Agreement”) with GlaxoSmithKline Intellectual Property Development Limited and Glaxo Group Limited (together, “GSK”) to research and develop therapeutics using Engineered NK Cells as carriers for target programs. On December 10, 2018, the Collaboration Agreement with GSK was terminated. Nominal revenue of $0.1 million was recognized for the year ended December 31, 2019 in connection with the wind-down activities through the termination of the Collaboration Agreement in December 2018. There was no revenue recorded for the year ended December 31, 2020.</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Research and Development Costs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costs are expensed as incurred. Research and development costs consist primarily of salaries and other benefits of research and development personnel, including associated share-based compensation, costs related to research activities, preclinical studies, clinical trial, drug manufacturing and allocated overhead and facility-related expenses.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Commitments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recognizes a liability with regard to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There has been no such liabilities recorded by the Company as of December 31, 2020.</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Leases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 the commencement date of a lease, the Company recognizes lease liabilities which represent its obligation to make lease payments, and right-of-use assets (“ROU assets”) which represent its right to use the underlying asset during the lease term. The lease liability is measured at the present value of lease payments over the lease term. As the Company’s leases typically do not provide an implicit rate, the Company uses an incremental borrowing rate based on the information available at the lease commencement date. The ROU asset is measured at cost, which includes the initial measurement of the lease liability and initial direct costs incurred by the Company and excludes lease incentives. ROU assets are recorded in operating lease ROU assets and lease liabilities are recorded in operating lease liabilities, current and noncurrent in the balance sheets.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 terms may include options to extend or terminate the lease when it is reasonably certain that the Company will exercise that option. Operating lease expense is recognized on a straight-line basis over the lease term. Lease agreements that contain both lease and non-lease components are generally accounted for separately. The Company does not recognize lease liabilities and ROU assets for short-term leases with terms of twelve months or less.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Share-Based Compensation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Share-based compensation expense represents the cost of the grant-date fair value of employee, officer, director, and non-employee stock option grants, estimated in accordance with the applicable accounting guidance, recognized using the straight-line method over the vesting period for service-based options and using the graded vesting method for performance-based options. The vesting period generally approximates the expected service period of the awards. Forfeitures are recognized and accounted for as they occur.</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fair value of stock options is estimated using a Black-Scholes option pricing model on the date of grant. This method requires certain assumptions be used as inputs, such as the fair value of the underlying common stock, expected term of the option before exercise, expected volatility of the Company’s common stock, expected dividend yield, and a risk-free interest rate. Options granted during the year have a maximum contractual term of ten years. The Company has limited historical stock option activity and therefore estimates the expected term of stock options granted using the simplified method, which represents the average of the contractual term of the stock option and its weighted-average vesting period. The expected volatility of stock options is based upon the historical volatility of a number of publicly traded companies in similar stages of clinical development. The Company has historically not declared or paid any dividends and does not currently expect to do so in the foreseeable future. The risk-free interest rates used are based on the U.S. Department of Treasury (“U.S. Treasury”) yield in effect at the time of grant for zero-coupon U.S. Treasury notes with maturities approximately equal to the expected term of the stock options.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Income Taxes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Segment Reporting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Company’s chief operating decision maker, its President and Chief Executive Officer, manages its operations and business as one operating segment for the purposes of allocating resources, makes operating decisions and evaluates financial performance. No product revenue has been generated since inception and all assets are held in the United States.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Net Loss Per Share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Basic net loss per share is calculated by dividing the net loss attributable to common stockholders by the weighted-average number of common shares outstanding for the period, without consideration of potential dilutive securities. Diluted net loss per share is computed by dividing the net loss attributable to common stockholders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convertible preferred stock prior to the conversion of such shares to common stock, unvested common stock, and outstanding stock options under the Company’s equity incentive plan, have been excluded from the computation of diluted net loss per share as they would be anti-dilutive to the net loss per share. For all periods presented, there is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118</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 difference in the number of shares used to calculate basic and diluted shares outstanding due to the Company’s net loss position.</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Recent Accounting Pronouncements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Adopted Accounting Pronouncements </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Financial Instruments. </w:t>
      </w:r>
      <w:r>
        <w:rPr>
          <w:rFonts w:ascii="Times New Roman" w:hAnsi="Times New Roman"/>
          <w:b w:val="false"/>
          <w:i w:val="false"/>
          <w:caps w:val="false"/>
          <w:smallCaps w:val="false"/>
          <w:color w:val="000000"/>
          <w:sz w:val="20"/>
        </w:rPr>
        <w:t>In June 2016, the FASB issued ASU 2016-13, Financial Instruments—Credit Losses (Topic 326): </w:t>
      </w:r>
      <w:r>
        <w:rPr>
          <w:rFonts w:ascii="Times New Roman" w:hAnsi="Times New Roman"/>
          <w:b w:val="false"/>
          <w:i/>
          <w:caps w:val="false"/>
          <w:smallCaps w:val="false"/>
          <w:color w:val="000000"/>
          <w:sz w:val="20"/>
        </w:rPr>
        <w:t>Measurement of Credit Losses on Financial Instruments</w:t>
      </w:r>
      <w:r>
        <w:rPr>
          <w:rFonts w:ascii="Times New Roman" w:hAnsi="Times New Roman"/>
          <w:b w:val="false"/>
          <w:i w:val="false"/>
          <w:caps w:val="false"/>
          <w:smallCaps w:val="false"/>
          <w:color w:val="000000"/>
          <w:sz w:val="20"/>
        </w:rPr>
        <w:t>, which amends the impairment model by requiring entities to use a forward-looking approach based on expected losses to estimate credit losses on certain types of financial instruments, including available-for-sale debt securities. The Company adopted this standard in the first quarter of 2020. The adoption of this standard did not have a material impact on the Company’s financial statements.</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Fair Value Measurements. </w:t>
      </w:r>
      <w:r>
        <w:rPr>
          <w:rFonts w:ascii="Times New Roman" w:hAnsi="Times New Roman"/>
          <w:b w:val="false"/>
          <w:i w:val="false"/>
          <w:caps w:val="false"/>
          <w:smallCaps w:val="false"/>
          <w:color w:val="000000"/>
          <w:sz w:val="20"/>
        </w:rPr>
        <w:t>In August 2018, the FASB issued ASU 2018-13—Fair Value Measurement (Topic 820): </w:t>
      </w:r>
      <w:r>
        <w:rPr>
          <w:rFonts w:ascii="Times New Roman" w:hAnsi="Times New Roman"/>
          <w:b w:val="false"/>
          <w:i/>
          <w:caps w:val="false"/>
          <w:smallCaps w:val="false"/>
          <w:color w:val="000000"/>
          <w:sz w:val="20"/>
        </w:rPr>
        <w:t>Disclosure Framework—Changes to the Disclosure Requirements for Fair Value Measurement</w:t>
      </w:r>
      <w:r>
        <w:rPr>
          <w:rFonts w:ascii="Times New Roman" w:hAnsi="Times New Roman"/>
          <w:b w:val="false"/>
          <w:i w:val="false"/>
          <w:caps w:val="false"/>
          <w:smallCaps w:val="false"/>
          <w:color w:val="000000"/>
          <w:sz w:val="20"/>
        </w:rPr>
        <w:t>, which eliminates, adds and modifies certain disclosure requirements for fair value measurement. The amendments in ASU 2018-13 that relate to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in ASU 2018-13 should be applied retrospectively to all periods presented upon their effective date. The Company adopted this standard in the first quarter of 2020. The adoption of this standard did not have a material impact on the Company’s disclosures.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Accounting Pronouncements Not Yet Adopted</w:t>
      </w:r>
    </w:p>
    <w:p>
      <w:pPr>
        <w:pStyle w:val="TextBody"/>
        <w:spacing w:before="12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Income Taxes. </w:t>
      </w:r>
      <w:r>
        <w:rPr>
          <w:rFonts w:ascii="Times New Roman" w:hAnsi="Times New Roman"/>
          <w:b w:val="false"/>
          <w:i w:val="false"/>
          <w:caps w:val="false"/>
          <w:smallCaps w:val="false"/>
          <w:color w:val="000000"/>
          <w:sz w:val="20"/>
        </w:rPr>
        <w:t>In December 2019, the FASB issued ASU 2019-12—Income Taxes (Topic 740): </w:t>
      </w:r>
      <w:r>
        <w:rPr>
          <w:rFonts w:ascii="Times New Roman" w:hAnsi="Times New Roman"/>
          <w:b w:val="false"/>
          <w:i/>
          <w:caps w:val="false"/>
          <w:smallCaps w:val="false"/>
          <w:color w:val="000000"/>
          <w:sz w:val="20"/>
        </w:rPr>
        <w:t>Simplifying the Accounting for Income Taxes, </w:t>
      </w:r>
      <w:r>
        <w:rPr>
          <w:rFonts w:ascii="Times New Roman" w:hAnsi="Times New Roman"/>
          <w:b w:val="false"/>
          <w:i w:val="false"/>
          <w:caps w:val="false"/>
          <w:smallCaps w:val="false"/>
          <w:color w:val="000000"/>
          <w:sz w:val="20"/>
        </w:rPr>
        <w:t>which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This standard is effective for fiscal years beginning after December 15, 2020, with early adoption permitted. The Company will adopt this standard in the first quarter of 2021 and the adoption is not expected to have a material impact on the Company’s financial statements.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119</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3. Net Loss Per Share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tables summarize the computation of the basic and diluted net loss per share (in thousands except share and per share data):</w:t>
      </w:r>
    </w:p>
    <w:p>
      <w:pPr>
        <w:pStyle w:val="TextBody"/>
        <w:spacing w:before="0" w:after="0"/>
        <w:rPr/>
      </w:pPr>
      <w:r>
        <w:rPr/>
        <w:t> </w:t>
      </w:r>
    </w:p>
    <w:tbl>
      <w:tblPr>
        <w:tblW w:w="6755" w:type="dxa"/>
        <w:jc w:val="center"/>
        <w:tblInd w:w="0" w:type="dxa"/>
        <w:tblCellMar>
          <w:top w:w="0" w:type="dxa"/>
          <w:left w:w="0" w:type="dxa"/>
          <w:bottom w:w="28" w:type="dxa"/>
          <w:right w:w="0" w:type="dxa"/>
        </w:tblCellMar>
      </w:tblPr>
      <w:tblGrid>
        <w:gridCol w:w="4430"/>
        <w:gridCol w:w="60"/>
        <w:gridCol w:w="125"/>
        <w:gridCol w:w="950"/>
        <w:gridCol w:w="80"/>
        <w:gridCol w:w="60"/>
        <w:gridCol w:w="125"/>
        <w:gridCol w:w="845"/>
        <w:gridCol w:w="80"/>
      </w:tblGrid>
      <w:tr>
        <w:trPr/>
        <w:tc>
          <w:tcPr>
            <w:tcW w:w="44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3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3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Numerator: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3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(91,361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(21,076</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3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Denominator: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3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common shares outstanding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16,918,664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1,712,639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3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weighted average unvested common stock</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issued upon early exercise of common 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(112,402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(165,589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3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weighted average unvested founder shares</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of common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(84,539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43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shares used to compute net loss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per share, basic and 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16,806,262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1,462,511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3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basic and 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the outstanding potentially dilutive securities that have been excluded in the calculation of diluted net loss per share because their inclusion would be anti-dilutive:</w:t>
      </w:r>
    </w:p>
    <w:p>
      <w:pPr>
        <w:pStyle w:val="TextBody"/>
        <w:spacing w:before="0" w:after="0"/>
        <w:rPr/>
      </w:pPr>
      <w:r>
        <w:rPr/>
        <w:t> </w:t>
      </w:r>
    </w:p>
    <w:tbl>
      <w:tblPr>
        <w:tblW w:w="7785" w:type="dxa"/>
        <w:jc w:val="center"/>
        <w:tblInd w:w="0" w:type="dxa"/>
        <w:tblCellMar>
          <w:top w:w="0" w:type="dxa"/>
          <w:left w:w="0" w:type="dxa"/>
          <w:bottom w:w="28" w:type="dxa"/>
          <w:right w:w="0" w:type="dxa"/>
        </w:tblCellMar>
      </w:tblPr>
      <w:tblGrid>
        <w:gridCol w:w="5735"/>
        <w:gridCol w:w="60"/>
        <w:gridCol w:w="60"/>
        <w:gridCol w:w="845"/>
        <w:gridCol w:w="60"/>
        <w:gridCol w:w="60"/>
        <w:gridCol w:w="60"/>
        <w:gridCol w:w="845"/>
        <w:gridCol w:w="60"/>
      </w:tblGrid>
      <w:tr>
        <w:trPr/>
        <w:tc>
          <w:tcPr>
            <w:tcW w:w="57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3,640,715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2,329,516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Unvested common stock upon early exercise of common stock options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77,393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132,249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3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Convertible preferred stock</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7,374,034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35"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3,718,108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9,835,799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 Fair Value of Financial Instruments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tables summarize the fair value of the Company’s financial instruments (in thousands):</w:t>
      </w:r>
    </w:p>
    <w:p>
      <w:pPr>
        <w:pStyle w:val="TextBody"/>
        <w:spacing w:before="0" w:after="0"/>
        <w:rPr/>
      </w:pPr>
      <w:r>
        <w:rPr/>
        <w:t> </w:t>
      </w:r>
    </w:p>
    <w:tbl>
      <w:tblPr>
        <w:tblW w:w="8272" w:type="dxa"/>
        <w:jc w:val="center"/>
        <w:tblInd w:w="0" w:type="dxa"/>
        <w:tblCellMar>
          <w:top w:w="0" w:type="dxa"/>
          <w:left w:w="0" w:type="dxa"/>
          <w:bottom w:w="28" w:type="dxa"/>
          <w:right w:w="0" w:type="dxa"/>
        </w:tblCellMar>
      </w:tblPr>
      <w:tblGrid>
        <w:gridCol w:w="2345"/>
        <w:gridCol w:w="60"/>
        <w:gridCol w:w="153"/>
        <w:gridCol w:w="856"/>
        <w:gridCol w:w="60"/>
        <w:gridCol w:w="60"/>
        <w:gridCol w:w="274"/>
        <w:gridCol w:w="1305"/>
        <w:gridCol w:w="64"/>
        <w:gridCol w:w="64"/>
        <w:gridCol w:w="203"/>
        <w:gridCol w:w="1136"/>
        <w:gridCol w:w="64"/>
        <w:gridCol w:w="64"/>
        <w:gridCol w:w="487"/>
        <w:gridCol w:w="1017"/>
        <w:gridCol w:w="60"/>
      </w:tblGrid>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78"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 Measurements Using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Quoted Prices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Active Markets for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Identical Assets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Significant 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Observable Inputs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Significant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Unobservable Inputs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94,631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94,631</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48,614</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63,445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63,445</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106,162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106,162</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short-term investments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218,221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218,221</w:t>
            </w:r>
          </w:p>
        </w:tc>
        <w:tc>
          <w:tcPr>
            <w:tcW w:w="6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312,852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94,631</w:t>
            </w:r>
          </w:p>
        </w:tc>
        <w:tc>
          <w:tcPr>
            <w:tcW w:w="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218,221</w:t>
            </w:r>
          </w:p>
        </w:tc>
        <w:tc>
          <w:tcPr>
            <w:tcW w:w="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9080" w:type="dxa"/>
        <w:jc w:val="center"/>
        <w:tblInd w:w="0" w:type="dxa"/>
        <w:tblCellMar>
          <w:top w:w="0" w:type="dxa"/>
          <w:left w:w="0" w:type="dxa"/>
          <w:bottom w:w="28" w:type="dxa"/>
          <w:right w:w="0" w:type="dxa"/>
        </w:tblCellMar>
      </w:tblPr>
      <w:tblGrid>
        <w:gridCol w:w="3125"/>
        <w:gridCol w:w="60"/>
        <w:gridCol w:w="175"/>
        <w:gridCol w:w="834"/>
        <w:gridCol w:w="60"/>
        <w:gridCol w:w="60"/>
        <w:gridCol w:w="512"/>
        <w:gridCol w:w="1067"/>
        <w:gridCol w:w="71"/>
        <w:gridCol w:w="71"/>
        <w:gridCol w:w="234"/>
        <w:gridCol w:w="1105"/>
        <w:gridCol w:w="71"/>
        <w:gridCol w:w="71"/>
        <w:gridCol w:w="306"/>
        <w:gridCol w:w="1198"/>
        <w:gridCol w:w="60"/>
      </w:tblGrid>
      <w:tr>
        <w:trPr/>
        <w:tc>
          <w:tcPr>
            <w:tcW w:w="312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706"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 Measurements Using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Quoted Prices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Active Markets for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Identical Assets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3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Significant Other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Observable Inputs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Significant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Unobservable Inputs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6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0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2,395</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6"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9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6,027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6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6,027</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single" w:sz="6" w:space="0" w:color="000000"/>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10,357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10,357</w:t>
            </w:r>
          </w:p>
        </w:tc>
        <w:tc>
          <w:tcPr>
            <w:tcW w:w="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single" w:sz="6" w:space="0" w:color="000000"/>
            </w:tcBorders>
            <w:shd w:fill="FFFFFF" w:val="cle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short-term investments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16,384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16,384</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18,779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6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18,779</w:t>
            </w:r>
          </w:p>
        </w:tc>
        <w:tc>
          <w:tcPr>
            <w:tcW w:w="7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Preferred stock purchase right liability</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1,478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67"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05"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6"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98"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1,478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360" w:after="0"/>
        <w:rPr>
          <w:rFonts w:ascii="Times New Roman" w:hAnsi="Times New Roman"/>
          <w:b/>
          <w:i/>
          <w:caps w:val="false"/>
          <w:smallCaps w:val="false"/>
          <w:color w:val="000000"/>
          <w:sz w:val="20"/>
        </w:rPr>
      </w:pPr>
      <w:bookmarkStart w:id="75" w:name="_AEIOULastRenderedPageBreakAEIOU12"/>
      <w:bookmarkEnd w:id="75"/>
      <w:r>
        <w:rPr>
          <w:rFonts w:ascii="Times New Roman" w:hAnsi="Times New Roman"/>
          <w:b/>
          <w:i/>
          <w:caps w:val="false"/>
          <w:smallCaps w:val="false"/>
          <w:color w:val="000000"/>
          <w:sz w:val="20"/>
        </w:rPr>
        <w:t>Cash Equivalents and Short-Term Investments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Financial assets measured at fair value on a recurring basis consist of the Company’s cash equivalents and short-term investments. Cash equivalents consisted of money market funds and short-term investments consisted of commercial paper, corporate debt securities and U.S. Government securities. The Company obtains pricing information from its investment manager and generally determines the fair value of investment securities using standard observable inputs, including reported trades, broker/dealer quotes, and bids and/or offers.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Investments are classified as Level 1 within the fair value hierarchy if their quoted prices are available in active markets for identical securities. Investments in money market funds of $94.6 million included in cash equivalents as of December 31, 2020 were classified as Level 1 instruments. </w:t>
      </w:r>
    </w:p>
    <w:p>
      <w:pPr>
        <w:pStyle w:val="TextBody"/>
        <w:spacing w:before="240" w:after="0"/>
        <w:rPr>
          <w:rFonts w:ascii="Times New Roman" w:hAnsi="Times New Roman"/>
          <w:b w:val="false"/>
          <w:i w:val="false"/>
          <w:caps w:val="false"/>
          <w:smallCaps w:val="false"/>
          <w:color w:val="000000"/>
          <w:sz w:val="20"/>
        </w:rPr>
      </w:pPr>
      <w:bookmarkStart w:id="76" w:name="_Hlk66377219"/>
      <w:bookmarkEnd w:id="76"/>
      <w:r>
        <w:rPr>
          <w:rFonts w:ascii="Times New Roman" w:hAnsi="Times New Roman"/>
          <w:b w:val="false"/>
          <w:i w:val="false"/>
          <w:caps w:val="false"/>
          <w:smallCaps w:val="false"/>
          <w:color w:val="000000"/>
          <w:sz w:val="20"/>
        </w:rPr>
        <w:t>Investments in corporate debt securities, commercial paper and U.S. Government securities included in short-term investments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tables summarize the Company’s short-term investments as of December 31, 2020 and December 31, 2019 (in thousands):</w:t>
      </w:r>
    </w:p>
    <w:p>
      <w:pPr>
        <w:pStyle w:val="TextBody"/>
        <w:spacing w:before="0" w:after="0"/>
        <w:rPr/>
      </w:pPr>
      <w:r>
        <w:rPr/>
        <w:t> </w:t>
      </w:r>
    </w:p>
    <w:tbl>
      <w:tblPr>
        <w:tblW w:w="7080" w:type="dxa"/>
        <w:jc w:val="center"/>
        <w:tblInd w:w="0" w:type="dxa"/>
        <w:tblCellMar>
          <w:top w:w="0" w:type="dxa"/>
          <w:left w:w="0" w:type="dxa"/>
          <w:bottom w:w="28" w:type="dxa"/>
          <w:right w:w="0" w:type="dxa"/>
        </w:tblCellMar>
      </w:tblPr>
      <w:tblGrid>
        <w:gridCol w:w="2210"/>
        <w:gridCol w:w="60"/>
        <w:gridCol w:w="1070"/>
        <w:gridCol w:w="60"/>
        <w:gridCol w:w="125"/>
        <w:gridCol w:w="695"/>
        <w:gridCol w:w="60"/>
        <w:gridCol w:w="60"/>
        <w:gridCol w:w="240"/>
        <w:gridCol w:w="560"/>
        <w:gridCol w:w="80"/>
        <w:gridCol w:w="60"/>
        <w:gridCol w:w="259"/>
        <w:gridCol w:w="541"/>
        <w:gridCol w:w="60"/>
        <w:gridCol w:w="60"/>
        <w:gridCol w:w="125"/>
        <w:gridCol w:w="695"/>
        <w:gridCol w:w="60"/>
      </w:tblGrid>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20"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Maturity</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years)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Losses</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Gains</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Estimated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year or less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48,616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48,614</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year or less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63,445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63,445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single" w:sz="6" w:space="0" w:color="000000"/>
            </w:tcBorders>
            <w:shd w:fill="CFF0FC"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year or less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106,157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106,162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218,218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218,221</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6859" w:type="dxa"/>
        <w:jc w:val="center"/>
        <w:tblInd w:w="0" w:type="dxa"/>
        <w:tblCellMar>
          <w:top w:w="0" w:type="dxa"/>
          <w:left w:w="0" w:type="dxa"/>
          <w:bottom w:w="28" w:type="dxa"/>
          <w:right w:w="0" w:type="dxa"/>
        </w:tblCellMar>
      </w:tblPr>
      <w:tblGrid>
        <w:gridCol w:w="2045"/>
        <w:gridCol w:w="60"/>
        <w:gridCol w:w="1070"/>
        <w:gridCol w:w="60"/>
        <w:gridCol w:w="137"/>
        <w:gridCol w:w="648"/>
        <w:gridCol w:w="60"/>
        <w:gridCol w:w="60"/>
        <w:gridCol w:w="259"/>
        <w:gridCol w:w="541"/>
        <w:gridCol w:w="80"/>
        <w:gridCol w:w="60"/>
        <w:gridCol w:w="259"/>
        <w:gridCol w:w="541"/>
        <w:gridCol w:w="60"/>
        <w:gridCol w:w="60"/>
        <w:gridCol w:w="139"/>
        <w:gridCol w:w="660"/>
        <w:gridCol w:w="60"/>
      </w:tblGrid>
      <w:tr>
        <w:trPr/>
        <w:tc>
          <w:tcPr>
            <w:tcW w:w="20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564"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7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Maturity</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years)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Gains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9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Estimated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year or less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6,029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6,027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4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year or less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10,357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10,357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4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16,386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16,384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bookmarkStart w:id="77" w:name="_Hlk48299306"/>
      <w:bookmarkStart w:id="78" w:name="_AEIOULastRenderedPageBreakAEIOU13"/>
      <w:bookmarkEnd w:id="77"/>
      <w:bookmarkEnd w:id="78"/>
      <w:r>
        <w:rPr>
          <w:rFonts w:ascii="Times New Roman" w:hAnsi="Times New Roman"/>
          <w:b w:val="false"/>
          <w:i w:val="false"/>
          <w:caps w:val="false"/>
          <w:smallCaps w:val="false"/>
          <w:color w:val="000000"/>
          <w:sz w:val="20"/>
          <w:highlight w:val="white"/>
        </w:rPr>
        <w:t xml:space="preserve">Prior to 2020, the Company followed the guidance in ASC 320 Investments—Debt and Equity Securities in determining whether unrealized losses were other than temporary. The Company adopted Topic 326 on January 1, 2020, and now considers whether unrealized losses have resulted from a credit loss or other factors. The unrealized losses on the Company’s available-for-sale securities as of </w:t>
      </w:r>
      <w:r>
        <w:rPr>
          <w:rFonts w:ascii="Times New Roman" w:hAnsi="Times New Roman"/>
          <w:b w:val="false"/>
          <w:i w:val="false"/>
          <w:caps w:val="false"/>
          <w:smallCaps w:val="false"/>
          <w:color w:val="000000"/>
          <w:sz w:val="20"/>
        </w:rPr>
        <w:t>December 31</w:t>
      </w:r>
      <w:r>
        <w:rPr>
          <w:rFonts w:ascii="Times New Roman" w:hAnsi="Times New Roman"/>
          <w:b w:val="false"/>
          <w:i w:val="false"/>
          <w:caps w:val="false"/>
          <w:smallCaps w:val="false"/>
          <w:color w:val="000000"/>
          <w:sz w:val="20"/>
          <w:highlight w:val="white"/>
        </w:rPr>
        <w:t xml:space="preserve">, 2020 and December 31, 2019 were caused by fluctuations in market value and interest rates as a result of the economic environment. The Company concluded that an allowance for credit losses was unnecessary as of </w:t>
      </w:r>
      <w:r>
        <w:rPr>
          <w:rFonts w:ascii="Times New Roman" w:hAnsi="Times New Roman"/>
          <w:b w:val="false"/>
          <w:i w:val="false"/>
          <w:caps w:val="false"/>
          <w:smallCaps w:val="false"/>
          <w:color w:val="000000"/>
          <w:sz w:val="20"/>
        </w:rPr>
        <w:t>December 31</w:t>
      </w:r>
      <w:r>
        <w:rPr>
          <w:rFonts w:ascii="Times New Roman" w:hAnsi="Times New Roman"/>
          <w:b w:val="false"/>
          <w:i w:val="false"/>
          <w:caps w:val="false"/>
          <w:smallCaps w:val="false"/>
          <w:color w:val="000000"/>
          <w:sz w:val="20"/>
          <w:highlight w:val="white"/>
        </w:rPr>
        <w:t xml:space="preserve">, 2020 and </w:t>
      </w:r>
      <w:r>
        <w:rPr>
          <w:rFonts w:ascii="Times New Roman" w:hAnsi="Times New Roman"/>
          <w:b w:val="false"/>
          <w:i w:val="false"/>
          <w:caps w:val="false"/>
          <w:smallCaps w:val="false"/>
          <w:color w:val="000000"/>
          <w:sz w:val="20"/>
        </w:rPr>
        <w:t>that there were no impairments as of December 31, 2019 considered as other-than-temporary because the decline in the market value was attributable to changes in market conditions and not credit quality, and that it is neither management’s intention to sell nor is it more likely than not that the Company will be required to sell these investments prior to recovery of their cost basis or recovery of fair value. There was no realized gain or loss on available-for-sale securities in the periods presented.</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The Company elected the practical expedient to exclude accrued interest from both the fair value and the amortized cost basis of the available-for-sale debt securities for the purposes of identifying and measuring an impairment and to not measure an allowance for expected credit losses for accrued interest receivables. Accrued interest receivable is written off through net realized investment gains (losses) at the time the issuer of the bond defaults or is expected to default on payment. The Company made an accounting policy election to present the accrued interest receivable balance </w:t>
      </w:r>
      <w:r>
        <w:rPr>
          <w:rFonts w:ascii="Times New Roman" w:hAnsi="Times New Roman"/>
          <w:b w:val="false"/>
          <w:i w:val="false"/>
          <w:caps w:val="false"/>
          <w:smallCaps w:val="false"/>
          <w:color w:val="000000"/>
          <w:sz w:val="20"/>
        </w:rPr>
        <w:t>as part of prepaid expenses and other current assets in the balance sheets. Accrued interest receivable related to short-term investments was $1.1 million and $41,000 as of December 31, 2020 and 2019, respectively.</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Preferred Stock Purchase Right Liability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August 2019, the Company entered into a Series B Preferred Stock Purchase Agreement (see Note 10) that contained future purchase rights that were required to be accounted for as liabilities and remeasured to fair value at each reporting date, with any change in the fair value reported as a component of other expense, net. On July 1, 2020, the Company completed the Series B Milestone Closing and issued 27,066,206 shares of its Series B convertible preferred stock for aggregate gross proceeds of $64.4 million. Upon the exercise of the preferred stock purchase right on July 1, 2020, the preferred stock purchase right liability was revalued at an estimated fair value of $41.6 million and was reclassified to additional paid-in capital in the balance sheets. See Note 10 for further details on preferred stock purchase right liability.</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estimated fair value of the preferred stock purchase right liability at July 1, 2020 and December 31, 2019 was determined using a valuation model that incorporated the probability of the occurrence of the Series B Milestone Closing in addition to the factors considered at issuance. To determine the fair value of preferred stock purchase right as of July 1, 2020, an intrinsic value model was used. The assumptions used to determine the fair value of the preferred stock purchase right liability as of December 31, 2019 and upon its issuance in August 2019 included an estimated probability of occurrence of the Series B Milestone Closing of 90%, an assumed discount rates of 1.6% and 1.8%, respectively, and an estimated time period the preferred stock purchase right liability would be outstanding of 0.8 years and 1.1 years, respectively. As certain of these inputs are not observable in the market, the preferred stock purchase right liability is classified as a Level 3 instrument.</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provides the change in preferred stock purchase right liability for the year ended December 31, 2020 (in thousands):</w:t>
      </w:r>
    </w:p>
    <w:p>
      <w:pPr>
        <w:pStyle w:val="TextBody"/>
        <w:spacing w:before="0" w:after="0"/>
        <w:rPr/>
      </w:pPr>
      <w:r>
        <w:rPr/>
        <w:t> </w:t>
      </w:r>
    </w:p>
    <w:tbl>
      <w:tblPr>
        <w:tblW w:w="5999" w:type="dxa"/>
        <w:jc w:val="center"/>
        <w:tblInd w:w="0" w:type="dxa"/>
        <w:tblCellMar>
          <w:top w:w="0" w:type="dxa"/>
          <w:left w:w="0" w:type="dxa"/>
          <w:bottom w:w="28" w:type="dxa"/>
          <w:right w:w="0" w:type="dxa"/>
        </w:tblCellMar>
      </w:tblPr>
      <w:tblGrid>
        <w:gridCol w:w="4685"/>
        <w:gridCol w:w="60"/>
        <w:gridCol w:w="189"/>
        <w:gridCol w:w="985"/>
        <w:gridCol w:w="80"/>
      </w:tblGrid>
      <w:tr>
        <w:trPr/>
        <w:tc>
          <w:tcPr>
            <w:tcW w:w="46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Preferred Stock</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Purchase Right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Liability</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December 31,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preferred stock purchase right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40,163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Reclassification of preferred stock purchase right liability</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to equity upon issuance of convertible preferred stock</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(41,641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68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December 31,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122</w:t>
      </w:r>
    </w:p>
    <w:p>
      <w:pPr>
        <w:pStyle w:val="HorizontalLine"/>
        <w:rPr/>
      </w:pPr>
      <w:r>
        <w:rPr/>
      </w:r>
    </w:p>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5. Balance Sheet Components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Prepaid Expenses and Other Current Assets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 are comprised of the following (in thousands):</w:t>
      </w:r>
    </w:p>
    <w:p>
      <w:pPr>
        <w:pStyle w:val="TextBody"/>
        <w:spacing w:before="0" w:after="0"/>
        <w:rPr/>
      </w:pPr>
      <w:r>
        <w:rPr/>
        <w:t> </w:t>
      </w:r>
    </w:p>
    <w:tbl>
      <w:tblPr>
        <w:tblW w:w="5140" w:type="dxa"/>
        <w:jc w:val="center"/>
        <w:tblInd w:w="0" w:type="dxa"/>
        <w:tblCellMar>
          <w:top w:w="0" w:type="dxa"/>
          <w:left w:w="0" w:type="dxa"/>
          <w:bottom w:w="28" w:type="dxa"/>
          <w:right w:w="0" w:type="dxa"/>
        </w:tblCellMar>
      </w:tblPr>
      <w:tblGrid>
        <w:gridCol w:w="3830"/>
        <w:gridCol w:w="60"/>
        <w:gridCol w:w="125"/>
        <w:gridCol w:w="485"/>
        <w:gridCol w:w="60"/>
        <w:gridCol w:w="60"/>
        <w:gridCol w:w="125"/>
        <w:gridCol w:w="335"/>
        <w:gridCol w:w="60"/>
      </w:tblGrid>
      <w:tr>
        <w:trPr/>
        <w:tc>
          <w:tcPr>
            <w:tcW w:w="38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2,586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current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3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prepaid expenses and other current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3,922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Property and Equipment, Net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 is comprised of the following (in thousands):</w:t>
      </w:r>
    </w:p>
    <w:p>
      <w:pPr>
        <w:pStyle w:val="TextBody"/>
        <w:spacing w:before="0" w:after="0"/>
        <w:rPr/>
      </w:pPr>
      <w:r>
        <w:rPr/>
        <w:t> </w:t>
      </w:r>
    </w:p>
    <w:tbl>
      <w:tblPr>
        <w:tblW w:w="5555" w:type="dxa"/>
        <w:jc w:val="center"/>
        <w:tblInd w:w="0" w:type="dxa"/>
        <w:tblCellMar>
          <w:top w:w="0" w:type="dxa"/>
          <w:left w:w="0" w:type="dxa"/>
          <w:bottom w:w="28" w:type="dxa"/>
          <w:right w:w="0" w:type="dxa"/>
        </w:tblCellMar>
      </w:tblPr>
      <w:tblGrid>
        <w:gridCol w:w="3950"/>
        <w:gridCol w:w="60"/>
        <w:gridCol w:w="125"/>
        <w:gridCol w:w="590"/>
        <w:gridCol w:w="80"/>
        <w:gridCol w:w="60"/>
        <w:gridCol w:w="125"/>
        <w:gridCol w:w="485"/>
        <w:gridCol w:w="80"/>
      </w:tblGrid>
      <w:tr>
        <w:trPr/>
        <w:tc>
          <w:tcPr>
            <w:tcW w:w="39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6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bookmarkStart w:id="79" w:name="_Hlk66893537"/>
            <w:bookmarkEnd w:id="79"/>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Leasehold improvements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1,984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Furniture and fixtures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4,892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Computers and software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Construction-in-progress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3,459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property and equipment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10,781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3,725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accumulated depreciation and amortization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(645</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5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property and equipment, net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9,350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3,080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 expense were $0.8 million and $0.4 million for the years ended December 31, 2020 and 2019, respectively.</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Accrued and Other Current Liabilities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and other current liabilities are comprised of the following (in thousands):</w:t>
      </w:r>
    </w:p>
    <w:p>
      <w:pPr>
        <w:pStyle w:val="TextBody"/>
        <w:spacing w:before="0" w:after="0"/>
        <w:rPr/>
      </w:pPr>
      <w:r>
        <w:rPr/>
        <w:t> </w:t>
      </w:r>
    </w:p>
    <w:tbl>
      <w:tblPr>
        <w:tblW w:w="4765" w:type="dxa"/>
        <w:jc w:val="center"/>
        <w:tblInd w:w="0" w:type="dxa"/>
        <w:tblCellMar>
          <w:top w:w="0" w:type="dxa"/>
          <w:left w:w="0" w:type="dxa"/>
          <w:bottom w:w="28" w:type="dxa"/>
          <w:right w:w="0" w:type="dxa"/>
        </w:tblCellMar>
      </w:tblPr>
      <w:tblGrid>
        <w:gridCol w:w="3305"/>
        <w:gridCol w:w="60"/>
        <w:gridCol w:w="125"/>
        <w:gridCol w:w="485"/>
        <w:gridCol w:w="60"/>
        <w:gridCol w:w="60"/>
        <w:gridCol w:w="125"/>
        <w:gridCol w:w="485"/>
        <w:gridCol w:w="60"/>
      </w:tblGrid>
      <w:tr>
        <w:trPr/>
        <w:tc>
          <w:tcPr>
            <w:tcW w:w="330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4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research and development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property and equipment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offering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accrued and current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accrued and other liabilities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6,253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6. Leases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has operating leases for its corporate office, laboratory space and dedicated space in a vivarium in South San Francisco, California.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123</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components of lease expense were as follows (in thousands):</w:t>
      </w:r>
    </w:p>
    <w:p>
      <w:pPr>
        <w:pStyle w:val="TextBody"/>
        <w:spacing w:before="0" w:after="0"/>
        <w:rPr/>
      </w:pPr>
      <w:r>
        <w:rPr/>
        <w:t> </w:t>
      </w:r>
    </w:p>
    <w:tbl>
      <w:tblPr>
        <w:tblW w:w="4163" w:type="dxa"/>
        <w:jc w:val="center"/>
        <w:tblInd w:w="0" w:type="dxa"/>
        <w:tblCellMar>
          <w:top w:w="0" w:type="dxa"/>
          <w:left w:w="0" w:type="dxa"/>
          <w:bottom w:w="28" w:type="dxa"/>
          <w:right w:w="0" w:type="dxa"/>
        </w:tblCellMar>
      </w:tblPr>
      <w:tblGrid>
        <w:gridCol w:w="2135"/>
        <w:gridCol w:w="60"/>
        <w:gridCol w:w="178"/>
        <w:gridCol w:w="691"/>
        <w:gridCol w:w="85"/>
        <w:gridCol w:w="85"/>
        <w:gridCol w:w="178"/>
        <w:gridCol w:w="691"/>
        <w:gridCol w:w="60"/>
      </w:tblGrid>
      <w:tr>
        <w:trPr/>
        <w:tc>
          <w:tcPr>
            <w:tcW w:w="21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1,856</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35" w:type="dxa"/>
            <w:tcBorders/>
            <w:shd w:fill="FFFFFF"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Variable lease expense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178</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3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lease expense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35"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expense</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2,048</w:t>
            </w:r>
          </w:p>
        </w:tc>
        <w:tc>
          <w:tcPr>
            <w:tcW w:w="8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hd w:fill="FFFFFF" w:val="clear"/>
        <w:spacing w:before="0" w:after="0"/>
        <w:rPr/>
      </w:pPr>
      <w:r>
        <w:rPr/>
        <w:t> </w:t>
      </w:r>
    </w:p>
    <w:p>
      <w:pPr>
        <w:pStyle w:val="TextBody"/>
        <w:shd w:fill="FFFFFF" w:val="clear"/>
        <w:spacing w:lineRule="auto" w:line="288"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Variable lease expense for the periods presented primarily included common area maintenance charges.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Supplemental information related to operating leases were as follows (in thousands):</w:t>
      </w:r>
    </w:p>
    <w:tbl>
      <w:tblPr>
        <w:tblW w:w="7928" w:type="dxa"/>
        <w:jc w:val="center"/>
        <w:tblInd w:w="0" w:type="dxa"/>
        <w:tblCellMar>
          <w:top w:w="0" w:type="dxa"/>
          <w:left w:w="0" w:type="dxa"/>
          <w:bottom w:w="28" w:type="dxa"/>
          <w:right w:w="0" w:type="dxa"/>
        </w:tblCellMar>
      </w:tblPr>
      <w:tblGrid>
        <w:gridCol w:w="5900"/>
        <w:gridCol w:w="60"/>
        <w:gridCol w:w="178"/>
        <w:gridCol w:w="691"/>
        <w:gridCol w:w="85"/>
        <w:gridCol w:w="85"/>
        <w:gridCol w:w="178"/>
        <w:gridCol w:w="691"/>
        <w:gridCol w:w="60"/>
      </w:tblGrid>
      <w:tr>
        <w:trPr/>
        <w:tc>
          <w:tcPr>
            <w:tcW w:w="590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8"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0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00"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paid for amounts included in the measurement of lease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0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cash flows used for operating leases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1,705</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0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00"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Lease liabilities arising from obtaining right-of-use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0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2,401</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1"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5,107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weighted-average remaining lease term was 8.1 years for the corporate office and laboratory space leases and 0.3 years for the vivarium lease as of December 31, 2020. </w:t>
      </w:r>
      <w:r>
        <w:rPr>
          <w:rFonts w:ascii="Times New Roman" w:hAnsi="Times New Roman"/>
          <w:b w:val="false"/>
          <w:i w:val="false"/>
          <w:caps w:val="false"/>
          <w:smallCaps w:val="false"/>
          <w:color w:val="000000"/>
          <w:sz w:val="20"/>
          <w:highlight w:val="white"/>
        </w:rPr>
        <w:t>The corporate office lease includes an</w:t>
      </w:r>
      <w:r>
        <w:rPr>
          <w:rFonts w:ascii="Times New Roman" w:hAnsi="Times New Roman"/>
          <w:b w:val="false"/>
          <w:i w:val="false"/>
          <w:caps w:val="false"/>
          <w:smallCaps w:val="false"/>
          <w:color w:val="000000"/>
          <w:sz w:val="20"/>
        </w:rPr>
        <w:t xml:space="preserve"> option to renew for an additional seven years. However, the </w:t>
      </w:r>
      <w:r>
        <w:rPr>
          <w:rFonts w:ascii="Times New Roman" w:hAnsi="Times New Roman"/>
          <w:b w:val="false"/>
          <w:i w:val="false"/>
          <w:caps w:val="false"/>
          <w:smallCaps w:val="false"/>
          <w:color w:val="000000"/>
          <w:sz w:val="20"/>
          <w:highlight w:val="white"/>
        </w:rPr>
        <w:t xml:space="preserve">renewal option was not included in the lease term for calculating the lease liability, as the renewal option allow the Company to maintain operational flexibility, and the Company was not reasonably certain that it would exercise the renewal option at the time of the lease commencement. </w:t>
      </w:r>
      <w:r>
        <w:rPr>
          <w:rFonts w:ascii="Times New Roman" w:hAnsi="Times New Roman"/>
          <w:b w:val="false"/>
          <w:i w:val="false"/>
          <w:caps w:val="false"/>
          <w:smallCaps w:val="false"/>
          <w:color w:val="000000"/>
          <w:sz w:val="20"/>
        </w:rPr>
        <w:t xml:space="preserve">The weighted-average discount rate was 10% as of December 31, 2020.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Maturities of operating lease liabilities under existing operating leases as of December 31, 2020 were as follows (in thousands):</w:t>
      </w:r>
    </w:p>
    <w:p>
      <w:pPr>
        <w:pStyle w:val="TextBody"/>
        <w:spacing w:before="0" w:after="0"/>
        <w:rPr/>
      </w:pPr>
      <w:r>
        <w:rPr/>
        <w:t> </w:t>
      </w:r>
    </w:p>
    <w:tbl>
      <w:tblPr>
        <w:tblW w:w="4565" w:type="dxa"/>
        <w:jc w:val="center"/>
        <w:tblInd w:w="0" w:type="dxa"/>
        <w:tblCellMar>
          <w:top w:w="0" w:type="dxa"/>
          <w:left w:w="0" w:type="dxa"/>
          <w:bottom w:w="28" w:type="dxa"/>
          <w:right w:w="0" w:type="dxa"/>
        </w:tblCellMar>
      </w:tblPr>
      <w:tblGrid>
        <w:gridCol w:w="3710"/>
        <w:gridCol w:w="60"/>
        <w:gridCol w:w="125"/>
        <w:gridCol w:w="590"/>
        <w:gridCol w:w="80"/>
      </w:tblGrid>
      <w:tr>
        <w:trPr/>
        <w:tc>
          <w:tcPr>
            <w:tcW w:w="37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ending December 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top w:val="single" w:sz="6" w:space="0" w:color="000000"/>
            </w:tcBorders>
            <w:shd w:fill="CFF0FC"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2026 and thereafter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5,371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future minimum lease payments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12,953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imputed interest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(4,034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1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Present value of net minimum lease payments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8,919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Non-current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7,517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10"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liability</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8,919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May 2020, the Company signed a second amendment to its corporate office and laboratory facilities lease. The amended lease provides for an eight-year non-cancelable lease of additional office and laboratory space in the same building. The lease for additional office and laboratory space provides for abatement of rent during the first three months of the lease and contains rent escalations during the term of the lease. The lease for this additional space is expected to commence in the first quarter of 2021 and expires in 2029. The lease amendment also includes an extension of the lease term for the existing office and laboratory space beginning on May 1, 2020 through the first quarter of 2029. The lease agreement includes an option to extend the lease for an additional seven-year term.</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Subsequently, in January 2021, the Company signed a third amendment to its corporate office and laboratory facilities lease which provides for lease of additional space in the same building. The lease of this additional space is expected to commence in the second quarter of 2021 and expires in March 2024. The other terms of the existing lease remain unchanged.</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minimum lease payments of $4.5 million and $0.7 million related to the lease of additional space under the second and third amendment, respectively, were excluded from the table above as the lease agreement had not yet commenced as of December 31, 2020.</w:t>
      </w:r>
    </w:p>
    <w:p>
      <w:pPr>
        <w:pStyle w:val="TextBody"/>
        <w:spacing w:before="360" w:after="0"/>
        <w:rPr>
          <w:rFonts w:ascii="Times New Roman" w:hAnsi="Times New Roman"/>
          <w:b/>
          <w:i w:val="false"/>
          <w:caps w:val="false"/>
          <w:smallCaps w:val="false"/>
          <w:sz w:val="20"/>
        </w:rPr>
      </w:pPr>
      <w:bookmarkStart w:id="80" w:name="_AEIOULastRenderedPageBreakAEIOU14"/>
      <w:bookmarkEnd w:id="80"/>
      <w:r>
        <w:rPr>
          <w:rFonts w:ascii="Times New Roman" w:hAnsi="Times New Roman"/>
          <w:b/>
          <w:i w:val="false"/>
          <w:caps w:val="false"/>
          <w:smallCaps w:val="false"/>
          <w:sz w:val="20"/>
        </w:rPr>
        <w:t>7. Commitments and Contingencies</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Guarantee Agreement</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December 31, 2020 and 2019.</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Letters of Credit</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has a $0.4 million letter of credit agreement with a financial institution that is used as collateral for the Company’s corporate headquarters’ operating lease. The letter of credit automatically renews annually without amendment unless cancelled by the financial institutions within 30 days of the annual expiration date.</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8. University of Singapore and St. Jude Children’s License Agreement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August 2016, the National University of Singapore (“NUS”) and St. Jude Children’s Research Hospital (“St. Jude”) and the Company entered into a license agreement under which NUS and St. Jude (the “Licensors”) granted the Company an exclusive, royalty-bearing, worldwide license to its patent rights related to a method for expanding natural killer cells; a chimeric receptor with NKG2D specificity; and a method for supporting autonomous natural killer cell function (“License Agreement”). The License Agreement provides the Company with the rights to grant and authorize sublicenses to make, have made, use, sell, offer for sale and import products and otherwise exploit the patent rights.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consideration for the license, the Company made an upfront payment of $31,800 and issued NUS 250,000 shares of the Company’s common stock. The Company determined that the upfront payment (SGD 42,750) and value of the common stock issued ($2,500 based on fair value at time of issuance) as part of the license agreement would be expensed upon execution of the contract as the license was acquired for research and development purposes which does not have alternative future uses, and the underlying technology has not reached technological feasibility, hence the Company expensed these costs during 2016.</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addition, the Company is required to pay an annual license maintenance fee of SGD 25,000, increasing to SGD 50,000 after year two of the agreement. Further, the Company could be required to make milestone payments to the Licensors upon completion of certain regulatory and commercial milestones related to the clinical development and commercialization of certain of the Company’s product candidates. The aggregate potential milestone payments are approximately SGD 5 million. The Company has also agreed to pay the Licensors royalties of 2.5% of net sales of products sold by the Company or through a sublicense. Additionally, the Company agreed to pay the Licensors a tiered percentage of sublicensing income (ranging from 7.5% to 20%) based on the timing of capital raised and stage of clinical trials. The License Agreement also includes certain performance objectives which obligate the Company to meet various milestones related to the clinical development and commercialization of certain of the Company’s product candidates over time for up to 120 months after the effective date of the License Agreement.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recorded $37,000 license maintenance fees included as part of research and development expenses for each of the years ended December 31, 2020 and 2019. In 2020, the Company also recorded a $0.1 million milestone payments upon completion of a regulatory milestone related to the clinical development of the Company’s product candidate, included as part of research and development expenses.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9. Employee Benefits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January 1, 2018, the Company adopted a defined contribution 401(k) plan that is available to eligible employees. Under the terms of the plan, employees may make voluntary contributions as a percent of compensation, limited to the maximum amount allowable under federal tax regulations. As part of the plan, the Company elected to make non-matching contributions via mandatory 3% of compensation safe harbor nonelective contributions. The Company recognized $0.3 million and $0.2 million for expense related to the nonelective 401(k) contributions for the years ended December 31, 2020 and 2019, respectively.</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10. </w:t>
      </w:r>
      <w:r>
        <w:rPr>
          <w:rFonts w:ascii="Times New Roman" w:hAnsi="Times New Roman"/>
          <w:b/>
          <w:i w:val="false"/>
          <w:caps w:val="false"/>
          <w:smallCaps w:val="false"/>
          <w:color w:val="000000"/>
          <w:sz w:val="20"/>
        </w:rPr>
        <w:t xml:space="preserve">Convertible Preferred Stock and </w:t>
      </w:r>
      <w:r>
        <w:rPr>
          <w:rFonts w:ascii="Times New Roman" w:hAnsi="Times New Roman"/>
          <w:b/>
          <w:i w:val="false"/>
          <w:caps w:val="false"/>
          <w:smallCaps w:val="false"/>
          <w:sz w:val="20"/>
        </w:rPr>
        <w:t>Stockholders’ Equity (Deficit)</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Under the Amended and Restated Certificate of Incorporation dated August 26, 2019, the Company had a total of 126,270,161 shares of capital stock authorized for issuance, consisting of 71,919,982 shares of common stock, par value of $0.0001 per share, and 54,350,179 shares of convertible preferred stock, par value of $0.0001 per share. Of the 54,350,179 shares of convertible preferred stock, 6,170,349 were designated Series A convertible preferred stock and 48,179,830 were designated Series B convertible preferred stock.</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connection with the Reverse Stock Split on July 1, 2020, the Company filed a certificate of amendment to its certificate of incorporation, which provided 100,000,000 authorized shares of common stock with a par value of $0.0001 per share and 54,350,179 authorized shares of preferred stock with a par value of $0.0001 per share.</w:t>
      </w:r>
    </w:p>
    <w:p>
      <w:pPr>
        <w:pStyle w:val="TextBody"/>
        <w:spacing w:before="360" w:after="0"/>
        <w:rPr>
          <w:rFonts w:ascii="Times New Roman" w:hAnsi="Times New Roman"/>
          <w:b/>
          <w:i/>
          <w:caps w:val="false"/>
          <w:smallCaps w:val="false"/>
          <w:color w:val="000000"/>
          <w:sz w:val="20"/>
        </w:rPr>
      </w:pPr>
      <w:bookmarkStart w:id="81" w:name="_AEIOULastRenderedPageBreakAEIOU15"/>
      <w:bookmarkEnd w:id="81"/>
      <w:r>
        <w:rPr>
          <w:rFonts w:ascii="Times New Roman" w:hAnsi="Times New Roman"/>
          <w:b/>
          <w:i/>
          <w:caps w:val="false"/>
          <w:smallCaps w:val="false"/>
          <w:color w:val="000000"/>
          <w:sz w:val="20"/>
        </w:rPr>
        <w:t>Series A Convertible Preferred Stock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December 2017, the Company sold and issued in a private placement 3,866,602 shares of Series A convertible preferred stock at $2.07 per share (the “Series A Financing”). Upon the closing of the Series A Financing, the convertible notes outstanding at that date were converted into 2,011,114 shares of Series A convertible preferred stock at 80% of the $2.07 price per share (the “Series A Original Issue Price”) paid by the Series A Financing investors. The GSK Convertible Note converted into 292,633 shares of Series A convertible preferred stock at 85% of the Series A Original Issue Price. In connection with the convertible notes, the Company recorded a beneficial conversion feature of $0.9 million which was recognized as a debt discount and accreted to interest expense over the term of the note using the effective interest method.</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Series B Convertible Promissory Notes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May 2019, the Company entered into Series B Convertible Promissory Notes (the “Convertible Notes”) whereby the Company agreed to issue and certain existing Series A investors (the “Noteholders”) agreed to purchase $6,000,000 in Convertible Notes. The Convertible Notes accrued interest at a contractual rate of 7.5% per year and had an original maturity date of one year from their issuance date. The Convertible Notes were to automatically convert into Series B convertible preferred stock at 85% or 80% of the price per share paid by other investors upon certain qualified financing events, with the percent discount based on the timing of the financing, or through a voluntary option to convert upon certain non-qualified financing events. In addition, if the maturity date were to occur prior to the conversion or repayment of the Convertible Notes, the Noteholders had the right to convert the outstanding principal amount of the Convertible Notes, and all accrued and unpaid interest, into Series A convertible preferred stock at the Series A original issuance price.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the Convertible Notes contained various settlement outcomes, the Company evaluated each scenario for accounting purposes. The settlement into Series A convertible preferred stock scenario resulted in the Company recording a beneficial conversion feature of $0.3 million upon the issuance of the Convertible Notes, as the fair value of the Series A convertible preferred stock on the date of issuance was greater than the original Series A issuance price. The conversion discounts were considered to be redemption features and were evaluated as an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embedded derivative and bifurcated from the Convertible Notes, due to the substantial premium to be paid upon redemption. Upon bifurcating the redemption features, the Company recorded a derivative instrument of $1.3 million. The derivative instrument and beneficial conversion feature were recorded as a debt discount at inception and were being amortized to interest expense using the effective interest method over the one-year term of the debt.</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August 2019, in connection with the Series B convertible preferred stock financing, the Convertible Notes terms were modified so that the Noteholders received a conversion benefit equal to an annual effective interest rate of 7.5% on the outstanding principal on the Convertible Notes, rather than the originally stated 85% price. The change in the conversion benefit resulted in an adjustment to the derivative instrument of $0.9 million. In addition, as the Convertible Notes contained an embedded beneficial conversion feature and were extinguished before conversion, the Company allocated a portion of the settlement to the repurchase of the beneficial conversion feature, using the intrinsic value on the extinguishment date. This resulted in a reduction to the previously recorded beneficial conversion feature of $0.1 million. Additionally, the Company recorded a loss on extinguishment of debt of $0.8 million, representing the write-off on the unamortized debt issuance costs on the date the Convertible Notes converted into Series B convertible preferred stock.</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During the year ended December 31, 2019, the Company recorded $0.1 million of interest expense related to the stated interest for the Convertible Notes and $0.4 million using the effective-interest method in relation to the debt discounts described above. The annual effective-interest rates for the Convertible Notes was 30.4%.</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Series B Convertible Preferred Stock</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August 27, 2019, the Company entered into a Series B Preferred Stock Purchase Agreement (the “Stock Purchase Agreement”). The Stock Purchase Agreement contained provisions that obligated the Company to sell, outside of its control, an additional 27,066,206 shares of Series B convertible preferred stock at the Series B Original Issue Price per share, for expected gross proceeds of $64.4 million, upon the achievement of a milestone, or by election of the holders of at least one-third of the Company’s Series B convertible preferred stock at any time prior to the completion of the Company’s initial public offering if the milestone was not achieved (the “Series B Milestone Closing”). If the shares were not purchased prior to the completion of the Company’s initial public offering, then the right to purchase these shares would have automatically expired. In the event that an Initial Series B Closing purchaser, or its affiliates or transferees, failed to purchase their required shares in the Series B Milestone Closing, then all the Series B convertible preferred stock held by such initial Series B purchaser would have been automatically converted into one share of common stock for each ten shares of Series B convertible preferred stock.</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July 1, 2020, the Company completed the Series B Milestone Closing pursuant to a milestone waiver by the holders of the Series B convertible preferred stock, and issued 27,066,206 shares of Series B convertible preferred stock for gross proceeds of $64.4 million. On July 14, 2020, upon the closing of the Company’s IPO, all outstanding shares of the Company’s convertible preferred stock converted into 14,689,215 shares of the Company’s common stock. There were no outstanding shares of the Company’s convertible preferred stock as of December 31, 2020.</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determined its obligation to issue additional shares of the Company’s Series B convertible preferred stock in the Series B Milestone Closing represented a freestanding financial instrument that required liability accounting. This freestanding preferred stock purchase right liability was initially recorded at fair value, with fair value changes recognized in the statements of operations and comprehensive loss. At the time the Stock Purchase Agreement was entered into in August 2019, the initial estimated fair value of the preferred stock purchase right liability was $2.8 million, and was revalued at $1.5 million as of December 31, 2019. On July 1, 2020, the preferred stock purchase right liability was revalued at an estimated fair value of $41.6 million and was reclassified to additional paid-in capital upon the exercise of the preferred stock purchase right. The Company recorded the change in the fair value of the Series B convertible preferred stock purchase right liability of $40.2 million as other expense and $1.3 million as other income for the years ended December 31, 2020 and 2019, respectively, in the statements of operations and comprehensive loss.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127</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Common Stock</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conjunction with the Company’s July 2020 IPO closing, the Company issued and sold 16,100,000 shares of its common stock, including 2,100,000 shares pursuant to the full exercise of the underwriters' option to purchase additional shares, at a public offering price of $18.00 per share, for aggregate net proceeds of $265.1 million after deducting underwriting discounts and commissions and other offering costs. In connection with this offering, all outstanding shares of the Company’s convertible preferred stock converted into 14,689,215 shares of common stock.</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is a summary of the rights and privileges of the holders of common stock as of December 31, 2020:</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Liquidation Preference</w:t>
      </w:r>
      <w:r>
        <w:rPr>
          <w:rFonts w:ascii="Times New Roman" w:hAnsi="Times New Roman"/>
          <w:b w:val="false"/>
          <w:i w:val="false"/>
          <w:caps w:val="false"/>
          <w:smallCaps w:val="false"/>
          <w:color w:val="000000"/>
          <w:sz w:val="20"/>
        </w:rPr>
        <w:t>:</w:t>
      </w:r>
      <w:r>
        <w:rPr>
          <w:rFonts w:ascii="Times New Roman" w:hAnsi="Times New Roman"/>
          <w:b w:val="false"/>
          <w:i/>
          <w:caps w:val="false"/>
          <w:smallCaps w:val="false"/>
          <w:color w:val="000000"/>
          <w:sz w:val="20"/>
        </w:rPr>
        <w:t> </w:t>
      </w:r>
      <w:r>
        <w:rPr>
          <w:rFonts w:ascii="Times New Roman" w:hAnsi="Times New Roman"/>
          <w:b w:val="false"/>
          <w:i w:val="false"/>
          <w:caps w:val="false"/>
          <w:smallCaps w:val="false"/>
          <w:color w:val="000000"/>
          <w:sz w:val="20"/>
        </w:rPr>
        <w:t>In the event of liquidation, dissolution or winding up, holders of common stock will be entitled to share ratably in the net assets legally available for distribution to stockholders after the payment of all debts and other liabilities and the satisfaction of any liquidation preference granted to the holders of any then-outstanding shares of preferred stock.</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Dividends</w:t>
      </w:r>
      <w:r>
        <w:rPr>
          <w:rFonts w:ascii="Times New Roman" w:hAnsi="Times New Roman"/>
          <w:b w:val="false"/>
          <w:i w:val="false"/>
          <w:caps w:val="false"/>
          <w:smallCaps w:val="false"/>
          <w:color w:val="000000"/>
          <w:sz w:val="20"/>
        </w:rPr>
        <w:t>: Subject to preferences that may be applicable to any then-outstanding preferred stock, holders of common stock are entitled to receive ratably those dividends, if any, as may be declared from time to time by the Board out of legally available funds. As of December 31, 2020, no cash dividends have been declared or paid.</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Voting Rights</w:t>
      </w:r>
      <w:r>
        <w:rPr>
          <w:rFonts w:ascii="Times New Roman" w:hAnsi="Times New Roman"/>
          <w:b w:val="false"/>
          <w:i w:val="false"/>
          <w:caps w:val="false"/>
          <w:smallCaps w:val="false"/>
          <w:color w:val="000000"/>
          <w:sz w:val="20"/>
        </w:rPr>
        <w:t>: Each holder of common stock is entitled to one vote for each share on all matters submitted to a vote of the stockholders, including the election of directors. Under the Company’s amended and restated certificate of incorporation and amended and restated bylaws, stockholders will not have cumulative voting rights. Because of this, the holders of a majority of the shares of common stock entitled to vote in any election of directors can elect all of the directors standing for election, if they should so choose.</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Rights and Preferences</w:t>
      </w:r>
      <w:r>
        <w:rPr>
          <w:rFonts w:ascii="Times New Roman" w:hAnsi="Times New Roman"/>
          <w:b w:val="false"/>
          <w:i w:val="false"/>
          <w:caps w:val="false"/>
          <w:smallCaps w:val="false"/>
          <w:color w:val="000000"/>
          <w:sz w:val="20"/>
        </w:rPr>
        <w:t>: 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11. Share-Based Compensation</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Equity Incentive Plan</w:t>
      </w:r>
    </w:p>
    <w:p>
      <w:pPr>
        <w:pStyle w:val="TextBody"/>
        <w:spacing w:before="120" w:after="0"/>
        <w:rPr>
          <w:rFonts w:ascii="Times New Roman" w:hAnsi="Times New Roman"/>
          <w:b/>
          <w:i/>
          <w:caps w:val="false"/>
          <w:smallCaps w:val="false"/>
          <w:sz w:val="20"/>
          <w:highlight w:val="white"/>
        </w:rPr>
      </w:pPr>
      <w:r>
        <w:rPr>
          <w:rFonts w:ascii="Times New Roman" w:hAnsi="Times New Roman"/>
          <w:b/>
          <w:i/>
          <w:caps w:val="false"/>
          <w:smallCaps w:val="false"/>
          <w:sz w:val="20"/>
          <w:highlight w:val="white"/>
        </w:rPr>
        <w:t>2015 Equity Incentive Plan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granted options under its 2015 Equity Incentive Plan (the “2015 Plan”) until July 2020 when it was terminated as to future awards, although it continues to govern the terms of options that remain outstanding under the 2015 Plan. The 2015 Plan allows for the grant of incentive stock options, non-statutory stock options, stock appreciation rights, restricted stock unit awards and other stock awards. Awards can be made to officers, directors, employees, non-employee directors, and consultants of the Company. In connection with the Board of Directors’ and stockholders’ approval of the 2020 Plan, the 2015 Plan was terminated as to future awards and a</w:t>
      </w:r>
      <w:r>
        <w:rPr>
          <w:rFonts w:ascii="Times New Roman" w:hAnsi="Times New Roman"/>
          <w:b w:val="false"/>
          <w:i w:val="false"/>
          <w:caps w:val="false"/>
          <w:smallCaps w:val="false"/>
          <w:color w:val="000000"/>
          <w:sz w:val="20"/>
        </w:rPr>
        <w:t>ny options or awards outstanding under the 2015 Plan remain outstanding and effective</w:t>
      </w:r>
      <w:r>
        <w:rPr>
          <w:rFonts w:ascii="Times New Roman" w:hAnsi="Times New Roman"/>
          <w:b w:val="false"/>
          <w:i w:val="false"/>
          <w:caps w:val="false"/>
          <w:smallCaps w:val="false"/>
          <w:sz w:val="20"/>
        </w:rPr>
        <w:t xml:space="preserve">. As of December 31, 2020, there were an aggregate of 2,211,562 shares of common stock issuable upon the exercise of outstanding options </w:t>
      </w:r>
      <w:r>
        <w:rPr>
          <w:rFonts w:ascii="Times New Roman" w:hAnsi="Times New Roman"/>
          <w:b w:val="false"/>
          <w:i w:val="false"/>
          <w:caps w:val="false"/>
          <w:smallCaps w:val="false"/>
          <w:color w:val="000000"/>
          <w:sz w:val="20"/>
        </w:rPr>
        <w:t>under the 2015 Plan.</w:t>
      </w:r>
    </w:p>
    <w:p>
      <w:pPr>
        <w:pStyle w:val="TextBody"/>
        <w:spacing w:before="120" w:after="0"/>
        <w:rPr>
          <w:rFonts w:ascii="Times New Roman" w:hAnsi="Times New Roman"/>
          <w:b/>
          <w:i/>
          <w:caps w:val="false"/>
          <w:smallCaps w:val="false"/>
          <w:color w:val="000000"/>
          <w:sz w:val="20"/>
          <w:highlight w:val="white"/>
        </w:rPr>
      </w:pPr>
      <w:r>
        <w:rPr>
          <w:rFonts w:ascii="Times New Roman" w:hAnsi="Times New Roman"/>
          <w:b/>
          <w:i/>
          <w:caps w:val="false"/>
          <w:smallCaps w:val="false"/>
          <w:color w:val="000000"/>
          <w:sz w:val="20"/>
          <w:highlight w:val="white"/>
        </w:rPr>
        <w:t>2020 Performance Incentive Plan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The Company’s 2020 Performance Incentive Plan (the “2020 Plan”) </w:t>
      </w:r>
      <w:r>
        <w:rPr>
          <w:rFonts w:ascii="Times New Roman" w:hAnsi="Times New Roman"/>
          <w:b w:val="false"/>
          <w:i w:val="false"/>
          <w:caps w:val="false"/>
          <w:smallCaps w:val="false"/>
          <w:color w:val="000000"/>
          <w:sz w:val="20"/>
        </w:rPr>
        <w:t>which was adopted by the Company’s board of directors in June 2020 and approved by the Company’s stockholders in July 2020, </w:t>
      </w:r>
      <w:r>
        <w:rPr>
          <w:rFonts w:ascii="Times New Roman" w:hAnsi="Times New Roman"/>
          <w:b w:val="false"/>
          <w:i w:val="false"/>
          <w:caps w:val="false"/>
          <w:smallCaps w:val="false"/>
          <w:color w:val="000000"/>
          <w:sz w:val="20"/>
          <w:highlight w:val="white"/>
        </w:rPr>
        <w:t>became effective upon the consummation of the IPO. Upon the effectiveness of the 2020 Plan, no further grants may be made under the Company’s 2015 Plan. </w:t>
      </w:r>
      <w:r>
        <w:rPr>
          <w:rFonts w:ascii="Times New Roman" w:hAnsi="Times New Roman"/>
          <w:b w:val="false"/>
          <w:i w:val="false"/>
          <w:caps w:val="false"/>
          <w:smallCaps w:val="false"/>
          <w:color w:val="000000"/>
          <w:sz w:val="20"/>
        </w:rPr>
        <w:t xml:space="preserve">The Company’s 2020 Plan allows for the grant of incentive stock options, non-qualified stock options, stock appreciation rights, stock bonuses, restricted stock, stock units and other forms of awards including cash awards to its officers, directors, employees, consultants and advisors.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128</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As of December 31, 2020, a total of 2,660,371 shares of the Company’s common stock were authorized for issuance with respect to awards granted under the 2020 Plan. The share limit will automatically increase on the first trading day in January of each year (commencing in 2021)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1,542,532 options had been granted and 1,390,402 shares was available for issuance under the 2020 Plan for the</w:t>
      </w:r>
      <w:r>
        <w:rPr>
          <w:rFonts w:ascii="Times New Roman" w:hAnsi="Times New Roman"/>
          <w:b w:val="false"/>
          <w:i w:val="false"/>
          <w:caps w:val="false"/>
          <w:smallCaps w:val="false"/>
          <w:color w:val="000000"/>
          <w:sz w:val="20"/>
        </w:rPr>
        <w:t xml:space="preserve"> year ended December 31</w:t>
      </w:r>
      <w:r>
        <w:rPr>
          <w:rFonts w:ascii="Times New Roman" w:hAnsi="Times New Roman"/>
          <w:b w:val="false"/>
          <w:i w:val="false"/>
          <w:caps w:val="false"/>
          <w:smallCaps w:val="false"/>
          <w:color w:val="000000"/>
          <w:sz w:val="20"/>
          <w:highlight w:val="white"/>
        </w:rPr>
        <w:t>, 2020.</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table summarizes the stock option activity during the year ended December 31, 2020 (in thousands, except number of </w:t>
      </w:r>
      <w:r>
        <w:rPr>
          <w:rFonts w:ascii="Times New Roman" w:hAnsi="Times New Roman"/>
          <w:b w:val="false"/>
          <w:i w:val="false"/>
          <w:caps w:val="false"/>
          <w:smallCaps w:val="false"/>
          <w:color w:val="000000"/>
          <w:sz w:val="20"/>
          <w:highlight w:val="white"/>
        </w:rPr>
        <w:t>shares, exercise prices and contractual term)</w:t>
      </w:r>
      <w:r>
        <w:rPr>
          <w:rFonts w:ascii="Times New Roman" w:hAnsi="Times New Roman"/>
          <w:b w:val="false"/>
          <w:i w:val="false"/>
          <w:caps w:val="false"/>
          <w:smallCaps w:val="false"/>
          <w:color w:val="000000"/>
          <w:sz w:val="20"/>
        </w:rPr>
        <w:t>:</w:t>
      </w:r>
    </w:p>
    <w:p>
      <w:pPr>
        <w:pStyle w:val="TextBody"/>
        <w:spacing w:before="0" w:after="0"/>
        <w:rPr/>
      </w:pPr>
      <w:r>
        <w:rPr/>
        <w:t> </w:t>
      </w:r>
    </w:p>
    <w:tbl>
      <w:tblPr>
        <w:tblW w:w="8712" w:type="dxa"/>
        <w:jc w:val="center"/>
        <w:tblInd w:w="0" w:type="dxa"/>
        <w:tblCellMar>
          <w:top w:w="0" w:type="dxa"/>
          <w:left w:w="0" w:type="dxa"/>
          <w:bottom w:w="28" w:type="dxa"/>
          <w:right w:w="0" w:type="dxa"/>
        </w:tblCellMar>
      </w:tblPr>
      <w:tblGrid>
        <w:gridCol w:w="2840"/>
        <w:gridCol w:w="60"/>
        <w:gridCol w:w="85"/>
        <w:gridCol w:w="1209"/>
        <w:gridCol w:w="80"/>
        <w:gridCol w:w="60"/>
        <w:gridCol w:w="277"/>
        <w:gridCol w:w="1078"/>
        <w:gridCol w:w="60"/>
        <w:gridCol w:w="60"/>
        <w:gridCol w:w="292"/>
        <w:gridCol w:w="1347"/>
        <w:gridCol w:w="60"/>
        <w:gridCol w:w="60"/>
        <w:gridCol w:w="165"/>
        <w:gridCol w:w="919"/>
        <w:gridCol w:w="60"/>
      </w:tblGrid>
      <w:tr>
        <w:trPr/>
        <w:tc>
          <w:tcPr>
            <w:tcW w:w="284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9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 of shares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 price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remaining contractual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term (in years)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Intrinsic 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December 31,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2,329,516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1,782,794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(183,287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(288,308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December 31, 2020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3,640,715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7"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183,742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Exercisable at December 31,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654,195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8"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7"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9"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36,717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4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Vested and expected to vest at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December 31, 2020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9"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3,640,715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8"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2"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47"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9"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183,742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The </w:t>
      </w:r>
      <w:r>
        <w:rPr>
          <w:rFonts w:ascii="Times New Roman" w:hAnsi="Times New Roman"/>
          <w:b w:val="false"/>
          <w:i w:val="false"/>
          <w:caps w:val="false"/>
          <w:smallCaps w:val="false"/>
          <w:color w:val="000000"/>
          <w:sz w:val="20"/>
        </w:rPr>
        <w:t>aggregate</w:t>
      </w:r>
      <w:r>
        <w:rPr>
          <w:rFonts w:ascii="Times New Roman" w:hAnsi="Times New Roman"/>
          <w:b w:val="false"/>
          <w:i w:val="false"/>
          <w:caps w:val="false"/>
          <w:smallCaps w:val="false"/>
          <w:color w:val="000000"/>
          <w:sz w:val="20"/>
          <w:highlight w:val="white"/>
        </w:rPr>
        <w:t xml:space="preserve"> intrinsic value represents the difference between the exercise price of stock options and the quoted market price of the Company’s common stock for all in-the-money stock options. </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Additional information related to the Company’s stock options is summarized below (in thousands, except per share amounts):</w:t>
      </w:r>
    </w:p>
    <w:tbl>
      <w:tblPr>
        <w:tblW w:w="7792" w:type="dxa"/>
        <w:jc w:val="center"/>
        <w:tblInd w:w="0" w:type="dxa"/>
        <w:tblCellMar>
          <w:top w:w="0" w:type="dxa"/>
          <w:left w:w="0" w:type="dxa"/>
          <w:bottom w:w="28" w:type="dxa"/>
          <w:right w:w="0" w:type="dxa"/>
        </w:tblCellMar>
      </w:tblPr>
      <w:tblGrid>
        <w:gridCol w:w="5765"/>
        <w:gridCol w:w="60"/>
        <w:gridCol w:w="193"/>
        <w:gridCol w:w="750"/>
        <w:gridCol w:w="92"/>
        <w:gridCol w:w="92"/>
        <w:gridCol w:w="193"/>
        <w:gridCol w:w="587"/>
        <w:gridCol w:w="60"/>
      </w:tblGrid>
      <w:tr>
        <w:trPr/>
        <w:tc>
          <w:tcPr>
            <w:tcW w:w="57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grant-date fair value of stock option grants per share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12.84</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Intrinsic value of options exercised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1,444</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Fair value of options vested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2,664</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20" w:after="0"/>
        <w:rPr>
          <w:caps w:val="false"/>
          <w:smallCaps w:val="false"/>
        </w:rPr>
      </w:pPr>
      <w:r>
        <w:rPr>
          <w:caps w:val="false"/>
          <w:smallCaps w:val="false"/>
        </w:rPr>
        <w: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Employee Stock Purchase Plan</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The Company’s 2020 Employee Stock Purchase Plan (the “ESPP”), </w:t>
      </w:r>
      <w:r>
        <w:rPr>
          <w:rFonts w:ascii="Times New Roman" w:hAnsi="Times New Roman"/>
          <w:b w:val="false"/>
          <w:i w:val="false"/>
          <w:caps w:val="false"/>
          <w:smallCaps w:val="false"/>
          <w:color w:val="000000"/>
          <w:sz w:val="20"/>
        </w:rPr>
        <w:t>which was adopted by the Company’s board of directors in June 2020 and approved by the Company’s stockholders in July 2020, </w:t>
      </w:r>
      <w:r>
        <w:rPr>
          <w:rFonts w:ascii="Times New Roman" w:hAnsi="Times New Roman"/>
          <w:b w:val="false"/>
          <w:i w:val="false"/>
          <w:caps w:val="false"/>
          <w:smallCaps w:val="false"/>
          <w:color w:val="000000"/>
          <w:sz w:val="20"/>
          <w:highlight w:val="white"/>
        </w:rPr>
        <w:t xml:space="preserve">became effective upon the consummation of the IPO. A total of 295,599 shares of the Company’s common stock is initially available for issuance under the ESPP.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As of </w:t>
      </w:r>
      <w:r>
        <w:rPr>
          <w:rFonts w:ascii="Times New Roman" w:hAnsi="Times New Roman"/>
          <w:b w:val="false"/>
          <w:i w:val="false"/>
          <w:caps w:val="false"/>
          <w:smallCaps w:val="false"/>
          <w:color w:val="000000"/>
          <w:sz w:val="20"/>
        </w:rPr>
        <w:t>December 31</w:t>
      </w:r>
      <w:r>
        <w:rPr>
          <w:rFonts w:ascii="Times New Roman" w:hAnsi="Times New Roman"/>
          <w:b w:val="false"/>
          <w:i w:val="false"/>
          <w:caps w:val="false"/>
          <w:smallCaps w:val="false"/>
          <w:color w:val="000000"/>
          <w:sz w:val="20"/>
          <w:highlight w:val="white"/>
        </w:rPr>
        <w:t>, 2020, no shares had been issued under the ESPP, and the full number of shares authorized under the ESPP Plan was available for issuance purposes upon the effectiveness of the ESPP.</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129</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color w:val="000000"/>
          <w:sz w:val="20"/>
        </w:rPr>
      </w:pPr>
      <w:bookmarkStart w:id="82" w:name="_AEIOULastRenderedPageBreakAEIOU17"/>
      <w:bookmarkEnd w:id="82"/>
      <w:r>
        <w:rPr>
          <w:rFonts w:ascii="Times New Roman" w:hAnsi="Times New Roman"/>
          <w:b/>
          <w:i/>
          <w:caps w:val="false"/>
          <w:smallCaps w:val="false"/>
          <w:color w:val="000000"/>
          <w:sz w:val="20"/>
        </w:rPr>
        <w:t>Liability for Early Exercise of Restricted Stock Options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Certain individuals were granted the ability to early exercise their stock options.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balance sheets and will be transferred into common stock and additional paid-in capital as the shares vest. Shares subject to repurchase by the Company were 77,393 shares and 132,249 shares, with the related liability of $0.1 million and $0.1 million as of December 31, 2020 and 2019, respectively, recorded under other long-term liabilities in the balance sheets.</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Common Stock Reserved for Future Issuance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2020, the Company had reserved the following shares of common stock for future issuance:</w:t>
      </w:r>
    </w:p>
    <w:p>
      <w:pPr>
        <w:pStyle w:val="TextBody"/>
        <w:spacing w:before="0" w:after="0"/>
        <w:rPr/>
      </w:pPr>
      <w:r>
        <w:rPr/>
        <w:t> </w:t>
      </w:r>
    </w:p>
    <w:tbl>
      <w:tblPr>
        <w:tblW w:w="5064" w:type="dxa"/>
        <w:jc w:val="center"/>
        <w:tblInd w:w="0" w:type="dxa"/>
        <w:tblCellMar>
          <w:top w:w="0" w:type="dxa"/>
          <w:left w:w="0" w:type="dxa"/>
          <w:bottom w:w="28" w:type="dxa"/>
          <w:right w:w="0" w:type="dxa"/>
        </w:tblCellMar>
      </w:tblPr>
      <w:tblGrid>
        <w:gridCol w:w="3935"/>
        <w:gridCol w:w="60"/>
        <w:gridCol w:w="65"/>
        <w:gridCol w:w="944"/>
        <w:gridCol w:w="60"/>
      </w:tblGrid>
      <w:tr>
        <w:trPr/>
        <w:tc>
          <w:tcPr>
            <w:tcW w:w="39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options granted and outstanding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3,640,715</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Reserved for future equity award grants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1,390,402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3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Reserved for future ESPP issuances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295,599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35"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5,326,716</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Share-Based Compensation Expense</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Share-based compensation expense for the years ended December 31, 2020 and 2019 were as follows (in thousands):</w:t>
      </w:r>
    </w:p>
    <w:p>
      <w:pPr>
        <w:pStyle w:val="TextBody"/>
        <w:spacing w:before="0" w:after="0"/>
        <w:rPr/>
      </w:pPr>
      <w:r>
        <w:rPr/>
        <w:t> </w:t>
      </w:r>
    </w:p>
    <w:tbl>
      <w:tblPr>
        <w:tblW w:w="5362" w:type="dxa"/>
        <w:jc w:val="center"/>
        <w:tblInd w:w="0" w:type="dxa"/>
        <w:tblCellMar>
          <w:top w:w="0" w:type="dxa"/>
          <w:left w:w="0" w:type="dxa"/>
          <w:bottom w:w="28" w:type="dxa"/>
          <w:right w:w="0" w:type="dxa"/>
        </w:tblCellMar>
      </w:tblPr>
      <w:tblGrid>
        <w:gridCol w:w="3335"/>
        <w:gridCol w:w="60"/>
        <w:gridCol w:w="200"/>
        <w:gridCol w:w="778"/>
        <w:gridCol w:w="96"/>
        <w:gridCol w:w="96"/>
        <w:gridCol w:w="200"/>
        <w:gridCol w:w="537"/>
        <w:gridCol w:w="60"/>
      </w:tblGrid>
      <w:tr>
        <w:trPr/>
        <w:tc>
          <w:tcPr>
            <w:tcW w:w="33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7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1,871</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4,877</w:t>
            </w:r>
          </w:p>
        </w:tc>
        <w:tc>
          <w:tcPr>
            <w:tcW w:w="9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3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share-based compensation expense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7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6,748</w:t>
            </w:r>
          </w:p>
        </w:tc>
        <w:tc>
          <w:tcPr>
            <w:tcW w:w="9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total unrecognized compensation cost related to unvested share-based awards was $22.2 million, which is expected to be recognized over a weighted-average remaining service period of 3.4 years as of December 31, 2020.</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October 2020, the Company recorded share-based compensation expense of $2.3 million related to the modification of certain stock option granted to its former Chief Financial Officer, Matthew Plunkett, under a Separation and Release Agreement that was executed on October 2, 2020 (the “Termination Date”). In addition, the Company recorded severance benefits expense of $0.3 million in October 2020 that is payable within the 6 months after the Termination Date.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September and November of 2019, the Company granted options subject to both a service-based condition and a performance-based condition that require the achievement of a Series B Milestone Closing (Note 10) before the options can be eligible for service vesting conditions. The performance-based condition was achieved in the third quarter of fiscal year 2020.</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130</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Fair Value Disclosures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fair value of stock options was estimated on the date of grant using the Black-Scholes option pricing model with the following range of assumptions:</w:t>
      </w:r>
    </w:p>
    <w:p>
      <w:pPr>
        <w:pStyle w:val="TextBody"/>
        <w:spacing w:before="0" w:after="0"/>
        <w:rPr/>
      </w:pPr>
      <w:r>
        <w:rPr/>
        <w:t> </w:t>
      </w:r>
    </w:p>
    <w:tbl>
      <w:tblPr>
        <w:tblW w:w="4620" w:type="dxa"/>
        <w:jc w:val="center"/>
        <w:tblInd w:w="0" w:type="dxa"/>
        <w:tblCellMar>
          <w:top w:w="0" w:type="dxa"/>
          <w:left w:w="0" w:type="dxa"/>
          <w:bottom w:w="28" w:type="dxa"/>
          <w:right w:w="0" w:type="dxa"/>
        </w:tblCellMar>
      </w:tblPr>
      <w:tblGrid>
        <w:gridCol w:w="2060"/>
        <w:gridCol w:w="60"/>
        <w:gridCol w:w="1220"/>
        <w:gridCol w:w="60"/>
        <w:gridCol w:w="1220"/>
      </w:tblGrid>
      <w:tr>
        <w:trPr/>
        <w:tc>
          <w:tcPr>
            <w:tcW w:w="20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0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r>
      <w:tr>
        <w:trPr/>
        <w:tc>
          <w:tcPr>
            <w:tcW w:w="20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r>
      <w:tr>
        <w:trPr/>
        <w:tc>
          <w:tcPr>
            <w:tcW w:w="20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fair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$4.29 - $61.47</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$3.40 - $4.77</w:t>
            </w:r>
          </w:p>
        </w:tc>
      </w:tr>
      <w:tr>
        <w:trPr/>
        <w:tc>
          <w:tcPr>
            <w:tcW w:w="20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interest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 - 0.5%</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2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 - 2.3%</w:t>
            </w:r>
          </w:p>
        </w:tc>
      </w:tr>
      <w:tr>
        <w:trPr/>
        <w:tc>
          <w:tcPr>
            <w:tcW w:w="20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volatility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74.8% - 81.4%</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2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80.2% - 81.9%</w:t>
            </w:r>
          </w:p>
        </w:tc>
      </w:tr>
      <w:tr>
        <w:trPr/>
        <w:tc>
          <w:tcPr>
            <w:tcW w:w="20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term (in years)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5.5 - 6.1</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2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5.6 - 6.1</w:t>
            </w:r>
          </w:p>
        </w:tc>
      </w:tr>
      <w:tr>
        <w:trPr/>
        <w:tc>
          <w:tcPr>
            <w:tcW w:w="20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dividend yield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2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recognizes compensation costs related to stock options granted to employees and nonemployees based on the estimated fair value of the awards on the date of grant, net of forfeitures. The Company generally recognizes grant-date fair value of stock options granted to employees and non-employee service providers on a straight-line basis over the requisite service period, which is generally the vesting term of the respective awards. The Company determines the fair value of stock options with a service and performance condition, or performance-based options, based on the fair value of the Company’s common stock on the date of grant. The Company accounts for the impact of forfeitures as they occur. For purposes of calculating share-based compensation, the Company estimates the fair value of stock options issued using a Black-Scholes option-pricing model. The determination of the fair value of share-based payment awards utilizing the Black-Scholes option-pricing model is affected by the Company’s stock price and a number of assumptions, including expected volatility, expected life, risk-free interest rate and expected dividends.</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Expected term. </w:t>
      </w:r>
      <w:r>
        <w:rPr>
          <w:rFonts w:ascii="Times New Roman" w:hAnsi="Times New Roman"/>
          <w:b w:val="false"/>
          <w:i w:val="false"/>
          <w:caps w:val="false"/>
          <w:smallCaps w:val="false"/>
          <w:color w:val="000000"/>
          <w:sz w:val="20"/>
        </w:rPr>
        <w:t>The Company opted to use the “simplified method” for estimating the expected term of employee options, whereby the expected term equals the average of the vesting term and the original contractual term of the option (generally 10 years).</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Expected volatility. </w:t>
      </w:r>
      <w:r>
        <w:rPr>
          <w:rFonts w:ascii="Times New Roman" w:hAnsi="Times New Roman"/>
          <w:b w:val="false"/>
          <w:i w:val="false"/>
          <w:caps w:val="false"/>
          <w:smallCaps w:val="false"/>
          <w:color w:val="000000"/>
          <w:sz w:val="20"/>
        </w:rPr>
        <w:t>Due to the Company’s limited operating history and a lack of company specific historical and implied volatility data, the Company based its estimate of expected volatility on the historical volatilities of the common stock of comparable publicly traded biopharmaceutical companies over a period equal to the expected term of the stock option grants. The comparable companies were chosen based on their similar size, stage in the life cycle, and financial leverage to the Company.</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Risk-free interest rate. </w:t>
      </w:r>
      <w:r>
        <w:rPr>
          <w:rFonts w:ascii="Times New Roman" w:hAnsi="Times New Roman"/>
          <w:b w:val="false"/>
          <w:i w:val="false"/>
          <w:caps w:val="false"/>
          <w:smallCaps w:val="false"/>
          <w:color w:val="000000"/>
          <w:sz w:val="20"/>
        </w:rPr>
        <w:t>The risk-free rate assumption is based on the U.S. Treasury instruments with maturities similar to the expected term of the stock options.</w:t>
      </w:r>
    </w:p>
    <w:p>
      <w:pPr>
        <w:pStyle w:val="TextBody"/>
        <w:spacing w:before="240" w:after="0"/>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 xml:space="preserve">Expected dividend yield. </w:t>
      </w:r>
      <w:r>
        <w:rPr>
          <w:rFonts w:ascii="Times New Roman" w:hAnsi="Times New Roman"/>
          <w:b w:val="false"/>
          <w:i w:val="false"/>
          <w:caps w:val="false"/>
          <w:smallCaps w:val="false"/>
          <w:color w:val="000000"/>
          <w:sz w:val="20"/>
        </w:rPr>
        <w:t>The Company has not issued any dividends and do not expect to issue dividends over the life of the options, as a result the estimated dividend yield is zero.</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12. Income Taxes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Due to the Company’s net losses for the years ended December 31, 2020 and 2019, and since the Company has a full valuation allowance against deferred tax assets, there was no tax provision or benefit for income taxes recorded in the years presented other than minimum amounts required for state tax purposes.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reconciliation on income taxes to the amount computed by applying the statutory federal income tax rate to the net loss is summarized as follows (in thousands):</w:t>
      </w:r>
    </w:p>
    <w:p>
      <w:pPr>
        <w:pStyle w:val="TextBody"/>
        <w:spacing w:before="0" w:after="0"/>
        <w:rPr/>
      </w:pPr>
      <w:r>
        <w:rPr/>
        <w:t> </w:t>
      </w:r>
    </w:p>
    <w:tbl>
      <w:tblPr>
        <w:tblW w:w="5622" w:type="dxa"/>
        <w:jc w:val="center"/>
        <w:tblInd w:w="0" w:type="dxa"/>
        <w:tblCellMar>
          <w:top w:w="0" w:type="dxa"/>
          <w:left w:w="0" w:type="dxa"/>
          <w:bottom w:w="28" w:type="dxa"/>
          <w:right w:w="0" w:type="dxa"/>
        </w:tblCellMar>
      </w:tblPr>
      <w:tblGrid>
        <w:gridCol w:w="3575"/>
        <w:gridCol w:w="60"/>
        <w:gridCol w:w="150"/>
        <w:gridCol w:w="783"/>
        <w:gridCol w:w="96"/>
        <w:gridCol w:w="72"/>
        <w:gridCol w:w="150"/>
        <w:gridCol w:w="656"/>
        <w:gridCol w:w="80"/>
      </w:tblGrid>
      <w:tr>
        <w:trPr/>
        <w:tc>
          <w:tcPr>
            <w:tcW w:w="357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0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 Ended 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3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benefit at statutory rates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(19,186</w:t>
            </w:r>
          </w:p>
        </w:tc>
        <w:tc>
          <w:tcPr>
            <w:tcW w:w="9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(4,426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5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 income tax, net of federal benefit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(3,929</w:t>
            </w:r>
          </w:p>
        </w:tc>
        <w:tc>
          <w:tcPr>
            <w:tcW w:w="9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5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Permanent items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749</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credits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(1,264</w:t>
            </w:r>
          </w:p>
        </w:tc>
        <w:tc>
          <w:tcPr>
            <w:tcW w:w="9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5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w:t>
            </w:r>
          </w:p>
        </w:tc>
        <w:tc>
          <w:tcPr>
            <w:tcW w:w="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valuation allowance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14,965</w:t>
            </w:r>
          </w:p>
        </w:tc>
        <w:tc>
          <w:tcPr>
            <w:tcW w:w="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7,287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derivative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8,434</w:t>
            </w:r>
          </w:p>
        </w:tc>
        <w:tc>
          <w:tcPr>
            <w:tcW w:w="9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57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expense</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8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Significant components of the Company’s deferred tax assets are shown below (in thousands):</w:t>
      </w:r>
    </w:p>
    <w:p>
      <w:pPr>
        <w:pStyle w:val="TextBody"/>
        <w:spacing w:before="0" w:after="0"/>
        <w:rPr/>
      </w:pPr>
      <w:r>
        <w:rPr/>
        <w:t> </w:t>
      </w:r>
    </w:p>
    <w:tbl>
      <w:tblPr>
        <w:tblW w:w="5540" w:type="dxa"/>
        <w:jc w:val="center"/>
        <w:tblInd w:w="0" w:type="dxa"/>
        <w:tblCellMar>
          <w:top w:w="0" w:type="dxa"/>
          <w:left w:w="0" w:type="dxa"/>
          <w:bottom w:w="28" w:type="dxa"/>
          <w:right w:w="0" w:type="dxa"/>
        </w:tblCellMar>
      </w:tblPr>
      <w:tblGrid>
        <w:gridCol w:w="3770"/>
        <w:gridCol w:w="60"/>
        <w:gridCol w:w="125"/>
        <w:gridCol w:w="650"/>
        <w:gridCol w:w="80"/>
        <w:gridCol w:w="60"/>
        <w:gridCol w:w="125"/>
        <w:gridCol w:w="590"/>
        <w:gridCol w:w="80"/>
      </w:tblGrid>
      <w:tr>
        <w:trPr/>
        <w:tc>
          <w:tcPr>
            <w:tcW w:w="377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3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tax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70" w:type="dxa"/>
            <w:tcBorders/>
            <w:shd w:fill="FFFFFF" w:val="clear"/>
            <w:tcMar>
              <w:bottom w:w="0" w:type="dxa"/>
            </w:tcMa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operating loss carry forwards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17,674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6,897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70" w:type="dxa"/>
            <w:tcBorders/>
            <w:shd w:fill="CFF0FC" w:val="clear"/>
            <w:tcMar>
              <w:bottom w:w="0" w:type="dxa"/>
            </w:tcMa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70" w:type="dxa"/>
            <w:tcBorders/>
            <w:shd w:fill="FFFFFF" w:val="clear"/>
            <w:tcMar>
              <w:bottom w:w="0" w:type="dxa"/>
            </w:tcMa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credits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3,986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70" w:type="dxa"/>
            <w:tcBorders/>
            <w:shd w:fill="CFF0FC" w:val="clear"/>
            <w:tcMar>
              <w:bottom w:w="0" w:type="dxa"/>
            </w:tcMa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70" w:type="dxa"/>
            <w:tcBorders/>
            <w:shd w:fill="FFFFFF" w:val="clear"/>
            <w:tcMar>
              <w:bottom w:w="0" w:type="dxa"/>
            </w:tcMa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70" w:type="dxa"/>
            <w:tcBorders>
              <w:bottom w:val="single" w:sz="6" w:space="0" w:color="000000"/>
            </w:tcBorders>
            <w:shd w:fill="CFF0FC" w:val="clea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70"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deferred tax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26,295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10,917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70" w:type="dxa"/>
            <w:tcBorders>
              <w:bottom w:val="single" w:sz="6" w:space="0" w:color="000000"/>
            </w:tcBorders>
            <w:shd w:fill="CFF0FC" w:val="cle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Valuation allowance for deferred tax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(23,696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(8,731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70" w:type="dxa"/>
            <w:tcBorders/>
            <w:shd w:fill="FFFFFF" w:val="clear"/>
            <w:tcMar>
              <w:bottom w:w="0" w:type="dxa"/>
            </w:tcMa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tax assets, net of valuation allowance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2,599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tax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70" w:type="dxa"/>
            <w:tcBorders/>
            <w:shd w:fill="FFFFFF" w:val="clear"/>
            <w:tcMar>
              <w:bottom w:w="0" w:type="dxa"/>
            </w:tcMa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Right-of-use asset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(2,036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70" w:type="dxa"/>
            <w:tcBorders>
              <w:bottom w:val="single" w:sz="6" w:space="0" w:color="000000"/>
            </w:tcBorders>
            <w:shd w:fill="CFF0FC" w:val="clear"/>
          </w:tcPr>
          <w:p>
            <w:pPr>
              <w:pStyle w:val="TableContents"/>
              <w:spacing w:before="0" w:after="0"/>
              <w:ind w:left="41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77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deferred tax assets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has a net operating loss and has provided a valuation allowance against net deferred tax assets due to uncertainties regarding the Company’s ability to realize these assets. The valuation allowance increased by $15.0 million and $7.3 million as of December 31, 2020 and 2019, respectively.</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the temporary differences representing net future deductible amounts become deductible. Due to the Company’s history of losses, and lack of other positive evidence, the Company has determined that it is more likely than not that its net deferred tax assets will not be realized, and therefore, the net deferred tax assets are substantially offset by a valuation allowance at December 31, 2020 and 2019. The $2.6 million net deferred tax asset is realizable as a result of utilizing the deferred tax liabilities associated with the Company’s leases as a source of income. The deferred tax assets were primarily comprised of federal and state tax net operating losses and tax credit carryforwards.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December 31, 2020, the Company had net operating loss (“NOL”) carryforwards of approximately $63.3 million and $62.7 million, available to reduce future taxable income, if any, for federal and California state income tax purposes, respectively. Of the $63.3 million federal NOL carryforwards, $0.2 million and $3.0 will begin expiring in 2035 and 2036, respectively, if not utilized, while $60.1 million can be carried forward indefinitely. The state NOL carryforwards will begin expiring in 2036, if not utilized.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also had federal and state research and development credit carry forwards of approximately $3.2 million and $1.9 million, respectively, at December 31, 2020. The federal credits will begin expiring in 2035 if not utilized. The California credits have no expiration date.</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Utilization of the NOL and research and development credit carryforwards may be subject to a substantial annual limitation due to ownership change limitations that may have occurred or that could occur in the future, as required by Section 382 of the Internal Revenue Code of 1986, as amended (the “Code”), as well as similar state provisions. The future utilization of the Company’s NOL and tax credit carryforwards to offset future taxable income may be subject to a substantial annual limitation as a result of changes in ownership by stockholders that hold 5% or more of the Company’s common stock. An assessment of such ownership changes under Section 382 was not completed through December 31, 2019. To the extent that an assessment is completed in the future, the Company’s ability to utilize tax attributes could be restricted on a year-by-year basis and certain attributes could expire before they are utilized. The Company will examine the impact of any potential ownership changes in the future.</w:t>
      </w:r>
    </w:p>
    <w:p>
      <w:pPr>
        <w:pStyle w:val="TextBody"/>
        <w:spacing w:before="120" w:after="0"/>
        <w:rPr>
          <w:rFonts w:ascii="Times New Roman" w:hAnsi="Times New Roman"/>
          <w:b w:val="false"/>
          <w:i w:val="false"/>
          <w:caps w:val="false"/>
          <w:smallCaps w:val="false"/>
          <w:color w:val="000000"/>
          <w:sz w:val="20"/>
        </w:rPr>
      </w:pPr>
      <w:bookmarkStart w:id="83" w:name="_Hlk664513631"/>
      <w:bookmarkEnd w:id="83"/>
      <w:r>
        <w:rPr>
          <w:rFonts w:ascii="Times New Roman" w:hAnsi="Times New Roman"/>
          <w:b w:val="false"/>
          <w:i w:val="false"/>
          <w:caps w:val="false"/>
          <w:smallCaps w:val="false"/>
          <w:color w:val="000000"/>
          <w:sz w:val="20"/>
        </w:rPr>
        <w:t xml:space="preserve">The Company has not been audited by the Internal Revenue Service or any state income or franchise tax agency. As of December 31, 2020, its federal and state returns for the years ended 2015 through the current period are still open to examination. In addition, all of the net operating losses and research and development credit carryforwards that may be used in future years are still subject to inquiry given that the statute of limitation for these items would begin in the year of the utilization. The balance of gross unrecognized tax benefits as of December 31, 2020 and 2019 was approximately $0.8 million and $0.3 million, respectively, all of which would affect the Company’s income tax expense if recognized, before consideration of the Company’s valuation allowance. The Company does not expect its unrecognized tax benefits to change significantly over the next 12 months. The Company recognizes interest and penalties accrued </w:t>
      </w:r>
      <w:bookmarkStart w:id="84" w:name="_Hlk66451363"/>
      <w:bookmarkEnd w:id="84"/>
      <w:r>
        <w:rPr>
          <w:rFonts w:ascii="Times New Roman" w:hAnsi="Times New Roman"/>
          <w:b w:val="false"/>
          <w:i w:val="false"/>
          <w:caps w:val="false"/>
          <w:smallCaps w:val="false"/>
          <w:color w:val="000000"/>
          <w:sz w:val="20"/>
        </w:rPr>
        <w:t>on any unrecognized tax benefits as a component of income tax expense. There was no interest and penalties for the years ended December 31, 2020 and 2019. The Company files income tax returns in the United States federal jurisdiction and the State of California and is not currently under examination by any taxing authority for any open tax year. Due to net operating loss carryforwards, all years remain open for income tax examination. To the extent the Company has tax attribute carryforwards, the tax years in which the attribute was generated may still be adjusted upon examination by the IRS or state tax authorities to the extent utilized in a future period. No federal or state tax audits are currently in process.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summarizes the changes in the Company’s gross unrecognized tax benefits (in thousands):</w:t>
      </w:r>
    </w:p>
    <w:p>
      <w:pPr>
        <w:pStyle w:val="TextBody"/>
        <w:spacing w:before="0" w:after="0"/>
        <w:rPr/>
      </w:pPr>
      <w:r>
        <w:rPr/>
        <w:t> </w:t>
      </w:r>
    </w:p>
    <w:tbl>
      <w:tblPr>
        <w:tblW w:w="5065" w:type="dxa"/>
        <w:jc w:val="center"/>
        <w:tblInd w:w="0" w:type="dxa"/>
        <w:tblCellMar>
          <w:top w:w="0" w:type="dxa"/>
          <w:left w:w="0" w:type="dxa"/>
          <w:bottom w:w="28" w:type="dxa"/>
          <w:right w:w="0" w:type="dxa"/>
        </w:tblCellMar>
      </w:tblPr>
      <w:tblGrid>
        <w:gridCol w:w="3905"/>
        <w:gridCol w:w="60"/>
        <w:gridCol w:w="125"/>
        <w:gridCol w:w="335"/>
        <w:gridCol w:w="60"/>
        <w:gridCol w:w="60"/>
        <w:gridCol w:w="125"/>
        <w:gridCol w:w="335"/>
        <w:gridCol w:w="60"/>
      </w:tblGrid>
      <w:tr>
        <w:trPr/>
        <w:tc>
          <w:tcPr>
            <w:tcW w:w="390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4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the beginning of the year</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Additions for tax positions taken in prior years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0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Additions for tax positions taken in current year</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0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at the end of the year</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133</w:t>
      </w:r>
    </w:p>
    <w:p>
      <w:pPr>
        <w:pStyle w:val="HorizontalLine"/>
        <w:rPr/>
      </w:pPr>
      <w:r>
        <w:rPr/>
      </w:r>
    </w:p>
    <w:p>
      <w:pPr>
        <w:pStyle w:val="TextBody"/>
        <w:spacing w:before="0" w:after="0"/>
        <w:rPr/>
      </w:pPr>
      <w:r>
        <w:rPr/>
        <w:t> </w:t>
      </w:r>
    </w:p>
    <w:p>
      <w:pPr>
        <w:pStyle w:val="TextBody"/>
        <w:spacing w:before="160" w:after="0"/>
        <w:rPr>
          <w:rFonts w:ascii="Times New Roman" w:hAnsi="Times New Roman"/>
          <w:b/>
          <w:i w:val="false"/>
          <w:caps w:val="false"/>
          <w:smallCaps w:val="false"/>
          <w:sz w:val="20"/>
        </w:rPr>
      </w:pPr>
      <w:bookmarkStart w:id="85" w:name="ITEM_9_CHANGES_IN_DISAGREEMENTS_WITH_ACC"/>
      <w:bookmarkEnd w:id="85"/>
      <w:r>
        <w:rPr>
          <w:rFonts w:ascii="Times New Roman" w:hAnsi="Times New Roman"/>
          <w:b/>
          <w:i w:val="false"/>
          <w:caps w:val="false"/>
          <w:smallCaps w:val="false"/>
          <w:sz w:val="20"/>
        </w:rPr>
        <w:t>Item 9. Changes in and Disagreements w</w:t>
      </w:r>
      <w:bookmarkStart w:id="86" w:name="ITEM_9_CHANGES_IN_DISAGREEMENTS_WITH_ACC"/>
      <w:bookmarkEnd w:id="86"/>
      <w:r>
        <w:rPr>
          <w:rFonts w:ascii="Times New Roman" w:hAnsi="Times New Roman"/>
          <w:b/>
          <w:i w:val="false"/>
          <w:caps w:val="false"/>
          <w:smallCaps w:val="false"/>
          <w:sz w:val="20"/>
        </w:rPr>
        <w:t>ith Accountants on Accounting and Financial Disclosure.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360" w:after="0"/>
        <w:rPr>
          <w:rFonts w:ascii="Times New Roman" w:hAnsi="Times New Roman"/>
          <w:b/>
          <w:i w:val="false"/>
          <w:caps w:val="false"/>
          <w:smallCaps w:val="false"/>
          <w:sz w:val="20"/>
        </w:rPr>
      </w:pPr>
      <w:bookmarkStart w:id="87" w:name="ITEM_9A_CONTROLS_PROCEDURES"/>
      <w:bookmarkEnd w:id="87"/>
      <w:r>
        <w:rPr>
          <w:rFonts w:ascii="Times New Roman" w:hAnsi="Times New Roman"/>
          <w:b/>
          <w:i w:val="false"/>
          <w:caps w:val="false"/>
          <w:smallCaps w:val="false"/>
          <w:sz w:val="20"/>
        </w:rPr>
        <w:t xml:space="preserve">Item 9A. Controls and Procedures. </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Evaluation of Disclosure Controls and Procedures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maintain “disclosure controls and procedures,” as defined in Rules 13a-15(e) and 15d-15(e) under the Exchange Act, that are designed to provide reasonable assurance that information required to be disclosed by a company in the reports that it files or submits under the Exchange Act is recorded, processed, summarized and reported within the time periods specified in the SEC’s rules and forms and is accumulated and communicated to our management, including our Chief Executive Officer and Chief Financial Officer, as appropriate to allow timely decisions regarding required disclosure.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management, with the participation of our Chief Executive Officer and Chief Financial and Business Officer, evaluated the effectiveness of our disclosure controls and procedures as of December 31, 2020. Based on this evaluation, our Chief Executive Officer and Chief Financial and Business Officer concluded that, as of December 31, 2020, our disclosure controls and procedures were effective at the reasonable assurance level.</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Management’s Report on Internal Control Over Financial Reporting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report does not include a report of management’s assessment regarding internal control over financial reporting or an attestation report of our registered public accounting firm due to a transition period established by rules of the SEC for newly public companies.</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Changes in Internal Control Over Financial Reporting</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 were no changes in our internal control over financial reporting during the quarter ended December 31, 2020 that have materially affected, or are reasonably likely to materially affect, our internal control over financial reporting.</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Inherent Limitations on Effectiveness of Controls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management, including our Chief Executive Officer and our Chief Financial and Business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the collusion of two or more people or by management override of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134</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bookmarkStart w:id="88" w:name="ITEM_9B_OR_INFORMATION"/>
      <w:bookmarkEnd w:id="88"/>
      <w:r>
        <w:rPr>
          <w:rFonts w:ascii="Times New Roman" w:hAnsi="Times New Roman"/>
          <w:b/>
          <w:i w:val="false"/>
          <w:caps w:val="false"/>
          <w:smallCaps w:val="false"/>
          <w:sz w:val="20"/>
        </w:rPr>
        <w:t xml:space="preserve">Item 9B. Other Information.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135</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89" w:name="Part_III"/>
      <w:bookmarkEnd w:id="89"/>
      <w:r>
        <w:rPr>
          <w:rFonts w:ascii="Times New Roman" w:hAnsi="Times New Roman"/>
          <w:b/>
          <w:i w:val="false"/>
          <w:caps w:val="false"/>
          <w:smallCaps w:val="false"/>
          <w:sz w:val="20"/>
        </w:rPr>
        <w:t xml:space="preserve">PART III </w:t>
      </w:r>
    </w:p>
    <w:p>
      <w:pPr>
        <w:pStyle w:val="TextBody"/>
        <w:spacing w:before="240" w:after="0"/>
        <w:rPr>
          <w:rFonts w:ascii="Times New Roman" w:hAnsi="Times New Roman"/>
          <w:b/>
          <w:i w:val="false"/>
          <w:caps w:val="false"/>
          <w:smallCaps w:val="false"/>
          <w:sz w:val="20"/>
        </w:rPr>
      </w:pPr>
      <w:bookmarkStart w:id="90" w:name="ITEM_10_DIRECTORS_EXECUTIVE_FICERS_CORPO"/>
      <w:bookmarkEnd w:id="90"/>
      <w:r>
        <w:rPr>
          <w:rFonts w:ascii="Times New Roman" w:hAnsi="Times New Roman"/>
          <w:b/>
          <w:i w:val="false"/>
          <w:caps w:val="false"/>
          <w:smallCaps w:val="false"/>
          <w:sz w:val="20"/>
        </w:rPr>
        <w:t xml:space="preserve">Item 10. Directors, Executive Officers and Corporate Governance.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required by this Item will be set forth in the Company’s proxy statement to be filed with the Securities and Exchange Commission within 120 days after the Company’s fiscal year end and is incorporated herein by reference.</w:t>
      </w:r>
    </w:p>
    <w:p>
      <w:pPr>
        <w:pStyle w:val="TextBody"/>
        <w:spacing w:before="360" w:after="0"/>
        <w:rPr>
          <w:rFonts w:ascii="Times New Roman" w:hAnsi="Times New Roman"/>
          <w:b/>
          <w:i w:val="false"/>
          <w:caps w:val="false"/>
          <w:smallCaps w:val="false"/>
          <w:sz w:val="20"/>
        </w:rPr>
      </w:pPr>
      <w:bookmarkStart w:id="91" w:name="ITEM_11_EXECUTIVE_COMPENSATION"/>
      <w:bookmarkEnd w:id="91"/>
      <w:r>
        <w:rPr>
          <w:rFonts w:ascii="Times New Roman" w:hAnsi="Times New Roman"/>
          <w:b/>
          <w:i w:val="false"/>
          <w:caps w:val="false"/>
          <w:smallCaps w:val="false"/>
          <w:sz w:val="20"/>
        </w:rPr>
        <w:t xml:space="preserve">Item 11. Executive Compensation.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required by this Item will be set forth in the Company’s proxy statement to be filed with the Securities and Exchange Commission within 120 days after the Company’s fiscal year end and is incorporated herein by reference.</w:t>
      </w:r>
    </w:p>
    <w:p>
      <w:pPr>
        <w:pStyle w:val="TextBody"/>
        <w:spacing w:before="360" w:after="0"/>
        <w:rPr>
          <w:rFonts w:ascii="Times New Roman" w:hAnsi="Times New Roman"/>
          <w:b/>
          <w:i w:val="false"/>
          <w:caps w:val="false"/>
          <w:smallCaps w:val="false"/>
          <w:sz w:val="20"/>
        </w:rPr>
      </w:pPr>
      <w:bookmarkStart w:id="92" w:name="ITEM_12_SECURITY_OWNERSHIP_CERTAIN_BENEF"/>
      <w:bookmarkEnd w:id="92"/>
      <w:r>
        <w:rPr>
          <w:rFonts w:ascii="Times New Roman" w:hAnsi="Times New Roman"/>
          <w:b/>
          <w:i w:val="false"/>
          <w:caps w:val="false"/>
          <w:smallCaps w:val="false"/>
          <w:sz w:val="20"/>
        </w:rPr>
        <w:t xml:space="preserve">Item 12. Security Ownership of Certain Beneficial Owners and Management and Related Stockholder Matters.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required by this Item will be set forth in the Company’s proxy statement to be filed with the Securities and Exchange Commission within 120 days after the Company’s fiscal year end and is incorporated herein by reference.</w:t>
      </w:r>
    </w:p>
    <w:p>
      <w:pPr>
        <w:pStyle w:val="TextBody"/>
        <w:spacing w:before="360" w:after="0"/>
        <w:rPr>
          <w:rFonts w:ascii="Times New Roman" w:hAnsi="Times New Roman"/>
          <w:b/>
          <w:i w:val="false"/>
          <w:caps w:val="false"/>
          <w:smallCaps w:val="false"/>
          <w:sz w:val="20"/>
        </w:rPr>
      </w:pPr>
      <w:bookmarkStart w:id="93" w:name="ITEM_13_CERTAIN_RELATIONSHIPS_RELATED_TR"/>
      <w:bookmarkEnd w:id="93"/>
      <w:r>
        <w:rPr>
          <w:rFonts w:ascii="Times New Roman" w:hAnsi="Times New Roman"/>
          <w:b/>
          <w:i w:val="false"/>
          <w:caps w:val="false"/>
          <w:smallCaps w:val="false"/>
          <w:sz w:val="20"/>
        </w:rPr>
        <w:t xml:space="preserve">Item 13. Certain Relationships and Related Transactions, and Director Independence.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required by this Item will be set forth in the Company’s proxy statement to be filed with the Securities and Exchange Commission within 120 days after the Company’s fiscal year end and is incorporated herein by reference.</w:t>
      </w:r>
    </w:p>
    <w:p>
      <w:pPr>
        <w:pStyle w:val="TextBody"/>
        <w:spacing w:before="360" w:after="0"/>
        <w:rPr>
          <w:rFonts w:ascii="Times New Roman" w:hAnsi="Times New Roman"/>
          <w:b/>
          <w:i w:val="false"/>
          <w:caps w:val="false"/>
          <w:smallCaps w:val="false"/>
          <w:sz w:val="20"/>
        </w:rPr>
      </w:pPr>
      <w:bookmarkStart w:id="94" w:name="ITEM_14_PRINCIPAL_ACCOUNTING_FEES_SERVIC"/>
      <w:bookmarkEnd w:id="94"/>
      <w:r>
        <w:rPr>
          <w:rFonts w:ascii="Times New Roman" w:hAnsi="Times New Roman"/>
          <w:b/>
          <w:i w:val="false"/>
          <w:caps w:val="false"/>
          <w:smallCaps w:val="false"/>
          <w:sz w:val="20"/>
        </w:rPr>
        <w:t xml:space="preserve">Item 14. Principal Accounting Fees and Services.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information required by this Item will be set forth in the Company’s proxy statement to be filed with the Securities and Exchange Commission within 120 days after the Company’s fiscal year end and is incorporated herein by reference.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136</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95" w:name="PART_IV"/>
      <w:bookmarkEnd w:id="95"/>
      <w:r>
        <w:rPr>
          <w:rFonts w:ascii="Times New Roman" w:hAnsi="Times New Roman"/>
          <w:b/>
          <w:i w:val="false"/>
          <w:caps w:val="false"/>
          <w:smallCaps w:val="false"/>
          <w:sz w:val="20"/>
        </w:rPr>
        <w:t xml:space="preserve">PART IV </w:t>
      </w:r>
    </w:p>
    <w:p>
      <w:pPr>
        <w:pStyle w:val="TextBody"/>
        <w:spacing w:before="240" w:after="0"/>
        <w:rPr>
          <w:rFonts w:ascii="Times New Roman" w:hAnsi="Times New Roman"/>
          <w:b/>
          <w:i w:val="false"/>
          <w:caps w:val="false"/>
          <w:smallCaps w:val="false"/>
          <w:sz w:val="20"/>
        </w:rPr>
      </w:pPr>
      <w:bookmarkStart w:id="96" w:name="ITEM_15_EXHIBITS_FINANCIAL_STATEMENT_SCH"/>
      <w:bookmarkEnd w:id="96"/>
      <w:r>
        <w:rPr>
          <w:rFonts w:ascii="Times New Roman" w:hAnsi="Times New Roman"/>
          <w:b/>
          <w:i w:val="false"/>
          <w:caps w:val="false"/>
          <w:smallCaps w:val="false"/>
          <w:sz w:val="20"/>
        </w:rPr>
        <w:t xml:space="preserve">Item 15. Exhibits, Financial Statement Schedules. </w:t>
      </w:r>
    </w:p>
    <w:tbl>
      <w:tblPr>
        <w:tblW w:w="6700" w:type="dxa"/>
        <w:jc w:val="left"/>
        <w:tblInd w:w="0" w:type="dxa"/>
        <w:tblCellMar>
          <w:top w:w="0" w:type="dxa"/>
          <w:left w:w="0" w:type="dxa"/>
          <w:bottom w:w="0" w:type="dxa"/>
          <w:right w:w="0" w:type="dxa"/>
        </w:tblCellMar>
      </w:tblPr>
      <w:tblGrid>
        <w:gridCol w:w="60"/>
        <w:gridCol w:w="230"/>
        <w:gridCol w:w="64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3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6410" w:type="dxa"/>
            <w:tcBorders/>
            <w:shd w:fill="auto" w:val="clear"/>
          </w:tcPr>
          <w:p>
            <w:pPr>
              <w:pStyle w:val="TableContents"/>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following documents are filed as part of this Annual Report on Form 10-K:</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96"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49"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rPr>
              <w:t>Financial Statements.</w:t>
            </w:r>
            <w:r>
              <w:rPr>
                <w:b w:val="false"/>
                <w:i w:val="false"/>
                <w:caps w:val="false"/>
                <w:smallCaps w:val="false"/>
                <w:color w:val="000000"/>
              </w:rPr>
              <w:t> </w:t>
            </w:r>
            <w:r>
              <w:rPr>
                <w:b w:val="false"/>
                <w:i w:val="false"/>
                <w:caps w:val="false"/>
                <w:smallCaps w:val="false"/>
                <w:color w:val="000000"/>
                <w:highlight w:val="white"/>
              </w:rPr>
              <w:t>See Index to Financial Statements in Part II Item 8 of this Annual Report on Form 10-K.</w:t>
            </w:r>
          </w:p>
        </w:tc>
      </w:tr>
    </w:tbl>
    <w:tbl>
      <w:tblPr>
        <w:tblW w:w="10205" w:type="dxa"/>
        <w:jc w:val="left"/>
        <w:tblInd w:w="0" w:type="dxa"/>
        <w:tblCellMar>
          <w:top w:w="0" w:type="dxa"/>
          <w:left w:w="0" w:type="dxa"/>
          <w:bottom w:w="0" w:type="dxa"/>
          <w:right w:w="0" w:type="dxa"/>
        </w:tblCellMar>
      </w:tblPr>
      <w:tblGrid>
        <w:gridCol w:w="60"/>
        <w:gridCol w:w="165"/>
        <w:gridCol w:w="99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65"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980"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rPr>
              <w:t>Financial Statement Schedules</w:t>
            </w:r>
            <w:r>
              <w:rPr>
                <w:b w:val="false"/>
                <w:i w:val="false"/>
                <w:caps w:val="false"/>
                <w:smallCaps w:val="false"/>
                <w:color w:val="000000"/>
              </w:rPr>
              <w:t>. None. All financial statement schedules are omitted because they are not applicable, not required under the instructions or the requested information is included in the financial statements or notes thereto.</w:t>
            </w:r>
          </w:p>
        </w:tc>
      </w:tr>
    </w:tbl>
    <w:tbl>
      <w:tblPr>
        <w:tblW w:w="9670" w:type="dxa"/>
        <w:jc w:val="left"/>
        <w:tblInd w:w="0" w:type="dxa"/>
        <w:tblCellMar>
          <w:top w:w="0" w:type="dxa"/>
          <w:left w:w="0" w:type="dxa"/>
          <w:bottom w:w="0" w:type="dxa"/>
          <w:right w:w="0" w:type="dxa"/>
        </w:tblCellMar>
      </w:tblPr>
      <w:tblGrid>
        <w:gridCol w:w="60"/>
        <w:gridCol w:w="200"/>
        <w:gridCol w:w="94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9410" w:type="dxa"/>
            <w:tcBorders/>
            <w:shd w:fill="auto" w:val="clear"/>
          </w:tcPr>
          <w:p>
            <w:pPr>
              <w:pStyle w:val="TableContents"/>
              <w:spacing w:before="120" w:after="0"/>
              <w:jc w:val="left"/>
              <w:rPr>
                <w:b w:val="false"/>
                <w:i w:val="false"/>
                <w:caps w:val="false"/>
                <w:smallCaps w:val="false"/>
              </w:rPr>
            </w:pPr>
            <w:r>
              <w:rPr>
                <w:b w:val="false"/>
                <w:i/>
                <w:caps w:val="false"/>
                <w:smallCaps w:val="false"/>
                <w:color w:val="000000"/>
              </w:rPr>
              <w:t>Exhibits</w:t>
            </w:r>
            <w:r>
              <w:rPr>
                <w:b w:val="false"/>
                <w:i w:val="false"/>
                <w:caps w:val="false"/>
                <w:smallCaps w:val="false"/>
                <w:color w:val="000000"/>
              </w:rPr>
              <w:t>. The following is a list of exhibits filed with this report or incorporated herein by reference:</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137</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97" w:name="EXHIBIT_INDEX"/>
      <w:bookmarkEnd w:id="97"/>
      <w:r>
        <w:rPr>
          <w:rFonts w:ascii="Times New Roman" w:hAnsi="Times New Roman"/>
          <w:b/>
          <w:i w:val="false"/>
          <w:caps w:val="false"/>
          <w:smallCaps w:val="false"/>
          <w:sz w:val="20"/>
        </w:rPr>
        <w:t>Exhibit Index</w:t>
      </w:r>
    </w:p>
    <w:p>
      <w:pPr>
        <w:pStyle w:val="TextBody"/>
        <w:spacing w:before="0" w:after="0"/>
        <w:rPr/>
      </w:pPr>
      <w:r>
        <w:rPr/>
        <w:t> </w:t>
      </w:r>
    </w:p>
    <w:tbl>
      <w:tblPr>
        <w:tblW w:w="10205" w:type="dxa"/>
        <w:jc w:val="center"/>
        <w:tblInd w:w="0" w:type="dxa"/>
        <w:tblCellMar>
          <w:top w:w="0" w:type="dxa"/>
          <w:left w:w="0" w:type="dxa"/>
          <w:bottom w:w="28" w:type="dxa"/>
          <w:right w:w="0" w:type="dxa"/>
        </w:tblCellMar>
      </w:tblPr>
      <w:tblGrid>
        <w:gridCol w:w="693"/>
        <w:gridCol w:w="60"/>
        <w:gridCol w:w="5951"/>
        <w:gridCol w:w="60"/>
        <w:gridCol w:w="452"/>
        <w:gridCol w:w="60"/>
        <w:gridCol w:w="820"/>
        <w:gridCol w:w="60"/>
        <w:gridCol w:w="545"/>
        <w:gridCol w:w="60"/>
        <w:gridCol w:w="686"/>
        <w:gridCol w:w="60"/>
        <w:gridCol w:w="698"/>
      </w:tblGrid>
      <w:tr>
        <w:trPr/>
        <w:tc>
          <w:tcPr>
            <w:tcW w:w="693"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5951"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2683" w:type="dxa"/>
            <w:gridSpan w:val="7"/>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Incorporated by Reference</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698" w:type="dxa"/>
            <w:tcBorders>
              <w:bottom w:val="single" w:sz="6" w:space="0" w:color="000000"/>
            </w:tcBorders>
            <w:shd w:fill="FFFFFF" w:val="clear"/>
            <w:vAlign w:val="bottom"/>
          </w:tcPr>
          <w:p>
            <w:pPr>
              <w:pStyle w:val="TableContents"/>
              <w:spacing w:before="0" w:after="0"/>
              <w:ind w:left="0" w:right="0" w:hanging="0"/>
              <w:jc w:val="center"/>
              <w:rPr/>
            </w:pPr>
            <w:r>
              <w:rPr/>
              <w:t> </w:t>
            </w:r>
          </w:p>
        </w:tc>
      </w:tr>
      <w:tr>
        <w:trPr/>
        <w:tc>
          <w:tcPr>
            <w:tcW w:w="693"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Exhibit</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5951"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Description</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452"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Form</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pPr>
            <w:r>
              <w:rPr/>
              <w:t> </w:t>
            </w:r>
          </w:p>
        </w:tc>
        <w:tc>
          <w:tcPr>
            <w:tcW w:w="82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File No.</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pPr>
            <w:r>
              <w:rPr/>
              <w:t> </w:t>
            </w:r>
          </w:p>
        </w:tc>
        <w:tc>
          <w:tcPr>
            <w:tcW w:w="5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Exhibit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pPr>
            <w:r>
              <w:rPr/>
              <w:t> </w:t>
            </w:r>
          </w:p>
        </w:tc>
        <w:tc>
          <w:tcPr>
            <w:tcW w:w="68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Filing Date</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698"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Filed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Herewith</w:t>
            </w:r>
          </w:p>
        </w:tc>
      </w:tr>
      <w:tr>
        <w:trPr/>
        <w:tc>
          <w:tcPr>
            <w:tcW w:w="69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tcPr>
          <w:p>
            <w:pPr>
              <w:pStyle w:val="TableContents"/>
              <w:spacing w:before="0" w:after="0"/>
              <w:ind w:left="0" w:right="0" w:hanging="0"/>
              <w:rPr/>
            </w:pPr>
            <w:r>
              <w:rPr/>
              <w:t> </w:t>
            </w:r>
          </w:p>
        </w:tc>
        <w:tc>
          <w:tcPr>
            <w:tcW w:w="452" w:type="dxa"/>
            <w:tcBorders>
              <w:top w:val="single" w:sz="6" w:space="0" w:color="000000"/>
            </w:tcBorders>
            <w:shd w:fill="FFFFFF" w:val="clear"/>
            <w:tcMar>
              <w:top w:w="28" w:type="dxa"/>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820" w:type="dxa"/>
            <w:tcBorders>
              <w:top w:val="single" w:sz="6" w:space="0" w:color="000000"/>
            </w:tcBorders>
            <w:shd w:fill="FFFFFF" w:val="clear"/>
            <w:tcMar>
              <w:top w:w="28" w:type="dxa"/>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45" w:type="dxa"/>
            <w:tcBorders>
              <w:top w:val="single" w:sz="6" w:space="0" w:color="000000"/>
            </w:tcBorders>
            <w:shd w:fill="FFFFFF" w:val="clear"/>
            <w:tcMar>
              <w:top w:w="28" w:type="dxa"/>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86" w:type="dxa"/>
            <w:tcBorders>
              <w:top w:val="single" w:sz="6" w:space="0" w:color="000000"/>
            </w:tcBorders>
            <w:shd w:fill="FFFFFF" w:val="clear"/>
            <w:tcMar>
              <w:top w:w="28" w:type="dxa"/>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8" w:type="dxa"/>
            <w:tcBorders/>
            <w:shd w:fill="FFFFFF" w:val="clear"/>
            <w:tcMar>
              <w:bottom w:w="0" w:type="dxa"/>
            </w:tcMar>
          </w:tcPr>
          <w:p>
            <w:pPr>
              <w:pStyle w:val="TableContents"/>
              <w:spacing w:before="0" w:after="0"/>
              <w:ind w:left="0" w:right="0" w:hanging="0"/>
              <w:rPr/>
            </w:pPr>
            <w:r>
              <w:rPr/>
              <w:t> </w:t>
            </w:r>
          </w:p>
        </w:tc>
      </w:tr>
      <w:tr>
        <w:trPr/>
        <w:tc>
          <w:tcPr>
            <w:tcW w:w="693" w:type="dxa"/>
            <w:tcBorders/>
            <w:shd w:fill="FFFFFF" w:val="clear"/>
            <w:tcMar>
              <w:bottom w:w="0" w:type="dxa"/>
            </w:tcM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3.1</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15">
              <w:r>
                <w:rPr>
                  <w:rStyle w:val="InternetLink"/>
                  <w:rFonts w:ascii="Times New Roman" w:hAnsi="Times New Roman"/>
                  <w:b w:val="false"/>
                  <w:i w:val="false"/>
                  <w:caps w:val="false"/>
                  <w:smallCaps w:val="false"/>
                  <w:sz w:val="20"/>
                  <w:u w:val="single"/>
                </w:rPr>
                <w:t>Amended and Restated Certificate of Incorporation of Nkarta, Inc.</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001-39370</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7/14/2020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3.2</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16">
              <w:r>
                <w:rPr>
                  <w:rStyle w:val="InternetLink"/>
                  <w:rFonts w:ascii="Times New Roman" w:hAnsi="Times New Roman"/>
                  <w:b w:val="false"/>
                  <w:i w:val="false"/>
                  <w:caps w:val="false"/>
                  <w:smallCaps w:val="false"/>
                  <w:sz w:val="20"/>
                  <w:u w:val="single"/>
                </w:rPr>
                <w:t>Amended and Restated Bylaws of Nkarta, Inc.</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001-39370</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7/14/2020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4.1</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17">
              <w:r>
                <w:rPr>
                  <w:rStyle w:val="InternetLink"/>
                  <w:rFonts w:ascii="Times New Roman" w:hAnsi="Times New Roman"/>
                  <w:b w:val="false"/>
                  <w:i w:val="false"/>
                  <w:caps w:val="false"/>
                  <w:smallCaps w:val="false"/>
                  <w:sz w:val="20"/>
                  <w:u w:val="single"/>
                </w:rPr>
                <w:t>Form of Common Stock Certificate of the Registrant.</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4.2</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18">
              <w:r>
                <w:rPr>
                  <w:rStyle w:val="InternetLink"/>
                  <w:rFonts w:ascii="Times New Roman" w:hAnsi="Times New Roman"/>
                  <w:b w:val="false"/>
                  <w:i w:val="false"/>
                  <w:caps w:val="false"/>
                  <w:smallCaps w:val="false"/>
                  <w:sz w:val="20"/>
                  <w:u w:val="single"/>
                </w:rPr>
                <w:t>Amended and Restated Investors’ Rights Agreement, dated as of August 27, 2019, by and among the registrant and certain of its stockholders.</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6/19/2020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4.3</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w:anchor="nktx-ex43_989.htm">
              <w:r>
                <w:rPr>
                  <w:rStyle w:val="InternetLink"/>
                  <w:rFonts w:ascii="Times New Roman" w:hAnsi="Times New Roman"/>
                  <w:b w:val="false"/>
                  <w:i w:val="false"/>
                  <w:caps w:val="false"/>
                  <w:smallCaps w:val="false"/>
                  <w:sz w:val="20"/>
                  <w:u w:val="single"/>
                </w:rPr>
                <w:t>Description of Capital Stock</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10.1#</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19">
              <w:r>
                <w:rPr>
                  <w:rStyle w:val="InternetLink"/>
                  <w:rFonts w:ascii="Times New Roman" w:hAnsi="Times New Roman"/>
                  <w:b w:val="false"/>
                  <w:i w:val="false"/>
                  <w:caps w:val="false"/>
                  <w:smallCaps w:val="false"/>
                  <w:sz w:val="20"/>
                  <w:u w:val="single"/>
                </w:rPr>
                <w:t>Form of Indemnification Agreement between the Registrant and each of its directors and executive officers.</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10.2(A)#</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20">
              <w:r>
                <w:rPr>
                  <w:rStyle w:val="InternetLink"/>
                  <w:rFonts w:ascii="Times New Roman" w:hAnsi="Times New Roman"/>
                  <w:b w:val="false"/>
                  <w:i w:val="false"/>
                  <w:caps w:val="false"/>
                  <w:smallCaps w:val="false"/>
                  <w:sz w:val="20"/>
                  <w:u w:val="single"/>
                </w:rPr>
                <w:t>2015 Equity Incentive Plan.</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6/19/2020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10.2(B)#</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21">
              <w:r>
                <w:rPr>
                  <w:rStyle w:val="InternetLink"/>
                  <w:rFonts w:ascii="Times New Roman" w:hAnsi="Times New Roman"/>
                  <w:b w:val="false"/>
                  <w:i w:val="false"/>
                  <w:caps w:val="false"/>
                  <w:smallCaps w:val="false"/>
                  <w:sz w:val="20"/>
                  <w:u w:val="single"/>
                </w:rPr>
                <w:t>Form of Stock Option Agreement for 2015 Equity Incentive Plan.</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10.3</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6/19/2020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10.3(A)#</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22">
              <w:r>
                <w:rPr>
                  <w:rStyle w:val="InternetLink"/>
                  <w:rFonts w:ascii="Times New Roman" w:hAnsi="Times New Roman"/>
                  <w:b w:val="false"/>
                  <w:i w:val="false"/>
                  <w:caps w:val="false"/>
                  <w:smallCaps w:val="false"/>
                  <w:sz w:val="20"/>
                  <w:u w:val="single"/>
                </w:rPr>
                <w:t>2020 Performance Incentive Plan.</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10.3(B)#</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23">
              <w:r>
                <w:rPr>
                  <w:rStyle w:val="InternetLink"/>
                  <w:rFonts w:ascii="Times New Roman" w:hAnsi="Times New Roman"/>
                  <w:b w:val="false"/>
                  <w:i w:val="false"/>
                  <w:caps w:val="false"/>
                  <w:smallCaps w:val="false"/>
                  <w:sz w:val="20"/>
                  <w:u w:val="single"/>
                </w:rPr>
                <w:t>Form of Director Option Agreement between Registrant and certain of its directors.</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10-Q</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001-39370</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8/20/2020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10.3(C)#</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24">
              <w:r>
                <w:rPr>
                  <w:rStyle w:val="InternetLink"/>
                  <w:rFonts w:ascii="Times New Roman" w:hAnsi="Times New Roman"/>
                  <w:b w:val="false"/>
                  <w:i w:val="false"/>
                  <w:caps w:val="false"/>
                  <w:smallCaps w:val="false"/>
                  <w:sz w:val="20"/>
                  <w:u w:val="single"/>
                </w:rPr>
                <w:t>Form of non-qualified Stock Option Agreement between Registrant and certain of its officers and employees.</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10-Q</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001-39370</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10.6</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8/20/2020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10.4#</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25">
              <w:r>
                <w:rPr>
                  <w:rStyle w:val="InternetLink"/>
                  <w:rFonts w:ascii="Times New Roman" w:hAnsi="Times New Roman"/>
                  <w:b w:val="false"/>
                  <w:i w:val="false"/>
                  <w:caps w:val="false"/>
                  <w:smallCaps w:val="false"/>
                  <w:sz w:val="20"/>
                  <w:u w:val="single"/>
                </w:rPr>
                <w:t>2020 Employee Stock Purchase Plan.</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S-1/A</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10.5</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10.5#</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26">
              <w:r>
                <w:rPr>
                  <w:rStyle w:val="InternetLink"/>
                  <w:rFonts w:ascii="Times New Roman" w:hAnsi="Times New Roman"/>
                  <w:b w:val="false"/>
                  <w:i w:val="false"/>
                  <w:caps w:val="false"/>
                  <w:smallCaps w:val="false"/>
                  <w:sz w:val="20"/>
                  <w:u w:val="single"/>
                </w:rPr>
                <w:t>Nkarta, Inc. Non-Employee Director Compensation Policy.</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10-Q</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001-39370</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10.6</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11/12/2020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10.6(A)#</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27">
              <w:r>
                <w:rPr>
                  <w:rStyle w:val="InternetLink"/>
                  <w:rFonts w:ascii="Times New Roman" w:hAnsi="Times New Roman"/>
                  <w:b w:val="false"/>
                  <w:i w:val="false"/>
                  <w:caps w:val="false"/>
                  <w:smallCaps w:val="false"/>
                  <w:sz w:val="20"/>
                  <w:u w:val="single"/>
                </w:rPr>
                <w:t>Employment Offer Letter between the Registrant and Paul Hastings.</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10.6</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6/19/2020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10.6(B)#</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28">
              <w:r>
                <w:rPr>
                  <w:rStyle w:val="InternetLink"/>
                  <w:rFonts w:ascii="Times New Roman" w:hAnsi="Times New Roman"/>
                  <w:b w:val="false"/>
                  <w:i w:val="false"/>
                  <w:caps w:val="false"/>
                  <w:smallCaps w:val="false"/>
                  <w:sz w:val="20"/>
                  <w:u w:val="single"/>
                </w:rPr>
                <w:t>Employment Offer Letter between the Registrant and Dr. Kanya Rajangam.</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10.7</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6/19/2020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10.6(C)#</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29">
              <w:r>
                <w:rPr>
                  <w:rStyle w:val="InternetLink"/>
                  <w:rFonts w:ascii="Times New Roman" w:hAnsi="Times New Roman"/>
                  <w:b w:val="false"/>
                  <w:i w:val="false"/>
                  <w:caps w:val="false"/>
                  <w:smallCaps w:val="false"/>
                  <w:sz w:val="20"/>
                  <w:u w:val="single"/>
                </w:rPr>
                <w:t>Employment Offer Letter between the Registrant and Dr. Matthew Plunkett.</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10.8</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6/19/2020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10.7#</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30">
              <w:r>
                <w:rPr>
                  <w:rStyle w:val="InternetLink"/>
                  <w:rFonts w:ascii="Times New Roman" w:hAnsi="Times New Roman"/>
                  <w:b w:val="false"/>
                  <w:i w:val="false"/>
                  <w:caps w:val="false"/>
                  <w:smallCaps w:val="false"/>
                  <w:sz w:val="20"/>
                  <w:u w:val="single"/>
                </w:rPr>
                <w:t>Separation and Release Agreement between Nkarta, Inc. and Matthew Plunkett, dated October 2, 2020.</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001-39370</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10/05/2020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lineRule="auto" w:line="288"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10.8#</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31">
              <w:r>
                <w:rPr>
                  <w:rStyle w:val="InternetLink"/>
                  <w:rFonts w:ascii="Times New Roman" w:hAnsi="Times New Roman"/>
                  <w:b w:val="false"/>
                  <w:i w:val="false"/>
                  <w:caps w:val="false"/>
                  <w:smallCaps w:val="false"/>
                  <w:sz w:val="20"/>
                  <w:u w:val="single"/>
                </w:rPr>
                <w:t>Form of Severance Agreement</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8-K</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001-39370</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01/13/2021</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10.9</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hyperlink r:id="rId32">
              <w:r>
                <w:rPr>
                  <w:rStyle w:val="InternetLink"/>
                  <w:rFonts w:ascii="Times New Roman" w:hAnsi="Times New Roman"/>
                  <w:b w:val="false"/>
                  <w:i w:val="false"/>
                  <w:caps w:val="false"/>
                  <w:smallCaps w:val="false"/>
                  <w:sz w:val="20"/>
                  <w:u w:val="single"/>
                </w:rPr>
                <w:t>Exclusive License Agreement between the Registrant, National University of Singapore and St. Jude Research Hospital, Inc.</w:t>
              </w:r>
            </w:hyperlink>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10.9</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6/19/2020</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r>
        <w:trPr/>
        <w:tc>
          <w:tcPr>
            <w:tcW w:w="693"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5951"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452"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820"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545"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86" w:type="dxa"/>
            <w:tcBorders/>
            <w:shd w:fill="FFFFFF" w:val="clear"/>
            <w:tcMar>
              <w:bottom w:w="0" w:type="dxa"/>
            </w:tcMar>
          </w:tcPr>
          <w:p>
            <w:pPr>
              <w:pStyle w:val="TableContents"/>
              <w:spacing w:before="0" w:after="0"/>
              <w:ind w:left="0" w:right="0" w:hanging="0"/>
              <w:jc w:val="center"/>
              <w:rPr/>
            </w:pPr>
            <w:r>
              <w:rPr/>
              <w:t> </w:t>
            </w:r>
          </w:p>
        </w:tc>
        <w:tc>
          <w:tcPr>
            <w:tcW w:w="60" w:type="dxa"/>
            <w:tcBorders/>
            <w:shd w:fill="FFFFFF" w:val="clear"/>
            <w:tcMar>
              <w:bottom w:w="0" w:type="dxa"/>
            </w:tcMar>
          </w:tcPr>
          <w:p>
            <w:pPr>
              <w:pStyle w:val="TableContents"/>
              <w:spacing w:before="0" w:after="0"/>
              <w:ind w:left="0" w:right="0" w:hanging="0"/>
              <w:jc w:val="center"/>
              <w:rPr/>
            </w:pPr>
            <w:r>
              <w:rPr/>
              <w:t> </w:t>
            </w:r>
          </w:p>
        </w:tc>
        <w:tc>
          <w:tcPr>
            <w:tcW w:w="698" w:type="dxa"/>
            <w:tcBorders/>
            <w:shd w:fill="FFFFFF" w:val="clear"/>
            <w:tcMar>
              <w:bottom w:w="0" w:type="dxa"/>
            </w:tcMar>
          </w:tcPr>
          <w:p>
            <w:pPr>
              <w:pStyle w:val="TableContents"/>
              <w:spacing w:before="0" w:after="0"/>
              <w:ind w:left="0" w:right="0" w:hanging="0"/>
              <w:jc w:val="center"/>
              <w:rPr/>
            </w:pPr>
            <w:r>
              <w:rPr/>
              <w:t> </w:t>
            </w:r>
          </w:p>
        </w:tc>
      </w:tr>
    </w:tbl>
    <w:p>
      <w:pPr>
        <w:pStyle w:val="TextBody"/>
        <w:spacing w:before="24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138</w:t>
      </w:r>
    </w:p>
    <w:p>
      <w:pPr>
        <w:pStyle w:val="HorizontalLine"/>
        <w:rPr/>
      </w:pPr>
      <w:r>
        <w:rPr/>
      </w:r>
    </w:p>
    <w:p>
      <w:pPr>
        <w:pStyle w:val="TextBody"/>
        <w:spacing w:before="0" w:after="0"/>
        <w:ind w:left="0" w:right="0" w:hanging="0"/>
        <w:rPr/>
      </w:pPr>
      <w:r>
        <w:rPr/>
        <w:t> </w:t>
      </w:r>
    </w:p>
    <w:tbl>
      <w:tblPr>
        <w:tblW w:w="10205" w:type="dxa"/>
        <w:jc w:val="center"/>
        <w:tblInd w:w="0" w:type="dxa"/>
        <w:tblCellMar>
          <w:top w:w="0" w:type="dxa"/>
          <w:left w:w="0" w:type="dxa"/>
          <w:bottom w:w="0" w:type="dxa"/>
          <w:right w:w="0" w:type="dxa"/>
        </w:tblCellMar>
      </w:tblPr>
      <w:tblGrid>
        <w:gridCol w:w="677"/>
        <w:gridCol w:w="60"/>
        <w:gridCol w:w="6911"/>
        <w:gridCol w:w="60"/>
        <w:gridCol w:w="224"/>
        <w:gridCol w:w="60"/>
        <w:gridCol w:w="789"/>
        <w:gridCol w:w="60"/>
        <w:gridCol w:w="485"/>
        <w:gridCol w:w="60"/>
        <w:gridCol w:w="602"/>
        <w:gridCol w:w="60"/>
        <w:gridCol w:w="157"/>
      </w:tblGrid>
      <w:tr>
        <w:trPr/>
        <w:tc>
          <w:tcPr>
            <w:tcW w:w="677" w:type="dxa"/>
            <w:tcBorders/>
            <w:shd w:fill="FFFFFF" w:val="clear"/>
          </w:tcPr>
          <w:p>
            <w:pPr>
              <w:pStyle w:val="TableContents"/>
              <w:spacing w:before="0" w:after="0"/>
              <w:ind w:left="0" w:right="0" w:hanging="0"/>
              <w:rPr>
                <w:caps w:val="false"/>
                <w:smallCaps w:val="false"/>
                <w:color w:val="000000"/>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10.10(A)</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hyperlink r:id="rId33">
              <w:r>
                <w:rPr>
                  <w:rStyle w:val="InternetLink"/>
                  <w:rFonts w:ascii="Times New Roman" w:hAnsi="Times New Roman"/>
                  <w:b w:val="false"/>
                  <w:i w:val="false"/>
                  <w:caps w:val="false"/>
                  <w:smallCaps w:val="false"/>
                  <w:sz w:val="20"/>
                  <w:u w:val="single"/>
                </w:rPr>
                <w:t>Lease Agreement, dated May 29, 2018, by and between the Registrant and HCP Life Science REIT, Inc.</w:t>
              </w:r>
            </w:hyperlink>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10.10</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6/19/2020</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10.10(B)</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hyperlink r:id="rId34">
              <w:r>
                <w:rPr>
                  <w:rStyle w:val="InternetLink"/>
                  <w:rFonts w:ascii="Times New Roman" w:hAnsi="Times New Roman"/>
                  <w:b w:val="false"/>
                  <w:i w:val="false"/>
                  <w:caps w:val="false"/>
                  <w:smallCaps w:val="false"/>
                  <w:sz w:val="20"/>
                  <w:u w:val="single"/>
                </w:rPr>
                <w:t>First Amendment to Lease Agreement, dated April 24, 2019, by and between the Registrant and HCP Life Science REIT, Inc.</w:t>
              </w:r>
            </w:hyperlink>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10.11</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6/19/2020</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10.10(C)</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hyperlink r:id="rId35">
              <w:r>
                <w:rPr>
                  <w:rStyle w:val="InternetLink"/>
                  <w:rFonts w:ascii="Times New Roman" w:hAnsi="Times New Roman"/>
                  <w:b w:val="false"/>
                  <w:i w:val="false"/>
                  <w:caps w:val="false"/>
                  <w:smallCaps w:val="false"/>
                  <w:sz w:val="20"/>
                  <w:u w:val="single"/>
                </w:rPr>
                <w:t>Second Amendment to Lease Agreement, dated May 5, 2020, by and between the Registrant and HCP Life Science REIT, Inc.</w:t>
              </w:r>
            </w:hyperlink>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S-1</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333-239301</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10.12</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6/19/2020</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10.10(D)</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hyperlink w:anchor="nktx-ex1010d_137.htm">
              <w:r>
                <w:rPr>
                  <w:rStyle w:val="InternetLink"/>
                  <w:rFonts w:ascii="Times New Roman" w:hAnsi="Times New Roman"/>
                  <w:b w:val="false"/>
                  <w:i w:val="false"/>
                  <w:caps w:val="false"/>
                  <w:smallCaps w:val="false"/>
                  <w:sz w:val="20"/>
                  <w:u w:val="single"/>
                </w:rPr>
                <w:t>Third Amendment to Lease Agreement, dated January 14, 2021, by and between the Registrant and HCP Life Science REIT, Inc.</w:t>
              </w:r>
            </w:hyperlink>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23.1</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hyperlink w:anchor="nktx-ex231_1678.htm">
              <w:r>
                <w:rPr>
                  <w:rStyle w:val="InternetLink"/>
                  <w:rFonts w:ascii="Times New Roman" w:hAnsi="Times New Roman"/>
                  <w:b w:val="false"/>
                  <w:i w:val="false"/>
                  <w:caps w:val="false"/>
                  <w:smallCaps w:val="false"/>
                  <w:sz w:val="20"/>
                  <w:u w:val="single"/>
                </w:rPr>
                <w:t>Consent of Independent Registered Public Accounting Firm</w:t>
              </w:r>
            </w:hyperlink>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31.1</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hyperlink w:anchor="nktx-ex311_6.htm">
              <w:r>
                <w:rPr>
                  <w:rStyle w:val="InternetLink"/>
                  <w:rFonts w:ascii="Times New Roman" w:hAnsi="Times New Roman"/>
                  <w:b w:val="false"/>
                  <w:i w:val="false"/>
                  <w:caps w:val="false"/>
                  <w:smallCaps w:val="false"/>
                  <w:sz w:val="20"/>
                  <w:u w:val="single"/>
                </w:rPr>
                <w:t>Certification of Principal Executive Officer Pursuant to Rules 13a-14(a) and 15d-14(a) under the Securities Exchange Act of 1934, as Adopted Pursuant to Section 302 of the Sarbanes-Oxley Act of 2002.</w:t>
              </w:r>
            </w:hyperlink>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31.2</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hyperlink w:anchor="nktx-ex312_7.htm">
              <w:r>
                <w:rPr>
                  <w:rStyle w:val="InternetLink"/>
                  <w:rFonts w:ascii="Times New Roman" w:hAnsi="Times New Roman"/>
                  <w:b w:val="false"/>
                  <w:i w:val="false"/>
                  <w:caps w:val="false"/>
                  <w:smallCaps w:val="false"/>
                  <w:sz w:val="20"/>
                  <w:u w:val="single"/>
                </w:rPr>
                <w:t>Certification of Principal Financial Officer Pursuant to Rules 13a-14(a) and 15d-14(a) under the Securities Exchange Act of 1934, as Adopted Pursuant to Section 302 of the Sarbanes-Oxley Act of 2002.</w:t>
              </w:r>
            </w:hyperlink>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r>
              <w:rPr>
                <w:rFonts w:ascii="Times New Roman" w:hAnsi="Times New Roman"/>
                <w:b w:val="false"/>
                <w:i w:val="false"/>
                <w:caps w:val="false"/>
                <w:smallCaps w:val="false"/>
                <w:color w:val="000000"/>
                <w:sz w:val="20"/>
                <w:highlight w:val="white"/>
              </w:rPr>
              <w:t>32+</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hyperlink w:anchor="nktx-ex32_8.htm">
              <w:r>
                <w:rPr>
                  <w:rStyle w:val="InternetLink"/>
                  <w:rFonts w:ascii="Times New Roman" w:hAnsi="Times New Roman"/>
                  <w:b w:val="false"/>
                  <w:i w:val="false"/>
                  <w:caps w:val="false"/>
                  <w:smallCaps w:val="false"/>
                  <w:sz w:val="20"/>
                  <w:u w:val="single"/>
                </w:rPr>
                <w:t>Certification of Principal Executive Officer and Principal Financial Officer Pursuant to 18 U.S.C. Section 1350, as Adopted Pursuant to Section 906 of the Sarbanes-Oxley Act of 2002.</w:t>
              </w:r>
            </w:hyperlink>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101.INS</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XBRL Instance Document</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101.SCH</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XBRL Taxonomy Extension Schema Document</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101.CAL</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XBRL Taxonomy Extension Calculation Linkbase Document</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101.DEF</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XBRL Taxonomy Extension Definition Linkbase Document</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101.LAB</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XBRL Taxonomy Extension Label Linkbase Document</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r>
        <w:trPr/>
        <w:tc>
          <w:tcPr>
            <w:tcW w:w="677"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pPr>
            <w:r>
              <w:rPr/>
              <w:t> </w:t>
            </w:r>
          </w:p>
        </w:tc>
      </w:tr>
      <w:tr>
        <w:trPr/>
        <w:tc>
          <w:tcPr>
            <w:tcW w:w="67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101.PRE</w:t>
            </w:r>
          </w:p>
        </w:tc>
        <w:tc>
          <w:tcPr>
            <w:tcW w:w="60" w:type="dxa"/>
            <w:tcBorders/>
            <w:shd w:fill="FFFFFF" w:val="clear"/>
          </w:tcPr>
          <w:p>
            <w:pPr>
              <w:pStyle w:val="TableContents"/>
              <w:spacing w:before="0" w:after="0"/>
              <w:ind w:left="0" w:right="0" w:hanging="0"/>
              <w:rPr/>
            </w:pPr>
            <w:r>
              <w:rPr/>
              <w:t> </w:t>
            </w:r>
          </w:p>
        </w:tc>
        <w:tc>
          <w:tcPr>
            <w:tcW w:w="6911"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XBRL Taxonomy Extension Presentation Linkbase Document</w:t>
            </w:r>
          </w:p>
        </w:tc>
        <w:tc>
          <w:tcPr>
            <w:tcW w:w="60" w:type="dxa"/>
            <w:tcBorders/>
            <w:shd w:fill="FFFFFF" w:val="clear"/>
          </w:tcPr>
          <w:p>
            <w:pPr>
              <w:pStyle w:val="TableContents"/>
              <w:spacing w:before="0" w:after="0"/>
              <w:ind w:left="0" w:right="0" w:hanging="0"/>
              <w:jc w:val="center"/>
              <w:rPr/>
            </w:pPr>
            <w:r>
              <w:rPr/>
              <w:t> </w:t>
            </w:r>
          </w:p>
        </w:tc>
        <w:tc>
          <w:tcPr>
            <w:tcW w:w="224"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789"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485"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602" w:type="dxa"/>
            <w:tcBorders/>
            <w:shd w:fill="FFFFFF" w:val="clear"/>
          </w:tcPr>
          <w:p>
            <w:pPr>
              <w:pStyle w:val="TableContents"/>
              <w:spacing w:before="0" w:after="0"/>
              <w:ind w:left="0" w:right="0" w:hanging="0"/>
              <w:jc w:val="center"/>
              <w:rPr/>
            </w:pPr>
            <w:r>
              <w:rPr/>
              <w:t> </w:t>
            </w:r>
          </w:p>
        </w:tc>
        <w:tc>
          <w:tcPr>
            <w:tcW w:w="60" w:type="dxa"/>
            <w:tcBorders/>
            <w:shd w:fill="FFFFFF" w:val="clear"/>
          </w:tcPr>
          <w:p>
            <w:pPr>
              <w:pStyle w:val="TableContents"/>
              <w:spacing w:before="0" w:after="0"/>
              <w:ind w:left="0" w:right="0" w:hanging="0"/>
              <w:jc w:val="center"/>
              <w:rPr/>
            </w:pPr>
            <w:r>
              <w:rPr/>
              <w:t> </w:t>
            </w:r>
          </w:p>
        </w:tc>
        <w:tc>
          <w:tcPr>
            <w:tcW w:w="157" w:type="dxa"/>
            <w:tcBorders/>
            <w:shd w:fill="FFFFFF" w:val="cle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r>
    </w:tbl>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_________________</w:t>
      </w:r>
    </w:p>
    <w:p>
      <w:pPr>
        <w:pStyle w:val="TextBody"/>
        <w:spacing w:before="40" w:after="0"/>
        <w:rPr/>
      </w:pPr>
      <w:r>
        <w:rPr/>
        <w:t> </w:t>
      </w:r>
    </w:p>
    <w:tbl>
      <w:tblPr>
        <w:tblW w:w="4465" w:type="dxa"/>
        <w:jc w:val="left"/>
        <w:tblInd w:w="0" w:type="dxa"/>
        <w:tblCellMar>
          <w:top w:w="0" w:type="dxa"/>
          <w:left w:w="0" w:type="dxa"/>
          <w:bottom w:w="0" w:type="dxa"/>
          <w:right w:w="0" w:type="dxa"/>
        </w:tblCellMar>
      </w:tblPr>
      <w:tblGrid>
        <w:gridCol w:w="125"/>
        <w:gridCol w:w="4340"/>
      </w:tblGrid>
      <w:tr>
        <w:trPr/>
        <w:tc>
          <w:tcPr>
            <w:tcW w:w="125"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4340"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Indicates management contract or compensatory plan</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080" w:type="dxa"/>
            <w:tcBorders/>
            <w:shd w:fill="auto" w:val="clear"/>
          </w:tcPr>
          <w:p>
            <w:pPr>
              <w:pStyle w:val="TableContents"/>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certifications attached as Exhibit 32 that accompany this Annual Report on Form 10-K are not deemed filed with the Securities and Exchange Commission and are not to be incorporated by reference into any filing of Nkarta, Inc. under the Securities Act of 1933, as amended, or the Securities Exchange Act of 1934, as amended, whether made before or after the date of this Form 10-K, irrespective of any general incorporation language contained in such filing.</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139</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bookmarkStart w:id="98" w:name="ITEM_16_FORM_10K_SUMMARY"/>
      <w:bookmarkEnd w:id="98"/>
      <w:r>
        <w:rPr>
          <w:rFonts w:ascii="Times New Roman" w:hAnsi="Times New Roman"/>
          <w:b/>
          <w:i w:val="false"/>
          <w:caps w:val="false"/>
          <w:smallCaps w:val="false"/>
          <w:sz w:val="20"/>
        </w:rPr>
        <w:t>Item 16. Form 10-K Summary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140</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99" w:name="SIGNATURES"/>
      <w:bookmarkEnd w:id="99"/>
      <w:r>
        <w:rPr>
          <w:rFonts w:ascii="Times New Roman" w:hAnsi="Times New Roman"/>
          <w:b/>
          <w:i w:val="false"/>
          <w:caps w:val="false"/>
          <w:smallCaps w:val="false"/>
          <w:sz w:val="20"/>
        </w:rPr>
        <w:t>SIGNATURES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i w:val="false"/>
          <w:caps w:val="false"/>
          <w:smallCaps w:val="false"/>
          <w:sz w:val="20"/>
        </w:rPr>
        <w:t>.</w:t>
      </w:r>
    </w:p>
    <w:p>
      <w:pPr>
        <w:pStyle w:val="TextBody"/>
        <w:spacing w:before="0" w:after="0"/>
        <w:rPr/>
      </w:pPr>
      <w:r>
        <w:rPr/>
        <w:t> </w:t>
      </w:r>
    </w:p>
    <w:tbl>
      <w:tblPr>
        <w:tblW w:w="4110" w:type="dxa"/>
        <w:jc w:val="center"/>
        <w:tblInd w:w="0" w:type="dxa"/>
        <w:tblCellMar>
          <w:top w:w="0" w:type="dxa"/>
          <w:left w:w="0" w:type="dxa"/>
          <w:bottom w:w="0" w:type="dxa"/>
          <w:right w:w="0" w:type="dxa"/>
        </w:tblCellMar>
      </w:tblPr>
      <w:tblGrid>
        <w:gridCol w:w="1790"/>
        <w:gridCol w:w="60"/>
        <w:gridCol w:w="320"/>
        <w:gridCol w:w="1940"/>
      </w:tblGrid>
      <w:tr>
        <w:trPr/>
        <w:tc>
          <w:tcPr>
            <w:tcW w:w="179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60" w:type="dxa"/>
            <w:gridSpan w:val="2"/>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Nkarta, Inc.</w:t>
            </w:r>
          </w:p>
        </w:tc>
      </w:tr>
      <w:tr>
        <w:trPr/>
        <w:tc>
          <w:tcPr>
            <w:tcW w:w="179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9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25, 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1940"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Paul J. Hastings</w:t>
            </w:r>
          </w:p>
        </w:tc>
      </w:tr>
      <w:tr>
        <w:trPr/>
        <w:tc>
          <w:tcPr>
            <w:tcW w:w="179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40"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Paul J. Hastings</w:t>
            </w:r>
          </w:p>
        </w:tc>
      </w:tr>
      <w:tr>
        <w:trPr/>
        <w:tc>
          <w:tcPr>
            <w:tcW w:w="179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40" w:type="dxa"/>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Executive Officer</w:t>
            </w:r>
          </w:p>
        </w:tc>
      </w:tr>
    </w:tbl>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this Report has been signed below by the following persons on behalf of the Registrant in the capacities and on the dates indicated.</w:t>
      </w:r>
    </w:p>
    <w:p>
      <w:pPr>
        <w:pStyle w:val="TextBody"/>
        <w:spacing w:before="0" w:after="0"/>
        <w:rPr/>
      </w:pPr>
      <w:r>
        <w:rPr/>
        <w:t> </w:t>
      </w:r>
    </w:p>
    <w:tbl>
      <w:tblPr>
        <w:tblW w:w="7365" w:type="dxa"/>
        <w:jc w:val="center"/>
        <w:tblInd w:w="0" w:type="dxa"/>
        <w:tblCellMar>
          <w:top w:w="0" w:type="dxa"/>
          <w:left w:w="0" w:type="dxa"/>
          <w:bottom w:w="28" w:type="dxa"/>
          <w:right w:w="0" w:type="dxa"/>
        </w:tblCellMar>
      </w:tblPr>
      <w:tblGrid>
        <w:gridCol w:w="2300"/>
        <w:gridCol w:w="60"/>
        <w:gridCol w:w="3635"/>
        <w:gridCol w:w="60"/>
        <w:gridCol w:w="1310"/>
      </w:tblGrid>
      <w:tr>
        <w:trPr/>
        <w:tc>
          <w:tcPr>
            <w:tcW w:w="23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Signature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Title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Date</w:t>
            </w:r>
          </w:p>
        </w:tc>
      </w:tr>
      <w:tr>
        <w:trPr/>
        <w:tc>
          <w:tcPr>
            <w:tcW w:w="23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Paul J. Hastings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Executive Officer and 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Paul J. Hastings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Executive Officer)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Nadir Mahmood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Chief Financial and Business Officer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Nadir Mahmood, Ph.D.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Financial and Accounting Officer)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Tiba Aynechi.</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Tiba Aynechi, Ph.D.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Fouad Azzam</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Fouad Azzam, Ph.D., MBA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Ali Behbahani</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Ali Behbahani, M.D., MBA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Michael Dybbs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Michael Dybbs, Ph.D.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Simeon George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Simeon George, M.D., MBA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Leone Patterson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Leone Patterson, MBA</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Zachary Scheiner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Zachary Scheiner, Ph.D.</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Laura Shawver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Director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March 25, 2021</w:t>
            </w:r>
          </w:p>
        </w:tc>
      </w:tr>
      <w:tr>
        <w:trPr/>
        <w:tc>
          <w:tcPr>
            <w:tcW w:w="23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Laura Shawver, Ph.D.</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63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1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141</w:t>
      </w:r>
      <w:r>
        <w:br w:type="page"/>
      </w:r>
    </w:p>
    <w:p>
      <w:pPr>
        <w:pStyle w:val="TextBody"/>
        <w:spacing w:before="0" w:after="0"/>
        <w:jc w:val="right"/>
        <w:rPr>
          <w:rFonts w:ascii="Times New Roman" w:hAnsi="Times New Roman"/>
          <w:b/>
          <w:i w:val="false"/>
          <w:caps w:val="false"/>
          <w:smallCaps w:val="false"/>
          <w:sz w:val="20"/>
        </w:rPr>
      </w:pPr>
      <w:bookmarkStart w:id="100" w:name="nktx-ex43_989.htm"/>
      <w:bookmarkStart w:id="101" w:name="ksnktxex43_989"/>
      <w:bookmarkEnd w:id="100"/>
      <w:bookmarkEnd w:id="101"/>
      <w:r>
        <w:rPr>
          <w:rFonts w:ascii="Times New Roman" w:hAnsi="Times New Roman"/>
          <w:b/>
          <w:i w:val="false"/>
          <w:caps w:val="false"/>
          <w:smallCaps w:val="false"/>
          <w:sz w:val="20"/>
        </w:rPr>
        <w:t>EXHIBIT 4.3</w:t>
      </w:r>
    </w:p>
    <w:p>
      <w:pPr>
        <w:pStyle w:val="TextBody"/>
        <w:spacing w:before="960" w:after="24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DESCRIPTION OF CAPITAL STOCK</w:t>
      </w:r>
    </w:p>
    <w:p>
      <w:pPr>
        <w:pStyle w:val="TextBody"/>
        <w:spacing w:before="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description of the capital stock of Nkarta, Inc. (“us,” “our,” “we” or the “Company”) is a summary of the rights of our common stock and certain provisions of our amended and restated certificate of incorporation (the “Certificate of Incorporation”) and our amended and restated bylaws (the “Bylaws”) currently in effect. This summary does not purport to be complete and is qualified in its entirety by the provisions of our Certificate of Incorporation, as amended, and Bylaws, each previously filed with the Securities and Exchange Commission and incorporated by reference as an exhibit to the Annual Report on Form 10-K of which this Exhibit 4.3 is a part, as well as to the applicable provisions of the Delaware General Corporation Law (the “DGCL”). We encourage you to read our certificate of incorporation, bylaws and the applicable portions of the DGCL carefully.</w:t>
      </w:r>
    </w:p>
    <w:p>
      <w:pPr>
        <w:pStyle w:val="TextBody"/>
        <w:spacing w:before="0" w:after="240"/>
        <w:rPr>
          <w:rFonts w:ascii="Times New Roman" w:hAnsi="Times New Roman"/>
          <w:b/>
          <w:i w:val="false"/>
          <w:caps w:val="false"/>
          <w:smallCaps w:val="false"/>
          <w:sz w:val="20"/>
        </w:rPr>
      </w:pPr>
      <w:r>
        <w:rPr>
          <w:rFonts w:ascii="Times New Roman" w:hAnsi="Times New Roman"/>
          <w:b/>
          <w:i w:val="false"/>
          <w:caps w:val="false"/>
          <w:smallCaps w:val="false"/>
          <w:sz w:val="20"/>
        </w:rPr>
        <w:t>Authorized Capital Stock</w:t>
      </w:r>
    </w:p>
    <w:p>
      <w:pPr>
        <w:pStyle w:val="TextBody"/>
        <w:spacing w:before="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authorized capital stock consists of 100,000,000 shares of common stock, par value $0.0001 per share, and 54,350,179 shares of preferred stock, par value $0.0001 per share, all of which shares of preferred stock are undesignated.</w:t>
      </w:r>
    </w:p>
    <w:p>
      <w:pPr>
        <w:pStyle w:val="TextBody"/>
        <w:spacing w:before="0" w:after="240"/>
        <w:rPr>
          <w:rFonts w:ascii="Times New Roman" w:hAnsi="Times New Roman"/>
          <w:b/>
          <w:i w:val="false"/>
          <w:caps w:val="false"/>
          <w:smallCaps w:val="false"/>
          <w:sz w:val="20"/>
        </w:rPr>
      </w:pPr>
      <w:r>
        <w:rPr>
          <w:rFonts w:ascii="Times New Roman" w:hAnsi="Times New Roman"/>
          <w:b/>
          <w:i w:val="false"/>
          <w:caps w:val="false"/>
          <w:smallCaps w:val="false"/>
          <w:sz w:val="20"/>
        </w:rPr>
        <w:t>Common Stock</w:t>
      </w:r>
    </w:p>
    <w:p>
      <w:pPr>
        <w:pStyle w:val="TextBody"/>
        <w:spacing w:before="0" w:after="240"/>
        <w:ind w:left="72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Dividends.</w:t>
      </w:r>
      <w:r>
        <w:rPr>
          <w:rFonts w:ascii="Times New Roman" w:hAnsi="Times New Roman"/>
          <w:b w:val="false"/>
          <w:i w:val="false"/>
          <w:caps w:val="false"/>
          <w:smallCaps w:val="false"/>
          <w:sz w:val="20"/>
        </w:rPr>
        <w:t>Subject to preferences that may be applicable to any then outstanding preferred stock, holders of our common stock are entitled to receive ratably those dividends, if any, as may be declared by the board of directors out of legally available funds.</w:t>
      </w:r>
    </w:p>
    <w:p>
      <w:pPr>
        <w:pStyle w:val="TextBody"/>
        <w:spacing w:before="0" w:after="240"/>
        <w:ind w:left="72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Voting Rights.</w:t>
      </w:r>
      <w:r>
        <w:rPr>
          <w:rFonts w:ascii="Times New Roman" w:hAnsi="Times New Roman"/>
          <w:b w:val="false"/>
          <w:i w:val="false"/>
          <w:caps w:val="false"/>
          <w:smallCaps w:val="false"/>
          <w:sz w:val="20"/>
        </w:rPr>
        <w:t>Except as otherwise expressly provided in our Certificate of Incorporation or as required by applicable law, the holders of our common stock are entitled to one vote per share on all matters submitted to a vote of stockholders, including for the election of directors. We have not provided for cumulative voting rights for our common stock in our Certificate of Incorporation.</w:t>
      </w:r>
    </w:p>
    <w:p>
      <w:pPr>
        <w:pStyle w:val="TextBody"/>
        <w:spacing w:before="0" w:after="240"/>
        <w:ind w:left="72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Liquidation Rights and Distributions.</w:t>
      </w:r>
      <w:r>
        <w:rPr>
          <w:rFonts w:ascii="Times New Roman" w:hAnsi="Times New Roman"/>
          <w:b w:val="false"/>
          <w:i w:val="false"/>
          <w:caps w:val="false"/>
          <w:smallCaps w:val="false"/>
          <w:sz w:val="20"/>
        </w:rPr>
        <w:t>In the event of our liquidation, dissolution or winding up, the holders of our common stock will be entitled to share ratably in the assets legally available for distribution to stockholders after the payment of or provision for all of our debts and other liabilities, subject to the prior rights of any preferred stock then outstanding.</w:t>
      </w:r>
    </w:p>
    <w:p>
      <w:pPr>
        <w:pStyle w:val="TextBody"/>
        <w:spacing w:before="0" w:after="240"/>
        <w:ind w:left="720" w:right="0" w:hanging="0"/>
        <w:rPr>
          <w:rFonts w:ascii="Times New Roman" w:hAnsi="Times New Roman"/>
          <w:b/>
          <w:i w:val="false"/>
          <w:caps w:val="false"/>
          <w:smallCaps w:val="false"/>
          <w:sz w:val="20"/>
        </w:rPr>
      </w:pPr>
      <w:bookmarkStart w:id="102" w:name="C9"/>
      <w:bookmarkEnd w:id="102"/>
      <w:r>
        <w:rPr>
          <w:rFonts w:ascii="Times New Roman" w:hAnsi="Times New Roman"/>
          <w:b/>
          <w:i w:val="false"/>
          <w:caps w:val="false"/>
          <w:smallCaps w:val="false"/>
          <w:sz w:val="20"/>
        </w:rPr>
        <w:t>Other Matters.</w:t>
      </w:r>
      <w:r>
        <w:rPr>
          <w:rFonts w:ascii="Times New Roman" w:hAnsi="Times New Roman"/>
          <w:b w:val="false"/>
          <w:i w:val="false"/>
          <w:caps w:val="false"/>
          <w:smallCaps w:val="false"/>
          <w:sz w:val="20"/>
        </w:rPr>
        <w:t>Our Certificate of Incorporation does not entitle holders of our common stock to preemptive or conversion rights or other subscription rights. There are no redemption or sinking fund provisions applicable to our common stock. The common stock may not be subdivided or combined in any manner unless the conversion price of any other class that is convertible to common stock is increased or decreased, as applicable, in the same proportion. All outstanding shares of our common stock are fully paid and non-assessable.</w:t>
      </w:r>
    </w:p>
    <w:p>
      <w:pPr>
        <w:pStyle w:val="TextBody"/>
        <w:spacing w:before="0" w:after="240"/>
        <w:rPr>
          <w:rFonts w:ascii="Times New Roman" w:hAnsi="Times New Roman"/>
          <w:b/>
          <w:i w:val="false"/>
          <w:caps w:val="false"/>
          <w:smallCaps w:val="false"/>
          <w:sz w:val="20"/>
        </w:rPr>
      </w:pPr>
      <w:r>
        <w:rPr>
          <w:rFonts w:ascii="Times New Roman" w:hAnsi="Times New Roman"/>
          <w:b/>
          <w:i w:val="false"/>
          <w:caps w:val="false"/>
          <w:smallCaps w:val="false"/>
          <w:sz w:val="20"/>
        </w:rPr>
        <w:t>Authorized but Unissued Preferred Stock</w:t>
      </w:r>
    </w:p>
    <w:p>
      <w:pPr>
        <w:pStyle w:val="TextBody"/>
        <w:spacing w:before="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authorized shares of preferred stock are available for issuance without further action by our stockholders unless required by law or by the rules and regulations of any stock exchange on which our common stock may be </w:t>
      </w:r>
    </w:p>
    <w:p>
      <w:pPr>
        <w:pStyle w:val="HorizontalLine"/>
        <w:rPr/>
      </w:pPr>
      <w:r>
        <w:rPr/>
      </w:r>
    </w:p>
    <w:p>
      <w:pPr>
        <w:pStyle w:val="TextBody"/>
        <w:spacing w:before="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listed.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authorized shares of any series of preferred stock, but not below the number of shares of that series of preferred stock then outstanding, without any further vote or action by stockholders.</w:t>
      </w:r>
    </w:p>
    <w:p>
      <w:pPr>
        <w:pStyle w:val="TextBody"/>
        <w:spacing w:before="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issuance of preferred stock could adversely affect the voting power of holders of common stock and the likelihood that such holders will receive dividend payments and payments upon liquidation and. In addition, the existence of unissued and unreserved common stock or preferred stock could render more difficult or discourage an attempt to obtain control of us by means of a merger, tender offer, proxy contest or otherwise, and could thereby protect the continuity of our management and possibly deprive stockholders of opportunities to sell their shares of common stock at prices higher than prevailing market prices.</w:t>
      </w:r>
    </w:p>
    <w:p>
      <w:pPr>
        <w:pStyle w:val="TextBody"/>
        <w:spacing w:before="0" w:after="240"/>
        <w:rPr>
          <w:rFonts w:ascii="Times New Roman" w:hAnsi="Times New Roman"/>
          <w:b/>
          <w:i w:val="false"/>
          <w:caps w:val="false"/>
          <w:smallCaps w:val="false"/>
          <w:sz w:val="20"/>
        </w:rPr>
      </w:pPr>
      <w:r>
        <w:rPr>
          <w:rFonts w:ascii="Times New Roman" w:hAnsi="Times New Roman"/>
          <w:b/>
          <w:i w:val="false"/>
          <w:caps w:val="false"/>
          <w:smallCaps w:val="false"/>
          <w:sz w:val="20"/>
        </w:rPr>
        <w:t>Choice of Forum</w:t>
      </w:r>
    </w:p>
    <w:p>
      <w:pPr>
        <w:pStyle w:val="TextBody"/>
        <w:spacing w:before="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Certificate of Incorporation provides that, unless we consent in writing, the sole and exclusive forum for any stockholder (including any beneficial owner) to bring (i) any derivative action or proceeding brought on our behalf, (ii) any action asserting a claim of breach of a fiduciary duty owed by any of our directors, officers, or employees to us or to our stockholders, (iii) any action asserting a claim arising pursuant to any provision of the DGCL or our Certificate of Incorporation or Bylaws, or (iv) any action asserting a claim governed by the internal affairs doctrine, will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This exclusive forum provision is intended to apply to claims arising under Delaware state law and is not intended to apply to claims brought pursuant to the Exchange Act or the Securities Act, or any other claim for which the federal courts have exclusive jurisdiction. Our Certificate of Incorporation further provides that the federal district courts of the United States of America will be the exclusive forum for resolving any complaint asserting a cause of action arising under the Securities Act. Any person or entity purchasing or otherwise acquiring any interest in shares of our capital stock is deemed to have notice of and consented to the foregoing provisions.</w:t>
      </w:r>
    </w:p>
    <w:p>
      <w:pPr>
        <w:pStyle w:val="TextBody"/>
        <w:spacing w:before="0" w:after="240"/>
        <w:rPr>
          <w:rFonts w:ascii="Times New Roman" w:hAnsi="Times New Roman"/>
          <w:b/>
          <w:i w:val="false"/>
          <w:caps w:val="false"/>
          <w:smallCaps w:val="false"/>
          <w:sz w:val="20"/>
        </w:rPr>
      </w:pPr>
      <w:r>
        <w:rPr>
          <w:rFonts w:ascii="Times New Roman" w:hAnsi="Times New Roman"/>
          <w:b/>
          <w:i w:val="false"/>
          <w:caps w:val="false"/>
          <w:smallCaps w:val="false"/>
          <w:sz w:val="20"/>
        </w:rPr>
        <w:t>Anti-Takeover Effects of Our Certificate of Incorporation and Bylaws and Delaware Law</w:t>
      </w:r>
    </w:p>
    <w:p>
      <w:pPr>
        <w:pStyle w:val="TextBody"/>
        <w:spacing w:before="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provisions of Delaware law, our Certificate of Incorporation and our Bylaws could make the acquisition of us more difficult and could delay, defer or prevent a tender offer or other takeover attempt that a stockholder might consider to be in its best interest, including takeover attempts that might result in the payment of a premium to stockholders over the market price for their shares. These provisions include:</w:t>
      </w:r>
    </w:p>
    <w:tbl>
      <w:tblPr>
        <w:tblW w:w="8605" w:type="dxa"/>
        <w:jc w:val="left"/>
        <w:tblInd w:w="0" w:type="dxa"/>
        <w:tblCellMar>
          <w:top w:w="0" w:type="dxa"/>
          <w:left w:w="0" w:type="dxa"/>
          <w:bottom w:w="0" w:type="dxa"/>
          <w:right w:w="0" w:type="dxa"/>
        </w:tblCellMar>
      </w:tblPr>
      <w:tblGrid>
        <w:gridCol w:w="60"/>
        <w:gridCol w:w="110"/>
        <w:gridCol w:w="84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84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our board of directors is authorized to issue preferred stock without stockholder approval;</w:t>
            </w:r>
          </w:p>
        </w:tc>
      </w:tr>
    </w:tbl>
    <w:tbl>
      <w:tblPr>
        <w:tblW w:w="6235" w:type="dxa"/>
        <w:jc w:val="left"/>
        <w:tblInd w:w="0" w:type="dxa"/>
        <w:tblCellMar>
          <w:top w:w="0" w:type="dxa"/>
          <w:left w:w="0" w:type="dxa"/>
          <w:bottom w:w="0" w:type="dxa"/>
          <w:right w:w="0" w:type="dxa"/>
        </w:tblCellMar>
      </w:tblPr>
      <w:tblGrid>
        <w:gridCol w:w="60"/>
        <w:gridCol w:w="110"/>
        <w:gridCol w:w="606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606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stockholders may not cumulate votes in the election of directors;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special meetings of our stockholders may be called only by our board of directors, the chairperson of our board of directors, our chief executive officer or president, or by one or more of our stockholders holding shares in the aggregate entitled to cast not less than 10% of the votes at that meeting;</w:t>
            </w:r>
          </w:p>
        </w:tc>
      </w:tr>
    </w:tbl>
    <w:tbl>
      <w:tblPr>
        <w:tblW w:w="4390" w:type="dxa"/>
        <w:jc w:val="left"/>
        <w:tblInd w:w="0" w:type="dxa"/>
        <w:tblCellMar>
          <w:top w:w="0" w:type="dxa"/>
          <w:left w:w="0" w:type="dxa"/>
          <w:bottom w:w="0" w:type="dxa"/>
          <w:right w:w="0" w:type="dxa"/>
        </w:tblCellMar>
      </w:tblPr>
      <w:tblGrid>
        <w:gridCol w:w="60"/>
        <w:gridCol w:w="110"/>
        <w:gridCol w:w="422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4220"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stockholders may not act by written consent;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stockholders must satisfy advance notice procedures to submit proposals or nominate directors for consideration at a stockholders’ meeting;</w:t>
            </w:r>
          </w:p>
        </w:tc>
      </w:tr>
    </w:tbl>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240"/>
              <w:jc w:val="left"/>
              <w:rPr>
                <w:caps w:val="false"/>
                <w:smallCaps w:val="false"/>
              </w:rPr>
            </w:pPr>
            <w:r>
              <w:rPr>
                <w:caps w:val="false"/>
                <w:smallCaps w:val="false"/>
              </w:rPr>
              <w:t> </w:t>
            </w:r>
          </w:p>
        </w:tc>
        <w:tc>
          <w:tcPr>
            <w:tcW w:w="110" w:type="dxa"/>
            <w:tcBorders/>
            <w:shd w:fill="auto" w:val="clear"/>
          </w:tcPr>
          <w:p>
            <w:pPr>
              <w:pStyle w:val="TableContents"/>
              <w:spacing w:before="0" w:after="24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we indemnify our directors and officers against losses that they may incur as a result of investigations and legal proceedings resulting from their services to us, which may include services in connection with takeover defense measures;</w:t>
            </w:r>
          </w:p>
        </w:tc>
      </w:tr>
    </w:tbl>
    <w:p>
      <w:pPr>
        <w:pStyle w:val="TextBody"/>
        <w:spacing w:before="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board of directors is divided into three classes as provided by our Certificate of Incorporation. The directors in each class will serve for a three-year term with one class being elected each year by our stockholders. </w:t>
      </w:r>
    </w:p>
    <w:p>
      <w:pPr>
        <w:pStyle w:val="TextBody"/>
        <w:spacing w:before="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we are subject to Section 203 of the DGCL, which provides that, subject to certain stated exceptions, a corporation may not engage in a business combination with any “interested stockholder” (as defined below) for a period of three years following the time that such stockholder became an interested stockholder, unless: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prior to such time the board of directors of the corporation approved either the business combination or transaction which resulted in the stockholder becoming an interested stockholder;</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upon consummation of the transaction which resulted in the stockholder becoming an interested stockholder, the interested stockholder owned at least 85% of the voting stock of the corporation outstanding at the time the transaction commenced, excluding shares owned by persons who are directors and also officers and employee stock plans in which participants do not have the right to determine confidentially whether shares held subject to the plan will be tendered in a tender or exchange offer;</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at or subsequent to such time, the business combination is approved by the board of directors and authorized at an annual or special meeting of stockholders, and not by written consent; or</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240"/>
              <w:jc w:val="left"/>
              <w:rPr>
                <w:caps w:val="false"/>
                <w:smallCaps w:val="false"/>
              </w:rPr>
            </w:pPr>
            <w:r>
              <w:rPr>
                <w:caps w:val="false"/>
                <w:smallCaps w:val="false"/>
              </w:rPr>
              <w:t> </w:t>
            </w:r>
          </w:p>
        </w:tc>
        <w:tc>
          <w:tcPr>
            <w:tcW w:w="110" w:type="dxa"/>
            <w:tcBorders/>
            <w:shd w:fill="auto" w:val="clear"/>
          </w:tcPr>
          <w:p>
            <w:pPr>
              <w:pStyle w:val="TableContents"/>
              <w:spacing w:before="0" w:after="240"/>
              <w:jc w:val="left"/>
              <w:rPr>
                <w:caps w:val="false"/>
                <w:smallCaps w:val="false"/>
                <w:strike w:val="false"/>
                <w:dstrike w:val="false"/>
                <w:u w:val="none"/>
                <w:effect w:val="none"/>
              </w:rPr>
            </w:pPr>
            <w:r>
              <w:rPr>
                <w:caps w:val="false"/>
                <w:smallCaps w:val="false"/>
                <w:strike w:val="false"/>
                <w:dstrike w:val="false"/>
                <w:u w:val="none"/>
                <w:effect w:val="none"/>
              </w:rPr>
              <w:t>•</w:t>
            </w:r>
          </w:p>
        </w:tc>
        <w:tc>
          <w:tcPr>
            <w:tcW w:w="10035"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by the affirmative vote of 662⁄3% of the outstanding voting stock which is not owned by the interested stockholder.</w:t>
            </w:r>
          </w:p>
        </w:tc>
      </w:tr>
    </w:tbl>
    <w:p>
      <w:pPr>
        <w:pStyle w:val="TextBody"/>
        <w:spacing w:before="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w:t>
      </w:r>
    </w:p>
    <w:p>
      <w:pPr>
        <w:pStyle w:val="TextBody"/>
        <w:spacing w:before="0" w:after="240"/>
        <w:rPr>
          <w:rFonts w:ascii="Times New Roman" w:hAnsi="Times New Roman"/>
          <w:b/>
          <w:i w:val="false"/>
          <w:caps w:val="false"/>
          <w:smallCaps w:val="false"/>
          <w:sz w:val="20"/>
        </w:rPr>
      </w:pPr>
      <w:r>
        <w:rPr>
          <w:rFonts w:ascii="Times New Roman" w:hAnsi="Times New Roman"/>
          <w:b/>
          <w:i w:val="false"/>
          <w:caps w:val="false"/>
          <w:smallCaps w:val="false"/>
          <w:sz w:val="20"/>
        </w:rPr>
        <w:t>Nasdaq Global Select Market Listing</w:t>
      </w:r>
    </w:p>
    <w:p>
      <w:pPr>
        <w:pStyle w:val="TextBody"/>
        <w:spacing w:before="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common stock is listed on the Nasdaq Global Select Market under the trading symbol “NKTX.”</w:t>
      </w:r>
    </w:p>
    <w:p>
      <w:pPr>
        <w:pStyle w:val="TextBody"/>
        <w:spacing w:before="0" w:after="240"/>
        <w:rPr>
          <w:rFonts w:ascii="Times New Roman" w:hAnsi="Times New Roman"/>
          <w:b/>
          <w:i w:val="false"/>
          <w:caps w:val="false"/>
          <w:smallCaps w:val="false"/>
          <w:sz w:val="20"/>
        </w:rPr>
      </w:pPr>
      <w:r>
        <w:rPr>
          <w:rFonts w:ascii="Times New Roman" w:hAnsi="Times New Roman"/>
          <w:b/>
          <w:i w:val="false"/>
          <w:caps w:val="false"/>
          <w:smallCaps w:val="false"/>
          <w:sz w:val="20"/>
        </w:rPr>
        <w:t>Transfer Agent and Registrar</w:t>
      </w:r>
    </w:p>
    <w:p>
      <w:pPr>
        <w:pStyle w:val="TextBody"/>
        <w:spacing w:before="0" w:after="24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transfer agent and registrar for our common stock is Philadelphia Stock Transfer, Inc.</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r>
        <w:br w:type="page"/>
      </w:r>
    </w:p>
    <w:p>
      <w:pPr>
        <w:pStyle w:val="TextBody"/>
        <w:spacing w:before="0" w:after="0"/>
        <w:rPr/>
      </w:pPr>
      <w:bookmarkStart w:id="103" w:name="nktx-ex1010d_137.htm"/>
      <w:bookmarkStart w:id="104" w:name="ksnktxex1010d_137"/>
      <w:bookmarkEnd w:id="103"/>
      <w:bookmarkEnd w:id="104"/>
      <w:r>
        <w:rPr/>
        <w:t> </w:t>
      </w:r>
    </w:p>
    <w:p>
      <w:pPr>
        <w:pStyle w:val="TextBody"/>
        <w:spacing w:before="240" w:after="0"/>
        <w:jc w:val="right"/>
        <w:rPr>
          <w:rFonts w:ascii="Times New Roman" w:hAnsi="Times New Roman"/>
          <w:b/>
          <w:i w:val="false"/>
          <w:caps w:val="false"/>
          <w:smallCaps w:val="false"/>
          <w:strike w:val="false"/>
          <w:dstrike w:val="false"/>
          <w:sz w:val="24"/>
          <w:u w:val="none"/>
          <w:effect w:val="none"/>
        </w:rPr>
      </w:pPr>
      <w:r>
        <w:rPr>
          <w:rFonts w:ascii="Times New Roman" w:hAnsi="Times New Roman"/>
          <w:b/>
          <w:i w:val="false"/>
          <w:caps w:val="false"/>
          <w:smallCaps w:val="false"/>
          <w:strike w:val="false"/>
          <w:dstrike w:val="false"/>
          <w:sz w:val="24"/>
          <w:u w:val="none"/>
          <w:effect w:val="none"/>
        </w:rPr>
        <w:t>Exhibit 10.10(D)</w:t>
      </w:r>
    </w:p>
    <w:p>
      <w:pPr>
        <w:pStyle w:val="TextBody"/>
        <w:spacing w:before="24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THIRD AMENDMENT TO LEASE</w:t>
      </w:r>
    </w:p>
    <w:p>
      <w:pPr>
        <w:pStyle w:val="TextBody"/>
        <w:spacing w:before="24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This THIRD AMENDMENT TO LEASE (this "</w:t>
      </w:r>
      <w:r>
        <w:rPr>
          <w:rFonts w:ascii="Times New Roman" w:hAnsi="Times New Roman"/>
          <w:b/>
          <w:i w:val="false"/>
          <w:caps w:val="false"/>
          <w:smallCaps w:val="false"/>
          <w:sz w:val="24"/>
        </w:rPr>
        <w:t>Third</w:t>
      </w:r>
      <w:r>
        <w:rPr>
          <w:rFonts w:ascii="Times New Roman" w:hAnsi="Times New Roman"/>
          <w:b w:val="false"/>
          <w:i w:val="false"/>
          <w:caps w:val="false"/>
          <w:smallCaps w:val="false"/>
          <w:sz w:val="24"/>
        </w:rPr>
        <w:t xml:space="preserve"> </w:t>
      </w:r>
      <w:r>
        <w:rPr>
          <w:rFonts w:ascii="Times New Roman" w:hAnsi="Times New Roman"/>
          <w:b/>
          <w:i w:val="false"/>
          <w:caps w:val="false"/>
          <w:smallCaps w:val="false"/>
          <w:sz w:val="24"/>
        </w:rPr>
        <w:t>Amendment</w:t>
      </w:r>
      <w:r>
        <w:rPr>
          <w:rFonts w:ascii="Times New Roman" w:hAnsi="Times New Roman"/>
          <w:b w:val="false"/>
          <w:i w:val="false"/>
          <w:caps w:val="false"/>
          <w:smallCaps w:val="false"/>
          <w:sz w:val="24"/>
        </w:rPr>
        <w:t xml:space="preserve">") is made and entered into as of January 14, 2021, by and between </w:t>
      </w:r>
      <w:r>
        <w:rPr>
          <w:rFonts w:ascii="Times New Roman" w:hAnsi="Times New Roman"/>
          <w:b/>
          <w:i w:val="false"/>
          <w:caps w:val="false"/>
          <w:smallCaps w:val="false"/>
          <w:sz w:val="24"/>
        </w:rPr>
        <w:t>HCP LIFE SCIENCE REIT, INC.</w:t>
      </w:r>
      <w:r>
        <w:rPr>
          <w:rFonts w:ascii="Times New Roman" w:hAnsi="Times New Roman"/>
          <w:b w:val="false"/>
          <w:i w:val="false"/>
          <w:caps w:val="false"/>
          <w:smallCaps w:val="false"/>
          <w:sz w:val="24"/>
        </w:rPr>
        <w:t>, a Maryland corporation ("</w:t>
      </w:r>
      <w:r>
        <w:rPr>
          <w:rFonts w:ascii="Times New Roman" w:hAnsi="Times New Roman"/>
          <w:b/>
          <w:i w:val="false"/>
          <w:caps w:val="false"/>
          <w:smallCaps w:val="false"/>
          <w:sz w:val="24"/>
        </w:rPr>
        <w:t>Landlord</w:t>
      </w:r>
      <w:r>
        <w:rPr>
          <w:rFonts w:ascii="Times New Roman" w:hAnsi="Times New Roman"/>
          <w:b w:val="false"/>
          <w:i w:val="false"/>
          <w:caps w:val="false"/>
          <w:smallCaps w:val="false"/>
          <w:sz w:val="24"/>
        </w:rPr>
        <w:t xml:space="preserve">"), and </w:t>
      </w:r>
      <w:r>
        <w:rPr>
          <w:rFonts w:ascii="Times New Roman" w:hAnsi="Times New Roman"/>
          <w:b/>
          <w:i w:val="false"/>
          <w:caps w:val="false"/>
          <w:smallCaps w:val="false"/>
          <w:sz w:val="24"/>
        </w:rPr>
        <w:t>NKARTA, INC.</w:t>
      </w:r>
      <w:r>
        <w:rPr>
          <w:rFonts w:ascii="Times New Roman" w:hAnsi="Times New Roman"/>
          <w:b w:val="false"/>
          <w:i w:val="false"/>
          <w:caps w:val="false"/>
          <w:smallCaps w:val="false"/>
          <w:sz w:val="24"/>
        </w:rPr>
        <w:t>, a Delaware corporation ("</w:t>
      </w:r>
      <w:r>
        <w:rPr>
          <w:rFonts w:ascii="Times New Roman" w:hAnsi="Times New Roman"/>
          <w:b/>
          <w:i w:val="false"/>
          <w:caps w:val="false"/>
          <w:smallCaps w:val="false"/>
          <w:sz w:val="24"/>
        </w:rPr>
        <w:t>Tenant</w:t>
      </w:r>
      <w:r>
        <w:rPr>
          <w:rFonts w:ascii="Times New Roman" w:hAnsi="Times New Roman"/>
          <w:b w:val="false"/>
          <w:i w:val="false"/>
          <w:caps w:val="false"/>
          <w:smallCaps w:val="false"/>
          <w:sz w:val="24"/>
        </w:rPr>
        <w:t>").</w:t>
      </w:r>
    </w:p>
    <w:p>
      <w:pPr>
        <w:pStyle w:val="TextBody"/>
        <w:spacing w:before="480" w:after="24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u w:val="single"/>
        </w:rPr>
        <w:t xml:space="preserve">r e c i t a l s </w:t>
      </w:r>
      <w:r>
        <w:rPr>
          <w:rFonts w:ascii="Times New Roman" w:hAnsi="Times New Roman"/>
          <w:b w:val="false"/>
          <w:i w:val="false"/>
          <w:caps w:val="false"/>
          <w:smallCaps w:val="false"/>
          <w:strike w:val="false"/>
          <w:dstrike w:val="false"/>
          <w:sz w:val="24"/>
          <w:u w:val="none"/>
          <w:effect w:val="none"/>
        </w:rPr>
        <w:t>:</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tcPr>
          <w:p>
            <w:pPr>
              <w:pStyle w:val="TableContents"/>
              <w:spacing w:before="24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w:t>
            </w:r>
          </w:p>
        </w:tc>
        <w:tc>
          <w:tcPr>
            <w:tcW w:w="9945" w:type="dxa"/>
            <w:tcBorders/>
            <w:shd w:fill="auto" w:val="clear"/>
          </w:tcPr>
          <w:p>
            <w:pPr>
              <w:pStyle w:val="TableContents"/>
              <w:spacing w:lineRule="auto" w:line="288" w:before="24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Landlord and Tenant entered into that certain Lease dated May 29, 2018 (the "</w:t>
            </w:r>
            <w:r>
              <w:rPr>
                <w:rFonts w:ascii="Times New Roman" w:hAnsi="Times New Roman"/>
                <w:b/>
                <w:i w:val="false"/>
                <w:caps w:val="false"/>
                <w:smallCaps w:val="false"/>
                <w:sz w:val="24"/>
              </w:rPr>
              <w:t>Original</w:t>
            </w:r>
            <w:r>
              <w:rPr>
                <w:rFonts w:ascii="Times New Roman" w:hAnsi="Times New Roman"/>
                <w:b w:val="false"/>
                <w:i w:val="false"/>
                <w:caps w:val="false"/>
                <w:smallCaps w:val="false"/>
                <w:sz w:val="24"/>
              </w:rPr>
              <w:t xml:space="preserve"> </w:t>
            </w:r>
            <w:r>
              <w:rPr>
                <w:rFonts w:ascii="Times New Roman" w:hAnsi="Times New Roman"/>
                <w:b/>
                <w:i w:val="false"/>
                <w:caps w:val="false"/>
                <w:smallCaps w:val="false"/>
                <w:sz w:val="24"/>
              </w:rPr>
              <w:t>Lease</w:t>
            </w:r>
            <w:r>
              <w:rPr>
                <w:rFonts w:ascii="Times New Roman" w:hAnsi="Times New Roman"/>
                <w:b w:val="false"/>
                <w:i w:val="false"/>
                <w:caps w:val="false"/>
                <w:smallCaps w:val="false"/>
                <w:sz w:val="24"/>
              </w:rPr>
              <w:t>"), as amended by that certain First Amendment to Lease dated April 24, 2019 (the "</w:t>
            </w:r>
            <w:r>
              <w:rPr>
                <w:rFonts w:ascii="Times New Roman" w:hAnsi="Times New Roman"/>
                <w:b/>
                <w:i w:val="false"/>
                <w:caps w:val="false"/>
                <w:smallCaps w:val="false"/>
                <w:sz w:val="24"/>
              </w:rPr>
              <w:t>First Amendment</w:t>
            </w:r>
            <w:r>
              <w:rPr>
                <w:rFonts w:ascii="Times New Roman" w:hAnsi="Times New Roman"/>
                <w:b w:val="false"/>
                <w:i w:val="false"/>
                <w:caps w:val="false"/>
                <w:smallCaps w:val="false"/>
                <w:sz w:val="24"/>
              </w:rPr>
              <w:t>"), and that certain Second Amendment to Lease dated May 5, 2020 (the “</w:t>
            </w:r>
            <w:r>
              <w:rPr>
                <w:rFonts w:ascii="Times New Roman" w:hAnsi="Times New Roman"/>
                <w:b/>
                <w:i w:val="false"/>
                <w:caps w:val="false"/>
                <w:smallCaps w:val="false"/>
                <w:sz w:val="24"/>
              </w:rPr>
              <w:t>Second Amendment</w:t>
            </w:r>
            <w:r>
              <w:rPr>
                <w:rFonts w:ascii="Times New Roman" w:hAnsi="Times New Roman"/>
                <w:b w:val="false"/>
                <w:i w:val="false"/>
                <w:caps w:val="false"/>
                <w:smallCaps w:val="false"/>
                <w:sz w:val="24"/>
              </w:rPr>
              <w:t>” and together with the Original Lease, and the First Amendment, the "</w:t>
            </w:r>
            <w:r>
              <w:rPr>
                <w:rFonts w:ascii="Times New Roman" w:hAnsi="Times New Roman"/>
                <w:b/>
                <w:i w:val="false"/>
                <w:caps w:val="false"/>
                <w:smallCaps w:val="false"/>
                <w:sz w:val="24"/>
              </w:rPr>
              <w:t>Lease</w:t>
            </w:r>
            <w:r>
              <w:rPr>
                <w:rFonts w:ascii="Times New Roman" w:hAnsi="Times New Roman"/>
                <w:b w:val="false"/>
                <w:i w:val="false"/>
                <w:caps w:val="false"/>
                <w:smallCaps w:val="false"/>
                <w:sz w:val="24"/>
              </w:rPr>
              <w:t>"), whereby Landlord leases to Tenant and Tenant leases from Landlord those certain premises containing approximately 28,469 rentable square feet (collectively, the "</w:t>
            </w:r>
            <w:r>
              <w:rPr>
                <w:rFonts w:ascii="Times New Roman" w:hAnsi="Times New Roman"/>
                <w:b/>
                <w:i w:val="false"/>
                <w:caps w:val="false"/>
                <w:smallCaps w:val="false"/>
                <w:sz w:val="24"/>
              </w:rPr>
              <w:t>Existing Premises</w:t>
            </w:r>
            <w:r>
              <w:rPr>
                <w:rFonts w:ascii="Times New Roman" w:hAnsi="Times New Roman"/>
                <w:b w:val="false"/>
                <w:i w:val="false"/>
                <w:caps w:val="false"/>
                <w:smallCaps w:val="false"/>
                <w:sz w:val="24"/>
              </w:rPr>
              <w:t>") consisting of (i) that certain space containing 7,163 rentable square feet commonly known as Suite 102 on the first (1st) floor of the building located at 6000 Shoreline Court, South San Francisco, California ("</w:t>
            </w:r>
            <w:r>
              <w:rPr>
                <w:rFonts w:ascii="Times New Roman" w:hAnsi="Times New Roman"/>
                <w:b/>
                <w:i w:val="false"/>
                <w:caps w:val="false"/>
                <w:smallCaps w:val="false"/>
                <w:sz w:val="24"/>
              </w:rPr>
              <w:t>Building</w:t>
            </w:r>
            <w:r>
              <w:rPr>
                <w:rFonts w:ascii="Times New Roman" w:hAnsi="Times New Roman"/>
                <w:b w:val="false"/>
                <w:i w:val="false"/>
                <w:caps w:val="false"/>
                <w:smallCaps w:val="false"/>
                <w:sz w:val="24"/>
              </w:rPr>
              <w:t>"), (ii) that certain space approximately 13,772 rentable square feet of space commonly known as Suite 204 on the second (2nd) floor of the Building, and (iii) that certain space consisting of approximately 7,534 rentable square feet of space in Suite 325 on the third (3rd) floor of the Building.</w:t>
            </w:r>
          </w:p>
        </w:tc>
      </w:tr>
    </w:tbl>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24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w:t>
            </w:r>
          </w:p>
        </w:tc>
        <w:tc>
          <w:tcPr>
            <w:tcW w:w="9960" w:type="dxa"/>
            <w:tcBorders/>
            <w:shd w:fill="auto" w:val="clear"/>
          </w:tcPr>
          <w:p>
            <w:pPr>
              <w:pStyle w:val="TableContents"/>
              <w:spacing w:lineRule="auto" w:line="288" w:before="24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Landlord and Tenant desire (i) to expand the Existing Premises to include that certain space consisting of approximately 5,601 rentable square feet of space in Suite 201 (1,553 rentable square feet) and Suite 203 (4,048 rentable square feet) on the second (2nd) floor of the Building (the "</w:t>
            </w:r>
            <w:r>
              <w:rPr>
                <w:rFonts w:ascii="Times New Roman" w:hAnsi="Times New Roman"/>
                <w:b/>
                <w:i w:val="false"/>
                <w:caps w:val="false"/>
                <w:smallCaps w:val="false"/>
                <w:sz w:val="24"/>
              </w:rPr>
              <w:t>Third</w:t>
            </w:r>
            <w:r>
              <w:rPr>
                <w:rFonts w:ascii="Times New Roman" w:hAnsi="Times New Roman"/>
                <w:b w:val="false"/>
                <w:i w:val="false"/>
                <w:caps w:val="false"/>
                <w:smallCaps w:val="false"/>
                <w:sz w:val="24"/>
              </w:rPr>
              <w:t xml:space="preserve"> </w:t>
            </w:r>
            <w:r>
              <w:rPr>
                <w:rFonts w:ascii="Times New Roman" w:hAnsi="Times New Roman"/>
                <w:b/>
                <w:i w:val="false"/>
                <w:caps w:val="false"/>
                <w:smallCaps w:val="false"/>
                <w:sz w:val="24"/>
              </w:rPr>
              <w:t>Expansion Premises</w:t>
            </w:r>
            <w:r>
              <w:rPr>
                <w:rFonts w:ascii="Times New Roman" w:hAnsi="Times New Roman"/>
                <w:b w:val="false"/>
                <w:i w:val="false"/>
                <w:caps w:val="false"/>
                <w:smallCaps w:val="false"/>
                <w:sz w:val="24"/>
              </w:rPr>
              <w:t xml:space="preserve">"), as delineated on </w:t>
            </w:r>
            <w:r>
              <w:rPr>
                <w:rFonts w:ascii="Times New Roman" w:hAnsi="Times New Roman"/>
                <w:b/>
                <w:i w:val="false"/>
                <w:caps w:val="false"/>
                <w:smallCaps w:val="false"/>
                <w:sz w:val="24"/>
                <w:u w:val="single"/>
              </w:rPr>
              <w:t>Exhibit A</w:t>
            </w:r>
            <w:r>
              <w:rPr>
                <w:rFonts w:ascii="Times New Roman" w:hAnsi="Times New Roman"/>
                <w:b w:val="false"/>
                <w:i w:val="false"/>
                <w:caps w:val="false"/>
                <w:smallCaps w:val="false"/>
                <w:sz w:val="24"/>
              </w:rPr>
              <w:t xml:space="preserve"> attached hereto and made a part hereof, and (ii) to make other modifications to the Lease, and in connection therewith, Landlord and Tenant desire to amend the Lease as hereinafter provided.</w:t>
            </w:r>
          </w:p>
        </w:tc>
      </w:tr>
    </w:tbl>
    <w:p>
      <w:pPr>
        <w:pStyle w:val="TextBody"/>
        <w:spacing w:before="480" w:after="24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u w:val="single"/>
        </w:rPr>
        <w:t xml:space="preserve">a g r e e m e n t </w:t>
      </w:r>
      <w:r>
        <w:rPr>
          <w:rFonts w:ascii="Times New Roman" w:hAnsi="Times New Roman"/>
          <w:b w:val="false"/>
          <w:i w:val="false"/>
          <w:caps w:val="false"/>
          <w:smallCaps w:val="false"/>
          <w:strike w:val="false"/>
          <w:dstrike w:val="false"/>
          <w:sz w:val="24"/>
          <w:u w:val="none"/>
          <w:effect w:val="none"/>
        </w:rPr>
        <w:t>:</w:t>
      </w:r>
    </w:p>
    <w:p>
      <w:pPr>
        <w:pStyle w:val="TextBody"/>
        <w:spacing w:before="24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NOW, THEREFORE, in consideration of the foregoing recitals and the mutual covenants contained herein, and for other good and valuable consideration, the receipt and sufficiency of which are hereby acknowledged, the parties hereto hereby agree as follows:</w:t>
      </w:r>
    </w:p>
    <w:p>
      <w:pPr>
        <w:pStyle w:val="TextBody"/>
        <w:spacing w:before="240" w:after="0"/>
        <w:ind w:left="720" w:right="0" w:hanging="0"/>
        <w:jc w:val="both"/>
        <w:rPr>
          <w:b w:val="false"/>
          <w:i w:val="false"/>
          <w:caps w:val="false"/>
          <w:smallCaps w:val="false"/>
        </w:rPr>
      </w:pPr>
      <w:r>
        <w:rPr>
          <w:b w:val="false"/>
          <w:i w:val="false"/>
          <w:caps w:val="false"/>
          <w:smallCaps w:val="false"/>
        </w:rPr>
        <w:t>1.</w:t>
      </w:r>
      <w:r>
        <w:rPr>
          <w:b/>
          <w:i w:val="false"/>
          <w:caps w:val="false"/>
          <w:smallCaps w:val="false"/>
          <w:color w:val="000000"/>
          <w:u w:val="single"/>
        </w:rPr>
        <w:t>Capitalized Terms</w:t>
      </w:r>
      <w:r>
        <w:rPr>
          <w:b w:val="false"/>
          <w:i w:val="false"/>
          <w:caps w:val="false"/>
          <w:smallCaps w:val="false"/>
          <w:color w:val="000000"/>
        </w:rPr>
        <w:t>.  All capitalized terms when used herein shall have the same meaning as is given such terms in the Lease unless expressly superseded by the terms of this Third Amendment.</w:t>
      </w:r>
    </w:p>
    <w:p>
      <w:pPr>
        <w:pStyle w:val="TextBody"/>
        <w:spacing w:before="240" w:after="0"/>
        <w:ind w:left="720" w:right="0" w:hanging="0"/>
        <w:jc w:val="both"/>
        <w:rPr>
          <w:b w:val="false"/>
          <w:i w:val="false"/>
          <w:caps w:val="false"/>
          <w:smallCaps w:val="false"/>
        </w:rPr>
      </w:pPr>
      <w:r>
        <w:rPr>
          <w:b w:val="false"/>
          <w:i w:val="false"/>
          <w:caps w:val="false"/>
          <w:smallCaps w:val="false"/>
        </w:rPr>
        <w:t>2.</w:t>
      </w:r>
      <w:r>
        <w:rPr>
          <w:b/>
          <w:i w:val="false"/>
          <w:caps w:val="false"/>
          <w:smallCaps w:val="false"/>
          <w:color w:val="000000"/>
          <w:u w:val="single"/>
        </w:rPr>
        <w:t>Modification of Premises</w:t>
      </w:r>
      <w:r>
        <w:rPr>
          <w:b w:val="false"/>
          <w:i w:val="false"/>
          <w:caps w:val="false"/>
          <w:smallCaps w:val="false"/>
          <w:color w:val="000000"/>
        </w:rPr>
        <w:t>.  Effective as of April 1, 2021 (the "</w:t>
      </w:r>
      <w:r>
        <w:rPr>
          <w:b/>
          <w:i w:val="false"/>
          <w:caps w:val="false"/>
          <w:smallCaps w:val="false"/>
          <w:color w:val="000000"/>
        </w:rPr>
        <w:t>Third Expansion Commencement Date</w:t>
      </w:r>
      <w:r>
        <w:rPr>
          <w:b w:val="false"/>
          <w:i w:val="false"/>
          <w:caps w:val="false"/>
          <w:smallCaps w:val="false"/>
          <w:color w:val="000000"/>
        </w:rPr>
        <w:t xml:space="preserve">") Tenant shall lease from Landlord and Landlord shall lease to Tenant the Third Expansion Premises.  Tenant hereby acknowledges that Tenant is, and has been, in possession of the Third Expansion Premises pursuant to a sublease with the existing tenant of the Third Expansion Premises, and accordingly shall be in possession of the Third Expansion Premises </w:t>
      </w:r>
    </w:p>
    <w:tbl>
      <w:tblPr>
        <w:tblW w:w="3430" w:type="dxa"/>
        <w:jc w:val="left"/>
        <w:tblInd w:w="0" w:type="dxa"/>
        <w:tblCellMar>
          <w:top w:w="0" w:type="dxa"/>
          <w:left w:w="0" w:type="dxa"/>
          <w:bottom w:w="0" w:type="dxa"/>
          <w:right w:w="0" w:type="dxa"/>
        </w:tblCellMar>
      </w:tblPr>
      <w:tblGrid>
        <w:gridCol w:w="1595"/>
        <w:gridCol w:w="60"/>
        <w:gridCol w:w="1775"/>
      </w:tblGrid>
      <w:tr>
        <w:trPr/>
        <w:tc>
          <w:tcPr>
            <w:tcW w:w="1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24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827072.04/WLA</w:t>
            </w:r>
          </w:p>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377097.00004/3-7-21//gjn</w:t>
            </w:r>
          </w:p>
        </w:tc>
        <w:tc>
          <w:tcPr>
            <w:tcW w:w="60" w:type="dxa"/>
            <w:tcBorders/>
            <w:shd w:fill="auto" w:val="clear"/>
            <w:vAlign w:val="bottom"/>
          </w:tcPr>
          <w:p>
            <w:pPr>
              <w:pStyle w:val="TableContents"/>
              <w:spacing w:before="0" w:after="0"/>
              <w:ind w:left="0" w:right="0" w:hanging="0"/>
              <w:jc w:val="center"/>
              <w:rPr/>
            </w:pPr>
            <w:r>
              <w:rPr/>
              <w:t> </w:t>
            </w:r>
          </w:p>
        </w:tc>
        <w:tc>
          <w:tcPr>
            <w:tcW w:w="1775" w:type="dxa"/>
            <w:tcBorders/>
            <w:shd w:fill="auto" w:val="clear"/>
            <w:vAlign w:val="bottom"/>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HCP LIFE SCIENCE REIT, INC.</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[Third Amendment]</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[Nkarta, Inc.]</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240" w:after="0"/>
        <w:jc w:val="both"/>
        <w:rPr>
          <w:b w:val="false"/>
          <w:i w:val="false"/>
          <w:caps w:val="false"/>
          <w:smallCaps w:val="false"/>
        </w:rPr>
      </w:pPr>
      <w:r>
        <w:rPr>
          <w:b w:val="false"/>
          <w:i w:val="false"/>
          <w:caps w:val="false"/>
          <w:smallCaps w:val="false"/>
          <w:color w:val="000000"/>
        </w:rPr>
        <w:t>prior to the Third Expansion Commencement Date and therefore Landlord shall have no obligation to deliver the Third Expansion Premises to Tenant (other than to permit Tenant to remain in possession thereof) and Tenant shall remain in occupancy of the same upon the Third Expansion Commencement Date.  Consequently, effective upon the Third Expansion Commencement Date, the Existing Premises shall be increased to include the Third Expansion Premises. The addition of the Third Expansion Premises to the Existing Premises shall, effective as of the Third Expansion Commencement Date, increase the size of the Premises to approximately 34,070 rentable square feet.  The Existing Premises and the Third Expansion Premises may hereinafter collectively be referred to as the "</w:t>
      </w:r>
      <w:r>
        <w:rPr>
          <w:b/>
          <w:i w:val="false"/>
          <w:caps w:val="false"/>
          <w:smallCaps w:val="false"/>
          <w:color w:val="000000"/>
        </w:rPr>
        <w:t>Premises</w:t>
      </w:r>
      <w:r>
        <w:rPr>
          <w:b w:val="false"/>
          <w:i w:val="false"/>
          <w:caps w:val="false"/>
          <w:smallCaps w:val="false"/>
          <w:color w:val="000000"/>
        </w:rPr>
        <w:t xml:space="preserve">". </w:t>
      </w:r>
    </w:p>
    <w:p>
      <w:pPr>
        <w:pStyle w:val="TextBody"/>
        <w:spacing w:before="240" w:after="0"/>
        <w:ind w:left="720" w:right="0" w:hanging="0"/>
        <w:jc w:val="both"/>
        <w:rPr>
          <w:b w:val="false"/>
          <w:i w:val="false"/>
          <w:caps w:val="false"/>
          <w:smallCaps w:val="false"/>
        </w:rPr>
      </w:pPr>
      <w:r>
        <w:rPr>
          <w:b w:val="false"/>
          <w:i w:val="false"/>
          <w:caps w:val="false"/>
          <w:smallCaps w:val="false"/>
        </w:rPr>
        <w:t>3.</w:t>
      </w:r>
      <w:r>
        <w:rPr>
          <w:b/>
          <w:i w:val="false"/>
          <w:caps w:val="false"/>
          <w:smallCaps w:val="false"/>
          <w:color w:val="000000"/>
          <w:u w:val="single"/>
        </w:rPr>
        <w:t>Lease Term; Option Term</w:t>
      </w:r>
      <w:r>
        <w:rPr>
          <w:b w:val="false"/>
          <w:i w:val="false"/>
          <w:caps w:val="false"/>
          <w:smallCaps w:val="false"/>
          <w:color w:val="000000"/>
        </w:rPr>
        <w:t>.  </w:t>
      </w:r>
    </w:p>
    <w:p>
      <w:pPr>
        <w:pStyle w:val="TextBody"/>
        <w:spacing w:before="240" w:after="0"/>
        <w:ind w:left="720" w:right="0" w:hanging="0"/>
        <w:jc w:val="both"/>
        <w:rPr>
          <w:b w:val="false"/>
          <w:i w:val="false"/>
          <w:caps w:val="false"/>
          <w:smallCaps w:val="false"/>
        </w:rPr>
      </w:pPr>
      <w:r>
        <w:rPr>
          <w:b w:val="false"/>
          <w:i w:val="false"/>
          <w:caps w:val="false"/>
          <w:smallCaps w:val="false"/>
        </w:rPr>
        <w:t>3.1.</w:t>
      </w:r>
      <w:r>
        <w:rPr>
          <w:b/>
          <w:i w:val="false"/>
          <w:caps w:val="false"/>
          <w:smallCaps w:val="false"/>
          <w:color w:val="000000"/>
          <w:u w:val="single"/>
        </w:rPr>
        <w:t>Third Expansion Term</w:t>
      </w:r>
      <w:r>
        <w:rPr>
          <w:b w:val="false"/>
          <w:i w:val="false"/>
          <w:caps w:val="false"/>
          <w:smallCaps w:val="false"/>
          <w:color w:val="000000"/>
        </w:rPr>
        <w:t>. Notwithstanding any provision to the contrary contained in the Lease, the term of Tenant's lease of the Third Expansion Premises (the "</w:t>
      </w:r>
      <w:r>
        <w:rPr>
          <w:b/>
          <w:i w:val="false"/>
          <w:caps w:val="false"/>
          <w:smallCaps w:val="false"/>
          <w:color w:val="000000"/>
        </w:rPr>
        <w:t>Third</w:t>
      </w:r>
      <w:r>
        <w:rPr>
          <w:b w:val="false"/>
          <w:i w:val="false"/>
          <w:caps w:val="false"/>
          <w:smallCaps w:val="false"/>
          <w:color w:val="000000"/>
        </w:rPr>
        <w:t xml:space="preserve"> </w:t>
      </w:r>
      <w:r>
        <w:rPr>
          <w:b/>
          <w:i w:val="false"/>
          <w:caps w:val="false"/>
          <w:smallCaps w:val="false"/>
          <w:color w:val="000000"/>
        </w:rPr>
        <w:t>Expansion Term</w:t>
      </w:r>
      <w:r>
        <w:rPr>
          <w:b w:val="false"/>
          <w:i w:val="false"/>
          <w:caps w:val="false"/>
          <w:smallCaps w:val="false"/>
          <w:color w:val="000000"/>
        </w:rPr>
        <w:t>") shall commence on the Third Expansion Commencement Date and shall expire on March 31, 2024 (the "</w:t>
      </w:r>
      <w:r>
        <w:rPr>
          <w:b/>
          <w:i w:val="false"/>
          <w:caps w:val="false"/>
          <w:smallCaps w:val="false"/>
          <w:color w:val="000000"/>
        </w:rPr>
        <w:t>Third Expansion Expiration Date</w:t>
      </w:r>
      <w:r>
        <w:rPr>
          <w:b w:val="false"/>
          <w:i w:val="false"/>
          <w:caps w:val="false"/>
          <w:smallCaps w:val="false"/>
          <w:color w:val="000000"/>
        </w:rPr>
        <w:t>"), unless sooner terminated as provided in the Lease, as hereby amended.  </w:t>
      </w:r>
    </w:p>
    <w:p>
      <w:pPr>
        <w:pStyle w:val="TextBody"/>
        <w:spacing w:before="240" w:after="0"/>
        <w:ind w:left="720" w:right="0" w:hanging="0"/>
        <w:jc w:val="both"/>
        <w:rPr>
          <w:b w:val="false"/>
          <w:i w:val="false"/>
          <w:caps w:val="false"/>
          <w:smallCaps w:val="false"/>
        </w:rPr>
      </w:pPr>
      <w:r>
        <w:rPr>
          <w:b w:val="false"/>
          <w:i w:val="false"/>
          <w:caps w:val="false"/>
          <w:smallCaps w:val="false"/>
        </w:rPr>
        <w:t>3.2.</w:t>
      </w:r>
      <w:r>
        <w:rPr>
          <w:b/>
          <w:i w:val="false"/>
          <w:caps w:val="false"/>
          <w:smallCaps w:val="false"/>
          <w:color w:val="000000"/>
          <w:u w:val="single"/>
        </w:rPr>
        <w:t>Option Term</w:t>
      </w:r>
      <w:r>
        <w:rPr>
          <w:b w:val="false"/>
          <w:i w:val="false"/>
          <w:caps w:val="false"/>
          <w:smallCaps w:val="false"/>
          <w:color w:val="000000"/>
        </w:rPr>
        <w:t xml:space="preserve">. The terms of </w:t>
      </w:r>
      <w:r>
        <w:rPr>
          <w:b w:val="false"/>
          <w:i w:val="false"/>
          <w:caps w:val="false"/>
          <w:smallCaps w:val="false"/>
          <w:color w:val="000000"/>
          <w:u w:val="single"/>
        </w:rPr>
        <w:t>Section 2.2</w:t>
      </w:r>
      <w:r>
        <w:rPr>
          <w:b w:val="false"/>
          <w:i w:val="false"/>
          <w:caps w:val="false"/>
          <w:smallCaps w:val="false"/>
          <w:color w:val="000000"/>
        </w:rPr>
        <w:t xml:space="preserve"> of the Lease (as modified by </w:t>
      </w:r>
      <w:r>
        <w:rPr>
          <w:b w:val="false"/>
          <w:i w:val="false"/>
          <w:caps w:val="false"/>
          <w:smallCaps w:val="false"/>
          <w:color w:val="000000"/>
          <w:u w:val="single"/>
        </w:rPr>
        <w:t>Section 3.2</w:t>
      </w:r>
      <w:r>
        <w:rPr>
          <w:b w:val="false"/>
          <w:i w:val="false"/>
          <w:caps w:val="false"/>
          <w:smallCaps w:val="false"/>
          <w:color w:val="000000"/>
        </w:rPr>
        <w:t xml:space="preserve"> of the First Amendment and </w:t>
      </w:r>
      <w:r>
        <w:rPr>
          <w:b w:val="false"/>
          <w:i w:val="false"/>
          <w:caps w:val="false"/>
          <w:smallCaps w:val="false"/>
          <w:color w:val="000000"/>
          <w:u w:val="single"/>
        </w:rPr>
        <w:t>Section 3.2</w:t>
      </w:r>
      <w:r>
        <w:rPr>
          <w:b w:val="false"/>
          <w:i w:val="false"/>
          <w:caps w:val="false"/>
          <w:smallCaps w:val="false"/>
          <w:color w:val="000000"/>
        </w:rPr>
        <w:t xml:space="preserve"> of the Second Amendment) shall apply to the Existing Premises only, and Tenant shall have no express option to extend the Third Expansion Term with respect to the Third Expansion Premises.  </w:t>
      </w:r>
    </w:p>
    <w:p>
      <w:pPr>
        <w:pStyle w:val="TextBody"/>
        <w:spacing w:before="240" w:after="0"/>
        <w:ind w:left="720" w:right="0" w:hanging="0"/>
        <w:jc w:val="both"/>
        <w:rPr>
          <w:b w:val="false"/>
          <w:i w:val="false"/>
          <w:caps w:val="false"/>
          <w:smallCaps w:val="false"/>
        </w:rPr>
      </w:pPr>
      <w:r>
        <w:rPr>
          <w:b w:val="false"/>
          <w:i w:val="false"/>
          <w:caps w:val="false"/>
          <w:smallCaps w:val="false"/>
        </w:rPr>
        <w:t>4.</w:t>
      </w:r>
      <w:r>
        <w:rPr>
          <w:b/>
          <w:i w:val="false"/>
          <w:caps w:val="false"/>
          <w:smallCaps w:val="false"/>
          <w:color w:val="000000"/>
          <w:u w:val="single"/>
        </w:rPr>
        <w:t>Base Rent</w:t>
      </w:r>
      <w:r>
        <w:rPr>
          <w:b w:val="false"/>
          <w:i w:val="false"/>
          <w:caps w:val="false"/>
          <w:smallCaps w:val="false"/>
          <w:color w:val="000000"/>
        </w:rPr>
        <w:t>.  </w:t>
      </w:r>
    </w:p>
    <w:p>
      <w:pPr>
        <w:pStyle w:val="TextBody"/>
        <w:spacing w:before="240" w:after="0"/>
        <w:ind w:left="720" w:right="0" w:hanging="0"/>
        <w:jc w:val="both"/>
        <w:rPr>
          <w:b w:val="false"/>
          <w:i w:val="false"/>
          <w:caps w:val="false"/>
          <w:smallCaps w:val="false"/>
        </w:rPr>
      </w:pPr>
      <w:r>
        <w:rPr>
          <w:b w:val="false"/>
          <w:i w:val="false"/>
          <w:caps w:val="false"/>
          <w:smallCaps w:val="false"/>
        </w:rPr>
        <w:t>4.1.</w:t>
      </w:r>
      <w:r>
        <w:rPr>
          <w:b/>
          <w:i w:val="false"/>
          <w:caps w:val="false"/>
          <w:smallCaps w:val="false"/>
          <w:color w:val="000000"/>
          <w:u w:val="single"/>
        </w:rPr>
        <w:t>Existing Premises</w:t>
      </w:r>
      <w:r>
        <w:rPr>
          <w:b w:val="false"/>
          <w:i w:val="false"/>
          <w:caps w:val="false"/>
          <w:smallCaps w:val="false"/>
          <w:color w:val="000000"/>
        </w:rPr>
        <w:t>.  Notwithstanding anything to the contrary in the Lease Tenant shall continue to pay to Landlord monthly installments of Base Rent for the Existing Premises in accordance with the terms of the Lease.</w:t>
      </w:r>
    </w:p>
    <w:p>
      <w:pPr>
        <w:pStyle w:val="TextBody"/>
        <w:spacing w:before="240" w:after="0"/>
        <w:ind w:left="720" w:right="0" w:hanging="0"/>
        <w:jc w:val="both"/>
        <w:rPr>
          <w:b w:val="false"/>
          <w:i w:val="false"/>
          <w:caps w:val="false"/>
          <w:smallCaps w:val="false"/>
        </w:rPr>
      </w:pPr>
      <w:r>
        <w:rPr>
          <w:b w:val="false"/>
          <w:i w:val="false"/>
          <w:caps w:val="false"/>
          <w:smallCaps w:val="false"/>
        </w:rPr>
        <w:t>4.2.</w:t>
      </w:r>
      <w:r>
        <w:rPr>
          <w:b/>
          <w:i w:val="false"/>
          <w:caps w:val="false"/>
          <w:smallCaps w:val="false"/>
          <w:color w:val="000000"/>
          <w:u w:val="single"/>
        </w:rPr>
        <w:t>Third Expansion Premises</w:t>
      </w:r>
      <w:r>
        <w:rPr>
          <w:b w:val="false"/>
          <w:i w:val="false"/>
          <w:caps w:val="false"/>
          <w:smallCaps w:val="false"/>
          <w:color w:val="000000"/>
        </w:rPr>
        <w:t>.  Commencing on the Third Expansion Commencement Date and continuing throughout the Third Expansion Term, Tenant shall pay to Landlord monthly installments of Base Rent for the Third Expansion Premises as follows, and otherwise in accordance with the terms of the Lease:</w:t>
      </w:r>
    </w:p>
    <w:tbl>
      <w:tblPr>
        <w:tblW w:w="7325" w:type="dxa"/>
        <w:jc w:val="left"/>
        <w:tblInd w:w="0" w:type="dxa"/>
        <w:tblCellMar>
          <w:top w:w="0" w:type="dxa"/>
          <w:left w:w="0" w:type="dxa"/>
          <w:bottom w:w="0" w:type="dxa"/>
          <w:right w:w="0" w:type="dxa"/>
        </w:tblCellMar>
      </w:tblPr>
      <w:tblGrid>
        <w:gridCol w:w="3590"/>
        <w:gridCol w:w="1220"/>
        <w:gridCol w:w="1250"/>
        <w:gridCol w:w="1265"/>
      </w:tblGrid>
      <w:tr>
        <w:trPr/>
        <w:tc>
          <w:tcPr>
            <w:tcW w:w="359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3590" w:type="dxa"/>
            <w:tcBorders/>
            <w:shd w:fill="auto" w:val="clear"/>
            <w:vAlign w:val="bottom"/>
          </w:tcPr>
          <w:p>
            <w:pPr>
              <w:pStyle w:val="TableContents"/>
              <w:spacing w:before="24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Period During Third</w:t>
            </w:r>
            <w:r>
              <w:rPr>
                <w:rFonts w:ascii="Times New Roman" w:hAnsi="Times New Roman"/>
                <w:b w:val="false"/>
                <w:i w:val="false"/>
                <w:caps w:val="false"/>
                <w:smallCaps w:val="false"/>
                <w:sz w:val="24"/>
                <w:u w:val="single"/>
              </w:rPr>
              <w:t xml:space="preserve"> Expansion Term</w:t>
            </w:r>
          </w:p>
        </w:tc>
        <w:tc>
          <w:tcPr>
            <w:tcW w:w="1220" w:type="dxa"/>
            <w:tcBorders/>
            <w:shd w:fill="auto" w:val="clear"/>
          </w:tcPr>
          <w:p>
            <w:pPr>
              <w:pStyle w:val="TableContents"/>
              <w:spacing w:before="24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br/>
              <w:br/>
              <w:br/>
              <w:t>Annual</w:t>
              <w:br/>
            </w:r>
            <w:r>
              <w:rPr>
                <w:rFonts w:ascii="Times New Roman" w:hAnsi="Times New Roman"/>
                <w:b w:val="false"/>
                <w:i w:val="false"/>
                <w:caps w:val="false"/>
                <w:smallCaps w:val="false"/>
                <w:sz w:val="24"/>
                <w:u w:val="single"/>
              </w:rPr>
              <w:t>Base Rent</w:t>
            </w:r>
          </w:p>
        </w:tc>
        <w:tc>
          <w:tcPr>
            <w:tcW w:w="1250" w:type="dxa"/>
            <w:tcBorders/>
            <w:shd w:fill="auto" w:val="clear"/>
            <w:vAlign w:val="bottom"/>
          </w:tcPr>
          <w:p>
            <w:pPr>
              <w:pStyle w:val="TableContents"/>
              <w:spacing w:before="24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Monthly</w:t>
            </w:r>
            <w:r>
              <w:rPr>
                <w:rFonts w:ascii="Times New Roman" w:hAnsi="Times New Roman"/>
                <w:b w:val="false"/>
                <w:i w:val="false"/>
                <w:caps w:val="false"/>
                <w:smallCaps w:val="false"/>
                <w:sz w:val="24"/>
                <w:u w:val="single"/>
              </w:rPr>
              <w:br/>
            </w:r>
            <w:r>
              <w:rPr>
                <w:rFonts w:ascii="Times New Roman" w:hAnsi="Times New Roman"/>
                <w:b w:val="false"/>
                <w:i w:val="false"/>
                <w:caps w:val="false"/>
                <w:smallCaps w:val="false"/>
                <w:sz w:val="24"/>
              </w:rPr>
              <w:t>Installment</w:t>
            </w:r>
            <w:r>
              <w:rPr>
                <w:rFonts w:ascii="Times New Roman" w:hAnsi="Times New Roman"/>
                <w:b w:val="false"/>
                <w:i w:val="false"/>
                <w:caps w:val="false"/>
                <w:smallCaps w:val="false"/>
                <w:sz w:val="24"/>
                <w:u w:val="single"/>
              </w:rPr>
              <w:br/>
              <w:t>of Base Rent</w:t>
            </w:r>
          </w:p>
        </w:tc>
        <w:tc>
          <w:tcPr>
            <w:tcW w:w="1265" w:type="dxa"/>
            <w:tcBorders/>
            <w:shd w:fill="auto" w:val="clear"/>
            <w:vAlign w:val="bottom"/>
          </w:tcPr>
          <w:p>
            <w:pPr>
              <w:pStyle w:val="TableContents"/>
              <w:spacing w:before="24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Approximate</w:t>
              <w:br/>
              <w:t>Monthly</w:t>
              <w:br/>
              <w:t>Rental Rate</w:t>
              <w:br/>
              <w:t>per Rentable</w:t>
              <w:br/>
            </w:r>
            <w:r>
              <w:rPr>
                <w:rFonts w:ascii="Times New Roman" w:hAnsi="Times New Roman"/>
                <w:b w:val="false"/>
                <w:i w:val="false"/>
                <w:caps w:val="false"/>
                <w:smallCaps w:val="false"/>
                <w:sz w:val="24"/>
                <w:u w:val="single"/>
              </w:rPr>
              <w:t>Square Foot</w:t>
            </w:r>
          </w:p>
        </w:tc>
      </w:tr>
      <w:tr>
        <w:trPr/>
        <w:tc>
          <w:tcPr>
            <w:tcW w:w="3590" w:type="dxa"/>
            <w:tcBorders/>
            <w:shd w:fill="auto" w:val="clear"/>
          </w:tcPr>
          <w:p>
            <w:pPr>
              <w:pStyle w:val="TableContents"/>
              <w:spacing w:before="24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April 1, 2021 – </w:t>
              <w:br/>
              <w:t>March 31, 2022</w:t>
            </w:r>
          </w:p>
        </w:tc>
        <w:tc>
          <w:tcPr>
            <w:tcW w:w="1220"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$218,439.00</w:t>
            </w:r>
          </w:p>
        </w:tc>
        <w:tc>
          <w:tcPr>
            <w:tcW w:w="1250"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$18,203.25</w:t>
            </w:r>
          </w:p>
        </w:tc>
        <w:tc>
          <w:tcPr>
            <w:tcW w:w="126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$3.25</w:t>
            </w:r>
          </w:p>
        </w:tc>
      </w:tr>
      <w:tr>
        <w:trPr/>
        <w:tc>
          <w:tcPr>
            <w:tcW w:w="3590" w:type="dxa"/>
            <w:tcBorders/>
            <w:shd w:fill="auto" w:val="clear"/>
          </w:tcPr>
          <w:p>
            <w:pPr>
              <w:pStyle w:val="TableContents"/>
              <w:spacing w:before="24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April 1, 2022 – </w:t>
              <w:br/>
              <w:t>March 31, 2023</w:t>
            </w:r>
          </w:p>
        </w:tc>
        <w:tc>
          <w:tcPr>
            <w:tcW w:w="1220"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$226,084.37</w:t>
            </w:r>
          </w:p>
        </w:tc>
        <w:tc>
          <w:tcPr>
            <w:tcW w:w="1250"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$18,840.36</w:t>
            </w:r>
          </w:p>
        </w:tc>
        <w:tc>
          <w:tcPr>
            <w:tcW w:w="126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$3.36</w:t>
            </w:r>
          </w:p>
        </w:tc>
      </w:tr>
      <w:tr>
        <w:trPr/>
        <w:tc>
          <w:tcPr>
            <w:tcW w:w="3590" w:type="dxa"/>
            <w:tcBorders/>
            <w:shd w:fill="auto" w:val="clear"/>
          </w:tcPr>
          <w:p>
            <w:pPr>
              <w:pStyle w:val="TableContents"/>
              <w:spacing w:before="240" w:after="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April 1, 2023 – </w:t>
              <w:br/>
              <w:t>March 31, 2024</w:t>
            </w:r>
          </w:p>
        </w:tc>
        <w:tc>
          <w:tcPr>
            <w:tcW w:w="1220"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$233,997.32</w:t>
            </w:r>
          </w:p>
        </w:tc>
        <w:tc>
          <w:tcPr>
            <w:tcW w:w="1250"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$19,499.78</w:t>
            </w:r>
          </w:p>
        </w:tc>
        <w:tc>
          <w:tcPr>
            <w:tcW w:w="126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4"/>
              </w:rPr>
            </w:pPr>
            <w:r>
              <w:rPr>
                <w:rFonts w:ascii="Times New Roman" w:hAnsi="Times New Roman"/>
                <w:b w:val="false"/>
                <w:i w:val="false"/>
                <w:caps w:val="false"/>
                <w:smallCaps w:val="false"/>
                <w:color w:val="000000"/>
                <w:sz w:val="24"/>
              </w:rPr>
              <w:t>$3.48</w:t>
            </w:r>
          </w:p>
        </w:tc>
      </w:tr>
    </w:tbl>
    <w:tbl>
      <w:tblPr>
        <w:tblW w:w="3615" w:type="dxa"/>
        <w:jc w:val="left"/>
        <w:tblInd w:w="0" w:type="dxa"/>
        <w:tblCellMar>
          <w:top w:w="0" w:type="dxa"/>
          <w:left w:w="0" w:type="dxa"/>
          <w:bottom w:w="0" w:type="dxa"/>
          <w:right w:w="0" w:type="dxa"/>
        </w:tblCellMar>
      </w:tblPr>
      <w:tblGrid>
        <w:gridCol w:w="1595"/>
        <w:gridCol w:w="245"/>
        <w:gridCol w:w="1775"/>
      </w:tblGrid>
      <w:tr>
        <w:trPr/>
        <w:tc>
          <w:tcPr>
            <w:tcW w:w="159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24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827072.04/WLA</w:t>
            </w:r>
          </w:p>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377097.00004/3-7-21//gjn</w:t>
            </w:r>
          </w:p>
        </w:tc>
        <w:tc>
          <w:tcPr>
            <w:tcW w:w="24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775" w:type="dxa"/>
            <w:tcBorders/>
            <w:shd w:fill="auto" w:val="clear"/>
            <w:vAlign w:val="bottom"/>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HCP LIFE SCIENCE REIT, INC.</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[Third Amendment]</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[Nkarta, Inc.]</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On or before the Third Expansion Commencement Date, Tenant shall pay to Landlord the Base Rent payable for the Third Expansion Premises for the first full month of the Third Expansion Term.</w:t>
      </w:r>
    </w:p>
    <w:p>
      <w:pPr>
        <w:pStyle w:val="TextBody"/>
        <w:spacing w:before="240" w:after="0"/>
        <w:ind w:left="720" w:right="0" w:hanging="0"/>
        <w:jc w:val="both"/>
        <w:rPr>
          <w:b w:val="false"/>
          <w:i w:val="false"/>
          <w:caps w:val="false"/>
          <w:smallCaps w:val="false"/>
        </w:rPr>
      </w:pPr>
      <w:r>
        <w:rPr>
          <w:b w:val="false"/>
          <w:i w:val="false"/>
          <w:caps w:val="false"/>
          <w:smallCaps w:val="false"/>
        </w:rPr>
        <w:t>5.</w:t>
      </w:r>
      <w:r>
        <w:rPr>
          <w:b/>
          <w:i w:val="false"/>
          <w:caps w:val="false"/>
          <w:smallCaps w:val="false"/>
          <w:color w:val="000000"/>
          <w:u w:val="single"/>
        </w:rPr>
        <w:t>Tenant's Share of Direct Expenses</w:t>
      </w:r>
      <w:r>
        <w:rPr>
          <w:b w:val="false"/>
          <w:i w:val="false"/>
          <w:caps w:val="false"/>
          <w:smallCaps w:val="false"/>
          <w:color w:val="000000"/>
        </w:rPr>
        <w:t>.  Tenant shall continue to pay Tenant's Share of all Direct Expenses (which is 20.9%) which arise or accrue with respect to the Existing Premises in accordance with the terms of the Lease.  Commencing on the Third Expansion Commencement Date and continuing throughout the Third Expansion Term, Tenant shall pay Tenant's share of all Direct Expenses which arise or accrue with respect to the Third Expansion Premises during such period in accordance with the terms of the Lease, provided that with respect to the calculation of Tenant’s Share of Direct Expenses effective as of the Third Expansion Commencement Date, Tenant’s Share with respect only to the Third Expansion Premises only is 4.1%, and with respect to all of the Premises (i.e., the Existing Premises and the Third Expansion Premises) shall equal 25.0%.</w:t>
      </w:r>
    </w:p>
    <w:p>
      <w:pPr>
        <w:pStyle w:val="TextBody"/>
        <w:spacing w:before="240" w:after="0"/>
        <w:ind w:left="720" w:right="0" w:hanging="0"/>
        <w:jc w:val="both"/>
        <w:rPr>
          <w:b w:val="false"/>
          <w:i w:val="false"/>
          <w:caps w:val="false"/>
          <w:smallCaps w:val="false"/>
        </w:rPr>
      </w:pPr>
      <w:r>
        <w:rPr>
          <w:b w:val="false"/>
          <w:i w:val="false"/>
          <w:caps w:val="false"/>
          <w:smallCaps w:val="false"/>
        </w:rPr>
        <w:t>6.</w:t>
      </w:r>
      <w:r>
        <w:rPr>
          <w:b/>
          <w:i w:val="false"/>
          <w:caps w:val="false"/>
          <w:smallCaps w:val="false"/>
          <w:color w:val="000000"/>
          <w:u w:val="single"/>
        </w:rPr>
        <w:t>Tenant Improvements</w:t>
      </w:r>
      <w:r>
        <w:rPr>
          <w:b w:val="false"/>
          <w:i w:val="false"/>
          <w:caps w:val="false"/>
          <w:smallCaps w:val="false"/>
          <w:color w:val="000000"/>
        </w:rPr>
        <w:t xml:space="preserve">.  Except as specifically set forth herein or in the Tenant Work Letter attached to this Third Amendment as </w:t>
      </w:r>
      <w:r>
        <w:rPr>
          <w:b/>
          <w:i w:val="false"/>
          <w:caps w:val="false"/>
          <w:smallCaps w:val="false"/>
          <w:color w:val="000000"/>
          <w:u w:val="single"/>
        </w:rPr>
        <w:t>Exhibit B</w:t>
      </w:r>
      <w:r>
        <w:rPr>
          <w:b w:val="false"/>
          <w:i w:val="false"/>
          <w:caps w:val="false"/>
          <w:smallCaps w:val="false"/>
          <w:color w:val="000000"/>
        </w:rPr>
        <w:t xml:space="preserve"> (the “</w:t>
      </w:r>
      <w:r>
        <w:rPr>
          <w:b/>
          <w:i w:val="false"/>
          <w:caps w:val="false"/>
          <w:smallCaps w:val="false"/>
          <w:color w:val="000000"/>
        </w:rPr>
        <w:t>Tenant Work Letter</w:t>
      </w:r>
      <w:r>
        <w:rPr>
          <w:b w:val="false"/>
          <w:i w:val="false"/>
          <w:caps w:val="false"/>
          <w:smallCaps w:val="false"/>
          <w:color w:val="000000"/>
        </w:rPr>
        <w:t>”), Landlord shall not be obligated to provide or pay for any improvement work or services related to the improvement of the Third Expansion Premises, and Tenant shall accept the Third Expansion Premises in its presently existing, "as-is" condition, provided that Landlord shall deliver the Third Expansion Premises to Tenant fully decommissioned in good, vacant, broom clean condition, and otherwise in the same condition as of the date of this Third Amendment, in compliance with all Applicable Laws (to the extent necessary to maintain a certificate of occupancy or its legal equivalent for the Third Expansion Premises), with the roof water-tight and shall cause the HVAC systems, plumbing, electrical systems, fire sprinkler system, lighting, emergency generators, and all other Building systems serving the Third Expansion Premises to be in good operating condition and repair and in compliance with Applicable Laws (to the extent necessary to obtain or maintain a certificate of occupancy, or its legal equivalent, for the Third Expansion Premises) as of the Third Expansion Commencement Date.  Additionally, Tenant acknowledges that it shall continue to accept the Existing Premises in its presently existing "as-is" condition, and Landlord shall not be obligated to provide or pay for any improvement work related to the improvement of the Existing Premises, provided that, the foregoing shall not relieve Landlord of any of its maintenance, repair or replacement obligations under the Lease, if any.  Tenant also acknowledges that, except as expressly set forth herein, neither Landlord nor any agent of Landlord has made any representation or warranty regarding the condition of the Existing Premises, the Third Expansion Premises, or the Building or with respect to the suitability of any of the foregoing for the conduct of Tenant’s business in the Existing Premises or the Third Expansion Premises.</w:t>
      </w:r>
    </w:p>
    <w:p>
      <w:pPr>
        <w:pStyle w:val="TextBody"/>
        <w:spacing w:before="240" w:after="0"/>
        <w:ind w:left="720" w:right="0" w:hanging="0"/>
        <w:jc w:val="both"/>
        <w:rPr>
          <w:b w:val="false"/>
          <w:i w:val="false"/>
          <w:caps w:val="false"/>
          <w:smallCaps w:val="false"/>
        </w:rPr>
      </w:pPr>
      <w:r>
        <w:rPr>
          <w:b w:val="false"/>
          <w:i w:val="false"/>
          <w:caps w:val="false"/>
          <w:smallCaps w:val="false"/>
        </w:rPr>
        <w:t>7.</w:t>
      </w:r>
      <w:r>
        <w:rPr>
          <w:b/>
          <w:i w:val="false"/>
          <w:caps w:val="false"/>
          <w:smallCaps w:val="false"/>
          <w:color w:val="000000"/>
          <w:u w:val="single"/>
        </w:rPr>
        <w:t>Warranty</w:t>
      </w:r>
      <w:r>
        <w:rPr>
          <w:b w:val="false"/>
          <w:i w:val="false"/>
          <w:caps w:val="false"/>
          <w:smallCaps w:val="false"/>
          <w:color w:val="000000"/>
        </w:rPr>
        <w:t>.  Landlord shall, at Landlord's sole cost and expense (which shall not be deemed an Operating Expense), repair or replace any portion of the HVAC systems, plumbing, electrical systems, fire sprinkler system, lighting, and all other Building systems serving the Third Expansion Premises that malfunctions, fails or becomes inoperable within the first twelve (12) full calendar months of the Third Expansion Term ("</w:t>
      </w:r>
      <w:r>
        <w:rPr>
          <w:b/>
          <w:i w:val="false"/>
          <w:caps w:val="false"/>
          <w:smallCaps w:val="false"/>
          <w:color w:val="000000"/>
        </w:rPr>
        <w:t>Warranty Period</w:t>
      </w:r>
      <w:r>
        <w:rPr>
          <w:b w:val="false"/>
          <w:i w:val="false"/>
          <w:caps w:val="false"/>
          <w:smallCaps w:val="false"/>
          <w:color w:val="000000"/>
        </w:rPr>
        <w:t>"), provided that the need to repair or replace was not caused by the misuse, misconduct, damage, destruction, and/or negligence of Tenant, its subtenants and/or assignees, if any, or any company which is acquired, sold or merged with Tenant (collectively, "</w:t>
      </w:r>
      <w:r>
        <w:rPr>
          <w:b/>
          <w:i w:val="false"/>
          <w:caps w:val="false"/>
          <w:smallCaps w:val="false"/>
          <w:color w:val="000000"/>
        </w:rPr>
        <w:t>Tenant Damage</w:t>
      </w:r>
      <w:r>
        <w:rPr>
          <w:b w:val="false"/>
          <w:i w:val="false"/>
          <w:caps w:val="false"/>
          <w:smallCaps w:val="false"/>
          <w:color w:val="000000"/>
        </w:rPr>
        <w:t xml:space="preserve">"), or by any modifications, Alterations or improvements constructed by or on behalf of Tenant (but excluding the Tenant Improvements).  Landlord shall coordinate any such work with Tenant and shall utilize commercially reasonable </w:t>
      </w:r>
    </w:p>
    <w:tbl>
      <w:tblPr>
        <w:tblW w:w="3615" w:type="dxa"/>
        <w:jc w:val="left"/>
        <w:tblInd w:w="0" w:type="dxa"/>
        <w:tblCellMar>
          <w:top w:w="0" w:type="dxa"/>
          <w:left w:w="0" w:type="dxa"/>
          <w:bottom w:w="0" w:type="dxa"/>
          <w:right w:w="0" w:type="dxa"/>
        </w:tblCellMar>
      </w:tblPr>
      <w:tblGrid>
        <w:gridCol w:w="1595"/>
        <w:gridCol w:w="245"/>
        <w:gridCol w:w="1775"/>
      </w:tblGrid>
      <w:tr>
        <w:trPr/>
        <w:tc>
          <w:tcPr>
            <w:tcW w:w="159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24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827072.04/WLA</w:t>
            </w:r>
          </w:p>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377097.00004/3-7-21//gjn</w:t>
            </w:r>
          </w:p>
        </w:tc>
        <w:tc>
          <w:tcPr>
            <w:tcW w:w="24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775" w:type="dxa"/>
            <w:tcBorders/>
            <w:shd w:fill="auto" w:val="clear"/>
            <w:vAlign w:val="bottom"/>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HCP LIFE SCIENCE REIT, INC.</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[Third Amendment]</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[Nkarta, Inc.]</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240" w:after="0"/>
        <w:jc w:val="both"/>
        <w:rPr>
          <w:b w:val="false"/>
          <w:i w:val="false"/>
          <w:caps w:val="false"/>
          <w:smallCaps w:val="false"/>
          <w:color w:val="000000"/>
        </w:rPr>
      </w:pPr>
      <w:r>
        <w:rPr>
          <w:b w:val="false"/>
          <w:i w:val="false"/>
          <w:caps w:val="false"/>
          <w:smallCaps w:val="false"/>
          <w:color w:val="000000"/>
        </w:rPr>
        <w:t xml:space="preserve">efforts to perform the same in a manner designed to minimize interference with Tenant's use of the Premises.  To the extent repairs which Landlord is required to make pursuant to this Section 7 are necessitated in part by Tenant Damage, then Tenant shall reimburse Landlord for an equitable proportion of the cost of such repair. </w:t>
      </w:r>
    </w:p>
    <w:p>
      <w:pPr>
        <w:pStyle w:val="TextBody"/>
        <w:spacing w:before="240" w:after="0"/>
        <w:ind w:left="720" w:right="0" w:hanging="0"/>
        <w:jc w:val="both"/>
        <w:rPr>
          <w:b w:val="false"/>
          <w:i w:val="false"/>
          <w:caps w:val="false"/>
          <w:smallCaps w:val="false"/>
        </w:rPr>
      </w:pPr>
      <w:r>
        <w:rPr>
          <w:b w:val="false"/>
          <w:i w:val="false"/>
          <w:caps w:val="false"/>
          <w:smallCaps w:val="false"/>
        </w:rPr>
        <w:t>8.</w:t>
      </w:r>
      <w:r>
        <w:rPr>
          <w:b/>
          <w:i w:val="false"/>
          <w:caps w:val="false"/>
          <w:smallCaps w:val="false"/>
          <w:color w:val="000000"/>
          <w:u w:val="single"/>
        </w:rPr>
        <w:t>Broker</w:t>
      </w:r>
      <w:r>
        <w:rPr>
          <w:b w:val="false"/>
          <w:i w:val="false"/>
          <w:caps w:val="false"/>
          <w:smallCaps w:val="false"/>
          <w:color w:val="000000"/>
        </w:rPr>
        <w:t>.  Landlord and Tenant hereby warrant to each other that they have had no dealings with any real estate broker or agent in connection with the negotiation of this Third Amendment other than CBRE, Inc. (the "</w:t>
      </w:r>
      <w:r>
        <w:rPr>
          <w:b/>
          <w:i w:val="false"/>
          <w:caps w:val="false"/>
          <w:smallCaps w:val="false"/>
          <w:color w:val="000000"/>
        </w:rPr>
        <w:t>Broker</w:t>
      </w:r>
      <w:r>
        <w:rPr>
          <w:b w:val="false"/>
          <w:i w:val="false"/>
          <w:caps w:val="false"/>
          <w:smallCaps w:val="false"/>
          <w:color w:val="000000"/>
        </w:rPr>
        <w:t xml:space="preserve">"), and that they know of no other real estate broker or agent who is entitled to a commission in connection with this Third Amendment.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other than the Broker.  The terms of this </w:t>
      </w:r>
      <w:r>
        <w:rPr>
          <w:b w:val="false"/>
          <w:i w:val="false"/>
          <w:caps w:val="false"/>
          <w:smallCaps w:val="false"/>
          <w:color w:val="000000"/>
          <w:u w:val="single"/>
        </w:rPr>
        <w:t>Section 8</w:t>
      </w:r>
      <w:r>
        <w:rPr>
          <w:b w:val="false"/>
          <w:i w:val="false"/>
          <w:caps w:val="false"/>
          <w:smallCaps w:val="false"/>
          <w:color w:val="000000"/>
        </w:rPr>
        <w:t xml:space="preserve"> shall survive the expiration or earlier termination of the term of the Lease, as hereby amended.</w:t>
      </w:r>
    </w:p>
    <w:p>
      <w:pPr>
        <w:pStyle w:val="TextBody"/>
        <w:spacing w:lineRule="auto" w:line="288" w:before="240" w:after="0"/>
        <w:ind w:left="720" w:right="0" w:hanging="0"/>
        <w:jc w:val="both"/>
        <w:rPr>
          <w:b w:val="false"/>
          <w:i w:val="false"/>
          <w:caps w:val="false"/>
          <w:smallCaps w:val="false"/>
        </w:rPr>
      </w:pPr>
      <w:bookmarkStart w:id="105" w:name="_Hlk58249270"/>
      <w:bookmarkEnd w:id="105"/>
      <w:r>
        <w:rPr>
          <w:b w:val="false"/>
          <w:i w:val="false"/>
          <w:caps w:val="false"/>
          <w:smallCaps w:val="false"/>
        </w:rPr>
        <w:t>9.</w:t>
      </w:r>
      <w:r>
        <w:rPr>
          <w:b/>
          <w:i w:val="false"/>
          <w:caps w:val="false"/>
          <w:smallCaps w:val="false"/>
          <w:color w:val="000000"/>
          <w:u w:val="single"/>
        </w:rPr>
        <w:t>Right of First Offer</w:t>
      </w:r>
      <w:r>
        <w:rPr>
          <w:b w:val="false"/>
          <w:i w:val="false"/>
          <w:caps w:val="false"/>
          <w:smallCaps w:val="false"/>
          <w:color w:val="000000"/>
        </w:rPr>
        <w:t>.  Landlord hereby grants to the named Tenant in this Third Amendment (the "</w:t>
      </w:r>
      <w:r>
        <w:rPr>
          <w:b/>
          <w:i w:val="false"/>
          <w:caps w:val="false"/>
          <w:smallCaps w:val="false"/>
          <w:color w:val="000000"/>
        </w:rPr>
        <w:t>Original Tenant</w:t>
      </w:r>
      <w:r>
        <w:rPr>
          <w:b w:val="false"/>
          <w:i w:val="false"/>
          <w:caps w:val="false"/>
          <w:smallCaps w:val="false"/>
          <w:color w:val="000000"/>
        </w:rPr>
        <w:t>"), and any Permitted Transferee or Permitted Assignee, an ongoing right of first offer with respect to (i) that certain space on the second (2nd) floor of the Building containing 5,846 rentable square feet of space commonly known as Suite 202, and (ii) that certain space on the second (2nd) floor of the Building containing 5,858 rentable square feet of space commonly known as Suite 205 (collectively, the "</w:t>
      </w:r>
      <w:r>
        <w:rPr>
          <w:b/>
          <w:i w:val="false"/>
          <w:caps w:val="false"/>
          <w:smallCaps w:val="false"/>
          <w:color w:val="000000"/>
        </w:rPr>
        <w:t>First Offer Space</w:t>
      </w:r>
      <w:r>
        <w:rPr>
          <w:b w:val="false"/>
          <w:i w:val="false"/>
          <w:caps w:val="false"/>
          <w:smallCaps w:val="false"/>
          <w:color w:val="000000"/>
        </w:rPr>
        <w:t>").  Notwithstanding the foregoing, such first offer right of Tenant shall be subordinate to the existing leases of the First Offer Space (including renewals of any such lease, irrespective of whether any such renewal is currently set forth in such lease or is subsequently granted or agreed upon, and regardless of whether such renewal is consummated pursuant to a lease amendment or a new lease).  Such right of first offer shall also be subordinate to all rights of other tenants of the Project, which rights relate to the First Offer Space and are, as of the date hereof, expressly set forth in existing leases of space in the Project, including, without limitation, any expansion, first offer, first refusal, first negotiation and other similar rights, regardless of whether such rights are executed strictly in accordance with their respective terms or pursuant to a lease amendment or a new lease (the "</w:t>
      </w:r>
      <w:r>
        <w:rPr>
          <w:b/>
          <w:i w:val="false"/>
          <w:caps w:val="false"/>
          <w:smallCaps w:val="false"/>
          <w:color w:val="000000"/>
        </w:rPr>
        <w:t>Superior Rights</w:t>
      </w:r>
      <w:r>
        <w:rPr>
          <w:b w:val="false"/>
          <w:i w:val="false"/>
          <w:caps w:val="false"/>
          <w:smallCaps w:val="false"/>
          <w:color w:val="000000"/>
        </w:rPr>
        <w:t xml:space="preserve">").  Notwithstanding any contrary provision in the lease of any Superior Right Holder, such existing rights of any Superior Right Holder shall continue to be Superior Rights in the event that such Superior Right Holder's lease is renewed or otherwise modified (and irrespective of whether any such renewal is currently set forth in such lease or is subsequently granted or agreed upon, and regardless of whether such renewal is consummated pursuant to a lease amendment or a new lease).  All such current tenants of the First Offer Space, all such third party tenants in the Project holding Superior Rights, and all tenants under "Intervening Leases," as that term is defined in </w:t>
      </w:r>
      <w:r>
        <w:rPr>
          <w:b w:val="false"/>
          <w:i w:val="false"/>
          <w:caps w:val="false"/>
          <w:smallCaps w:val="false"/>
          <w:color w:val="000000"/>
          <w:u w:val="single"/>
        </w:rPr>
        <w:t>Section 9.5</w:t>
      </w:r>
      <w:r>
        <w:rPr>
          <w:b w:val="false"/>
          <w:i w:val="false"/>
          <w:caps w:val="false"/>
          <w:smallCaps w:val="false"/>
          <w:color w:val="000000"/>
        </w:rPr>
        <w:t>, below, are collectively referred to as the "</w:t>
      </w:r>
      <w:r>
        <w:rPr>
          <w:b/>
          <w:i w:val="false"/>
          <w:caps w:val="false"/>
          <w:smallCaps w:val="false"/>
          <w:color w:val="000000"/>
        </w:rPr>
        <w:t>Superior Right Holders</w:t>
      </w:r>
      <w:r>
        <w:rPr>
          <w:b w:val="false"/>
          <w:i w:val="false"/>
          <w:caps w:val="false"/>
          <w:smallCaps w:val="false"/>
          <w:color w:val="000000"/>
        </w:rPr>
        <w:t xml:space="preserve">".  Tenant's right of first offer shall be on the terms and conditions set forth in this </w:t>
      </w:r>
      <w:r>
        <w:rPr>
          <w:b w:val="false"/>
          <w:i w:val="false"/>
          <w:caps w:val="false"/>
          <w:smallCaps w:val="false"/>
          <w:color w:val="000000"/>
          <w:u w:val="single"/>
        </w:rPr>
        <w:t>Section 9</w:t>
      </w:r>
      <w:r>
        <w:rPr>
          <w:b w:val="false"/>
          <w:i w:val="false"/>
          <w:caps w:val="false"/>
          <w:smallCaps w:val="false"/>
          <w:color w:val="000000"/>
        </w:rPr>
        <w:t xml:space="preserve">. </w:t>
      </w:r>
    </w:p>
    <w:p>
      <w:pPr>
        <w:pStyle w:val="TextBody"/>
        <w:spacing w:before="240" w:after="0"/>
        <w:ind w:left="720" w:right="0" w:hanging="0"/>
        <w:jc w:val="both"/>
        <w:rPr>
          <w:b w:val="false"/>
          <w:i w:val="false"/>
          <w:caps w:val="false"/>
          <w:smallCaps w:val="false"/>
        </w:rPr>
      </w:pPr>
      <w:r>
        <w:rPr>
          <w:b w:val="false"/>
          <w:i w:val="false"/>
          <w:caps w:val="false"/>
          <w:smallCaps w:val="false"/>
        </w:rPr>
        <w:t>9.1.</w:t>
      </w:r>
      <w:r>
        <w:rPr>
          <w:b/>
          <w:i w:val="false"/>
          <w:caps w:val="false"/>
          <w:smallCaps w:val="false"/>
          <w:color w:val="000000"/>
          <w:u w:val="single"/>
        </w:rPr>
        <w:t>Procedure for Offer</w:t>
      </w:r>
      <w:r>
        <w:rPr>
          <w:b w:val="false"/>
          <w:i w:val="false"/>
          <w:caps w:val="false"/>
          <w:smallCaps w:val="false"/>
          <w:color w:val="000000"/>
        </w:rPr>
        <w:t xml:space="preserve">.  Subject to the terms of this </w:t>
      </w:r>
      <w:r>
        <w:rPr>
          <w:b w:val="false"/>
          <w:i w:val="false"/>
          <w:caps w:val="false"/>
          <w:smallCaps w:val="false"/>
          <w:color w:val="000000"/>
          <w:u w:val="single"/>
        </w:rPr>
        <w:t>Section 9</w:t>
      </w:r>
      <w:r>
        <w:rPr>
          <w:b w:val="false"/>
          <w:i w:val="false"/>
          <w:caps w:val="false"/>
          <w:smallCaps w:val="false"/>
          <w:color w:val="000000"/>
        </w:rPr>
        <w:t>, Landlord shall notify Tenant (the "</w:t>
      </w:r>
      <w:r>
        <w:rPr>
          <w:b/>
          <w:i w:val="false"/>
          <w:caps w:val="false"/>
          <w:smallCaps w:val="false"/>
          <w:color w:val="000000"/>
        </w:rPr>
        <w:t>First Offer Notice</w:t>
      </w:r>
      <w:r>
        <w:rPr>
          <w:b w:val="false"/>
          <w:i w:val="false"/>
          <w:caps w:val="false"/>
          <w:smallCaps w:val="false"/>
          <w:color w:val="000000"/>
        </w:rPr>
        <w:t>") from time to time when the First Offer Space or any portion thereof will become available for lease to third parties, subject to the rights of any Superior Right Holder.  Pursuant to such First Offer Notice, Landlord shall offer to lease to Tenant the then available First Offer Space.  The First Offer Notice shall describe the portion of the First Offer Space then offered to Tenant and the base rent, and other fundamental material economic terms (the “</w:t>
      </w:r>
      <w:r>
        <w:rPr>
          <w:b/>
          <w:i w:val="false"/>
          <w:caps w:val="false"/>
          <w:smallCaps w:val="false"/>
          <w:color w:val="000000"/>
        </w:rPr>
        <w:t>Fundamental Terms</w:t>
      </w:r>
      <w:r>
        <w:rPr>
          <w:b w:val="false"/>
          <w:i w:val="false"/>
          <w:caps w:val="false"/>
          <w:smallCaps w:val="false"/>
          <w:color w:val="000000"/>
        </w:rPr>
        <w:t>”) upon which Landlord is willing to lease such space.  </w:t>
      </w:r>
    </w:p>
    <w:tbl>
      <w:tblPr>
        <w:tblW w:w="3615" w:type="dxa"/>
        <w:jc w:val="left"/>
        <w:tblInd w:w="0" w:type="dxa"/>
        <w:tblCellMar>
          <w:top w:w="0" w:type="dxa"/>
          <w:left w:w="0" w:type="dxa"/>
          <w:bottom w:w="0" w:type="dxa"/>
          <w:right w:w="0" w:type="dxa"/>
        </w:tblCellMar>
      </w:tblPr>
      <w:tblGrid>
        <w:gridCol w:w="1595"/>
        <w:gridCol w:w="245"/>
        <w:gridCol w:w="1775"/>
      </w:tblGrid>
      <w:tr>
        <w:trPr/>
        <w:tc>
          <w:tcPr>
            <w:tcW w:w="159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24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827072.04/WLA</w:t>
            </w:r>
          </w:p>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377097.00004/3-7-21//gjn</w:t>
            </w:r>
          </w:p>
        </w:tc>
        <w:tc>
          <w:tcPr>
            <w:tcW w:w="24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775" w:type="dxa"/>
            <w:tcBorders/>
            <w:shd w:fill="auto" w:val="clear"/>
            <w:vAlign w:val="bottom"/>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HCP LIFE SCIENCE REIT, INC.</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[Third Amendment]</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[Nkarta, Inc.]</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240" w:after="0"/>
        <w:ind w:left="720" w:right="0" w:hanging="0"/>
        <w:jc w:val="both"/>
        <w:rPr>
          <w:b w:val="false"/>
          <w:i w:val="false"/>
          <w:caps w:val="false"/>
          <w:smallCaps w:val="false"/>
        </w:rPr>
      </w:pPr>
      <w:r>
        <w:rPr>
          <w:b w:val="false"/>
          <w:i w:val="false"/>
          <w:caps w:val="false"/>
          <w:smallCaps w:val="false"/>
          <w:strike w:val="false"/>
          <w:dstrike w:val="false"/>
          <w:u w:val="none"/>
          <w:effect w:val="none"/>
        </w:rPr>
        <w:t>9.2.</w:t>
      </w:r>
      <w:r>
        <w:rPr>
          <w:b/>
          <w:i w:val="false"/>
          <w:caps w:val="false"/>
          <w:smallCaps w:val="false"/>
          <w:color w:val="000000"/>
          <w:u w:val="single"/>
        </w:rPr>
        <w:t>Procedure for Acceptance</w:t>
      </w:r>
      <w:r>
        <w:rPr>
          <w:b w:val="false"/>
          <w:i w:val="false"/>
          <w:caps w:val="false"/>
          <w:smallCaps w:val="false"/>
          <w:color w:val="000000"/>
        </w:rPr>
        <w:t>.  If Tenant wishes to exercise Tenant's right of first offer with respect to the space described in the First Offer Notice, then within seven (7) business days of delivery of the First Offer Notice to Tenant, Tenant shall deliver notice to Landlord (the "</w:t>
      </w:r>
      <w:r>
        <w:rPr>
          <w:b/>
          <w:i w:val="false"/>
          <w:caps w:val="false"/>
          <w:smallCaps w:val="false"/>
          <w:color w:val="000000"/>
        </w:rPr>
        <w:t>First Offer Exercise Notice</w:t>
      </w:r>
      <w:r>
        <w:rPr>
          <w:b w:val="false"/>
          <w:i w:val="false"/>
          <w:caps w:val="false"/>
          <w:smallCaps w:val="false"/>
          <w:color w:val="000000"/>
        </w:rPr>
        <w:t>") of Tenant's election to exercise its right of first offer with respect to the entire space described in the First Offer Notice on the terms contained in such notice.  If Tenant does not so notify Landlord within such seven (7) business day period, then Landlord shall be free to lease the space described in the First Offer Notice to anyone to whom Landlord desires on any terms Landlord desires; provided, that prior to entering a lease with a third party tenant on economic terms which, on a net effective, present value basis, are more than 10% more favorable to the tenant than the Fundamental Terms contained in the First Offer Notice, Landlord shall first deliver a revised First Offer Notice to Tenant on such more favorable terms in accordance with the procedure set forth above and Tenant shall respond to any such “re-offer” within five (5) business days after delivery of such “re-offer” notice.  Notwithstanding anything to the contrary contained herein, Tenant must elect to exercise its right of first offer, if at all, with respect to all of the space offered by Landlord to Tenant in the particular First Offer Notice, and Tenant may not elect to lease only a portion thereof.  </w:t>
      </w:r>
    </w:p>
    <w:p>
      <w:pPr>
        <w:pStyle w:val="TextBody"/>
        <w:spacing w:before="240" w:after="0"/>
        <w:ind w:left="720" w:right="0" w:hanging="0"/>
        <w:jc w:val="both"/>
        <w:rPr>
          <w:b w:val="false"/>
          <w:i w:val="false"/>
          <w:caps w:val="false"/>
          <w:smallCaps w:val="false"/>
        </w:rPr>
      </w:pPr>
      <w:r>
        <w:rPr>
          <w:b w:val="false"/>
          <w:i w:val="false"/>
          <w:caps w:val="false"/>
          <w:smallCaps w:val="false"/>
        </w:rPr>
        <w:t>9.3.</w:t>
      </w:r>
      <w:r>
        <w:rPr>
          <w:b/>
          <w:i w:val="false"/>
          <w:caps w:val="false"/>
          <w:smallCaps w:val="false"/>
          <w:color w:val="000000"/>
          <w:u w:val="single"/>
        </w:rPr>
        <w:t>Construction In First Offer Space</w:t>
      </w:r>
      <w:r>
        <w:rPr>
          <w:b w:val="false"/>
          <w:i w:val="false"/>
          <w:caps w:val="false"/>
          <w:smallCaps w:val="false"/>
          <w:color w:val="000000"/>
        </w:rPr>
        <w:t xml:space="preserve">.  (i) Tenant shall take the First Offer Space in its "as is" condition, and (ii) the construction of improvements in the First Offer Space shall comply with the terms of </w:t>
      </w:r>
      <w:r>
        <w:rPr>
          <w:b w:val="false"/>
          <w:i w:val="false"/>
          <w:caps w:val="false"/>
          <w:smallCaps w:val="false"/>
          <w:color w:val="000000"/>
          <w:u w:val="single"/>
        </w:rPr>
        <w:t>Article 8</w:t>
      </w:r>
      <w:r>
        <w:rPr>
          <w:b w:val="false"/>
          <w:i w:val="false"/>
          <w:caps w:val="false"/>
          <w:smallCaps w:val="false"/>
          <w:color w:val="000000"/>
        </w:rPr>
        <w:t xml:space="preserve"> of the Original Lease (in each instance of clauses (i) and (ii), unless otherwise agreed to by the parties). Any improvement allowance to which Tenant may be entitled or Landlord’s work to be performed shall be as set forth in the First Offer Notice.</w:t>
      </w:r>
    </w:p>
    <w:p>
      <w:pPr>
        <w:pStyle w:val="TextBody"/>
        <w:spacing w:before="240" w:after="0"/>
        <w:ind w:left="720" w:right="0" w:hanging="0"/>
        <w:jc w:val="both"/>
        <w:rPr>
          <w:b w:val="false"/>
          <w:i w:val="false"/>
          <w:caps w:val="false"/>
          <w:smallCaps w:val="false"/>
        </w:rPr>
      </w:pPr>
      <w:r>
        <w:rPr>
          <w:b w:val="false"/>
          <w:i w:val="false"/>
          <w:caps w:val="false"/>
          <w:smallCaps w:val="false"/>
        </w:rPr>
        <w:t>9.4.</w:t>
      </w:r>
      <w:r>
        <w:rPr>
          <w:b/>
          <w:i w:val="false"/>
          <w:caps w:val="false"/>
          <w:smallCaps w:val="false"/>
          <w:color w:val="000000"/>
          <w:u w:val="single"/>
        </w:rPr>
        <w:t>Amendment to Lease</w:t>
      </w:r>
      <w:r>
        <w:rPr>
          <w:b w:val="false"/>
          <w:i w:val="false"/>
          <w:caps w:val="false"/>
          <w:smallCaps w:val="false"/>
          <w:color w:val="000000"/>
        </w:rPr>
        <w:t xml:space="preserve">.  If Tenant timely exercises Tenant's right to lease the First Offer Space as set forth herein, then Landlord and Tenant shall within thirty (30) days thereafter execute an amendment to the Lease for such First Offer Space upon the terms and conditions as set forth in the First Offer Notice and this </w:t>
      </w:r>
      <w:r>
        <w:rPr>
          <w:b w:val="false"/>
          <w:i w:val="false"/>
          <w:caps w:val="false"/>
          <w:smallCaps w:val="false"/>
          <w:color w:val="000000"/>
          <w:u w:val="single"/>
        </w:rPr>
        <w:t>Section 9</w:t>
      </w:r>
      <w:r>
        <w:rPr>
          <w:b w:val="false"/>
          <w:i w:val="false"/>
          <w:caps w:val="false"/>
          <w:smallCaps w:val="false"/>
          <w:color w:val="000000"/>
        </w:rPr>
        <w:t>.  Tenant shall commence payment of rent for the First Offer Space, and the term of Tenant's lease of the First Offer Space shall commence on the date set forth in the First Offer Notice (the "</w:t>
      </w:r>
      <w:r>
        <w:rPr>
          <w:b/>
          <w:i w:val="false"/>
          <w:caps w:val="false"/>
          <w:smallCaps w:val="false"/>
          <w:color w:val="000000"/>
        </w:rPr>
        <w:t>First Offer Commencement Date</w:t>
      </w:r>
      <w:r>
        <w:rPr>
          <w:b w:val="false"/>
          <w:i w:val="false"/>
          <w:caps w:val="false"/>
          <w:smallCaps w:val="false"/>
          <w:color w:val="000000"/>
        </w:rPr>
        <w:t>") and shall terminate on the date set forth in the First Offer Notice.</w:t>
      </w:r>
    </w:p>
    <w:p>
      <w:pPr>
        <w:pStyle w:val="TextBody"/>
        <w:spacing w:before="240" w:after="0"/>
        <w:ind w:left="720" w:right="0" w:hanging="0"/>
        <w:jc w:val="both"/>
        <w:rPr>
          <w:b w:val="false"/>
          <w:i w:val="false"/>
          <w:caps w:val="false"/>
          <w:smallCaps w:val="false"/>
        </w:rPr>
      </w:pPr>
      <w:r>
        <w:rPr>
          <w:b w:val="false"/>
          <w:i w:val="false"/>
          <w:caps w:val="false"/>
          <w:smallCaps w:val="false"/>
        </w:rPr>
        <w:t>9.5.</w:t>
      </w:r>
      <w:r>
        <w:rPr>
          <w:b/>
          <w:i w:val="false"/>
          <w:caps w:val="false"/>
          <w:smallCaps w:val="false"/>
          <w:color w:val="000000"/>
          <w:u w:val="single"/>
        </w:rPr>
        <w:t>Termination of Right of First Offer</w:t>
      </w:r>
      <w:r>
        <w:rPr>
          <w:b w:val="false"/>
          <w:i w:val="false"/>
          <w:caps w:val="false"/>
          <w:smallCaps w:val="false"/>
          <w:color w:val="000000"/>
        </w:rPr>
        <w:t xml:space="preserve">.  Tenant's rights under this </w:t>
      </w:r>
      <w:r>
        <w:rPr>
          <w:b w:val="false"/>
          <w:i w:val="false"/>
          <w:caps w:val="false"/>
          <w:smallCaps w:val="false"/>
          <w:color w:val="000000"/>
          <w:u w:val="single"/>
        </w:rPr>
        <w:t>Section 9</w:t>
      </w:r>
      <w:r>
        <w:rPr>
          <w:b w:val="false"/>
          <w:i w:val="false"/>
          <w:caps w:val="false"/>
          <w:smallCaps w:val="false"/>
          <w:color w:val="000000"/>
        </w:rPr>
        <w:t xml:space="preserve"> shall be personal to the Original Tenant, and any Permitted Transferee or Permitted Assignee, and may only be exercised by the Original Tenant, and any Permitted Transferee or Permitted Assignee (and not any assignee (other than a Permitted Transferee or a Permitted Assignee), sublessee or other transferee of the Original Tenant's interest in the Lease), as the case may be, if the Original Tenant, or Permitted Transferee or Permitted Assignee, as the case may be, occupies the entire Premises.  The right of first offer granted herein shall not terminate as to particular First Offer Space upon the failure by Tenant to exercise its right of first offer with respect to such First Offer Space as offered by Landlord and Landlord shall re-offer such space to Tenant upon the expiration or earlier termination of any lease (an "</w:t>
      </w:r>
      <w:r>
        <w:rPr>
          <w:b/>
          <w:i w:val="false"/>
          <w:caps w:val="false"/>
          <w:smallCaps w:val="false"/>
          <w:color w:val="000000"/>
        </w:rPr>
        <w:t>Intervening Leas</w:t>
      </w:r>
      <w:r>
        <w:rPr>
          <w:b w:val="false"/>
          <w:i w:val="false"/>
          <w:caps w:val="false"/>
          <w:smallCaps w:val="false"/>
          <w:color w:val="000000"/>
        </w:rPr>
        <w:t xml:space="preserve">e") entered into by Landlord following Tenant's failure to timely exercise its right to lease the First Offer Space, subject, however, to Landlord's right to renew any such Intervening Lease, irrespective of whether any such renewal is initially set forth in such lease or is subsequently granted or agreed upon, and regardless of whether any such renewal is exercised strictly in accordance with its terms or pursuant to a lease amendment or a new lease.  In addition, any expansion or similar rights granted under an Intervening Lease shall be deemed to be "Superior Rights", and the tenant under any Intervening Lease shall be a "Superior Right Holder". Tenant shall not have the right to lease First Offer Space, </w:t>
      </w:r>
    </w:p>
    <w:tbl>
      <w:tblPr>
        <w:tblW w:w="3615" w:type="dxa"/>
        <w:jc w:val="left"/>
        <w:tblInd w:w="0" w:type="dxa"/>
        <w:tblCellMar>
          <w:top w:w="0" w:type="dxa"/>
          <w:left w:w="0" w:type="dxa"/>
          <w:bottom w:w="0" w:type="dxa"/>
          <w:right w:w="0" w:type="dxa"/>
        </w:tblCellMar>
      </w:tblPr>
      <w:tblGrid>
        <w:gridCol w:w="1595"/>
        <w:gridCol w:w="245"/>
        <w:gridCol w:w="1775"/>
      </w:tblGrid>
      <w:tr>
        <w:trPr/>
        <w:tc>
          <w:tcPr>
            <w:tcW w:w="159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24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827072.04/WLA</w:t>
            </w:r>
          </w:p>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377097.00004/3-7-21//gjn</w:t>
            </w:r>
          </w:p>
        </w:tc>
        <w:tc>
          <w:tcPr>
            <w:tcW w:w="24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775" w:type="dxa"/>
            <w:tcBorders/>
            <w:shd w:fill="auto" w:val="clear"/>
            <w:vAlign w:val="bottom"/>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HCP LIFE SCIENCE REIT, INC.</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[Third Amendment]</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[Nkarta, Inc.]</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240" w:after="0"/>
        <w:jc w:val="both"/>
        <w:rPr>
          <w:b w:val="false"/>
          <w:i w:val="false"/>
          <w:caps w:val="false"/>
          <w:smallCaps w:val="false"/>
        </w:rPr>
      </w:pPr>
      <w:r>
        <w:rPr>
          <w:b w:val="false"/>
          <w:i w:val="false"/>
          <w:caps w:val="false"/>
          <w:smallCaps w:val="false"/>
          <w:color w:val="000000"/>
        </w:rPr>
        <w:t xml:space="preserve">as provided in this </w:t>
      </w:r>
      <w:r>
        <w:rPr>
          <w:b w:val="false"/>
          <w:i w:val="false"/>
          <w:caps w:val="false"/>
          <w:smallCaps w:val="false"/>
          <w:color w:val="000000"/>
          <w:u w:val="single"/>
        </w:rPr>
        <w:t>Section 9</w:t>
      </w:r>
      <w:r>
        <w:rPr>
          <w:b w:val="false"/>
          <w:i w:val="false"/>
          <w:caps w:val="false"/>
          <w:smallCaps w:val="false"/>
          <w:color w:val="000000"/>
        </w:rPr>
        <w:t>, if, as of the date of the attempted exercise of any right of first offer by Tenant, or, at Landlord's option, as of the scheduled date of delivery of such First Offer Space to Tenant, Tenant is then in default under the Lease, as amended, beyond the expiration of any applicable notice and cure period set forth in the Lease, as amended.</w:t>
      </w:r>
    </w:p>
    <w:p>
      <w:pPr>
        <w:pStyle w:val="TextBody"/>
        <w:spacing w:before="240" w:after="0"/>
        <w:ind w:left="720" w:right="0" w:hanging="0"/>
        <w:jc w:val="both"/>
        <w:rPr>
          <w:b w:val="false"/>
          <w:i w:val="false"/>
          <w:caps w:val="false"/>
          <w:smallCaps w:val="false"/>
        </w:rPr>
      </w:pPr>
      <w:r>
        <w:rPr>
          <w:b w:val="false"/>
          <w:i w:val="false"/>
          <w:caps w:val="false"/>
          <w:smallCaps w:val="false"/>
        </w:rPr>
        <w:t>10.</w:t>
      </w:r>
      <w:r>
        <w:rPr>
          <w:b/>
          <w:i w:val="false"/>
          <w:caps w:val="false"/>
          <w:smallCaps w:val="false"/>
          <w:color w:val="000000"/>
          <w:u w:val="single"/>
        </w:rPr>
        <w:t>Parking</w:t>
      </w:r>
      <w:r>
        <w:rPr>
          <w:b w:val="false"/>
          <w:i w:val="false"/>
          <w:caps w:val="false"/>
          <w:smallCaps w:val="false"/>
          <w:color w:val="000000"/>
        </w:rPr>
        <w:t>.  Effective as of the Third Expansion Commencement Date and continuing throughout the Third Expansion Term, Tenant shall be entitled to rent up to sixteen (16) additional unreserved parking passes (i.e., three (3) unreserved parking passes per 1,000 rentable square feet of the Third Expansion Premises) in connection with Tenant's lease of the Third Expansion Premises (the "</w:t>
      </w:r>
      <w:r>
        <w:rPr>
          <w:b/>
          <w:i w:val="false"/>
          <w:caps w:val="false"/>
          <w:smallCaps w:val="false"/>
          <w:color w:val="000000"/>
        </w:rPr>
        <w:t>Third Expansion Parking Passes</w:t>
      </w:r>
      <w:r>
        <w:rPr>
          <w:b w:val="false"/>
          <w:i w:val="false"/>
          <w:caps w:val="false"/>
          <w:smallCaps w:val="false"/>
          <w:color w:val="000000"/>
        </w:rPr>
        <w:t>"), subject to and in accordance with the terms of the Lease.  </w:t>
      </w:r>
    </w:p>
    <w:p>
      <w:pPr>
        <w:pStyle w:val="TextBody"/>
        <w:spacing w:before="240" w:after="0"/>
        <w:ind w:left="720" w:right="0" w:hanging="0"/>
        <w:jc w:val="both"/>
        <w:rPr>
          <w:b w:val="false"/>
          <w:i w:val="false"/>
          <w:caps w:val="false"/>
          <w:smallCaps w:val="false"/>
        </w:rPr>
      </w:pPr>
      <w:r>
        <w:rPr>
          <w:b w:val="false"/>
          <w:i w:val="false"/>
          <w:caps w:val="false"/>
          <w:smallCaps w:val="false"/>
        </w:rPr>
        <w:t>11.</w:t>
      </w:r>
      <w:r>
        <w:rPr>
          <w:b/>
          <w:i w:val="false"/>
          <w:caps w:val="false"/>
          <w:smallCaps w:val="false"/>
          <w:color w:val="000000"/>
          <w:u w:val="single"/>
        </w:rPr>
        <w:t>Emergency Generator</w:t>
      </w:r>
      <w:r>
        <w:rPr>
          <w:b w:val="false"/>
          <w:i w:val="false"/>
          <w:caps w:val="false"/>
          <w:smallCaps w:val="false"/>
          <w:color w:val="000000"/>
        </w:rPr>
        <w:t xml:space="preserve">.  Landlord and Tenant hereby acknowledge that Tenant shall have the right to increase its use of the Emergency Generator in the Premises, in proportion to the expansion thereof by the addition of the Third Expansion Premises, subject to and in accordance with </w:t>
      </w:r>
      <w:r>
        <w:rPr>
          <w:b w:val="false"/>
          <w:i w:val="false"/>
          <w:caps w:val="false"/>
          <w:smallCaps w:val="false"/>
          <w:color w:val="000000"/>
          <w:u w:val="single"/>
        </w:rPr>
        <w:t>Section 6.5</w:t>
      </w:r>
      <w:r>
        <w:rPr>
          <w:b w:val="false"/>
          <w:i w:val="false"/>
          <w:caps w:val="false"/>
          <w:smallCaps w:val="false"/>
          <w:color w:val="000000"/>
        </w:rPr>
        <w:t xml:space="preserve"> of the Lease.  </w:t>
      </w:r>
    </w:p>
    <w:p>
      <w:pPr>
        <w:pStyle w:val="TextBody"/>
        <w:spacing w:before="240" w:after="0"/>
        <w:ind w:left="720" w:right="0" w:hanging="0"/>
        <w:jc w:val="both"/>
        <w:rPr>
          <w:b w:val="false"/>
          <w:i w:val="false"/>
          <w:caps w:val="false"/>
          <w:smallCaps w:val="false"/>
        </w:rPr>
      </w:pPr>
      <w:r>
        <w:rPr>
          <w:b w:val="false"/>
          <w:i w:val="false"/>
          <w:caps w:val="false"/>
          <w:smallCaps w:val="false"/>
        </w:rPr>
        <w:t>12.</w:t>
      </w:r>
      <w:r>
        <w:rPr>
          <w:b/>
          <w:i w:val="false"/>
          <w:caps w:val="false"/>
          <w:smallCaps w:val="false"/>
          <w:color w:val="000000"/>
          <w:u w:val="single"/>
        </w:rPr>
        <w:t>Increase in L-C Amount</w:t>
      </w:r>
      <w:r>
        <w:rPr>
          <w:b w:val="false"/>
          <w:i w:val="false"/>
          <w:caps w:val="false"/>
          <w:smallCaps w:val="false"/>
          <w:color w:val="000000"/>
        </w:rPr>
        <w:t>.  The "L-C", as that term is defined in Section 21.1 of the Lease, currently held by Landlord is in the amount of $412,913.48.  In connection with this Third Amendment, Landlord and Tenant herby agree that the L-C Amount shall be increased by an amount equal to $38,999.56, such that the L-C Amount shall be equal to a new total amount of $451,913.04 (the "</w:t>
      </w:r>
      <w:r>
        <w:rPr>
          <w:b/>
          <w:i w:val="false"/>
          <w:caps w:val="false"/>
          <w:smallCaps w:val="false"/>
          <w:color w:val="000000"/>
        </w:rPr>
        <w:t>New L-C Amount</w:t>
      </w:r>
      <w:r>
        <w:rPr>
          <w:b w:val="false"/>
          <w:i w:val="false"/>
          <w:caps w:val="false"/>
          <w:smallCaps w:val="false"/>
          <w:color w:val="000000"/>
        </w:rPr>
        <w:t xml:space="preserve">").  Accordingly, on or prior to the Third Expansion Commencement Date, Tenant shall provide Landlord with an amendment to the L-C (in form and content reasonably acceptable to Landlord) in order that the L-C, as amended, is in the New L-C Amount. </w:t>
      </w:r>
    </w:p>
    <w:p>
      <w:pPr>
        <w:pStyle w:val="TextBody"/>
        <w:spacing w:before="240" w:after="0"/>
        <w:ind w:left="720" w:right="0" w:hanging="0"/>
        <w:jc w:val="both"/>
        <w:rPr>
          <w:b w:val="false"/>
          <w:i w:val="false"/>
          <w:caps w:val="false"/>
          <w:smallCaps w:val="false"/>
        </w:rPr>
      </w:pPr>
      <w:r>
        <w:rPr>
          <w:b w:val="false"/>
          <w:i w:val="false"/>
          <w:caps w:val="false"/>
          <w:smallCaps w:val="false"/>
        </w:rPr>
        <w:t>13.</w:t>
      </w:r>
      <w:r>
        <w:rPr>
          <w:b/>
          <w:i w:val="false"/>
          <w:caps w:val="false"/>
          <w:smallCaps w:val="false"/>
          <w:color w:val="000000"/>
          <w:u w:val="single"/>
        </w:rPr>
        <w:t>Certified Access Specialist</w:t>
      </w:r>
      <w:r>
        <w:rPr>
          <w:b w:val="false"/>
          <w:i w:val="false"/>
          <w:caps w:val="false"/>
          <w:smallCaps w:val="false"/>
          <w:color w:val="000000"/>
        </w:rPr>
        <w:t>.  For purposes of Section 1938 of the California Civil Code, Landlord hereby discloses to Tenant, and Tenant hereby acknowledges, that the Third Expansion Premises have not undergone inspection by a Certified Access Specialist (CASp).  </w:t>
      </w:r>
    </w:p>
    <w:p>
      <w:pPr>
        <w:pStyle w:val="TextBody"/>
        <w:spacing w:before="240" w:after="0"/>
        <w:ind w:left="720" w:right="0" w:hanging="0"/>
        <w:jc w:val="both"/>
        <w:rPr>
          <w:b w:val="false"/>
          <w:i w:val="false"/>
          <w:caps w:val="false"/>
          <w:smallCaps w:val="false"/>
        </w:rPr>
      </w:pPr>
      <w:r>
        <w:rPr>
          <w:b w:val="false"/>
          <w:i w:val="false"/>
          <w:caps w:val="false"/>
          <w:smallCaps w:val="false"/>
        </w:rPr>
        <w:t>14.</w:t>
      </w:r>
      <w:r>
        <w:rPr>
          <w:b/>
          <w:i w:val="false"/>
          <w:caps w:val="false"/>
          <w:smallCaps w:val="false"/>
          <w:color w:val="000000"/>
          <w:u w:val="single"/>
        </w:rPr>
        <w:t>No Further Modification; Conflict</w:t>
      </w:r>
      <w:r>
        <w:rPr>
          <w:b w:val="false"/>
          <w:i w:val="false"/>
          <w:caps w:val="false"/>
          <w:smallCaps w:val="false"/>
          <w:color w:val="000000"/>
        </w:rPr>
        <w:t>.  Except as set forth in this Third Amendment, all of the terms and provisions of the Lease shall apply with respect to the Third Expansion Premises and shall remain unmodified and in full force and effect.  In the event of a conflict between the Lease and this Third Amendment, the terms of this Third Amendment shall prevail.</w:t>
      </w:r>
    </w:p>
    <w:p>
      <w:pPr>
        <w:pStyle w:val="TextBody"/>
        <w:spacing w:before="240" w:after="0"/>
        <w:ind w:left="720" w:right="0" w:hanging="0"/>
        <w:jc w:val="both"/>
        <w:rPr>
          <w:b w:val="false"/>
          <w:i w:val="false"/>
          <w:caps w:val="false"/>
          <w:smallCaps w:val="false"/>
        </w:rPr>
      </w:pPr>
      <w:r>
        <w:rPr>
          <w:b w:val="false"/>
          <w:i w:val="false"/>
          <w:caps w:val="false"/>
          <w:smallCaps w:val="false"/>
        </w:rPr>
        <w:t>15.</w:t>
      </w:r>
      <w:r>
        <w:rPr>
          <w:b/>
          <w:i w:val="false"/>
          <w:caps w:val="false"/>
          <w:smallCaps w:val="false"/>
          <w:color w:val="000000"/>
          <w:u w:val="single"/>
        </w:rPr>
        <w:t>No Deed of Trust</w:t>
      </w:r>
      <w:r>
        <w:rPr>
          <w:b w:val="false"/>
          <w:i w:val="false"/>
          <w:caps w:val="false"/>
          <w:smallCaps w:val="false"/>
          <w:color w:val="000000"/>
        </w:rPr>
        <w:t>.  Landlord hereby represents and warrants to Tenant that the Project is not currently subject to any ground lease, or to the lien of any mortgage or deed of trust.</w:t>
      </w:r>
    </w:p>
    <w:p>
      <w:pPr>
        <w:pStyle w:val="TextBody"/>
        <w:spacing w:before="24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[SIGNATURES APPEAR ON FOLLOWING PAGE]</w:t>
      </w:r>
    </w:p>
    <w:tbl>
      <w:tblPr>
        <w:tblW w:w="3615" w:type="dxa"/>
        <w:jc w:val="left"/>
        <w:tblInd w:w="0" w:type="dxa"/>
        <w:tblCellMar>
          <w:top w:w="0" w:type="dxa"/>
          <w:left w:w="0" w:type="dxa"/>
          <w:bottom w:w="0" w:type="dxa"/>
          <w:right w:w="0" w:type="dxa"/>
        </w:tblCellMar>
      </w:tblPr>
      <w:tblGrid>
        <w:gridCol w:w="1595"/>
        <w:gridCol w:w="245"/>
        <w:gridCol w:w="1775"/>
      </w:tblGrid>
      <w:tr>
        <w:trPr/>
        <w:tc>
          <w:tcPr>
            <w:tcW w:w="159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24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827072.04/WLA</w:t>
            </w:r>
          </w:p>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377097.00004/3-7-21//gjn</w:t>
            </w:r>
          </w:p>
        </w:tc>
        <w:tc>
          <w:tcPr>
            <w:tcW w:w="24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tc>
        <w:tc>
          <w:tcPr>
            <w:tcW w:w="1775" w:type="dxa"/>
            <w:tcBorders/>
            <w:shd w:fill="auto" w:val="clear"/>
            <w:vAlign w:val="bottom"/>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HCP LIFE SCIENCE REIT, INC.</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[Third Amendment]</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[Nkarta, Inc.]</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IN WITNESS WHEREOF, this Third Amendment has been executed as of the day and year first above written.  </w:t>
      </w:r>
    </w:p>
    <w:tbl>
      <w:tblPr>
        <w:tblW w:w="10205" w:type="dxa"/>
        <w:jc w:val="left"/>
        <w:tblInd w:w="0" w:type="dxa"/>
        <w:tblCellMar>
          <w:top w:w="0" w:type="dxa"/>
          <w:left w:w="0" w:type="dxa"/>
          <w:bottom w:w="0" w:type="dxa"/>
          <w:right w:w="0" w:type="dxa"/>
        </w:tblCellMar>
      </w:tblPr>
      <w:tblGrid>
        <w:gridCol w:w="5707"/>
        <w:gridCol w:w="4498"/>
      </w:tblGrid>
      <w:tr>
        <w:trPr/>
        <w:tc>
          <w:tcPr>
            <w:tcW w:w="5707" w:type="dxa"/>
            <w:tcBorders/>
            <w:shd w:fill="auto" w:val="clear"/>
            <w:vAlign w:val="center"/>
          </w:tcPr>
          <w:p>
            <w:pPr>
              <w:pStyle w:val="TableContents"/>
              <w:spacing w:before="0" w:after="283"/>
              <w:rPr>
                <w:sz w:val="4"/>
                <w:szCs w:val="4"/>
              </w:rPr>
            </w:pPr>
            <w:r>
              <w:rPr>
                <w:sz w:val="4"/>
                <w:szCs w:val="4"/>
              </w:rPr>
            </w:r>
          </w:p>
        </w:tc>
        <w:tc>
          <w:tcPr>
            <w:tcW w:w="4498" w:type="dxa"/>
            <w:tcBorders/>
            <w:shd w:fill="auto" w:val="clear"/>
            <w:vAlign w:val="center"/>
          </w:tcPr>
          <w:p>
            <w:pPr>
              <w:pStyle w:val="TableContents"/>
              <w:spacing w:before="0" w:after="283"/>
              <w:rPr>
                <w:sz w:val="4"/>
                <w:szCs w:val="4"/>
              </w:rPr>
            </w:pPr>
            <w:r>
              <w:rPr>
                <w:sz w:val="4"/>
                <w:szCs w:val="4"/>
              </w:rPr>
            </w:r>
          </w:p>
        </w:tc>
      </w:tr>
      <w:tr>
        <w:trPr/>
        <w:tc>
          <w:tcPr>
            <w:tcW w:w="5707" w:type="dxa"/>
            <w:tcBorders/>
            <w:shd w:fill="auto" w:val="clear"/>
          </w:tcPr>
          <w:p>
            <w:pPr>
              <w:pStyle w:val="TableContents"/>
              <w:spacing w:before="240" w:after="0"/>
              <w:ind w:left="0" w:right="0" w:hanging="0"/>
              <w:jc w:val="lef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r>
              <w:rPr>
                <w:rFonts w:ascii="Times New Roman" w:hAnsi="Times New Roman"/>
                <w:b/>
                <w:i w:val="false"/>
                <w:caps w:val="false"/>
                <w:smallCaps w:val="false"/>
                <w:sz w:val="24"/>
              </w:rPr>
              <w:t>LANDLORD</w:t>
            </w:r>
            <w:r>
              <w:rPr>
                <w:rFonts w:ascii="Times New Roman" w:hAnsi="Times New Roman"/>
                <w:b w:val="false"/>
                <w:i w:val="false"/>
                <w:caps w:val="false"/>
                <w:smallCaps w:val="false"/>
                <w:sz w:val="24"/>
              </w:rPr>
              <w:t>"</w:t>
            </w:r>
          </w:p>
        </w:tc>
        <w:tc>
          <w:tcPr>
            <w:tcW w:w="4498" w:type="dxa"/>
            <w:tcBorders/>
            <w:shd w:fill="auto" w:val="clear"/>
          </w:tcPr>
          <w:p>
            <w:pPr>
              <w:pStyle w:val="TableContents"/>
              <w:spacing w:before="240" w:after="0"/>
              <w:ind w:left="0" w:right="0" w:hanging="0"/>
              <w:jc w:val="lef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r>
              <w:rPr>
                <w:rFonts w:ascii="Times New Roman" w:hAnsi="Times New Roman"/>
                <w:b/>
                <w:i w:val="false"/>
                <w:caps w:val="false"/>
                <w:smallCaps w:val="false"/>
                <w:sz w:val="24"/>
              </w:rPr>
              <w:t>TENANT</w:t>
            </w:r>
            <w:r>
              <w:rPr>
                <w:rFonts w:ascii="Times New Roman" w:hAnsi="Times New Roman"/>
                <w:b w:val="false"/>
                <w:i w:val="false"/>
                <w:caps w:val="false"/>
                <w:smallCaps w:val="false"/>
                <w:sz w:val="24"/>
              </w:rPr>
              <w:t>"</w:t>
            </w:r>
          </w:p>
        </w:tc>
      </w:tr>
      <w:tr>
        <w:trPr/>
        <w:tc>
          <w:tcPr>
            <w:tcW w:w="5707" w:type="dxa"/>
            <w:tcBorders/>
            <w:shd w:fill="auto" w:val="clear"/>
          </w:tcPr>
          <w:p>
            <w:pPr>
              <w:pStyle w:val="TableContents"/>
              <w:spacing w:before="240" w:after="0"/>
              <w:ind w:left="0" w:right="0" w:hanging="0"/>
              <w:jc w:val="left"/>
              <w:rPr>
                <w:rFonts w:ascii="Times New Roman" w:hAnsi="Times New Roman"/>
                <w:b/>
                <w:i w:val="false"/>
                <w:caps w:val="false"/>
                <w:smallCaps w:val="false"/>
                <w:sz w:val="24"/>
              </w:rPr>
            </w:pPr>
            <w:r>
              <w:rPr>
                <w:rFonts w:ascii="Times New Roman" w:hAnsi="Times New Roman"/>
                <w:b/>
                <w:i w:val="false"/>
                <w:caps w:val="false"/>
                <w:smallCaps w:val="false"/>
                <w:sz w:val="24"/>
              </w:rPr>
              <w:t>HCP LIFE SCIENCE REIT, INC.</w:t>
            </w:r>
            <w:r>
              <w:rPr>
                <w:rFonts w:ascii="Times New Roman" w:hAnsi="Times New Roman"/>
                <w:b w:val="false"/>
                <w:i w:val="false"/>
                <w:caps w:val="false"/>
                <w:smallCaps w:val="false"/>
                <w:sz w:val="24"/>
              </w:rPr>
              <w:t>,</w:t>
            </w:r>
            <w:r>
              <w:rPr>
                <w:rFonts w:ascii="Times New Roman" w:hAnsi="Times New Roman"/>
                <w:b/>
                <w:i w:val="false"/>
                <w:caps w:val="false"/>
                <w:smallCaps w:val="false"/>
                <w:sz w:val="24"/>
              </w:rPr>
              <w:t xml:space="preserve"> </w:t>
            </w:r>
            <w:r>
              <w:rPr>
                <w:rFonts w:ascii="Times New Roman" w:hAnsi="Times New Roman"/>
                <w:b w:val="false"/>
                <w:i w:val="false"/>
                <w:caps w:val="false"/>
                <w:smallCaps w:val="false"/>
                <w:sz w:val="24"/>
              </w:rPr>
              <w:t xml:space="preserve">a Maryland corporation </w:t>
            </w:r>
          </w:p>
        </w:tc>
        <w:tc>
          <w:tcPr>
            <w:tcW w:w="4498" w:type="dxa"/>
            <w:tcBorders/>
            <w:shd w:fill="auto" w:val="clear"/>
          </w:tcPr>
          <w:p>
            <w:pPr>
              <w:pStyle w:val="TableContents"/>
              <w:spacing w:before="240" w:after="0"/>
              <w:ind w:left="12" w:right="0" w:hanging="0"/>
              <w:rPr>
                <w:rFonts w:ascii="Times New Roman" w:hAnsi="Times New Roman"/>
                <w:b/>
                <w:i w:val="false"/>
                <w:caps w:val="false"/>
                <w:smallCaps w:val="false"/>
                <w:sz w:val="24"/>
              </w:rPr>
            </w:pPr>
            <w:r>
              <w:rPr>
                <w:rFonts w:ascii="Times New Roman" w:hAnsi="Times New Roman"/>
                <w:b/>
                <w:i w:val="false"/>
                <w:caps w:val="false"/>
                <w:smallCaps w:val="false"/>
                <w:sz w:val="24"/>
              </w:rPr>
              <w:t>NKARTA, INC.</w:t>
            </w:r>
            <w:r>
              <w:rPr>
                <w:rFonts w:ascii="Times New Roman" w:hAnsi="Times New Roman"/>
                <w:b w:val="false"/>
                <w:i w:val="false"/>
                <w:caps w:val="false"/>
                <w:smallCaps w:val="false"/>
                <w:sz w:val="24"/>
              </w:rPr>
              <w:t>,</w:t>
              <w:br/>
              <w:t>a Delaware</w:t>
            </w:r>
            <w:r>
              <w:rPr>
                <w:rFonts w:ascii="Times New Roman" w:hAnsi="Times New Roman"/>
                <w:b/>
                <w:i w:val="false"/>
                <w:caps w:val="false"/>
                <w:smallCaps w:val="false"/>
                <w:sz w:val="24"/>
              </w:rPr>
              <w:t xml:space="preserve"> </w:t>
            </w:r>
            <w:r>
              <w:rPr>
                <w:rFonts w:ascii="Times New Roman" w:hAnsi="Times New Roman"/>
                <w:b w:val="false"/>
                <w:i w:val="false"/>
                <w:caps w:val="false"/>
                <w:smallCaps w:val="false"/>
                <w:sz w:val="24"/>
              </w:rPr>
              <w:t>corporation</w:t>
            </w:r>
          </w:p>
        </w:tc>
      </w:tr>
      <w:tr>
        <w:trPr/>
        <w:tc>
          <w:tcPr>
            <w:tcW w:w="5707" w:type="dxa"/>
            <w:tcBorders/>
            <w:shd w:fill="auto" w:val="clear"/>
          </w:tcPr>
          <w:p>
            <w:pPr>
              <w:pStyle w:val="TableContents"/>
              <w:spacing w:before="240" w:after="0"/>
              <w:ind w:left="0" w:right="0" w:hanging="0"/>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By:</w:t>
            </w:r>
            <w:r>
              <w:rPr>
                <w:rFonts w:ascii="Times New Roman" w:hAnsi="Times New Roman"/>
                <w:b w:val="false"/>
                <w:i w:val="false"/>
                <w:caps w:val="false"/>
                <w:smallCaps w:val="false"/>
                <w:sz w:val="24"/>
                <w:u w:val="single"/>
              </w:rPr>
              <w:t>        /s/ Scott Bohn</w:t>
            </w:r>
            <w:r>
              <w:rPr>
                <w:rFonts w:ascii="Times New Roman" w:hAnsi="Times New Roman"/>
                <w:b w:val="false"/>
                <w:i w:val="false"/>
                <w:caps w:val="false"/>
                <w:smallCaps w:val="false"/>
                <w:sz w:val="24"/>
              </w:rPr>
              <w:br/>
              <w:t>      Name:</w:t>
            </w:r>
            <w:r>
              <w:rPr>
                <w:rFonts w:ascii="Times New Roman" w:hAnsi="Times New Roman"/>
                <w:b w:val="false"/>
                <w:i w:val="false"/>
                <w:caps w:val="false"/>
                <w:smallCaps w:val="false"/>
                <w:sz w:val="24"/>
                <w:u w:val="single"/>
              </w:rPr>
              <w:t>    Scott Bohn</w:t>
            </w:r>
            <w:r>
              <w:rPr>
                <w:rFonts w:ascii="Times New Roman" w:hAnsi="Times New Roman"/>
                <w:b w:val="false"/>
                <w:i w:val="false"/>
                <w:caps w:val="false"/>
                <w:smallCaps w:val="false"/>
                <w:sz w:val="24"/>
              </w:rPr>
              <w:br/>
              <w:t>      Its:</w:t>
            </w:r>
            <w:r>
              <w:rPr>
                <w:rFonts w:ascii="Times New Roman" w:hAnsi="Times New Roman"/>
                <w:b w:val="false"/>
                <w:i w:val="false"/>
                <w:caps w:val="false"/>
                <w:smallCaps w:val="false"/>
                <w:sz w:val="24"/>
                <w:u w:val="single"/>
              </w:rPr>
              <w:t xml:space="preserve">         Senior Vice President </w:t>
            </w:r>
          </w:p>
          <w:p>
            <w:pPr>
              <w:pStyle w:val="TableContents"/>
              <w:spacing w:before="0" w:after="0"/>
              <w:ind w:left="720" w:right="0" w:hanging="720"/>
              <w:jc w:val="left"/>
              <w:rPr/>
            </w:pPr>
            <w:r>
              <w:rPr/>
              <w:t> </w:t>
            </w:r>
          </w:p>
        </w:tc>
        <w:tc>
          <w:tcPr>
            <w:tcW w:w="4498" w:type="dxa"/>
            <w:tcBorders/>
            <w:shd w:fill="auto" w:val="clear"/>
          </w:tcPr>
          <w:p>
            <w:pPr>
              <w:pStyle w:val="TableContents"/>
              <w:spacing w:before="240" w:after="0"/>
              <w:ind w:left="0" w:right="0" w:hanging="0"/>
              <w:jc w:val="lef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By:</w:t>
            </w:r>
            <w:r>
              <w:rPr>
                <w:rFonts w:ascii="Times New Roman" w:hAnsi="Times New Roman"/>
                <w:b w:val="false"/>
                <w:i w:val="false"/>
                <w:caps w:val="false"/>
                <w:smallCaps w:val="false"/>
                <w:sz w:val="24"/>
                <w:u w:val="single"/>
              </w:rPr>
              <w:t>                /s/ Paul Hastings</w:t>
            </w:r>
          </w:p>
          <w:p>
            <w:pPr>
              <w:pStyle w:val="TableContents"/>
              <w:spacing w:before="0" w:after="0"/>
              <w:ind w:left="0" w:right="0" w:hanging="0"/>
              <w:jc w:val="left"/>
              <w:rPr>
                <w:caps w:val="false"/>
                <w:smallCaps w:val="false"/>
              </w:rPr>
            </w:pPr>
            <w:r>
              <w:rPr>
                <w:caps w:val="false"/>
                <w:smallCaps w:val="false"/>
              </w:rPr>
              <w:t xml:space="preserve">     </w:t>
            </w:r>
            <w:r>
              <w:rPr>
                <w:rFonts w:ascii="Times New Roman" w:hAnsi="Times New Roman"/>
                <w:b w:val="false"/>
                <w:i w:val="false"/>
                <w:caps w:val="false"/>
                <w:smallCaps w:val="false"/>
                <w:sz w:val="24"/>
              </w:rPr>
              <w:t xml:space="preserve">Name: </w:t>
            </w:r>
            <w:r>
              <w:rPr>
                <w:rFonts w:ascii="Times New Roman" w:hAnsi="Times New Roman"/>
                <w:b w:val="false"/>
                <w:i w:val="false"/>
                <w:caps w:val="false"/>
                <w:smallCaps w:val="false"/>
                <w:sz w:val="24"/>
                <w:u w:val="single"/>
              </w:rPr>
              <w:t>         Paul Hastings</w:t>
            </w:r>
          </w:p>
          <w:p>
            <w:pPr>
              <w:pStyle w:val="TableContents"/>
              <w:spacing w:before="0" w:after="0"/>
              <w:ind w:left="0" w:right="0" w:hanging="0"/>
              <w:jc w:val="left"/>
              <w:rPr>
                <w:caps w:val="false"/>
                <w:smallCaps w:val="false"/>
              </w:rPr>
            </w:pPr>
            <w:r>
              <w:rPr>
                <w:caps w:val="false"/>
                <w:smallCaps w:val="false"/>
              </w:rPr>
              <w:t xml:space="preserve">     </w:t>
            </w:r>
            <w:r>
              <w:rPr>
                <w:rFonts w:ascii="Times New Roman" w:hAnsi="Times New Roman"/>
                <w:b w:val="false"/>
                <w:i w:val="false"/>
                <w:caps w:val="false"/>
                <w:smallCaps w:val="false"/>
                <w:sz w:val="24"/>
              </w:rPr>
              <w:t>Date:</w:t>
            </w:r>
            <w:r>
              <w:rPr>
                <w:rFonts w:ascii="Times New Roman" w:hAnsi="Times New Roman"/>
                <w:b w:val="false"/>
                <w:i w:val="false"/>
                <w:caps w:val="false"/>
                <w:smallCaps w:val="false"/>
                <w:sz w:val="24"/>
                <w:u w:val="single"/>
              </w:rPr>
              <w:t>             January 13, 2021</w:t>
            </w:r>
          </w:p>
          <w:p>
            <w:pPr>
              <w:pStyle w:val="TableContents"/>
              <w:spacing w:before="240" w:after="0"/>
              <w:ind w:left="0" w:right="0" w:hanging="0"/>
              <w:jc w:val="lef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By:</w:t>
            </w:r>
          </w:p>
          <w:p>
            <w:pPr>
              <w:pStyle w:val="TableContents"/>
              <w:spacing w:before="0" w:after="0"/>
              <w:ind w:left="0" w:right="0" w:hanging="0"/>
              <w:jc w:val="left"/>
              <w:rPr>
                <w:caps w:val="false"/>
                <w:smallCaps w:val="false"/>
              </w:rPr>
            </w:pPr>
            <w:r>
              <w:rPr>
                <w:caps w:val="false"/>
                <w:smallCaps w:val="false"/>
              </w:rPr>
              <w:t xml:space="preserve">     </w:t>
            </w:r>
            <w:r>
              <w:rPr>
                <w:rFonts w:ascii="Times New Roman" w:hAnsi="Times New Roman"/>
                <w:b w:val="false"/>
                <w:i w:val="false"/>
                <w:caps w:val="false"/>
                <w:smallCaps w:val="false"/>
                <w:sz w:val="24"/>
              </w:rPr>
              <w:t>Name:</w:t>
            </w:r>
          </w:p>
          <w:p>
            <w:pPr>
              <w:pStyle w:val="TableContents"/>
              <w:spacing w:before="0" w:after="0"/>
              <w:ind w:left="0" w:right="0" w:hanging="0"/>
              <w:jc w:val="left"/>
              <w:rPr>
                <w:caps w:val="false"/>
                <w:smallCaps w:val="false"/>
              </w:rPr>
            </w:pPr>
            <w:r>
              <w:rPr>
                <w:caps w:val="false"/>
                <w:smallCaps w:val="false"/>
              </w:rPr>
              <w:t xml:space="preserve">     </w:t>
            </w:r>
            <w:r>
              <w:rPr>
                <w:rFonts w:ascii="Times New Roman" w:hAnsi="Times New Roman"/>
                <w:b w:val="false"/>
                <w:i w:val="false"/>
                <w:caps w:val="false"/>
                <w:smallCaps w:val="false"/>
                <w:sz w:val="24"/>
              </w:rPr>
              <w:t>Date:_______________________________</w:t>
            </w:r>
          </w:p>
        </w:tc>
      </w:tr>
    </w:tbl>
    <w:p>
      <w:pPr>
        <w:pStyle w:val="TextBody"/>
        <w:spacing w:before="240" w:after="0"/>
        <w:rPr/>
      </w:pPr>
      <w:r>
        <w:rPr/>
        <w:t> </w:t>
      </w:r>
    </w:p>
    <w:tbl>
      <w:tblPr>
        <w:tblW w:w="3615" w:type="dxa"/>
        <w:jc w:val="left"/>
        <w:tblInd w:w="0" w:type="dxa"/>
        <w:tblCellMar>
          <w:top w:w="0" w:type="dxa"/>
          <w:left w:w="0" w:type="dxa"/>
          <w:bottom w:w="0" w:type="dxa"/>
          <w:right w:w="0" w:type="dxa"/>
        </w:tblCellMar>
      </w:tblPr>
      <w:tblGrid>
        <w:gridCol w:w="1595"/>
        <w:gridCol w:w="245"/>
        <w:gridCol w:w="1775"/>
      </w:tblGrid>
      <w:tr>
        <w:trPr/>
        <w:tc>
          <w:tcPr>
            <w:tcW w:w="159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24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827072.04/WLA</w:t>
            </w:r>
          </w:p>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377097.00004/3-7-21//gjn</w:t>
            </w:r>
          </w:p>
        </w:tc>
        <w:tc>
          <w:tcPr>
            <w:tcW w:w="24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tc>
        <w:tc>
          <w:tcPr>
            <w:tcW w:w="1775" w:type="dxa"/>
            <w:tcBorders/>
            <w:shd w:fill="auto" w:val="clear"/>
            <w:vAlign w:val="bottom"/>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HCP LIFE SCIENCE REIT, INC.</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[Third Amendment]</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[Nkarta, Inc.]</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EXHIBIT A</w:t>
      </w:r>
    </w:p>
    <w:p>
      <w:pPr>
        <w:pStyle w:val="TextBody"/>
        <w:spacing w:before="240" w:after="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OUTLINE OF THIRD EXPANSION PREMISES</w:t>
      </w:r>
    </w:p>
    <w:p>
      <w:pPr>
        <w:pStyle w:val="TextBody"/>
        <w:spacing w:before="24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 </w:t>
      </w:r>
    </w:p>
    <w:p>
      <w:pPr>
        <w:pStyle w:val="TextBody"/>
        <w:spacing w:before="240" w:after="0"/>
        <w:jc w:val="left"/>
        <w:rPr/>
      </w:pPr>
      <w:r>
        <w:rPr/>
        <w:t> </w:t>
      </w:r>
    </w:p>
    <w:p>
      <w:pPr>
        <w:pStyle w:val="TextBody"/>
        <w:spacing w:before="240" w:after="0"/>
        <w:jc w:val="left"/>
        <w:rPr/>
      </w:pPr>
      <w:r>
        <w:rPr/>
        <w:t> </w:t>
      </w:r>
    </w:p>
    <w:tbl>
      <w:tblPr>
        <w:tblW w:w="4335" w:type="dxa"/>
        <w:jc w:val="left"/>
        <w:tblInd w:w="0" w:type="dxa"/>
        <w:tblCellMar>
          <w:top w:w="0" w:type="dxa"/>
          <w:left w:w="0" w:type="dxa"/>
          <w:bottom w:w="0" w:type="dxa"/>
          <w:right w:w="0" w:type="dxa"/>
        </w:tblCellMar>
      </w:tblPr>
      <w:tblGrid>
        <w:gridCol w:w="1595"/>
        <w:gridCol w:w="965"/>
        <w:gridCol w:w="1775"/>
      </w:tblGrid>
      <w:tr>
        <w:trPr/>
        <w:tc>
          <w:tcPr>
            <w:tcW w:w="159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24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827072.04/WLA</w:t>
            </w:r>
          </w:p>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377097.00004/3-7-21//gjn</w:t>
            </w:r>
          </w:p>
        </w:tc>
        <w:tc>
          <w:tcPr>
            <w:tcW w:w="965" w:type="dxa"/>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EXHIBIT A</w:t>
            </w:r>
          </w:p>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1775" w:type="dxa"/>
            <w:tcBorders/>
            <w:shd w:fill="auto" w:val="clear"/>
            <w:vAlign w:val="bottom"/>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HCP LIFE SCIENCE REIT, INC.</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[Third Amendment]</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[Nkarta, Inc.]</w:t>
            </w:r>
          </w:p>
        </w:tc>
      </w:tr>
    </w:tbl>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EXHIBIT B</w:t>
      </w:r>
    </w:p>
    <w:p>
      <w:pPr>
        <w:pStyle w:val="TextBody"/>
        <w:spacing w:before="240" w:after="0"/>
        <w:jc w:val="center"/>
        <w:rPr>
          <w:rFonts w:ascii="Times New Roman" w:hAnsi="Times New Roman"/>
          <w:b/>
          <w:i w:val="false"/>
          <w:caps w:val="false"/>
          <w:smallCaps w:val="false"/>
          <w:sz w:val="24"/>
          <w:u w:val="single"/>
        </w:rPr>
      </w:pPr>
      <w:bookmarkStart w:id="106" w:name="exb"/>
      <w:bookmarkStart w:id="107" w:name="exa"/>
      <w:bookmarkEnd w:id="106"/>
      <w:bookmarkEnd w:id="107"/>
      <w:r>
        <w:rPr>
          <w:rFonts w:ascii="Times New Roman" w:hAnsi="Times New Roman"/>
          <w:b/>
          <w:i w:val="false"/>
          <w:caps w:val="false"/>
          <w:smallCaps w:val="false"/>
          <w:sz w:val="24"/>
          <w:u w:val="single"/>
        </w:rPr>
        <w:t>TENANT WORK LETTER</w:t>
      </w:r>
    </w:p>
    <w:p>
      <w:pPr>
        <w:pStyle w:val="TextBody"/>
        <w:spacing w:before="0" w:after="240"/>
        <w:jc w:val="center"/>
        <w:rPr/>
      </w:pPr>
      <w:r>
        <w:rPr/>
        <w:t> </w:t>
      </w:r>
    </w:p>
    <w:p>
      <w:pPr>
        <w:pStyle w:val="TextBody"/>
        <w:spacing w:before="0" w:after="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bl>
      <w:tblPr>
        <w:tblW w:w="3615" w:type="dxa"/>
        <w:jc w:val="left"/>
        <w:tblInd w:w="0" w:type="dxa"/>
        <w:tblCellMar>
          <w:top w:w="0" w:type="dxa"/>
          <w:left w:w="0" w:type="dxa"/>
          <w:bottom w:w="0" w:type="dxa"/>
          <w:right w:w="0" w:type="dxa"/>
        </w:tblCellMar>
      </w:tblPr>
      <w:tblGrid>
        <w:gridCol w:w="1595"/>
        <w:gridCol w:w="245"/>
        <w:gridCol w:w="1775"/>
      </w:tblGrid>
      <w:tr>
        <w:trPr/>
        <w:tc>
          <w:tcPr>
            <w:tcW w:w="159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24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827072.04/WLA</w:t>
            </w:r>
          </w:p>
          <w:p>
            <w:pPr>
              <w:pStyle w:val="TableContents"/>
              <w:spacing w:before="0" w:after="0"/>
              <w:ind w:left="0" w:right="0" w:hanging="0"/>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377097.00004/3-7-21//gjn</w:t>
            </w:r>
          </w:p>
        </w:tc>
        <w:tc>
          <w:tcPr>
            <w:tcW w:w="245" w:type="dxa"/>
            <w:tcBorders/>
            <w:shd w:fill="auto" w:val="clear"/>
            <w:vAlign w:val="bottom"/>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1775" w:type="dxa"/>
            <w:tcBorders/>
            <w:shd w:fill="auto" w:val="clear"/>
            <w:vAlign w:val="bottom"/>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HCP LIFE SCIENCE REIT, INC.</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[Third Amendment]</w:t>
            </w:r>
          </w:p>
          <w:p>
            <w:pPr>
              <w:pStyle w:val="TableContents"/>
              <w:spacing w:before="0" w:after="0"/>
              <w:ind w:left="0" w:right="0" w:hanging="0"/>
              <w:jc w:val="right"/>
              <w:rPr>
                <w:rFonts w:ascii="Times New Roman" w:hAnsi="Times New Roman"/>
                <w:b w:val="false"/>
                <w:i w:val="false"/>
                <w:caps w:val="false"/>
                <w:smallCaps w:val="false"/>
                <w:sz w:val="14"/>
              </w:rPr>
            </w:pPr>
            <w:r>
              <w:rPr>
                <w:rFonts w:ascii="Times New Roman" w:hAnsi="Times New Roman"/>
                <w:b w:val="false"/>
                <w:i w:val="false"/>
                <w:caps w:val="false"/>
                <w:smallCaps w:val="false"/>
                <w:sz w:val="14"/>
              </w:rPr>
              <w:t>[Nkarta, Inc.]</w:t>
            </w:r>
          </w:p>
        </w:tc>
      </w:tr>
    </w:tbl>
    <w:p>
      <w:pPr>
        <w:pStyle w:val="TextBody"/>
        <w:spacing w:before="0" w:after="0"/>
        <w:rPr/>
      </w:pPr>
      <w:r>
        <w:rPr/>
        <w:t> </w:t>
      </w:r>
    </w:p>
    <w:p>
      <w:pPr>
        <w:pStyle w:val="TextBody"/>
        <w:spacing w:before="0" w:after="0"/>
        <w:rPr/>
      </w:pPr>
      <w:r>
        <w:rPr/>
        <w:t> </w:t>
      </w:r>
      <w:r>
        <w:br w:type="page"/>
      </w:r>
    </w:p>
    <w:p>
      <w:pPr>
        <w:pStyle w:val="TextBody"/>
        <w:spacing w:before="0" w:after="0"/>
        <w:rPr/>
      </w:pPr>
      <w:bookmarkStart w:id="108" w:name="nktx-ex231_1678.htm"/>
      <w:bookmarkStart w:id="109" w:name="ksnktxex231_1678"/>
      <w:bookmarkEnd w:id="108"/>
      <w:bookmarkEnd w:id="109"/>
      <w:r>
        <w:rPr/>
        <w:t> </w:t>
      </w:r>
    </w:p>
    <w:p>
      <w:pPr>
        <w:pStyle w:val="TextBody"/>
        <w:spacing w:before="0" w:after="0"/>
        <w:rPr/>
      </w:pPr>
      <w:r>
        <w:rPr/>
        <w:t> </w:t>
      </w:r>
    </w:p>
    <w:p>
      <w:pPr>
        <w:pStyle w:val="TextBody"/>
        <w:spacing w:before="0" w:after="0"/>
        <w:jc w:val="right"/>
        <w:rPr>
          <w:rFonts w:ascii="EYInterstate Light" w:hAnsi="EYInterstate Light"/>
          <w:b/>
          <w:i w:val="false"/>
          <w:caps w:val="false"/>
          <w:smallCaps w:val="false"/>
          <w:sz w:val="20"/>
        </w:rPr>
      </w:pPr>
      <w:r>
        <w:rPr>
          <w:rFonts w:ascii="EYInterstate Light" w:hAnsi="EYInterstate Light"/>
          <w:b/>
          <w:i w:val="false"/>
          <w:caps w:val="false"/>
          <w:smallCaps w:val="false"/>
          <w:sz w:val="20"/>
        </w:rPr>
        <w:t>Exhibit 23.1</w:t>
      </w:r>
    </w:p>
    <w:p>
      <w:pPr>
        <w:pStyle w:val="TextBody"/>
        <w:spacing w:before="0" w:after="0"/>
        <w:jc w:val="center"/>
        <w:rPr/>
      </w:pPr>
      <w:r>
        <w:rPr/>
        <w:t> </w:t>
      </w:r>
    </w:p>
    <w:p>
      <w:pPr>
        <w:pStyle w:val="TextBody"/>
        <w:spacing w:before="0" w:after="0"/>
        <w:jc w:val="center"/>
        <w:rPr>
          <w:rFonts w:ascii="EYInterstate Light" w:hAnsi="EYInterstate Light"/>
          <w:b/>
          <w:i w:val="false"/>
          <w:caps w:val="false"/>
          <w:smallCaps w:val="false"/>
          <w:sz w:val="20"/>
        </w:rPr>
      </w:pPr>
      <w:r>
        <w:rPr>
          <w:rFonts w:ascii="EYInterstate Light" w:hAnsi="EYInterstate Light"/>
          <w:b/>
          <w:i w:val="false"/>
          <w:caps w:val="false"/>
          <w:smallCaps w:val="false"/>
          <w:sz w:val="20"/>
        </w:rPr>
        <w:t>Consent of Independent Registered Accounting Firm</w:t>
      </w:r>
    </w:p>
    <w:p>
      <w:pPr>
        <w:pStyle w:val="TextBody"/>
        <w:spacing w:before="0" w:after="0"/>
        <w:jc w:val="center"/>
        <w:rPr/>
      </w:pPr>
      <w:r>
        <w:rPr/>
        <w:t> </w:t>
      </w:r>
    </w:p>
    <w:p>
      <w:pPr>
        <w:pStyle w:val="TextBody"/>
        <w:spacing w:before="0" w:after="0"/>
        <w:jc w:val="both"/>
        <w:rPr>
          <w:rFonts w:ascii="EYInterstate Light" w:hAnsi="EYInterstate Light"/>
          <w:b w:val="false"/>
          <w:i w:val="false"/>
          <w:caps w:val="false"/>
          <w:smallCaps w:val="false"/>
          <w:sz w:val="20"/>
        </w:rPr>
      </w:pPr>
      <w:r>
        <w:rPr>
          <w:rFonts w:ascii="EYInterstate Light" w:hAnsi="EYInterstate Light"/>
          <w:b w:val="false"/>
          <w:i w:val="false"/>
          <w:caps w:val="false"/>
          <w:smallCaps w:val="false"/>
          <w:sz w:val="20"/>
        </w:rPr>
        <w:t>We consent to the incorporation by reference in the following Registration Statements:</w:t>
      </w:r>
    </w:p>
    <w:tbl>
      <w:tblPr>
        <w:tblW w:w="10205" w:type="dxa"/>
        <w:jc w:val="left"/>
        <w:tblInd w:w="0" w:type="dxa"/>
        <w:tblCellMar>
          <w:top w:w="0" w:type="dxa"/>
          <w:left w:w="0" w:type="dxa"/>
          <w:bottom w:w="0" w:type="dxa"/>
          <w:right w:w="0" w:type="dxa"/>
        </w:tblCellMar>
      </w:tblPr>
      <w:tblGrid>
        <w:gridCol w:w="60"/>
        <w:gridCol w:w="253"/>
        <w:gridCol w:w="9892"/>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53"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892" w:type="dxa"/>
            <w:tcBorders/>
            <w:shd w:fill="auto" w:val="clear"/>
          </w:tcPr>
          <w:p>
            <w:pPr>
              <w:pStyle w:val="TableContents"/>
              <w:spacing w:before="0" w:after="0"/>
              <w:jc w:val="both"/>
              <w:rPr>
                <w:rFonts w:ascii="EYInterstate Light" w:hAnsi="EYInterstate Light"/>
                <w:b w:val="false"/>
                <w:i w:val="false"/>
                <w:caps w:val="false"/>
                <w:smallCaps w:val="false"/>
                <w:color w:val="000000"/>
                <w:sz w:val="20"/>
              </w:rPr>
            </w:pPr>
            <w:r>
              <w:rPr>
                <w:rFonts w:ascii="EYInterstate Light" w:hAnsi="EYInterstate Light"/>
                <w:b w:val="false"/>
                <w:i w:val="false"/>
                <w:caps w:val="false"/>
                <w:smallCaps w:val="false"/>
                <w:color w:val="000000"/>
                <w:sz w:val="20"/>
              </w:rPr>
              <w:t xml:space="preserve">Registration Statement (Form S-8 No. 333-252134) pertaining to the Nkarta, Inc. 2020 Performance Incentive Plan and the Nkarta, Inc. Employee Stock Purchase Plan of Nkarta, Inc.; and </w:t>
            </w:r>
          </w:p>
        </w:tc>
      </w:tr>
    </w:tbl>
    <w:tbl>
      <w:tblPr>
        <w:tblW w:w="10205" w:type="dxa"/>
        <w:jc w:val="left"/>
        <w:tblInd w:w="0" w:type="dxa"/>
        <w:tblCellMar>
          <w:top w:w="0" w:type="dxa"/>
          <w:left w:w="0" w:type="dxa"/>
          <w:bottom w:w="0" w:type="dxa"/>
          <w:right w:w="0" w:type="dxa"/>
        </w:tblCellMar>
      </w:tblPr>
      <w:tblGrid>
        <w:gridCol w:w="60"/>
        <w:gridCol w:w="246"/>
        <w:gridCol w:w="9899"/>
      </w:tblGrid>
      <w:tr>
        <w:trPr/>
        <w:tc>
          <w:tcPr>
            <w:tcW w:w="60" w:type="dxa"/>
            <w:tcBorders/>
            <w:shd w:fill="auto" w:val="clear"/>
          </w:tcPr>
          <w:p>
            <w:pPr>
              <w:pStyle w:val="TableContents"/>
              <w:spacing w:before="0" w:after="200"/>
              <w:jc w:val="both"/>
              <w:rPr>
                <w:caps w:val="false"/>
                <w:smallCaps w:val="false"/>
              </w:rPr>
            </w:pPr>
            <w:r>
              <w:rPr>
                <w:caps w:val="false"/>
                <w:smallCaps w:val="false"/>
              </w:rPr>
              <w:t> </w:t>
            </w:r>
          </w:p>
        </w:tc>
        <w:tc>
          <w:tcPr>
            <w:tcW w:w="246" w:type="dxa"/>
            <w:tcBorders/>
            <w:shd w:fill="auto" w:val="clear"/>
          </w:tcPr>
          <w:p>
            <w:pPr>
              <w:pStyle w:val="TableContents"/>
              <w:spacing w:before="0" w:after="20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9899" w:type="dxa"/>
            <w:tcBorders/>
            <w:shd w:fill="auto" w:val="clear"/>
          </w:tcPr>
          <w:p>
            <w:pPr>
              <w:pStyle w:val="TableContents"/>
              <w:spacing w:before="0" w:after="200"/>
              <w:jc w:val="both"/>
              <w:rPr>
                <w:rFonts w:ascii="EYInterstate Light" w:hAnsi="EYInterstate Light"/>
                <w:b w:val="false"/>
                <w:i w:val="false"/>
                <w:caps w:val="false"/>
                <w:smallCaps w:val="false"/>
                <w:color w:val="000000"/>
                <w:sz w:val="20"/>
              </w:rPr>
            </w:pPr>
            <w:r>
              <w:rPr>
                <w:rFonts w:ascii="EYInterstate Light" w:hAnsi="EYInterstate Light"/>
                <w:b w:val="false"/>
                <w:i w:val="false"/>
                <w:caps w:val="false"/>
                <w:smallCaps w:val="false"/>
                <w:color w:val="000000"/>
                <w:sz w:val="20"/>
              </w:rPr>
              <w:t>Registration Statement (Form S-8 No. 333-240309) pertaining to the Nkarta, Inc. 2020 Performance Incentive Plan, the Nkarta, Inc. Employee Stock Purchase Plan, and the Nkarta, Inc. 2015 Equity Incentive Plan of Nkarta, Inc.</w:t>
            </w:r>
          </w:p>
        </w:tc>
      </w:tr>
    </w:tbl>
    <w:p>
      <w:pPr>
        <w:pStyle w:val="TextBody"/>
        <w:spacing w:before="0" w:after="0"/>
        <w:rPr>
          <w:rFonts w:ascii="EYInterstate Light" w:hAnsi="EYInterstate Light"/>
          <w:b w:val="false"/>
          <w:i w:val="false"/>
          <w:caps w:val="false"/>
          <w:smallCaps w:val="false"/>
          <w:sz w:val="20"/>
        </w:rPr>
      </w:pPr>
      <w:r>
        <w:rPr>
          <w:rFonts w:ascii="EYInterstate Light" w:hAnsi="EYInterstate Light"/>
          <w:b w:val="false"/>
          <w:i w:val="false"/>
          <w:caps w:val="false"/>
          <w:smallCaps w:val="false"/>
          <w:sz w:val="20"/>
        </w:rPr>
        <w:t>of our report dated March 25, 2021, with respect to the financial statements of Nkarta, Inc. included in this Annual Report (Form 10-K) of Nkarta Therapeutics, Inc. for the year ended December 31, 2020.</w:t>
      </w:r>
    </w:p>
    <w:p>
      <w:pPr>
        <w:pStyle w:val="TextBody"/>
        <w:spacing w:before="0" w:after="0"/>
        <w:rPr/>
      </w:pPr>
      <w:r>
        <w:rPr/>
        <w:t> </w:t>
      </w:r>
    </w:p>
    <w:p>
      <w:pPr>
        <w:pStyle w:val="TextBody"/>
        <w:spacing w:before="0" w:after="0"/>
        <w:rPr>
          <w:caps w:val="false"/>
          <w:smallCaps w:val="false"/>
        </w:rPr>
      </w:pPr>
      <w:bookmarkStart w:id="110" w:name="_Hlk67483042_0"/>
      <w:bookmarkEnd w:id="110"/>
      <w:r>
        <w:rPr>
          <w:caps w:val="false"/>
          <w:smallCaps w:val="false"/>
        </w:rPr>
        <w:t>                                                                                                                                    </w:t>
      </w:r>
      <w:r>
        <w:rPr>
          <w:rFonts w:ascii="EYInterstate Light" w:hAnsi="EYInterstate Light"/>
          <w:b w:val="false"/>
          <w:i w:val="false"/>
          <w:caps w:val="false"/>
          <w:smallCaps w:val="false"/>
          <w:sz w:val="20"/>
        </w:rPr>
        <w:t>/s/ Ernst &amp; Young LLP</w:t>
      </w:r>
    </w:p>
    <w:p>
      <w:pPr>
        <w:pStyle w:val="TextBody"/>
        <w:spacing w:before="0" w:after="0"/>
        <w:rPr/>
      </w:pPr>
      <w:r>
        <w:rPr/>
        <w:t> </w:t>
      </w:r>
    </w:p>
    <w:p>
      <w:pPr>
        <w:pStyle w:val="TextBody"/>
        <w:spacing w:before="0" w:after="0"/>
        <w:rPr>
          <w:rFonts w:ascii="EYInterstate Light" w:hAnsi="EYInterstate Light"/>
          <w:b w:val="false"/>
          <w:i w:val="false"/>
          <w:caps w:val="false"/>
          <w:smallCaps w:val="false"/>
          <w:sz w:val="20"/>
        </w:rPr>
      </w:pPr>
      <w:r>
        <w:rPr>
          <w:rFonts w:ascii="EYInterstate Light" w:hAnsi="EYInterstate Light"/>
          <w:b w:val="false"/>
          <w:i w:val="false"/>
          <w:caps w:val="false"/>
          <w:smallCaps w:val="false"/>
          <w:sz w:val="20"/>
        </w:rPr>
        <w:t>Redwood City, California</w:t>
      </w:r>
    </w:p>
    <w:p>
      <w:pPr>
        <w:pStyle w:val="TextBody"/>
        <w:spacing w:before="0" w:after="0"/>
        <w:rPr>
          <w:rFonts w:ascii="EYInterstate Light" w:hAnsi="EYInterstate Light"/>
          <w:b w:val="false"/>
          <w:i w:val="false"/>
          <w:caps w:val="false"/>
          <w:smallCaps w:val="false"/>
          <w:sz w:val="20"/>
        </w:rPr>
      </w:pPr>
      <w:r>
        <w:rPr>
          <w:rFonts w:ascii="EYInterstate Light" w:hAnsi="EYInterstate Light"/>
          <w:b w:val="false"/>
          <w:i w:val="false"/>
          <w:caps w:val="false"/>
          <w:smallCaps w:val="false"/>
          <w:sz w:val="20"/>
        </w:rPr>
        <w:t>March 25, 2021</w:t>
      </w:r>
    </w:p>
    <w:p>
      <w:pPr>
        <w:pStyle w:val="TextBody"/>
        <w:spacing w:before="24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111" w:name="nktx-ex311_6.htm"/>
      <w:bookmarkStart w:id="112" w:name="ksnktxex311_6"/>
      <w:bookmarkEnd w:id="111"/>
      <w:bookmarkEnd w:id="112"/>
      <w:r>
        <w:rPr>
          <w:rFonts w:ascii="Times New Roman" w:hAnsi="Times New Roman"/>
          <w:b/>
          <w:i w:val="false"/>
          <w:caps w:val="false"/>
          <w:smallCaps w:val="false"/>
          <w:color w:val="000000"/>
          <w:sz w:val="20"/>
        </w:rPr>
        <w:t>Exhibit 31.1</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NKARTA,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CERTIFICATIONS PURSUANT TO</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SECTION 302 OF</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Paul J. Hastings, certify that:</w:t>
      </w:r>
    </w:p>
    <w:tbl>
      <w:tblPr>
        <w:tblW w:w="6520" w:type="dxa"/>
        <w:jc w:val="left"/>
        <w:tblInd w:w="0" w:type="dxa"/>
        <w:tblCellMar>
          <w:top w:w="0" w:type="dxa"/>
          <w:left w:w="0" w:type="dxa"/>
          <w:bottom w:w="0" w:type="dxa"/>
          <w:right w:w="0" w:type="dxa"/>
        </w:tblCellMar>
      </w:tblPr>
      <w:tblGrid>
        <w:gridCol w:w="200"/>
        <w:gridCol w:w="6320"/>
      </w:tblGrid>
      <w:tr>
        <w:trPr/>
        <w:tc>
          <w:tcPr>
            <w:tcW w:w="200"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6320"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I have reviewed this Annual Report on Form 10-K of Nkarta, Inc.;</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6"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3"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7"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88"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1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3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89"/>
        <w:gridCol w:w="9956"/>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89"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6"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4"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6"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7"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4170" w:type="dxa"/>
        <w:jc w:val="center"/>
        <w:tblInd w:w="0" w:type="dxa"/>
        <w:tblCellMar>
          <w:top w:w="0" w:type="dxa"/>
          <w:left w:w="0" w:type="dxa"/>
          <w:bottom w:w="28" w:type="dxa"/>
          <w:right w:w="0" w:type="dxa"/>
        </w:tblCellMar>
      </w:tblPr>
      <w:tblGrid>
        <w:gridCol w:w="1790"/>
        <w:gridCol w:w="60"/>
        <w:gridCol w:w="320"/>
        <w:gridCol w:w="2000"/>
      </w:tblGrid>
      <w:tr>
        <w:trPr/>
        <w:tc>
          <w:tcPr>
            <w:tcW w:w="17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25,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0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Paul J. Hastings</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Paul J. Hastings</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0"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Executive Officer</w:t>
            </w:r>
          </w:p>
        </w:tc>
      </w:tr>
    </w:tbl>
    <w:p>
      <w:pPr>
        <w:pStyle w:val="TextBody"/>
        <w:spacing w:before="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113" w:name="nktx-ex312_7.htm"/>
      <w:bookmarkStart w:id="114" w:name="ksnktxex312_7"/>
      <w:bookmarkEnd w:id="113"/>
      <w:bookmarkEnd w:id="114"/>
      <w:r>
        <w:rPr>
          <w:rFonts w:ascii="Times New Roman" w:hAnsi="Times New Roman"/>
          <w:b/>
          <w:i w:val="false"/>
          <w:caps w:val="false"/>
          <w:smallCaps w:val="false"/>
          <w:color w:val="000000"/>
          <w:sz w:val="20"/>
        </w:rPr>
        <w:t>Exhibit 31.2</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NKARTA,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CERTIFICATIONS PURSUANT TO</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SECTION 302 OF</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Nadir Mahmood, certify that:</w:t>
      </w:r>
    </w:p>
    <w:tbl>
      <w:tblPr>
        <w:tblW w:w="6520" w:type="dxa"/>
        <w:jc w:val="left"/>
        <w:tblInd w:w="0" w:type="dxa"/>
        <w:tblCellMar>
          <w:top w:w="0" w:type="dxa"/>
          <w:left w:w="0" w:type="dxa"/>
          <w:bottom w:w="0" w:type="dxa"/>
          <w:right w:w="0" w:type="dxa"/>
        </w:tblCellMar>
      </w:tblPr>
      <w:tblGrid>
        <w:gridCol w:w="200"/>
        <w:gridCol w:w="6320"/>
      </w:tblGrid>
      <w:tr>
        <w:trPr/>
        <w:tc>
          <w:tcPr>
            <w:tcW w:w="200"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6320"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I have reviewed this Annual Report on Form 10-K of Nkarta, Inc.;</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6"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3"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7"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88"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1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3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89"/>
        <w:gridCol w:w="9956"/>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89"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6"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4"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196"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7"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5265" w:type="dxa"/>
        <w:jc w:val="center"/>
        <w:tblInd w:w="0" w:type="dxa"/>
        <w:tblCellMar>
          <w:top w:w="0" w:type="dxa"/>
          <w:left w:w="0" w:type="dxa"/>
          <w:bottom w:w="28" w:type="dxa"/>
          <w:right w:w="0" w:type="dxa"/>
        </w:tblCellMar>
      </w:tblPr>
      <w:tblGrid>
        <w:gridCol w:w="1790"/>
        <w:gridCol w:w="60"/>
        <w:gridCol w:w="320"/>
        <w:gridCol w:w="3095"/>
      </w:tblGrid>
      <w:tr>
        <w:trPr/>
        <w:tc>
          <w:tcPr>
            <w:tcW w:w="17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25,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09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Nadir Mahmood</w:t>
            </w:r>
          </w:p>
        </w:tc>
      </w:tr>
      <w:tr>
        <w:trPr/>
        <w:tc>
          <w:tcPr>
            <w:tcW w:w="179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Nadir Mahmood</w:t>
            </w:r>
          </w:p>
        </w:tc>
      </w:tr>
      <w:tr>
        <w:trPr/>
        <w:tc>
          <w:tcPr>
            <w:tcW w:w="179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9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and Business Officer</w:t>
            </w:r>
          </w:p>
        </w:tc>
      </w:tr>
    </w:tbl>
    <w:p>
      <w:pPr>
        <w:pStyle w:val="TextBody"/>
        <w:spacing w:before="0" w:after="0"/>
        <w:rPr/>
      </w:pPr>
      <w:r>
        <w:rPr/>
        <w:t> </w:t>
      </w:r>
      <w:r>
        <w:br w:type="page"/>
      </w:r>
    </w:p>
    <w:p>
      <w:pPr>
        <w:pStyle w:val="TextBody"/>
        <w:spacing w:before="0" w:after="0"/>
        <w:rPr/>
      </w:pPr>
      <w:bookmarkStart w:id="115" w:name="nktx-ex32_8.htm"/>
      <w:bookmarkStart w:id="116" w:name="ksnktxex32_8"/>
      <w:bookmarkEnd w:id="115"/>
      <w:bookmarkEnd w:id="116"/>
      <w:r>
        <w:rPr/>
        <w:t> </w:t>
      </w:r>
    </w:p>
    <w:p>
      <w:pPr>
        <w:pStyle w:val="TextBody"/>
        <w:shd w:fill="FFFFFF" w:val="clear"/>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32</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NKARTA,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 PURSUANT TO</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18 U.S.C. SECTION 1350,</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AS ADOPTED PURSUANT TO</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SECTION 906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Annual Report of Nkarta, Inc. (the "Company") on Form 10-K for the year ended December 31, 2020 as filed with the Securities and Exchange Commission on the date hereof (the "Report"), we, Paul J. Hastings, Chief Executive Officer of the Company, and Nadir Mahmood, Chief Financial and Business Officer, certify, pursuant to 18 U.S.C. 1350, as adopted pursuant to Section 906 of the Sarbanes-Oxley Act of 2002, that:</w:t>
      </w:r>
    </w:p>
    <w:tbl>
      <w:tblPr>
        <w:tblW w:w="9175" w:type="dxa"/>
        <w:jc w:val="left"/>
        <w:tblInd w:w="0" w:type="dxa"/>
        <w:tblCellMar>
          <w:top w:w="0" w:type="dxa"/>
          <w:left w:w="0" w:type="dxa"/>
          <w:bottom w:w="0" w:type="dxa"/>
          <w:right w:w="0" w:type="dxa"/>
        </w:tblCellMar>
      </w:tblPr>
      <w:tblGrid>
        <w:gridCol w:w="60"/>
        <w:gridCol w:w="245"/>
        <w:gridCol w:w="887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4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887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of the Securities Exchange Act of 1934; and</w:t>
            </w:r>
          </w:p>
        </w:tc>
      </w:tr>
    </w:tbl>
    <w:tbl>
      <w:tblPr>
        <w:tblW w:w="10205" w:type="dxa"/>
        <w:jc w:val="left"/>
        <w:tblInd w:w="0" w:type="dxa"/>
        <w:tblCellMar>
          <w:top w:w="0" w:type="dxa"/>
          <w:left w:w="0" w:type="dxa"/>
          <w:bottom w:w="0" w:type="dxa"/>
          <w:right w:w="0" w:type="dxa"/>
        </w:tblCellMar>
      </w:tblPr>
      <w:tblGrid>
        <w:gridCol w:w="60"/>
        <w:gridCol w:w="234"/>
        <w:gridCol w:w="9911"/>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4"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1"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0"/>
        <w:rPr/>
      </w:pPr>
      <w:r>
        <w:rPr/>
        <w:t> </w:t>
      </w:r>
    </w:p>
    <w:tbl>
      <w:tblPr>
        <w:tblW w:w="4170" w:type="dxa"/>
        <w:jc w:val="center"/>
        <w:tblInd w:w="0" w:type="dxa"/>
        <w:tblCellMar>
          <w:top w:w="0" w:type="dxa"/>
          <w:left w:w="0" w:type="dxa"/>
          <w:bottom w:w="28" w:type="dxa"/>
          <w:right w:w="0" w:type="dxa"/>
        </w:tblCellMar>
      </w:tblPr>
      <w:tblGrid>
        <w:gridCol w:w="1790"/>
        <w:gridCol w:w="60"/>
        <w:gridCol w:w="320"/>
        <w:gridCol w:w="2000"/>
      </w:tblGrid>
      <w:tr>
        <w:trPr/>
        <w:tc>
          <w:tcPr>
            <w:tcW w:w="17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25,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0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Paul J. Hastings</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Paul J. Hastings</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0"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Executive Officer</w:t>
            </w:r>
          </w:p>
        </w:tc>
      </w:tr>
    </w:tbl>
    <w:p>
      <w:pPr>
        <w:pStyle w:val="TextBody"/>
        <w:spacing w:before="0" w:after="0"/>
        <w:rPr/>
      </w:pPr>
      <w:r>
        <w:rPr/>
        <w:t> </w:t>
      </w:r>
    </w:p>
    <w:tbl>
      <w:tblPr>
        <w:tblW w:w="5265" w:type="dxa"/>
        <w:jc w:val="center"/>
        <w:tblInd w:w="0" w:type="dxa"/>
        <w:tblCellMar>
          <w:top w:w="0" w:type="dxa"/>
          <w:left w:w="0" w:type="dxa"/>
          <w:bottom w:w="28" w:type="dxa"/>
          <w:right w:w="0" w:type="dxa"/>
        </w:tblCellMar>
      </w:tblPr>
      <w:tblGrid>
        <w:gridCol w:w="1790"/>
        <w:gridCol w:w="60"/>
        <w:gridCol w:w="320"/>
        <w:gridCol w:w="3095"/>
      </w:tblGrid>
      <w:tr>
        <w:trPr/>
        <w:tc>
          <w:tcPr>
            <w:tcW w:w="17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25,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09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Nadir Mahmood</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Nadir Mahmood</w:t>
            </w:r>
          </w:p>
        </w:tc>
      </w:tr>
      <w:tr>
        <w:trPr/>
        <w:tc>
          <w:tcPr>
            <w:tcW w:w="17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9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and Business Officer</w:t>
            </w:r>
          </w:p>
        </w:tc>
      </w:tr>
    </w:tbl>
    <w:p>
      <w:pPr>
        <w:pStyle w:val="TextBody"/>
        <w:spacing w:before="0" w:after="0"/>
        <w:rPr/>
      </w:pPr>
      <w:r>
        <w:rPr/>
        <w:t> </w:t>
      </w:r>
    </w:p>
    <w:p>
      <w:pPr>
        <w:pStyle w:val="TextBody"/>
        <w:spacing w:before="240" w:after="24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Calibri">
    <w:charset w:val="00"/>
    <w:family w:val="auto"/>
    <w:pitch w:val="default"/>
  </w:font>
  <w:font w:name="EYInterstate Light">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hyperlink" Target="http://www.sec.gov/Archives/edgar/data/1787400/000119312520192614/d62111dex31.htm" TargetMode="External"/><Relationship Id="rId16" Type="http://schemas.openxmlformats.org/officeDocument/2006/relationships/hyperlink" Target="http://www.sec.gov/Archives/edgar/data/1787400/000119312520192614/d62111dex32.htm" TargetMode="External"/><Relationship Id="rId17" Type="http://schemas.openxmlformats.org/officeDocument/2006/relationships/hyperlink" Target="http://www.sec.gov/Archives/edgar/data/1787400/000119312520186953/d884708dex41.htm" TargetMode="External"/><Relationship Id="rId18" Type="http://schemas.openxmlformats.org/officeDocument/2006/relationships/hyperlink" Target="http://www.sec.gov/Archives/edgar/data/1787400/000119312520173939/d884708dex42.htm" TargetMode="External"/><Relationship Id="rId19" Type="http://schemas.openxmlformats.org/officeDocument/2006/relationships/hyperlink" Target="http://www.sec.gov/Archives/edgar/data/1787400/000119312520186953/d884708dex101.htm" TargetMode="External"/><Relationship Id="rId20" Type="http://schemas.openxmlformats.org/officeDocument/2006/relationships/hyperlink" Target="http://www.sec.gov/Archives/edgar/data/1787400/000119312520173939/d884708dex102.htm" TargetMode="External"/><Relationship Id="rId21" Type="http://schemas.openxmlformats.org/officeDocument/2006/relationships/hyperlink" Target="http://www.sec.gov/Archives/edgar/data/1787400/000119312520173939/d884708dex103.htm" TargetMode="External"/><Relationship Id="rId22" Type="http://schemas.openxmlformats.org/officeDocument/2006/relationships/hyperlink" Target="http://www.sec.gov/Archives/edgar/data/1787400/000119312520186953/d884708dex104.htm" TargetMode="External"/><Relationship Id="rId23" Type="http://schemas.openxmlformats.org/officeDocument/2006/relationships/hyperlink" Target="http://www.sec.gov/Archives/edgar/data/1787400/000156459020040819/nktx-ex105_289.htm" TargetMode="External"/><Relationship Id="rId24" Type="http://schemas.openxmlformats.org/officeDocument/2006/relationships/hyperlink" Target="http://www.sec.gov/Archives/edgar/data/1787400/000156459020040819/nktx-ex106_290.htm" TargetMode="External"/><Relationship Id="rId25" Type="http://schemas.openxmlformats.org/officeDocument/2006/relationships/hyperlink" Target="http://www.sec.gov/Archives/edgar/data/1787400/000119312520186953/d884708dex105.htm" TargetMode="External"/><Relationship Id="rId26" Type="http://schemas.openxmlformats.org/officeDocument/2006/relationships/hyperlink" Target="http://www.sec.gov/Archives/edgar/data/1787400/000156459020053592/nktx-ex106_29.htm" TargetMode="External"/><Relationship Id="rId27" Type="http://schemas.openxmlformats.org/officeDocument/2006/relationships/hyperlink" Target="http://www.sec.gov/Archives/edgar/data/0001787400/000119312520173939/d884708dex106.htm" TargetMode="External"/><Relationship Id="rId28" Type="http://schemas.openxmlformats.org/officeDocument/2006/relationships/hyperlink" Target="http://www.sec.gov/Archives/edgar/data/1787400/000119312520173939/d884708dex107.htm" TargetMode="External"/><Relationship Id="rId29" Type="http://schemas.openxmlformats.org/officeDocument/2006/relationships/hyperlink" Target="http://www.sec.gov/Archives/edgar/data/1787400/000119312520173939/d884708dex108.htm" TargetMode="External"/><Relationship Id="rId30" Type="http://schemas.openxmlformats.org/officeDocument/2006/relationships/hyperlink" Target="http://www.sec.gov/Archives/edgar/data/1787400/000156459020045823/nktx-ex101_7.htm" TargetMode="External"/><Relationship Id="rId31" Type="http://schemas.openxmlformats.org/officeDocument/2006/relationships/hyperlink" Target="http://www.sec.gov/Archives/edgar/data/1787400/000156459021001077/nktx-ex101_8.htm" TargetMode="External"/><Relationship Id="rId32" Type="http://schemas.openxmlformats.org/officeDocument/2006/relationships/hyperlink" Target="http://www.sec.gov/Archives/edgar/data/1787400/000119312520173939/d884708dex109.htm" TargetMode="External"/><Relationship Id="rId33" Type="http://schemas.openxmlformats.org/officeDocument/2006/relationships/hyperlink" Target="http://www.sec.gov/Archives/edgar/data/1787400/000119312520173939/d884708dex1010.htm" TargetMode="External"/><Relationship Id="rId34" Type="http://schemas.openxmlformats.org/officeDocument/2006/relationships/hyperlink" Target="http://www.sec.gov/Archives/edgar/data/1787400/000119312520173939/d884708dex1011.htm" TargetMode="External"/><Relationship Id="rId35" Type="http://schemas.openxmlformats.org/officeDocument/2006/relationships/hyperlink" Target="http://www.sec.gov/Archives/edgar/data/1787400/000119312520173939/d884708dex1012.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86574</Words>
  <CharactersWithSpaces>569637</CharactersWithSpaces>
  <Paragraphs>7750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