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202565</wp:posOffset>
            </wp:positionH>
            <wp:positionV relativeFrom="page">
              <wp:posOffset>254000</wp:posOffset>
            </wp:positionV>
            <wp:extent cx="71437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3750" cy="7620"/>
                    </a:xfrm>
                    <a:prstGeom prst="rect">
                      <a:avLst/>
                    </a:prstGeom>
                    <a:noFill/>
                  </pic:spPr>
                </pic:pic>
              </a:graphicData>
            </a:graphic>
          </wp:anchor>
        </w:drawing>
        <w:drawing>
          <wp:anchor simplePos="0" relativeHeight="251657728" behindDoc="1" locked="0" layoutInCell="0" allowOverlap="1">
            <wp:simplePos x="0" y="0"/>
            <wp:positionH relativeFrom="page">
              <wp:posOffset>202565</wp:posOffset>
            </wp:positionH>
            <wp:positionV relativeFrom="page">
              <wp:posOffset>269875</wp:posOffset>
            </wp:positionV>
            <wp:extent cx="71437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3750" cy="7620"/>
                    </a:xfrm>
                    <a:prstGeom prst="rect">
                      <a:avLst/>
                    </a:prstGeom>
                    <a:noFill/>
                  </pic:spPr>
                </pic:pic>
              </a:graphicData>
            </a:graphic>
          </wp:anchor>
        </w:drawing>
        <w:t>UNITED STATES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2855595</wp:posOffset>
            </wp:positionH>
            <wp:positionV relativeFrom="paragraph">
              <wp:posOffset>52705</wp:posOffset>
            </wp:positionV>
            <wp:extent cx="143192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925" cy="7620"/>
                    </a:xfrm>
                    <a:prstGeom prst="rect">
                      <a:avLst/>
                    </a:prstGeom>
                    <a:noFill/>
                  </pic:spPr>
                </pic:pic>
              </a:graphicData>
            </a:graphic>
          </wp:anchor>
        </w:drawing>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2855595</wp:posOffset>
            </wp:positionH>
            <wp:positionV relativeFrom="paragraph">
              <wp:posOffset>73025</wp:posOffset>
            </wp:positionV>
            <wp:extent cx="143192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1925" cy="7620"/>
                    </a:xfrm>
                    <a:prstGeom prst="rect">
                      <a:avLst/>
                    </a:prstGeom>
                    <a:noFill/>
                  </pic:spPr>
                </pic:pic>
              </a:graphicData>
            </a:graphic>
          </wp:anchor>
        </w:drawing>
      </w:r>
    </w:p>
    <w:p>
      <w:pPr>
        <w:spacing w:after="0" w:line="162" w:lineRule="exact"/>
        <w:rPr>
          <w:sz w:val="24"/>
          <w:szCs w:val="24"/>
          <w:color w:val="auto"/>
        </w:rPr>
      </w:pPr>
    </w:p>
    <w:p>
      <w:pPr>
        <w:ind w:left="1"/>
        <w:spacing w:after="0"/>
        <w:rPr>
          <w:sz w:val="20"/>
          <w:szCs w:val="20"/>
          <w:color w:val="auto"/>
        </w:rPr>
      </w:pPr>
      <w:r>
        <w:rPr>
          <w:rFonts w:ascii="Arial" w:cs="Arial" w:eastAsia="Arial" w:hAnsi="Arial"/>
          <w:sz w:val="13"/>
          <w:szCs w:val="13"/>
          <w:b w:val="1"/>
          <w:bCs w:val="1"/>
          <w:color w:val="auto"/>
        </w:rPr>
        <w:t>(Mark One)</w:t>
      </w:r>
    </w:p>
    <w:p>
      <w:pPr>
        <w:spacing w:after="0" w:line="102" w:lineRule="exact"/>
        <w:rPr>
          <w:sz w:val="24"/>
          <w:szCs w:val="24"/>
          <w:color w:val="auto"/>
        </w:rPr>
      </w:pPr>
    </w:p>
    <w:p>
      <w:pPr>
        <w:ind w:left="3821" w:right="2380" w:hanging="3821"/>
        <w:spacing w:after="0" w:line="221" w:lineRule="auto"/>
        <w:tabs>
          <w:tab w:leader="none" w:pos="461" w:val="left"/>
        </w:tabs>
        <w:numPr>
          <w:ilvl w:val="0"/>
          <w:numId w:val="1"/>
        </w:numPr>
        <w:rPr>
          <w:rFonts w:ascii="MS PGothic" w:cs="MS PGothic" w:eastAsia="MS PGothic" w:hAnsi="MS PGothic"/>
          <w:sz w:val="33"/>
          <w:szCs w:val="33"/>
          <w:color w:val="auto"/>
          <w:highlight w:val="black"/>
          <w:vertAlign w:val="superscript"/>
        </w:rPr>
      </w:pPr>
      <w:r>
        <w:rPr>
          <w:rFonts w:ascii="Arial" w:cs="Arial" w:eastAsia="Arial" w:hAnsi="Arial"/>
          <w:sz w:val="17"/>
          <w:szCs w:val="17"/>
          <w:b w:val="1"/>
          <w:bCs w:val="1"/>
          <w:color w:val="auto"/>
        </w:rPr>
        <w:t>QUARTERLY REPORT PURSUANT TO SECTION 13 OR 15(d) OF THE SECURITIES EXCHANGE ACT OF 1934 For the quarterly period ended September 30, 2021</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7" w:lineRule="exact"/>
        <w:rPr>
          <w:sz w:val="24"/>
          <w:szCs w:val="24"/>
          <w:color w:val="auto"/>
        </w:rPr>
      </w:pPr>
    </w:p>
    <w:p>
      <w:pPr>
        <w:ind w:left="461" w:hanging="461"/>
        <w:spacing w:after="0"/>
        <w:tabs>
          <w:tab w:leader="none" w:pos="461" w:val="left"/>
        </w:tabs>
        <w:numPr>
          <w:ilvl w:val="0"/>
          <w:numId w:val="2"/>
        </w:numPr>
        <w:rPr>
          <w:rFonts w:ascii="MS PGothic" w:cs="MS PGothic" w:eastAsia="MS PGothic" w:hAnsi="MS PGothic"/>
          <w:sz w:val="32"/>
          <w:szCs w:val="32"/>
          <w:color w:val="auto"/>
          <w:highlight w:val="black"/>
          <w:vertAlign w:val="superscript"/>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241"/>
          </w:cols>
          <w:pgMar w:left="319" w:top="472" w:right="339" w:bottom="1440" w:gutter="0" w:footer="0" w:header="0"/>
        </w:sectPr>
      </w:pPr>
    </w:p>
    <w:p>
      <w:pPr>
        <w:spacing w:after="0" w:line="100" w:lineRule="exact"/>
        <w:rPr>
          <w:sz w:val="24"/>
          <w:szCs w:val="24"/>
          <w:color w:val="auto"/>
        </w:rPr>
      </w:pPr>
    </w:p>
    <w:p>
      <w:pPr>
        <w:ind w:left="3561"/>
        <w:spacing w:after="0"/>
        <w:rPr>
          <w:sz w:val="20"/>
          <w:szCs w:val="20"/>
          <w:color w:val="auto"/>
        </w:rPr>
      </w:pPr>
      <w:r>
        <w:rPr>
          <w:rFonts w:ascii="Arial" w:cs="Arial" w:eastAsia="Arial" w:hAnsi="Arial"/>
          <w:sz w:val="15"/>
          <w:szCs w:val="15"/>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to</w:t>
      </w:r>
    </w:p>
    <w:p>
      <w:pPr>
        <w:spacing w:after="0" w:line="84" w:lineRule="exact"/>
        <w:rPr>
          <w:sz w:val="24"/>
          <w:szCs w:val="24"/>
          <w:color w:val="auto"/>
        </w:rPr>
      </w:pPr>
    </w:p>
    <w:p>
      <w:pPr>
        <w:sectPr>
          <w:pgSz w:w="11900" w:h="16838" w:orient="portrait"/>
          <w:cols w:equalWidth="0" w:num="2">
            <w:col w:w="5881" w:space="720"/>
            <w:col w:w="4640"/>
          </w:cols>
          <w:pgMar w:left="319" w:top="472" w:right="339" w:bottom="1440" w:gutter="0" w:footer="0" w:header="0"/>
          <w:type w:val="continuous"/>
        </w:sectPr>
      </w:pPr>
    </w:p>
    <w:p>
      <w:pPr>
        <w:jc w:val="center"/>
        <w:ind w:right="-20"/>
        <w:spacing w:after="0"/>
        <w:rPr>
          <w:sz w:val="20"/>
          <w:szCs w:val="20"/>
          <w:color w:val="auto"/>
        </w:rPr>
      </w:pPr>
      <w:r>
        <w:rPr>
          <w:rFonts w:ascii="Arial" w:cs="Arial" w:eastAsia="Arial" w:hAnsi="Arial"/>
          <w:sz w:val="15"/>
          <w:szCs w:val="15"/>
          <w:b w:val="1"/>
          <w:bCs w:val="1"/>
          <w:color w:val="auto"/>
        </w:rPr>
        <w:t>Commission File Number: 001-39370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2855595</wp:posOffset>
            </wp:positionH>
            <wp:positionV relativeFrom="paragraph">
              <wp:posOffset>89535</wp:posOffset>
            </wp:positionV>
            <wp:extent cx="143192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1925" cy="7620"/>
                    </a:xfrm>
                    <a:prstGeom prst="rect">
                      <a:avLst/>
                    </a:prstGeom>
                    <a:noFill/>
                  </pic:spPr>
                </pic:pic>
              </a:graphicData>
            </a:graphic>
          </wp:anchor>
        </w:drawing>
      </w:r>
    </w:p>
    <w:p>
      <w:pPr>
        <w:sectPr>
          <w:pgSz w:w="11900" w:h="16838" w:orient="portrait"/>
          <w:cols w:equalWidth="0" w:num="1">
            <w:col w:w="11241"/>
          </w:cols>
          <w:pgMar w:left="319" w:top="472" w:right="339" w:bottom="1440" w:gutter="0" w:footer="0" w:header="0"/>
          <w:type w:val="continuous"/>
        </w:sectPr>
      </w:pPr>
    </w:p>
    <w:p>
      <w:pPr>
        <w:spacing w:after="0" w:line="188" w:lineRule="exact"/>
        <w:rPr>
          <w:sz w:val="24"/>
          <w:szCs w:val="24"/>
          <w:color w:val="auto"/>
        </w:rPr>
      </w:pPr>
    </w:p>
    <w:tbl>
      <w:tblPr>
        <w:tblLayout w:type="fixed"/>
        <w:tblInd w:w="1701" w:type="dxa"/>
        <w:tblCellMar>
          <w:top w:w="0" w:type="dxa"/>
          <w:left w:w="0" w:type="dxa"/>
          <w:bottom w:w="0" w:type="dxa"/>
          <w:right w:w="0" w:type="dxa"/>
        </w:tblCellMar>
      </w:tblPr>
      <w:tr>
        <w:trPr>
          <w:trHeight w:val="482"/>
        </w:trPr>
        <w:tc>
          <w:tcPr>
            <w:tcW w:w="2800" w:type="dxa"/>
            <w:vAlign w:val="bottom"/>
          </w:tcPr>
          <w:p>
            <w:pPr>
              <w:spacing w:after="0"/>
              <w:rPr>
                <w:sz w:val="24"/>
                <w:szCs w:val="24"/>
                <w:color w:val="auto"/>
              </w:rPr>
            </w:pPr>
          </w:p>
        </w:tc>
        <w:tc>
          <w:tcPr>
            <w:tcW w:w="3260" w:type="dxa"/>
            <w:vAlign w:val="bottom"/>
            <w:gridSpan w:val="2"/>
          </w:tcPr>
          <w:p>
            <w:pPr>
              <w:jc w:val="center"/>
              <w:ind w:right="1000"/>
              <w:spacing w:after="0"/>
              <w:rPr>
                <w:sz w:val="20"/>
                <w:szCs w:val="20"/>
                <w:color w:val="auto"/>
              </w:rPr>
            </w:pPr>
            <w:r>
              <w:rPr>
                <w:rFonts w:ascii="Arial" w:cs="Arial" w:eastAsia="Arial" w:hAnsi="Arial"/>
                <w:sz w:val="40"/>
                <w:szCs w:val="40"/>
                <w:b w:val="1"/>
                <w:bCs w:val="1"/>
                <w:color w:val="auto"/>
                <w:w w:val="95"/>
              </w:rPr>
              <w:t>Nkarta, Inc.</w:t>
            </w:r>
          </w:p>
        </w:tc>
        <w:tc>
          <w:tcPr>
            <w:tcW w:w="1120" w:type="dxa"/>
            <w:vAlign w:val="bottom"/>
          </w:tcPr>
          <w:p>
            <w:pPr>
              <w:spacing w:after="0"/>
              <w:rPr>
                <w:sz w:val="24"/>
                <w:szCs w:val="24"/>
                <w:color w:val="auto"/>
              </w:rPr>
            </w:pPr>
          </w:p>
        </w:tc>
      </w:tr>
      <w:tr>
        <w:trPr>
          <w:trHeight w:val="213"/>
        </w:trPr>
        <w:tc>
          <w:tcPr>
            <w:tcW w:w="6060" w:type="dxa"/>
            <w:vAlign w:val="bottom"/>
            <w:gridSpan w:val="3"/>
          </w:tcPr>
          <w:p>
            <w:pPr>
              <w:jc w:val="center"/>
              <w:ind w:left="1707"/>
              <w:spacing w:after="0"/>
              <w:rPr>
                <w:sz w:val="20"/>
                <w:szCs w:val="20"/>
                <w:color w:val="auto"/>
              </w:rPr>
            </w:pPr>
            <w:r>
              <w:rPr>
                <w:rFonts w:ascii="Arial" w:cs="Arial" w:eastAsia="Arial" w:hAnsi="Arial"/>
                <w:sz w:val="17"/>
                <w:szCs w:val="17"/>
                <w:b w:val="1"/>
                <w:bCs w:val="1"/>
                <w:color w:val="auto"/>
                <w:w w:val="88"/>
              </w:rPr>
              <w:t>(Exact Name of Registrant as Specified in its Charter)</w:t>
            </w:r>
          </w:p>
        </w:tc>
        <w:tc>
          <w:tcPr>
            <w:tcW w:w="1120" w:type="dxa"/>
            <w:vAlign w:val="bottom"/>
          </w:tcPr>
          <w:p>
            <w:pPr>
              <w:spacing w:after="0"/>
              <w:rPr>
                <w:sz w:val="18"/>
                <w:szCs w:val="18"/>
                <w:color w:val="auto"/>
              </w:rPr>
            </w:pPr>
          </w:p>
        </w:tc>
      </w:tr>
      <w:tr>
        <w:trPr>
          <w:trHeight w:val="88"/>
        </w:trPr>
        <w:tc>
          <w:tcPr>
            <w:tcW w:w="2800" w:type="dxa"/>
            <w:vAlign w:val="bottom"/>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1000" w:type="dxa"/>
            <w:vAlign w:val="bottom"/>
          </w:tcPr>
          <w:p>
            <w:pPr>
              <w:spacing w:after="0"/>
              <w:rPr>
                <w:sz w:val="7"/>
                <w:szCs w:val="7"/>
                <w:color w:val="auto"/>
              </w:rPr>
            </w:pPr>
          </w:p>
        </w:tc>
        <w:tc>
          <w:tcPr>
            <w:tcW w:w="1120" w:type="dxa"/>
            <w:vAlign w:val="bottom"/>
          </w:tcPr>
          <w:p>
            <w:pPr>
              <w:spacing w:after="0"/>
              <w:rPr>
                <w:sz w:val="7"/>
                <w:szCs w:val="7"/>
                <w:color w:val="auto"/>
              </w:rPr>
            </w:pPr>
          </w:p>
        </w:tc>
      </w:tr>
      <w:tr>
        <w:trPr>
          <w:trHeight w:val="249"/>
        </w:trPr>
        <w:tc>
          <w:tcPr>
            <w:tcW w:w="6060" w:type="dxa"/>
            <w:vAlign w:val="bottom"/>
            <w:gridSpan w:val="3"/>
          </w:tcPr>
          <w:p>
            <w:pPr>
              <w:jc w:val="center"/>
              <w:ind w:right="3840"/>
              <w:spacing w:after="0"/>
              <w:rPr>
                <w:sz w:val="20"/>
                <w:szCs w:val="20"/>
                <w:color w:val="auto"/>
              </w:rPr>
            </w:pPr>
            <w:r>
              <w:rPr>
                <w:rFonts w:ascii="Arial" w:cs="Arial" w:eastAsia="Arial" w:hAnsi="Arial"/>
                <w:sz w:val="17"/>
                <w:szCs w:val="17"/>
                <w:b w:val="1"/>
                <w:bCs w:val="1"/>
                <w:color w:val="auto"/>
                <w:w w:val="88"/>
              </w:rPr>
              <w:t>Delaware</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47-4515206</w:t>
            </w:r>
          </w:p>
        </w:tc>
      </w:tr>
      <w:tr>
        <w:trPr>
          <w:trHeight w:val="124"/>
        </w:trPr>
        <w:tc>
          <w:tcPr>
            <w:tcW w:w="6060" w:type="dxa"/>
            <w:vAlign w:val="bottom"/>
            <w:gridSpan w:val="3"/>
          </w:tcPr>
          <w:p>
            <w:pPr>
              <w:jc w:val="center"/>
              <w:ind w:right="3840"/>
              <w:spacing w:after="0" w:line="124" w:lineRule="exact"/>
              <w:rPr>
                <w:sz w:val="20"/>
                <w:szCs w:val="20"/>
                <w:color w:val="auto"/>
              </w:rPr>
            </w:pPr>
            <w:r>
              <w:rPr>
                <w:rFonts w:ascii="Arial" w:cs="Arial" w:eastAsia="Arial" w:hAnsi="Arial"/>
                <w:sz w:val="12"/>
                <w:szCs w:val="12"/>
                <w:b w:val="1"/>
                <w:bCs w:val="1"/>
                <w:color w:val="auto"/>
                <w:w w:val="88"/>
              </w:rPr>
              <w:t>(State or other jurisdiction of</w:t>
            </w:r>
          </w:p>
        </w:tc>
        <w:tc>
          <w:tcPr>
            <w:tcW w:w="1120" w:type="dxa"/>
            <w:vAlign w:val="bottom"/>
          </w:tcPr>
          <w:p>
            <w:pPr>
              <w:jc w:val="center"/>
              <w:ind w:left="172"/>
              <w:spacing w:after="0" w:line="124" w:lineRule="exact"/>
              <w:rPr>
                <w:sz w:val="20"/>
                <w:szCs w:val="20"/>
                <w:color w:val="auto"/>
              </w:rPr>
            </w:pPr>
            <w:r>
              <w:rPr>
                <w:rFonts w:ascii="Arial" w:cs="Arial" w:eastAsia="Arial" w:hAnsi="Arial"/>
                <w:sz w:val="12"/>
                <w:szCs w:val="12"/>
                <w:b w:val="1"/>
                <w:bCs w:val="1"/>
                <w:color w:val="auto"/>
                <w:w w:val="91"/>
              </w:rPr>
              <w:t>(I.R.S. Employer</w:t>
            </w:r>
          </w:p>
        </w:tc>
      </w:tr>
      <w:tr>
        <w:trPr>
          <w:trHeight w:val="123"/>
        </w:trPr>
        <w:tc>
          <w:tcPr>
            <w:tcW w:w="6060" w:type="dxa"/>
            <w:vAlign w:val="bottom"/>
            <w:gridSpan w:val="3"/>
          </w:tcPr>
          <w:p>
            <w:pPr>
              <w:jc w:val="center"/>
              <w:ind w:right="3840"/>
              <w:spacing w:after="0" w:line="124" w:lineRule="exact"/>
              <w:rPr>
                <w:sz w:val="20"/>
                <w:szCs w:val="20"/>
                <w:color w:val="auto"/>
              </w:rPr>
            </w:pPr>
            <w:r>
              <w:rPr>
                <w:rFonts w:ascii="Arial" w:cs="Arial" w:eastAsia="Arial" w:hAnsi="Arial"/>
                <w:sz w:val="12"/>
                <w:szCs w:val="12"/>
                <w:b w:val="1"/>
                <w:bCs w:val="1"/>
                <w:color w:val="auto"/>
                <w:w w:val="87"/>
              </w:rPr>
              <w:t>incorporation or organization)</w:t>
            </w:r>
          </w:p>
        </w:tc>
        <w:tc>
          <w:tcPr>
            <w:tcW w:w="1120" w:type="dxa"/>
            <w:vAlign w:val="bottom"/>
          </w:tcPr>
          <w:p>
            <w:pPr>
              <w:jc w:val="center"/>
              <w:ind w:left="152"/>
              <w:spacing w:after="0" w:line="124" w:lineRule="exact"/>
              <w:rPr>
                <w:sz w:val="20"/>
                <w:szCs w:val="20"/>
                <w:color w:val="auto"/>
              </w:rPr>
            </w:pPr>
            <w:r>
              <w:rPr>
                <w:rFonts w:ascii="Arial" w:cs="Arial" w:eastAsia="Arial" w:hAnsi="Arial"/>
                <w:sz w:val="12"/>
                <w:szCs w:val="12"/>
                <w:b w:val="1"/>
                <w:bCs w:val="1"/>
                <w:color w:val="auto"/>
                <w:w w:val="88"/>
              </w:rPr>
              <w:t>Identification No.)</w:t>
            </w:r>
          </w:p>
        </w:tc>
      </w:tr>
      <w:tr>
        <w:trPr>
          <w:trHeight w:val="198"/>
        </w:trPr>
        <w:tc>
          <w:tcPr>
            <w:tcW w:w="6060" w:type="dxa"/>
            <w:vAlign w:val="bottom"/>
            <w:gridSpan w:val="3"/>
          </w:tcPr>
          <w:p>
            <w:pPr>
              <w:jc w:val="center"/>
              <w:ind w:right="3840"/>
              <w:spacing w:after="0"/>
              <w:rPr>
                <w:sz w:val="20"/>
                <w:szCs w:val="20"/>
                <w:color w:val="auto"/>
              </w:rPr>
            </w:pPr>
            <w:r>
              <w:rPr>
                <w:rFonts w:ascii="Arial" w:cs="Arial" w:eastAsia="Arial" w:hAnsi="Arial"/>
                <w:sz w:val="17"/>
                <w:szCs w:val="17"/>
                <w:b w:val="1"/>
                <w:bCs w:val="1"/>
                <w:color w:val="auto"/>
                <w:w w:val="87"/>
              </w:rPr>
              <w:t>6000 Shoreline Court, Suite 102</w:t>
            </w:r>
          </w:p>
        </w:tc>
        <w:tc>
          <w:tcPr>
            <w:tcW w:w="1120" w:type="dxa"/>
            <w:vAlign w:val="bottom"/>
          </w:tcPr>
          <w:p>
            <w:pPr>
              <w:spacing w:after="0"/>
              <w:rPr>
                <w:sz w:val="17"/>
                <w:szCs w:val="17"/>
                <w:color w:val="auto"/>
              </w:rPr>
            </w:pPr>
          </w:p>
        </w:tc>
      </w:tr>
      <w:tr>
        <w:trPr>
          <w:trHeight w:val="199"/>
        </w:trPr>
        <w:tc>
          <w:tcPr>
            <w:tcW w:w="6060" w:type="dxa"/>
            <w:vAlign w:val="bottom"/>
            <w:gridSpan w:val="3"/>
          </w:tcPr>
          <w:p>
            <w:pPr>
              <w:jc w:val="center"/>
              <w:ind w:right="3840"/>
              <w:spacing w:after="0"/>
              <w:rPr>
                <w:sz w:val="20"/>
                <w:szCs w:val="20"/>
                <w:color w:val="auto"/>
              </w:rPr>
            </w:pPr>
            <w:r>
              <w:rPr>
                <w:rFonts w:ascii="Arial" w:cs="Arial" w:eastAsia="Arial" w:hAnsi="Arial"/>
                <w:sz w:val="17"/>
                <w:szCs w:val="17"/>
                <w:b w:val="1"/>
                <w:bCs w:val="1"/>
                <w:color w:val="auto"/>
                <w:w w:val="87"/>
              </w:rPr>
              <w:t>South San Francisco, CA</w:t>
            </w:r>
          </w:p>
        </w:tc>
        <w:tc>
          <w:tcPr>
            <w:tcW w:w="1120" w:type="dxa"/>
            <w:vAlign w:val="bottom"/>
          </w:tcPr>
          <w:p>
            <w:pPr>
              <w:jc w:val="right"/>
              <w:ind w:right="172"/>
              <w:spacing w:after="0"/>
              <w:rPr>
                <w:sz w:val="20"/>
                <w:szCs w:val="20"/>
                <w:color w:val="auto"/>
              </w:rPr>
            </w:pPr>
            <w:r>
              <w:rPr>
                <w:rFonts w:ascii="Arial" w:cs="Arial" w:eastAsia="Arial" w:hAnsi="Arial"/>
                <w:sz w:val="17"/>
                <w:szCs w:val="17"/>
                <w:b w:val="1"/>
                <w:bCs w:val="1"/>
                <w:color w:val="auto"/>
              </w:rPr>
              <w:t>94080</w:t>
            </w:r>
          </w:p>
        </w:tc>
      </w:tr>
      <w:tr>
        <w:trPr>
          <w:trHeight w:val="149"/>
        </w:trPr>
        <w:tc>
          <w:tcPr>
            <w:tcW w:w="6060" w:type="dxa"/>
            <w:vAlign w:val="bottom"/>
            <w:gridSpan w:val="3"/>
          </w:tcPr>
          <w:p>
            <w:pPr>
              <w:jc w:val="center"/>
              <w:ind w:right="3840"/>
              <w:spacing w:after="0"/>
              <w:rPr>
                <w:sz w:val="20"/>
                <w:szCs w:val="20"/>
                <w:color w:val="auto"/>
              </w:rPr>
            </w:pPr>
            <w:r>
              <w:rPr>
                <w:rFonts w:ascii="Arial" w:cs="Arial" w:eastAsia="Arial" w:hAnsi="Arial"/>
                <w:sz w:val="12"/>
                <w:szCs w:val="12"/>
                <w:b w:val="1"/>
                <w:bCs w:val="1"/>
                <w:color w:val="auto"/>
                <w:w w:val="84"/>
              </w:rPr>
              <w:t>(Address of principal executive offices)</w:t>
            </w:r>
          </w:p>
        </w:tc>
        <w:tc>
          <w:tcPr>
            <w:tcW w:w="1120" w:type="dxa"/>
            <w:vAlign w:val="bottom"/>
          </w:tcPr>
          <w:p>
            <w:pPr>
              <w:jc w:val="center"/>
              <w:ind w:left="152"/>
              <w:spacing w:after="0"/>
              <w:rPr>
                <w:sz w:val="20"/>
                <w:szCs w:val="20"/>
                <w:color w:val="auto"/>
              </w:rPr>
            </w:pPr>
            <w:r>
              <w:rPr>
                <w:rFonts w:ascii="Arial" w:cs="Arial" w:eastAsia="Arial" w:hAnsi="Arial"/>
                <w:sz w:val="12"/>
                <w:szCs w:val="12"/>
                <w:b w:val="1"/>
                <w:bCs w:val="1"/>
                <w:color w:val="auto"/>
                <w:w w:val="90"/>
              </w:rPr>
              <w:t>(Zip Code)</w:t>
            </w:r>
          </w:p>
        </w:tc>
      </w:tr>
      <w:tr>
        <w:trPr>
          <w:trHeight w:val="259"/>
        </w:trPr>
        <w:tc>
          <w:tcPr>
            <w:tcW w:w="5060" w:type="dxa"/>
            <w:vAlign w:val="bottom"/>
            <w:gridSpan w:val="2"/>
          </w:tcPr>
          <w:p>
            <w:pPr>
              <w:jc w:val="center"/>
              <w:ind w:left="2707"/>
              <w:spacing w:after="0"/>
              <w:rPr>
                <w:sz w:val="20"/>
                <w:szCs w:val="20"/>
                <w:color w:val="auto"/>
              </w:rPr>
            </w:pPr>
            <w:r>
              <w:rPr>
                <w:rFonts w:ascii="Arial" w:cs="Arial" w:eastAsia="Arial" w:hAnsi="Arial"/>
                <w:sz w:val="17"/>
                <w:szCs w:val="17"/>
                <w:b w:val="1"/>
                <w:bCs w:val="1"/>
                <w:color w:val="auto"/>
                <w:w w:val="89"/>
              </w:rPr>
              <w:t>(415) 582-4923</w:t>
            </w:r>
          </w:p>
        </w:tc>
        <w:tc>
          <w:tcPr>
            <w:tcW w:w="1000" w:type="dxa"/>
            <w:vAlign w:val="bottom"/>
          </w:tcPr>
          <w:p>
            <w:pPr>
              <w:spacing w:after="0"/>
              <w:rPr>
                <w:sz w:val="22"/>
                <w:szCs w:val="22"/>
                <w:color w:val="auto"/>
              </w:rPr>
            </w:pPr>
          </w:p>
        </w:tc>
        <w:tc>
          <w:tcPr>
            <w:tcW w:w="1120" w:type="dxa"/>
            <w:vAlign w:val="bottom"/>
          </w:tcPr>
          <w:p>
            <w:pPr>
              <w:spacing w:after="0"/>
              <w:rPr>
                <w:sz w:val="22"/>
                <w:szCs w:val="22"/>
                <w:color w:val="auto"/>
              </w:rPr>
            </w:pPr>
          </w:p>
        </w:tc>
      </w:tr>
    </w:tbl>
    <w:p>
      <w:pPr>
        <w:jc w:val="center"/>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Not applicable</w:t>
      </w:r>
    </w:p>
    <w:p>
      <w:pPr>
        <w:spacing w:after="0" w:line="14" w:lineRule="exact"/>
        <w:rPr>
          <w:sz w:val="24"/>
          <w:szCs w:val="24"/>
          <w:color w:val="auto"/>
        </w:rPr>
      </w:pPr>
    </w:p>
    <w:p>
      <w:pPr>
        <w:ind w:left="3601"/>
        <w:spacing w:after="0"/>
        <w:rPr>
          <w:sz w:val="20"/>
          <w:szCs w:val="20"/>
          <w:color w:val="auto"/>
        </w:rPr>
      </w:pPr>
      <w:r>
        <w:rPr>
          <w:rFonts w:ascii="Arial" w:cs="Arial" w:eastAsia="Arial" w:hAnsi="Arial"/>
          <w:sz w:val="12"/>
          <w:szCs w:val="12"/>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2855595</wp:posOffset>
            </wp:positionH>
            <wp:positionV relativeFrom="paragraph">
              <wp:posOffset>49530</wp:posOffset>
            </wp:positionV>
            <wp:extent cx="143192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1925" cy="7620"/>
                    </a:xfrm>
                    <a:prstGeom prst="rect">
                      <a:avLst/>
                    </a:prstGeom>
                    <a:noFill/>
                  </pic:spPr>
                </pic:pic>
              </a:graphicData>
            </a:graphic>
          </wp:anchor>
        </w:drawing>
      </w:r>
    </w:p>
    <w:p>
      <w:pPr>
        <w:spacing w:after="0" w:line="136" w:lineRule="exact"/>
        <w:rPr>
          <w:sz w:val="24"/>
          <w:szCs w:val="24"/>
          <w:color w:val="auto"/>
        </w:rPr>
      </w:pPr>
    </w:p>
    <w:p>
      <w:pPr>
        <w:ind w:left="601"/>
        <w:spacing w:after="0"/>
        <w:rPr>
          <w:sz w:val="20"/>
          <w:szCs w:val="20"/>
          <w:color w:val="auto"/>
        </w:rPr>
      </w:pPr>
      <w:r>
        <w:rPr>
          <w:rFonts w:ascii="Arial" w:cs="Arial" w:eastAsia="Arial" w:hAnsi="Arial"/>
          <w:sz w:val="15"/>
          <w:szCs w:val="15"/>
          <w:color w:val="auto"/>
        </w:rPr>
        <w:t>Securities registered pursuant to Section 12(b) of the Act:</w:t>
      </w:r>
    </w:p>
    <w:p>
      <w:pPr>
        <w:spacing w:after="0" w:line="63" w:lineRule="exact"/>
        <w:rPr>
          <w:sz w:val="24"/>
          <w:szCs w:val="24"/>
          <w:color w:val="auto"/>
        </w:rPr>
      </w:pPr>
    </w:p>
    <w:tbl>
      <w:tblPr>
        <w:tblLayout w:type="fixed"/>
        <w:tblInd w:w="1" w:type="dxa"/>
        <w:tblCellMar>
          <w:top w:w="0" w:type="dxa"/>
          <w:left w:w="0" w:type="dxa"/>
          <w:bottom w:w="0" w:type="dxa"/>
          <w:right w:w="0" w:type="dxa"/>
        </w:tblCellMar>
      </w:tblPr>
      <w:tr>
        <w:trPr>
          <w:trHeight w:val="149"/>
        </w:trPr>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60" w:type="dxa"/>
            <w:vAlign w:val="bottom"/>
            <w:gridSpan w:val="2"/>
          </w:tcPr>
          <w:p>
            <w:pPr>
              <w:ind w:left="900"/>
              <w:spacing w:after="0"/>
              <w:rPr>
                <w:sz w:val="20"/>
                <w:szCs w:val="20"/>
                <w:color w:val="auto"/>
              </w:rPr>
            </w:pPr>
            <w:r>
              <w:rPr>
                <w:rFonts w:ascii="Arial" w:cs="Arial" w:eastAsia="Arial" w:hAnsi="Arial"/>
                <w:sz w:val="13"/>
                <w:szCs w:val="13"/>
                <w:b w:val="1"/>
                <w:bCs w:val="1"/>
                <w:color w:val="auto"/>
              </w:rPr>
              <w:t>Trading</w:t>
            </w:r>
          </w:p>
        </w:tc>
        <w:tc>
          <w:tcPr>
            <w:tcW w:w="4380" w:type="dxa"/>
            <w:vAlign w:val="bottom"/>
          </w:tcPr>
          <w:p>
            <w:pPr>
              <w:spacing w:after="0"/>
              <w:rPr>
                <w:sz w:val="12"/>
                <w:szCs w:val="12"/>
                <w:color w:val="auto"/>
              </w:rPr>
            </w:pPr>
          </w:p>
        </w:tc>
      </w:tr>
      <w:tr>
        <w:trPr>
          <w:trHeight w:val="156"/>
        </w:trPr>
        <w:tc>
          <w:tcPr>
            <w:tcW w:w="4500" w:type="dxa"/>
            <w:vAlign w:val="bottom"/>
            <w:gridSpan w:val="2"/>
          </w:tcPr>
          <w:p>
            <w:pPr>
              <w:ind w:left="1700"/>
              <w:spacing w:after="0"/>
              <w:rPr>
                <w:sz w:val="20"/>
                <w:szCs w:val="20"/>
                <w:color w:val="auto"/>
              </w:rPr>
            </w:pPr>
            <w:r>
              <w:rPr>
                <w:rFonts w:ascii="Arial" w:cs="Arial" w:eastAsia="Arial" w:hAnsi="Arial"/>
                <w:sz w:val="13"/>
                <w:szCs w:val="13"/>
                <w:b w:val="1"/>
                <w:bCs w:val="1"/>
                <w:color w:val="auto"/>
              </w:rPr>
              <w:t>Title of each class</w:t>
            </w:r>
          </w:p>
        </w:tc>
        <w:tc>
          <w:tcPr>
            <w:tcW w:w="2360" w:type="dxa"/>
            <w:vAlign w:val="bottom"/>
            <w:gridSpan w:val="2"/>
          </w:tcPr>
          <w:p>
            <w:pPr>
              <w:ind w:left="840"/>
              <w:spacing w:after="0"/>
              <w:rPr>
                <w:sz w:val="20"/>
                <w:szCs w:val="20"/>
                <w:color w:val="auto"/>
              </w:rPr>
            </w:pPr>
            <w:r>
              <w:rPr>
                <w:rFonts w:ascii="Arial" w:cs="Arial" w:eastAsia="Arial" w:hAnsi="Arial"/>
                <w:sz w:val="13"/>
                <w:szCs w:val="13"/>
                <w:b w:val="1"/>
                <w:bCs w:val="1"/>
                <w:color w:val="auto"/>
              </w:rPr>
              <w:t>Symbol(s)</w:t>
            </w:r>
          </w:p>
        </w:tc>
        <w:tc>
          <w:tcPr>
            <w:tcW w:w="4380" w:type="dxa"/>
            <w:vAlign w:val="bottom"/>
          </w:tcPr>
          <w:p>
            <w:pPr>
              <w:jc w:val="center"/>
              <w:spacing w:after="0"/>
              <w:rPr>
                <w:sz w:val="20"/>
                <w:szCs w:val="20"/>
                <w:color w:val="auto"/>
              </w:rPr>
            </w:pPr>
            <w:r>
              <w:rPr>
                <w:rFonts w:ascii="Arial" w:cs="Arial" w:eastAsia="Arial" w:hAnsi="Arial"/>
                <w:sz w:val="13"/>
                <w:szCs w:val="13"/>
                <w:b w:val="1"/>
                <w:bCs w:val="1"/>
                <w:color w:val="auto"/>
                <w:w w:val="88"/>
              </w:rPr>
              <w:t>Name of each exchange on which registered</w:t>
            </w:r>
          </w:p>
        </w:tc>
      </w:tr>
      <w:tr>
        <w:trPr>
          <w:trHeight w:val="170"/>
        </w:trPr>
        <w:tc>
          <w:tcPr>
            <w:tcW w:w="4400" w:type="dxa"/>
            <w:vAlign w:val="bottom"/>
            <w:tcBorders>
              <w:top w:val="single" w:sz="8" w:color="auto"/>
            </w:tcBorders>
          </w:tcPr>
          <w:p>
            <w:pPr>
              <w:spacing w:after="0" w:line="170" w:lineRule="exact"/>
              <w:rPr>
                <w:sz w:val="20"/>
                <w:szCs w:val="20"/>
                <w:color w:val="auto"/>
              </w:rPr>
            </w:pPr>
            <w:r>
              <w:rPr>
                <w:rFonts w:ascii="Arial" w:cs="Arial" w:eastAsia="Arial" w:hAnsi="Arial"/>
                <w:sz w:val="15"/>
                <w:szCs w:val="15"/>
                <w:color w:val="auto"/>
              </w:rPr>
              <w:t>Common Stock, $0.0001 par value per share</w:t>
            </w:r>
          </w:p>
        </w:tc>
        <w:tc>
          <w:tcPr>
            <w:tcW w:w="100" w:type="dxa"/>
            <w:vAlign w:val="bottom"/>
          </w:tcPr>
          <w:p>
            <w:pPr>
              <w:spacing w:after="0"/>
              <w:rPr>
                <w:sz w:val="14"/>
                <w:szCs w:val="14"/>
                <w:color w:val="auto"/>
              </w:rPr>
            </w:pPr>
          </w:p>
        </w:tc>
        <w:tc>
          <w:tcPr>
            <w:tcW w:w="2260" w:type="dxa"/>
            <w:vAlign w:val="bottom"/>
            <w:tcBorders>
              <w:top w:val="single" w:sz="8" w:color="auto"/>
            </w:tcBorders>
          </w:tcPr>
          <w:p>
            <w:pPr>
              <w:ind w:left="880"/>
              <w:spacing w:after="0" w:line="170" w:lineRule="exact"/>
              <w:rPr>
                <w:sz w:val="20"/>
                <w:szCs w:val="20"/>
                <w:color w:val="auto"/>
              </w:rPr>
            </w:pPr>
            <w:r>
              <w:rPr>
                <w:rFonts w:ascii="Arial" w:cs="Arial" w:eastAsia="Arial" w:hAnsi="Arial"/>
                <w:sz w:val="15"/>
                <w:szCs w:val="15"/>
                <w:color w:val="auto"/>
              </w:rPr>
              <w:t>NKTX</w:t>
            </w:r>
          </w:p>
        </w:tc>
        <w:tc>
          <w:tcPr>
            <w:tcW w:w="100" w:type="dxa"/>
            <w:vAlign w:val="bottom"/>
          </w:tcPr>
          <w:p>
            <w:pPr>
              <w:spacing w:after="0"/>
              <w:rPr>
                <w:sz w:val="14"/>
                <w:szCs w:val="14"/>
                <w:color w:val="auto"/>
              </w:rPr>
            </w:pPr>
          </w:p>
        </w:tc>
        <w:tc>
          <w:tcPr>
            <w:tcW w:w="438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5"/>
                <w:szCs w:val="15"/>
                <w:color w:val="auto"/>
                <w:w w:val="91"/>
              </w:rPr>
              <w:t>The Nasdaq Stock Market LLC</w:t>
            </w:r>
          </w:p>
        </w:tc>
      </w:tr>
      <w:tr>
        <w:trPr>
          <w:trHeight w:val="188"/>
        </w:trPr>
        <w:tc>
          <w:tcPr>
            <w:tcW w:w="4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80" w:type="dxa"/>
            <w:vAlign w:val="bottom"/>
          </w:tcPr>
          <w:p>
            <w:pPr>
              <w:jc w:val="center"/>
              <w:spacing w:after="0"/>
              <w:rPr>
                <w:sz w:val="20"/>
                <w:szCs w:val="20"/>
                <w:color w:val="auto"/>
              </w:rPr>
            </w:pPr>
            <w:r>
              <w:rPr>
                <w:rFonts w:ascii="Arial" w:cs="Arial" w:eastAsia="Arial" w:hAnsi="Arial"/>
                <w:sz w:val="15"/>
                <w:szCs w:val="15"/>
                <w:color w:val="212529"/>
                <w:w w:val="90"/>
              </w:rPr>
              <w:t>(Nasdaq Global Select Market)</w:t>
            </w:r>
          </w:p>
        </w:tc>
      </w:tr>
    </w:tbl>
    <w:p>
      <w:pPr>
        <w:spacing w:after="0" w:line="72" w:lineRule="exact"/>
        <w:rPr>
          <w:sz w:val="24"/>
          <w:szCs w:val="24"/>
          <w:color w:val="auto"/>
        </w:rPr>
      </w:pPr>
    </w:p>
    <w:p>
      <w:pPr>
        <w:ind w:left="1" w:right="140" w:firstLine="599"/>
        <w:spacing w:after="0" w:line="195"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6" w:lineRule="exact"/>
        <w:rPr>
          <w:sz w:val="24"/>
          <w:szCs w:val="24"/>
          <w:color w:val="auto"/>
        </w:rPr>
      </w:pPr>
    </w:p>
    <w:p>
      <w:pPr>
        <w:ind w:left="1" w:right="60" w:firstLine="599"/>
        <w:spacing w:after="0" w:line="195"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4" w:lineRule="exact"/>
        <w:rPr>
          <w:sz w:val="24"/>
          <w:szCs w:val="24"/>
          <w:color w:val="auto"/>
        </w:rPr>
      </w:pPr>
    </w:p>
    <w:p>
      <w:pPr>
        <w:ind w:left="601"/>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w:t>
      </w:r>
    </w:p>
    <w:p>
      <w:pPr>
        <w:spacing w:after="0" w:line="39" w:lineRule="exact"/>
        <w:rPr>
          <w:sz w:val="24"/>
          <w:szCs w:val="24"/>
          <w:color w:val="auto"/>
        </w:rPr>
      </w:pPr>
    </w:p>
    <w:p>
      <w:pPr>
        <w:ind w:left="1"/>
        <w:spacing w:after="0"/>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12b-2 of the Exchange Act.</w:t>
      </w:r>
    </w:p>
    <w:p>
      <w:pPr>
        <w:spacing w:after="0" w:line="58" w:lineRule="exact"/>
        <w:rPr>
          <w:sz w:val="24"/>
          <w:szCs w:val="24"/>
          <w:color w:val="auto"/>
        </w:rPr>
      </w:pPr>
    </w:p>
    <w:tbl>
      <w:tblPr>
        <w:tblLayout w:type="fixed"/>
        <w:tblInd w:w="1" w:type="dxa"/>
        <w:tblCellMar>
          <w:top w:w="0" w:type="dxa"/>
          <w:left w:w="0" w:type="dxa"/>
          <w:bottom w:w="0" w:type="dxa"/>
          <w:right w:w="0" w:type="dxa"/>
        </w:tblCellMar>
      </w:tblPr>
      <w:tr>
        <w:trPr>
          <w:trHeight w:val="232"/>
        </w:trPr>
        <w:tc>
          <w:tcPr>
            <w:tcW w:w="194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580" w:type="dxa"/>
            <w:vAlign w:val="bottom"/>
          </w:tcPr>
          <w:p>
            <w:pPr>
              <w:ind w:left="320"/>
              <w:spacing w:after="0" w:line="151" w:lineRule="exact"/>
              <w:rPr>
                <w:sz w:val="20"/>
                <w:szCs w:val="20"/>
                <w:color w:val="auto"/>
              </w:rPr>
            </w:pPr>
            <w:r>
              <w:rPr>
                <w:rFonts w:ascii="MS PGothic" w:cs="MS PGothic" w:eastAsia="MS PGothic" w:hAnsi="MS PGothic"/>
                <w:sz w:val="15"/>
                <w:szCs w:val="15"/>
                <w:color w:val="auto"/>
              </w:rPr>
              <w:t>☐</w:t>
            </w:r>
          </w:p>
        </w:tc>
        <w:tc>
          <w:tcPr>
            <w:tcW w:w="5120" w:type="dxa"/>
            <w:vAlign w:val="bottom"/>
          </w:tcPr>
          <w:p>
            <w:pPr>
              <w:ind w:left="3140"/>
              <w:spacing w:after="0"/>
              <w:rPr>
                <w:sz w:val="20"/>
                <w:szCs w:val="20"/>
                <w:color w:val="auto"/>
              </w:rPr>
            </w:pPr>
            <w:r>
              <w:rPr>
                <w:rFonts w:ascii="Arial" w:cs="Arial" w:eastAsia="Arial" w:hAnsi="Arial"/>
                <w:sz w:val="15"/>
                <w:szCs w:val="15"/>
                <w:color w:val="auto"/>
              </w:rPr>
              <w:t>Accelerated filer</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9"/>
        </w:trPr>
        <w:tc>
          <w:tcPr>
            <w:tcW w:w="1940" w:type="dxa"/>
            <w:vAlign w:val="bottom"/>
          </w:tcPr>
          <w:p>
            <w:pPr>
              <w:spacing w:after="0"/>
              <w:rPr>
                <w:sz w:val="20"/>
                <w:szCs w:val="20"/>
                <w:color w:val="auto"/>
              </w:rPr>
            </w:pPr>
            <w:r>
              <w:rPr>
                <w:rFonts w:ascii="Arial" w:cs="Arial" w:eastAsia="Arial" w:hAnsi="Arial"/>
                <w:sz w:val="15"/>
                <w:szCs w:val="15"/>
                <w:color w:val="auto"/>
              </w:rPr>
              <w:t>Non-accelerated filer</w:t>
            </w:r>
          </w:p>
        </w:tc>
        <w:tc>
          <w:tcPr>
            <w:tcW w:w="3580" w:type="dxa"/>
            <w:vAlign w:val="bottom"/>
          </w:tcPr>
          <w:p>
            <w:pPr>
              <w:ind w:left="320"/>
              <w:spacing w:after="0" w:line="151" w:lineRule="exact"/>
              <w:rPr>
                <w:sz w:val="20"/>
                <w:szCs w:val="20"/>
                <w:color w:val="auto"/>
              </w:rPr>
            </w:pPr>
            <w:r>
              <w:rPr>
                <w:rFonts w:ascii="MS PGothic" w:cs="MS PGothic" w:eastAsia="MS PGothic" w:hAnsi="MS PGothic"/>
                <w:sz w:val="15"/>
                <w:szCs w:val="15"/>
                <w:color w:val="auto"/>
              </w:rPr>
              <w:t>☒</w:t>
            </w:r>
          </w:p>
        </w:tc>
        <w:tc>
          <w:tcPr>
            <w:tcW w:w="5120" w:type="dxa"/>
            <w:vAlign w:val="bottom"/>
          </w:tcPr>
          <w:p>
            <w:pPr>
              <w:ind w:left="3140"/>
              <w:spacing w:after="0"/>
              <w:rPr>
                <w:sz w:val="20"/>
                <w:szCs w:val="20"/>
                <w:color w:val="auto"/>
              </w:rPr>
            </w:pPr>
            <w:r>
              <w:rPr>
                <w:rFonts w:ascii="Arial" w:cs="Arial" w:eastAsia="Arial" w:hAnsi="Arial"/>
                <w:sz w:val="15"/>
                <w:szCs w:val="15"/>
                <w:color w:val="auto"/>
              </w:rPr>
              <w:t>Smaller reporting company</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2"/>
        </w:trPr>
        <w:tc>
          <w:tcPr>
            <w:tcW w:w="194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3580" w:type="dxa"/>
            <w:vAlign w:val="bottom"/>
          </w:tcPr>
          <w:p>
            <w:pPr>
              <w:ind w:left="320"/>
              <w:spacing w:after="0" w:line="151" w:lineRule="exact"/>
              <w:rPr>
                <w:sz w:val="20"/>
                <w:szCs w:val="20"/>
                <w:color w:val="auto"/>
              </w:rPr>
            </w:pPr>
            <w:r>
              <w:rPr>
                <w:rFonts w:ascii="MS PGothic" w:cs="MS PGothic" w:eastAsia="MS PGothic" w:hAnsi="MS PGothic"/>
                <w:sz w:val="15"/>
                <w:szCs w:val="15"/>
                <w:color w:val="auto"/>
              </w:rPr>
              <w:t>☒</w:t>
            </w:r>
          </w:p>
        </w:tc>
        <w:tc>
          <w:tcPr>
            <w:tcW w:w="5120" w:type="dxa"/>
            <w:vAlign w:val="bottom"/>
          </w:tcPr>
          <w:p>
            <w:pPr>
              <w:spacing w:after="0"/>
              <w:rPr>
                <w:sz w:val="20"/>
                <w:szCs w:val="20"/>
                <w:color w:val="auto"/>
              </w:rPr>
            </w:pPr>
          </w:p>
        </w:tc>
        <w:tc>
          <w:tcPr>
            <w:tcW w:w="500" w:type="dxa"/>
            <w:vAlign w:val="bottom"/>
          </w:tcPr>
          <w:p>
            <w:pPr>
              <w:spacing w:after="0"/>
              <w:rPr>
                <w:sz w:val="20"/>
                <w:szCs w:val="20"/>
                <w:color w:val="auto"/>
              </w:rPr>
            </w:pPr>
          </w:p>
        </w:tc>
      </w:tr>
    </w:tbl>
    <w:p>
      <w:pPr>
        <w:spacing w:after="0" w:line="56" w:lineRule="exact"/>
        <w:rPr>
          <w:sz w:val="24"/>
          <w:szCs w:val="24"/>
          <w:color w:val="auto"/>
        </w:rPr>
      </w:pPr>
    </w:p>
    <w:p>
      <w:pPr>
        <w:ind w:left="1" w:right="320" w:firstLine="599"/>
        <w:spacing w:after="0" w:line="195"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7" w:lineRule="exact"/>
        <w:rPr>
          <w:sz w:val="24"/>
          <w:szCs w:val="24"/>
          <w:color w:val="auto"/>
        </w:rPr>
      </w:pPr>
    </w:p>
    <w:p>
      <w:pPr>
        <w:ind w:left="601" w:right="2740"/>
        <w:spacing w:after="0" w:line="238"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November 8, 2021, the registrant had 32,949,415 shares of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59690</wp:posOffset>
            </wp:positionV>
            <wp:extent cx="714375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37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74930</wp:posOffset>
            </wp:positionV>
            <wp:extent cx="714375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37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90805</wp:posOffset>
            </wp:positionV>
            <wp:extent cx="714375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3750"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172720</wp:posOffset>
            </wp:positionV>
            <wp:extent cx="716915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1"/>
          </w:cols>
          <w:pgMar w:left="319" w:top="472"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1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PART I.</w:t>
            </w:r>
          </w:p>
        </w:tc>
        <w:tc>
          <w:tcPr>
            <w:tcW w:w="9320" w:type="dxa"/>
            <w:vAlign w:val="bottom"/>
            <w:gridSpan w:val="20"/>
            <w:vMerge w:val="restart"/>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FINANCIAL INFORMATION</w:t>
              </w:r>
            </w:hyperlink>
          </w:p>
        </w:tc>
        <w:tc>
          <w:tcPr>
            <w:tcW w:w="780" w:type="dxa"/>
            <w:vAlign w:val="bottom"/>
            <w:tcBorders>
              <w:bottom w:val="single" w:sz="8" w:color="auto"/>
            </w:tcBorders>
          </w:tcPr>
          <w:p>
            <w:pPr>
              <w:jc w:val="right"/>
              <w:ind w:right="318"/>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6"/>
        </w:trPr>
        <w:tc>
          <w:tcPr>
            <w:tcW w:w="1140" w:type="dxa"/>
            <w:vAlign w:val="bottom"/>
            <w:gridSpan w:val="2"/>
            <w:vMerge w:val="continue"/>
          </w:tcPr>
          <w:p>
            <w:pPr>
              <w:spacing w:after="0"/>
              <w:rPr>
                <w:sz w:val="14"/>
                <w:szCs w:val="14"/>
                <w:color w:val="auto"/>
              </w:rPr>
            </w:pPr>
          </w:p>
        </w:tc>
        <w:tc>
          <w:tcPr>
            <w:tcW w:w="9320" w:type="dxa"/>
            <w:vAlign w:val="bottom"/>
            <w:gridSpan w:val="20"/>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140" w:type="dxa"/>
            <w:vAlign w:val="bottom"/>
            <w:gridSpan w:val="2"/>
          </w:tcPr>
          <w:p>
            <w:pPr>
              <w:spacing w:after="0" w:line="191" w:lineRule="exact"/>
              <w:rPr>
                <w:sz w:val="20"/>
                <w:szCs w:val="20"/>
                <w:color w:val="auto"/>
              </w:rPr>
            </w:pPr>
            <w:r>
              <w:rPr>
                <w:rFonts w:ascii="Arial" w:cs="Arial" w:eastAsia="Arial" w:hAnsi="Arial"/>
                <w:sz w:val="17"/>
                <w:szCs w:val="17"/>
                <w:color w:val="auto"/>
              </w:rPr>
              <w:t>Item 1.</w:t>
            </w:r>
          </w:p>
        </w:tc>
        <w:tc>
          <w:tcPr>
            <w:tcW w:w="2060" w:type="dxa"/>
            <w:vAlign w:val="bottom"/>
            <w:tcBorders>
              <w:top w:val="single" w:sz="8" w:color="0000EE"/>
            </w:tcBorders>
            <w:gridSpan w:val="11"/>
          </w:tcPr>
          <w:p>
            <w:pPr>
              <w:spacing w:after="0" w:line="191" w:lineRule="exact"/>
              <w:rPr>
                <w:rFonts w:ascii="Arial" w:cs="Arial" w:eastAsia="Arial" w:hAnsi="Arial"/>
                <w:sz w:val="17"/>
                <w:szCs w:val="17"/>
                <w:color w:val="0000EE"/>
              </w:rPr>
            </w:pPr>
            <w:hyperlink w:anchor="page6">
              <w:r>
                <w:rPr>
                  <w:rFonts w:ascii="Arial" w:cs="Arial" w:eastAsia="Arial" w:hAnsi="Arial"/>
                  <w:sz w:val="17"/>
                  <w:szCs w:val="17"/>
                  <w:color w:val="0000EE"/>
                </w:rPr>
                <w:t>Financial Statements</w:t>
              </w:r>
            </w:hyperlink>
            <w:r>
              <w:rPr>
                <w:rFonts w:ascii="Arial" w:cs="Arial" w:eastAsia="Arial" w:hAnsi="Arial"/>
                <w:sz w:val="17"/>
                <w:szCs w:val="17"/>
                <w:u w:val="single" w:color="auto"/>
                <w:color w:val="000000"/>
              </w:rPr>
              <w:t>:</w:t>
            </w:r>
          </w:p>
        </w:tc>
        <w:tc>
          <w:tcPr>
            <w:tcW w:w="7260" w:type="dxa"/>
            <w:vAlign w:val="bottom"/>
            <w:gridSpan w:val="9"/>
          </w:tcPr>
          <w:p>
            <w:pPr>
              <w:spacing w:after="0"/>
              <w:rPr>
                <w:sz w:val="16"/>
                <w:szCs w:val="16"/>
                <w:color w:val="auto"/>
              </w:rPr>
            </w:pPr>
          </w:p>
        </w:tc>
        <w:tc>
          <w:tcPr>
            <w:tcW w:w="780" w:type="dxa"/>
            <w:vAlign w:val="bottom"/>
          </w:tcPr>
          <w:p>
            <w:pPr>
              <w:jc w:val="right"/>
              <w:spacing w:after="0" w:line="191"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320" w:type="dxa"/>
            <w:vAlign w:val="bottom"/>
            <w:gridSpan w:val="20"/>
          </w:tcPr>
          <w:p>
            <w:pPr>
              <w:spacing w:after="0" w:line="191" w:lineRule="exact"/>
              <w:rPr>
                <w:rFonts w:ascii="Arial" w:cs="Arial" w:eastAsia="Arial" w:hAnsi="Arial"/>
                <w:sz w:val="17"/>
                <w:szCs w:val="17"/>
                <w:color w:val="0000EE"/>
              </w:rPr>
            </w:pPr>
            <w:hyperlink w:anchor="page6">
              <w:r>
                <w:rPr>
                  <w:rFonts w:ascii="Arial" w:cs="Arial" w:eastAsia="Arial" w:hAnsi="Arial"/>
                  <w:sz w:val="17"/>
                  <w:szCs w:val="17"/>
                  <w:color w:val="0000EE"/>
                </w:rPr>
                <w:t>Condensed Balance Sheets as of September 30, 2021 and December 31, 2020 (unaudited)</w:t>
              </w:r>
            </w:hyperlink>
          </w:p>
        </w:tc>
        <w:tc>
          <w:tcPr>
            <w:tcW w:w="780" w:type="dxa"/>
            <w:vAlign w:val="bottom"/>
          </w:tcPr>
          <w:p>
            <w:pPr>
              <w:jc w:val="right"/>
              <w:spacing w:after="0" w:line="191"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320" w:type="dxa"/>
            <w:vAlign w:val="bottom"/>
            <w:gridSpan w:val="20"/>
          </w:tcPr>
          <w:p>
            <w:pPr>
              <w:spacing w:after="0" w:line="191" w:lineRule="exact"/>
              <w:rPr>
                <w:rFonts w:ascii="Arial" w:cs="Arial" w:eastAsia="Arial" w:hAnsi="Arial"/>
                <w:sz w:val="17"/>
                <w:szCs w:val="17"/>
                <w:color w:val="0000EE"/>
                <w:w w:val="93"/>
              </w:rPr>
            </w:pPr>
            <w:hyperlink w:anchor="page7">
              <w:r>
                <w:rPr>
                  <w:rFonts w:ascii="Arial" w:cs="Arial" w:eastAsia="Arial" w:hAnsi="Arial"/>
                  <w:sz w:val="17"/>
                  <w:szCs w:val="17"/>
                  <w:color w:val="0000EE"/>
                  <w:w w:val="93"/>
                </w:rPr>
                <w:t>Condensed Statements of Operations and Comprehensive Loss for the three and nine months ended September 30, 2021 and 2020</w:t>
              </w:r>
            </w:hyperlink>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580" w:type="dxa"/>
            <w:vAlign w:val="bottom"/>
            <w:tcBorders>
              <w:top w:val="single" w:sz="8" w:color="0000EE"/>
            </w:tcBorders>
            <w:gridSpan w:val="18"/>
          </w:tcPr>
          <w:p>
            <w:pPr>
              <w:spacing w:after="0" w:line="178" w:lineRule="exact"/>
              <w:rPr>
                <w:rFonts w:ascii="Arial" w:cs="Arial" w:eastAsia="Arial" w:hAnsi="Arial"/>
                <w:sz w:val="17"/>
                <w:szCs w:val="17"/>
                <w:color w:val="0000EE"/>
              </w:rPr>
            </w:pPr>
            <w:hyperlink w:anchor="page7">
              <w:r>
                <w:rPr>
                  <w:rFonts w:ascii="Arial" w:cs="Arial" w:eastAsia="Arial" w:hAnsi="Arial"/>
                  <w:sz w:val="17"/>
                  <w:szCs w:val="17"/>
                  <w:color w:val="0000EE"/>
                </w:rPr>
                <w:t>(unaudited)</w:t>
              </w:r>
            </w:hyperlink>
          </w:p>
        </w:tc>
        <w:tc>
          <w:tcPr>
            <w:tcW w:w="740" w:type="dxa"/>
            <w:vAlign w:val="bottom"/>
            <w:gridSpan w:val="2"/>
          </w:tcPr>
          <w:p>
            <w:pPr>
              <w:spacing w:after="0"/>
              <w:rPr>
                <w:sz w:val="15"/>
                <w:szCs w:val="15"/>
                <w:color w:val="auto"/>
              </w:rPr>
            </w:pPr>
          </w:p>
        </w:tc>
        <w:tc>
          <w:tcPr>
            <w:tcW w:w="780" w:type="dxa"/>
            <w:vAlign w:val="bottom"/>
          </w:tcPr>
          <w:p>
            <w:pPr>
              <w:jc w:val="right"/>
              <w:spacing w:after="0" w:line="178"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320" w:type="dxa"/>
            <w:vAlign w:val="bottom"/>
            <w:gridSpan w:val="20"/>
          </w:tcPr>
          <w:p>
            <w:pPr>
              <w:spacing w:after="0" w:line="191" w:lineRule="exact"/>
              <w:rPr>
                <w:rFonts w:ascii="Arial" w:cs="Arial" w:eastAsia="Arial" w:hAnsi="Arial"/>
                <w:sz w:val="17"/>
                <w:szCs w:val="17"/>
                <w:color w:val="0000EE"/>
                <w:w w:val="90"/>
              </w:rPr>
            </w:pPr>
            <w:hyperlink w:anchor="page8">
              <w:r>
                <w:rPr>
                  <w:rFonts w:ascii="Arial" w:cs="Arial" w:eastAsia="Arial" w:hAnsi="Arial"/>
                  <w:sz w:val="17"/>
                  <w:szCs w:val="17"/>
                  <w:color w:val="0000EE"/>
                  <w:w w:val="90"/>
                </w:rPr>
                <w:t>Condensed Statements of Convertible Preferred Stock and Stockholders’ Equity (Deficit) for the three and nine months ended September</w:t>
              </w:r>
            </w:hyperlink>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40" w:type="dxa"/>
            <w:vAlign w:val="bottom"/>
            <w:tcBorders>
              <w:top w:val="single" w:sz="8" w:color="0000EE"/>
              <w:bottom w:val="single" w:sz="8" w:color="0000EE"/>
            </w:tcBorders>
            <w:gridSpan w:val="10"/>
          </w:tcPr>
          <w:p>
            <w:pPr>
              <w:spacing w:after="0" w:line="178" w:lineRule="exact"/>
              <w:rPr>
                <w:rFonts w:ascii="Arial" w:cs="Arial" w:eastAsia="Arial" w:hAnsi="Arial"/>
                <w:sz w:val="17"/>
                <w:szCs w:val="17"/>
                <w:color w:val="0000EE"/>
                <w:w w:val="86"/>
              </w:rPr>
            </w:pPr>
            <w:hyperlink w:anchor="page8">
              <w:r>
                <w:rPr>
                  <w:rFonts w:ascii="Arial" w:cs="Arial" w:eastAsia="Arial" w:hAnsi="Arial"/>
                  <w:sz w:val="17"/>
                  <w:szCs w:val="17"/>
                  <w:color w:val="0000EE"/>
                  <w:w w:val="86"/>
                </w:rPr>
                <w:t>30, 2021 and 2020 (unaudited)</w:t>
              </w:r>
            </w:hyperlink>
          </w:p>
        </w:tc>
        <w:tc>
          <w:tcPr>
            <w:tcW w:w="7020" w:type="dxa"/>
            <w:vAlign w:val="bottom"/>
            <w:tcBorders>
              <w:top w:val="single" w:sz="8" w:color="0000EE"/>
            </w:tcBorders>
            <w:gridSpan w:val="9"/>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spacing w:after="0" w:line="178"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91"/>
        </w:trPr>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80" w:type="dxa"/>
            <w:vAlign w:val="bottom"/>
            <w:tcBorders>
              <w:bottom w:val="single" w:sz="8" w:color="0000EE"/>
            </w:tcBorders>
            <w:gridSpan w:val="17"/>
          </w:tcPr>
          <w:p>
            <w:pPr>
              <w:spacing w:after="0" w:line="191" w:lineRule="exact"/>
              <w:rPr>
                <w:rFonts w:ascii="Arial" w:cs="Arial" w:eastAsia="Arial" w:hAnsi="Arial"/>
                <w:sz w:val="17"/>
                <w:szCs w:val="17"/>
                <w:color w:val="0000EE"/>
                <w:w w:val="86"/>
              </w:rPr>
            </w:pPr>
            <w:hyperlink w:anchor="page10">
              <w:r>
                <w:rPr>
                  <w:rFonts w:ascii="Arial" w:cs="Arial" w:eastAsia="Arial" w:hAnsi="Arial"/>
                  <w:sz w:val="17"/>
                  <w:szCs w:val="17"/>
                  <w:color w:val="0000EE"/>
                  <w:w w:val="86"/>
                </w:rPr>
                <w:t>Condensed Statements of Cash Flows for the nine months ended September 30, 2021 and 2020 (unaudited)</w:t>
              </w:r>
            </w:hyperlink>
          </w:p>
        </w:tc>
        <w:tc>
          <w:tcPr>
            <w:tcW w:w="2240" w:type="dxa"/>
            <w:vAlign w:val="bottom"/>
            <w:gridSpan w:val="3"/>
          </w:tcPr>
          <w:p>
            <w:pPr>
              <w:spacing w:after="0"/>
              <w:rPr>
                <w:sz w:val="16"/>
                <w:szCs w:val="16"/>
                <w:color w:val="auto"/>
              </w:rPr>
            </w:pPr>
          </w:p>
        </w:tc>
        <w:tc>
          <w:tcPr>
            <w:tcW w:w="780" w:type="dxa"/>
            <w:vAlign w:val="bottom"/>
          </w:tcPr>
          <w:p>
            <w:pPr>
              <w:jc w:val="right"/>
              <w:spacing w:after="0" w:line="191"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91"/>
        </w:trPr>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80" w:type="dxa"/>
            <w:vAlign w:val="bottom"/>
            <w:tcBorders>
              <w:bottom w:val="single" w:sz="8" w:color="0000EE"/>
            </w:tcBorders>
            <w:gridSpan w:val="13"/>
          </w:tcPr>
          <w:p>
            <w:pPr>
              <w:spacing w:after="0" w:line="191" w:lineRule="exact"/>
              <w:rPr>
                <w:rFonts w:ascii="Arial" w:cs="Arial" w:eastAsia="Arial" w:hAnsi="Arial"/>
                <w:sz w:val="17"/>
                <w:szCs w:val="17"/>
                <w:color w:val="0000EE"/>
                <w:w w:val="86"/>
              </w:rPr>
            </w:pPr>
            <w:hyperlink w:anchor="page11">
              <w:r>
                <w:rPr>
                  <w:rFonts w:ascii="Arial" w:cs="Arial" w:eastAsia="Arial" w:hAnsi="Arial"/>
                  <w:sz w:val="17"/>
                  <w:szCs w:val="17"/>
                  <w:color w:val="0000EE"/>
                  <w:w w:val="86"/>
                </w:rPr>
                <w:t>Notes to Unaudited Condensed Financial Statements</w:t>
              </w:r>
            </w:hyperlink>
          </w:p>
        </w:tc>
        <w:tc>
          <w:tcPr>
            <w:tcW w:w="5840" w:type="dxa"/>
            <w:vAlign w:val="bottom"/>
            <w:gridSpan w:val="7"/>
          </w:tcPr>
          <w:p>
            <w:pPr>
              <w:spacing w:after="0"/>
              <w:rPr>
                <w:sz w:val="16"/>
                <w:szCs w:val="16"/>
                <w:color w:val="auto"/>
              </w:rPr>
            </w:pPr>
          </w:p>
        </w:tc>
        <w:tc>
          <w:tcPr>
            <w:tcW w:w="780" w:type="dxa"/>
            <w:vAlign w:val="bottom"/>
          </w:tcPr>
          <w:p>
            <w:pPr>
              <w:jc w:val="right"/>
              <w:spacing w:after="0" w:line="191" w:lineRule="exact"/>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91"/>
        </w:trPr>
        <w:tc>
          <w:tcPr>
            <w:tcW w:w="1140" w:type="dxa"/>
            <w:vAlign w:val="bottom"/>
            <w:gridSpan w:val="2"/>
          </w:tcPr>
          <w:p>
            <w:pPr>
              <w:spacing w:after="0" w:line="191" w:lineRule="exact"/>
              <w:rPr>
                <w:sz w:val="20"/>
                <w:szCs w:val="20"/>
                <w:color w:val="auto"/>
              </w:rPr>
            </w:pPr>
            <w:r>
              <w:rPr>
                <w:rFonts w:ascii="Arial" w:cs="Arial" w:eastAsia="Arial" w:hAnsi="Arial"/>
                <w:sz w:val="17"/>
                <w:szCs w:val="17"/>
                <w:color w:val="auto"/>
              </w:rPr>
              <w:t>Item 2.</w:t>
            </w:r>
          </w:p>
        </w:tc>
        <w:tc>
          <w:tcPr>
            <w:tcW w:w="9320" w:type="dxa"/>
            <w:vAlign w:val="bottom"/>
            <w:gridSpan w:val="20"/>
          </w:tcPr>
          <w:p>
            <w:pPr>
              <w:spacing w:after="0" w:line="191" w:lineRule="exact"/>
              <w:rPr>
                <w:rFonts w:ascii="Arial" w:cs="Arial" w:eastAsia="Arial" w:hAnsi="Arial"/>
                <w:sz w:val="17"/>
                <w:szCs w:val="17"/>
                <w:color w:val="0000EE"/>
              </w:rPr>
            </w:pPr>
            <w:hyperlink w:anchor="page20">
              <w:r>
                <w:rPr>
                  <w:rFonts w:ascii="Arial" w:cs="Arial" w:eastAsia="Arial" w:hAnsi="Arial"/>
                  <w:sz w:val="17"/>
                  <w:szCs w:val="17"/>
                  <w:color w:val="0000EE"/>
                </w:rPr>
                <w:t>Management’s Discussion and Analysis of Financial Condition and Results of Operations</w:t>
              </w:r>
            </w:hyperlink>
          </w:p>
        </w:tc>
        <w:tc>
          <w:tcPr>
            <w:tcW w:w="780" w:type="dxa"/>
            <w:vAlign w:val="bottom"/>
          </w:tcPr>
          <w:p>
            <w:pPr>
              <w:jc w:val="right"/>
              <w:spacing w:after="0" w:line="191" w:lineRule="exact"/>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191"/>
        </w:trPr>
        <w:tc>
          <w:tcPr>
            <w:tcW w:w="1140" w:type="dxa"/>
            <w:vAlign w:val="bottom"/>
            <w:gridSpan w:val="2"/>
          </w:tcPr>
          <w:p>
            <w:pPr>
              <w:spacing w:after="0" w:line="191" w:lineRule="exact"/>
              <w:rPr>
                <w:sz w:val="20"/>
                <w:szCs w:val="20"/>
                <w:color w:val="auto"/>
              </w:rPr>
            </w:pPr>
            <w:r>
              <w:rPr>
                <w:rFonts w:ascii="Arial" w:cs="Arial" w:eastAsia="Arial" w:hAnsi="Arial"/>
                <w:sz w:val="17"/>
                <w:szCs w:val="17"/>
                <w:color w:val="auto"/>
              </w:rPr>
              <w:t>Item 3.</w:t>
            </w:r>
          </w:p>
        </w:tc>
        <w:tc>
          <w:tcPr>
            <w:tcW w:w="4000" w:type="dxa"/>
            <w:vAlign w:val="bottom"/>
            <w:tcBorders>
              <w:top w:val="single" w:sz="8" w:color="0000EE"/>
              <w:bottom w:val="single" w:sz="8" w:color="0000EE"/>
            </w:tcBorders>
            <w:gridSpan w:val="15"/>
          </w:tcPr>
          <w:p>
            <w:pPr>
              <w:spacing w:after="0" w:line="191" w:lineRule="exact"/>
              <w:rPr>
                <w:rFonts w:ascii="Arial" w:cs="Arial" w:eastAsia="Arial" w:hAnsi="Arial"/>
                <w:sz w:val="17"/>
                <w:szCs w:val="17"/>
                <w:color w:val="0000EE"/>
                <w:w w:val="89"/>
              </w:rPr>
            </w:pPr>
            <w:hyperlink w:anchor="page30">
              <w:r>
                <w:rPr>
                  <w:rFonts w:ascii="Arial" w:cs="Arial" w:eastAsia="Arial" w:hAnsi="Arial"/>
                  <w:sz w:val="17"/>
                  <w:szCs w:val="17"/>
                  <w:color w:val="0000EE"/>
                  <w:w w:val="89"/>
                </w:rPr>
                <w:t>Quantitative and Qualitative Disclosures About Market Risk</w:t>
              </w:r>
            </w:hyperlink>
          </w:p>
        </w:tc>
        <w:tc>
          <w:tcPr>
            <w:tcW w:w="1920" w:type="dxa"/>
            <w:vAlign w:val="bottom"/>
            <w:tcBorders>
              <w:top w:val="single" w:sz="8" w:color="0000EE"/>
            </w:tcBorders>
          </w:tcPr>
          <w:p>
            <w:pPr>
              <w:spacing w:after="0"/>
              <w:rPr>
                <w:sz w:val="16"/>
                <w:szCs w:val="16"/>
                <w:color w:val="auto"/>
              </w:rPr>
            </w:pPr>
          </w:p>
        </w:tc>
        <w:tc>
          <w:tcPr>
            <w:tcW w:w="3400" w:type="dxa"/>
            <w:vAlign w:val="bottom"/>
            <w:gridSpan w:val="4"/>
          </w:tcPr>
          <w:p>
            <w:pPr>
              <w:spacing w:after="0"/>
              <w:rPr>
                <w:sz w:val="16"/>
                <w:szCs w:val="16"/>
                <w:color w:val="auto"/>
              </w:rPr>
            </w:pPr>
          </w:p>
        </w:tc>
        <w:tc>
          <w:tcPr>
            <w:tcW w:w="780" w:type="dxa"/>
            <w:vAlign w:val="bottom"/>
          </w:tcPr>
          <w:p>
            <w:pPr>
              <w:jc w:val="right"/>
              <w:spacing w:after="0" w:line="191" w:lineRule="exact"/>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191"/>
        </w:trPr>
        <w:tc>
          <w:tcPr>
            <w:tcW w:w="1140" w:type="dxa"/>
            <w:vAlign w:val="bottom"/>
            <w:gridSpan w:val="2"/>
          </w:tcPr>
          <w:p>
            <w:pPr>
              <w:spacing w:after="0" w:line="191" w:lineRule="exact"/>
              <w:rPr>
                <w:sz w:val="20"/>
                <w:szCs w:val="20"/>
                <w:color w:val="auto"/>
              </w:rPr>
            </w:pPr>
            <w:r>
              <w:rPr>
                <w:rFonts w:ascii="Arial" w:cs="Arial" w:eastAsia="Arial" w:hAnsi="Arial"/>
                <w:sz w:val="17"/>
                <w:szCs w:val="17"/>
                <w:color w:val="auto"/>
              </w:rPr>
              <w:t>Item 4.</w:t>
            </w:r>
          </w:p>
        </w:tc>
        <w:tc>
          <w:tcPr>
            <w:tcW w:w="1640" w:type="dxa"/>
            <w:vAlign w:val="bottom"/>
            <w:tcBorders>
              <w:bottom w:val="single" w:sz="8" w:color="0000EE"/>
            </w:tcBorders>
            <w:gridSpan w:val="8"/>
          </w:tcPr>
          <w:p>
            <w:pPr>
              <w:spacing w:after="0" w:line="191" w:lineRule="exact"/>
              <w:rPr>
                <w:rFonts w:ascii="Arial" w:cs="Arial" w:eastAsia="Arial" w:hAnsi="Arial"/>
                <w:sz w:val="17"/>
                <w:szCs w:val="17"/>
                <w:color w:val="0000EE"/>
                <w:w w:val="86"/>
              </w:rPr>
            </w:pPr>
            <w:hyperlink w:anchor="page30">
              <w:r>
                <w:rPr>
                  <w:rFonts w:ascii="Arial" w:cs="Arial" w:eastAsia="Arial" w:hAnsi="Arial"/>
                  <w:sz w:val="17"/>
                  <w:szCs w:val="17"/>
                  <w:color w:val="0000EE"/>
                  <w:w w:val="86"/>
                </w:rPr>
                <w:t>Controls and Procedures</w:t>
              </w:r>
            </w:hyperlink>
          </w:p>
        </w:tc>
        <w:tc>
          <w:tcPr>
            <w:tcW w:w="7680" w:type="dxa"/>
            <w:vAlign w:val="bottom"/>
            <w:gridSpan w:val="12"/>
          </w:tcPr>
          <w:p>
            <w:pPr>
              <w:spacing w:after="0"/>
              <w:rPr>
                <w:sz w:val="16"/>
                <w:szCs w:val="16"/>
                <w:color w:val="auto"/>
              </w:rPr>
            </w:pPr>
          </w:p>
        </w:tc>
        <w:tc>
          <w:tcPr>
            <w:tcW w:w="780" w:type="dxa"/>
            <w:vAlign w:val="bottom"/>
          </w:tcPr>
          <w:p>
            <w:pPr>
              <w:jc w:val="right"/>
              <w:spacing w:after="0" w:line="191" w:lineRule="exact"/>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191"/>
        </w:trPr>
        <w:tc>
          <w:tcPr>
            <w:tcW w:w="1140" w:type="dxa"/>
            <w:vAlign w:val="bottom"/>
            <w:gridSpan w:val="2"/>
          </w:tcPr>
          <w:p>
            <w:pPr>
              <w:spacing w:after="0" w:line="191" w:lineRule="exact"/>
              <w:rPr>
                <w:sz w:val="20"/>
                <w:szCs w:val="20"/>
                <w:color w:val="auto"/>
              </w:rPr>
            </w:pPr>
            <w:r>
              <w:rPr>
                <w:rFonts w:ascii="Arial" w:cs="Arial" w:eastAsia="Arial" w:hAnsi="Arial"/>
                <w:sz w:val="17"/>
                <w:szCs w:val="17"/>
                <w:b w:val="1"/>
                <w:bCs w:val="1"/>
                <w:color w:val="auto"/>
              </w:rPr>
              <w:t>PART II.</w:t>
            </w:r>
          </w:p>
        </w:tc>
        <w:tc>
          <w:tcPr>
            <w:tcW w:w="9320" w:type="dxa"/>
            <w:vAlign w:val="bottom"/>
            <w:gridSpan w:val="20"/>
          </w:tcPr>
          <w:p>
            <w:pPr>
              <w:spacing w:after="0" w:line="191" w:lineRule="exact"/>
              <w:rPr>
                <w:rFonts w:ascii="Arial" w:cs="Arial" w:eastAsia="Arial" w:hAnsi="Arial"/>
                <w:sz w:val="17"/>
                <w:szCs w:val="17"/>
                <w:color w:val="0000EE"/>
              </w:rPr>
            </w:pPr>
            <w:hyperlink w:anchor="page31">
              <w:r>
                <w:rPr>
                  <w:rFonts w:ascii="Arial" w:cs="Arial" w:eastAsia="Arial" w:hAnsi="Arial"/>
                  <w:sz w:val="17"/>
                  <w:szCs w:val="17"/>
                  <w:color w:val="0000EE"/>
                </w:rPr>
                <w:t>OTHER INFORMATION</w:t>
              </w:r>
            </w:hyperlink>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40" w:type="dxa"/>
            <w:vAlign w:val="bottom"/>
            <w:gridSpan w:val="2"/>
          </w:tcPr>
          <w:p>
            <w:pPr>
              <w:spacing w:after="0" w:line="191" w:lineRule="exact"/>
              <w:rPr>
                <w:sz w:val="20"/>
                <w:szCs w:val="20"/>
                <w:color w:val="auto"/>
              </w:rPr>
            </w:pPr>
            <w:r>
              <w:rPr>
                <w:rFonts w:ascii="Arial" w:cs="Arial" w:eastAsia="Arial" w:hAnsi="Arial"/>
                <w:sz w:val="17"/>
                <w:szCs w:val="17"/>
                <w:color w:val="auto"/>
              </w:rPr>
              <w:t>Item 1.</w:t>
            </w:r>
          </w:p>
        </w:tc>
        <w:tc>
          <w:tcPr>
            <w:tcW w:w="1720" w:type="dxa"/>
            <w:vAlign w:val="bottom"/>
            <w:tcBorders>
              <w:top w:val="single" w:sz="8" w:color="0000EE"/>
            </w:tcBorders>
            <w:gridSpan w:val="9"/>
          </w:tcPr>
          <w:p>
            <w:pPr>
              <w:spacing w:after="0" w:line="191" w:lineRule="exact"/>
              <w:rPr>
                <w:rFonts w:ascii="Arial" w:cs="Arial" w:eastAsia="Arial" w:hAnsi="Arial"/>
                <w:sz w:val="17"/>
                <w:szCs w:val="17"/>
                <w:color w:val="0000EE"/>
              </w:rPr>
            </w:pPr>
            <w:hyperlink w:anchor="page31">
              <w:r>
                <w:rPr>
                  <w:rFonts w:ascii="Arial" w:cs="Arial" w:eastAsia="Arial" w:hAnsi="Arial"/>
                  <w:sz w:val="17"/>
                  <w:szCs w:val="17"/>
                  <w:color w:val="0000EE"/>
                </w:rPr>
                <w:t>Legal Proceedings</w:t>
              </w:r>
            </w:hyperlink>
          </w:p>
        </w:tc>
        <w:tc>
          <w:tcPr>
            <w:tcW w:w="7600" w:type="dxa"/>
            <w:vAlign w:val="bottom"/>
            <w:gridSpan w:val="11"/>
          </w:tcPr>
          <w:p>
            <w:pPr>
              <w:spacing w:after="0"/>
              <w:rPr>
                <w:sz w:val="16"/>
                <w:szCs w:val="16"/>
                <w:color w:val="auto"/>
              </w:rPr>
            </w:pPr>
          </w:p>
        </w:tc>
        <w:tc>
          <w:tcPr>
            <w:tcW w:w="780" w:type="dxa"/>
            <w:vAlign w:val="bottom"/>
          </w:tcPr>
          <w:p>
            <w:pPr>
              <w:jc w:val="right"/>
              <w:spacing w:after="0" w:line="191" w:lineRule="exact"/>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191"/>
        </w:trPr>
        <w:tc>
          <w:tcPr>
            <w:tcW w:w="1140" w:type="dxa"/>
            <w:vAlign w:val="bottom"/>
            <w:gridSpan w:val="2"/>
          </w:tcPr>
          <w:p>
            <w:pPr>
              <w:spacing w:after="0" w:line="191" w:lineRule="exact"/>
              <w:rPr>
                <w:sz w:val="20"/>
                <w:szCs w:val="20"/>
                <w:color w:val="auto"/>
              </w:rPr>
            </w:pPr>
            <w:r>
              <w:rPr>
                <w:rFonts w:ascii="Arial" w:cs="Arial" w:eastAsia="Arial" w:hAnsi="Arial"/>
                <w:sz w:val="17"/>
                <w:szCs w:val="17"/>
                <w:color w:val="auto"/>
              </w:rPr>
              <w:t>Item 1A.</w:t>
            </w:r>
          </w:p>
        </w:tc>
        <w:tc>
          <w:tcPr>
            <w:tcW w:w="1220" w:type="dxa"/>
            <w:vAlign w:val="bottom"/>
            <w:tcBorders>
              <w:top w:val="single" w:sz="8" w:color="0000EE"/>
            </w:tcBorders>
            <w:gridSpan w:val="5"/>
          </w:tcPr>
          <w:p>
            <w:pPr>
              <w:spacing w:after="0" w:line="191" w:lineRule="exact"/>
              <w:rPr>
                <w:rFonts w:ascii="Arial" w:cs="Arial" w:eastAsia="Arial" w:hAnsi="Arial"/>
                <w:sz w:val="17"/>
                <w:szCs w:val="17"/>
                <w:color w:val="0000EE"/>
              </w:rPr>
            </w:pPr>
            <w:hyperlink w:anchor="page31">
              <w:r>
                <w:rPr>
                  <w:rFonts w:ascii="Arial" w:cs="Arial" w:eastAsia="Arial" w:hAnsi="Arial"/>
                  <w:sz w:val="17"/>
                  <w:szCs w:val="17"/>
                  <w:color w:val="0000EE"/>
                </w:rPr>
                <w:t>Risk Factors</w:t>
              </w:r>
            </w:hyperlink>
          </w:p>
        </w:tc>
        <w:tc>
          <w:tcPr>
            <w:tcW w:w="8100" w:type="dxa"/>
            <w:vAlign w:val="bottom"/>
            <w:gridSpan w:val="15"/>
          </w:tcPr>
          <w:p>
            <w:pPr>
              <w:spacing w:after="0"/>
              <w:rPr>
                <w:sz w:val="16"/>
                <w:szCs w:val="16"/>
                <w:color w:val="auto"/>
              </w:rPr>
            </w:pPr>
          </w:p>
        </w:tc>
        <w:tc>
          <w:tcPr>
            <w:tcW w:w="780" w:type="dxa"/>
            <w:vAlign w:val="bottom"/>
          </w:tcPr>
          <w:p>
            <w:pPr>
              <w:jc w:val="right"/>
              <w:spacing w:after="0" w:line="191" w:lineRule="exact"/>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534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140" w:type="dxa"/>
            <w:vAlign w:val="bottom"/>
            <w:gridSpan w:val="2"/>
          </w:tcPr>
          <w:p>
            <w:pPr>
              <w:spacing w:after="0" w:line="191" w:lineRule="exact"/>
              <w:rPr>
                <w:sz w:val="20"/>
                <w:szCs w:val="20"/>
                <w:color w:val="auto"/>
              </w:rPr>
            </w:pPr>
            <w:r>
              <w:rPr>
                <w:rFonts w:ascii="Arial" w:cs="Arial" w:eastAsia="Arial" w:hAnsi="Arial"/>
                <w:sz w:val="17"/>
                <w:szCs w:val="17"/>
                <w:color w:val="auto"/>
              </w:rPr>
              <w:t>Item 2.</w:t>
            </w:r>
          </w:p>
        </w:tc>
        <w:tc>
          <w:tcPr>
            <w:tcW w:w="9320" w:type="dxa"/>
            <w:vAlign w:val="bottom"/>
            <w:gridSpan w:val="20"/>
          </w:tcPr>
          <w:p>
            <w:pPr>
              <w:spacing w:after="0" w:line="191" w:lineRule="exact"/>
              <w:rPr>
                <w:rFonts w:ascii="Arial" w:cs="Arial" w:eastAsia="Arial" w:hAnsi="Arial"/>
                <w:sz w:val="17"/>
                <w:szCs w:val="17"/>
                <w:color w:val="0000EE"/>
              </w:rPr>
            </w:pPr>
            <w:hyperlink w:anchor="page75">
              <w:r>
                <w:rPr>
                  <w:rFonts w:ascii="Arial" w:cs="Arial" w:eastAsia="Arial" w:hAnsi="Arial"/>
                  <w:sz w:val="17"/>
                  <w:szCs w:val="17"/>
                  <w:color w:val="0000EE"/>
                </w:rPr>
                <w:t>Unregistered Sales of Equity Securities and Use of Proceeds</w:t>
              </w:r>
            </w:hyperlink>
          </w:p>
        </w:tc>
        <w:tc>
          <w:tcPr>
            <w:tcW w:w="780" w:type="dxa"/>
            <w:vAlign w:val="bottom"/>
          </w:tcPr>
          <w:p>
            <w:pPr>
              <w:jc w:val="right"/>
              <w:spacing w:after="0" w:line="191" w:lineRule="exact"/>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191"/>
        </w:trPr>
        <w:tc>
          <w:tcPr>
            <w:tcW w:w="1140" w:type="dxa"/>
            <w:vAlign w:val="bottom"/>
            <w:gridSpan w:val="2"/>
          </w:tcPr>
          <w:p>
            <w:pPr>
              <w:spacing w:after="0" w:line="191" w:lineRule="exact"/>
              <w:rPr>
                <w:sz w:val="20"/>
                <w:szCs w:val="20"/>
                <w:color w:val="auto"/>
              </w:rPr>
            </w:pPr>
            <w:r>
              <w:rPr>
                <w:rFonts w:ascii="Arial" w:cs="Arial" w:eastAsia="Arial" w:hAnsi="Arial"/>
                <w:sz w:val="17"/>
                <w:szCs w:val="17"/>
                <w:color w:val="auto"/>
              </w:rPr>
              <w:t>Item 3.</w:t>
            </w:r>
          </w:p>
        </w:tc>
        <w:tc>
          <w:tcPr>
            <w:tcW w:w="2140" w:type="dxa"/>
            <w:vAlign w:val="bottom"/>
            <w:tcBorders>
              <w:top w:val="single" w:sz="8" w:color="0000EE"/>
              <w:bottom w:val="single" w:sz="8" w:color="0000EE"/>
            </w:tcBorders>
            <w:gridSpan w:val="12"/>
          </w:tcPr>
          <w:p>
            <w:pPr>
              <w:spacing w:after="0" w:line="191" w:lineRule="exact"/>
              <w:rPr>
                <w:rFonts w:ascii="Arial" w:cs="Arial" w:eastAsia="Arial" w:hAnsi="Arial"/>
                <w:sz w:val="17"/>
                <w:szCs w:val="17"/>
                <w:color w:val="0000EE"/>
                <w:w w:val="87"/>
              </w:rPr>
            </w:pPr>
            <w:hyperlink w:anchor="page75">
              <w:r>
                <w:rPr>
                  <w:rFonts w:ascii="Arial" w:cs="Arial" w:eastAsia="Arial" w:hAnsi="Arial"/>
                  <w:sz w:val="17"/>
                  <w:szCs w:val="17"/>
                  <w:color w:val="0000EE"/>
                  <w:w w:val="87"/>
                </w:rPr>
                <w:t>Defaults Upon Senior Securities</w:t>
              </w:r>
            </w:hyperlink>
          </w:p>
        </w:tc>
        <w:tc>
          <w:tcPr>
            <w:tcW w:w="1840" w:type="dxa"/>
            <w:vAlign w:val="bottom"/>
            <w:tcBorders>
              <w:top w:val="single" w:sz="8" w:color="0000EE"/>
            </w:tcBorders>
            <w:gridSpan w:val="2"/>
          </w:tcPr>
          <w:p>
            <w:pPr>
              <w:spacing w:after="0"/>
              <w:rPr>
                <w:sz w:val="16"/>
                <w:szCs w:val="16"/>
                <w:color w:val="auto"/>
              </w:rPr>
            </w:pPr>
          </w:p>
        </w:tc>
        <w:tc>
          <w:tcPr>
            <w:tcW w:w="5340" w:type="dxa"/>
            <w:vAlign w:val="bottom"/>
            <w:gridSpan w:val="6"/>
          </w:tcPr>
          <w:p>
            <w:pPr>
              <w:spacing w:after="0"/>
              <w:rPr>
                <w:sz w:val="16"/>
                <w:szCs w:val="16"/>
                <w:color w:val="auto"/>
              </w:rPr>
            </w:pPr>
          </w:p>
        </w:tc>
        <w:tc>
          <w:tcPr>
            <w:tcW w:w="780" w:type="dxa"/>
            <w:vAlign w:val="bottom"/>
          </w:tcPr>
          <w:p>
            <w:pPr>
              <w:jc w:val="right"/>
              <w:spacing w:after="0" w:line="191" w:lineRule="exact"/>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191"/>
        </w:trPr>
        <w:tc>
          <w:tcPr>
            <w:tcW w:w="1140" w:type="dxa"/>
            <w:vAlign w:val="bottom"/>
            <w:gridSpan w:val="2"/>
          </w:tcPr>
          <w:p>
            <w:pPr>
              <w:spacing w:after="0" w:line="191" w:lineRule="exact"/>
              <w:rPr>
                <w:sz w:val="20"/>
                <w:szCs w:val="20"/>
                <w:color w:val="auto"/>
              </w:rPr>
            </w:pPr>
            <w:r>
              <w:rPr>
                <w:rFonts w:ascii="Arial" w:cs="Arial" w:eastAsia="Arial" w:hAnsi="Arial"/>
                <w:sz w:val="17"/>
                <w:szCs w:val="17"/>
                <w:color w:val="auto"/>
              </w:rPr>
              <w:t>Item 4.</w:t>
            </w:r>
          </w:p>
        </w:tc>
        <w:tc>
          <w:tcPr>
            <w:tcW w:w="9320" w:type="dxa"/>
            <w:vAlign w:val="bottom"/>
            <w:gridSpan w:val="20"/>
          </w:tcPr>
          <w:p>
            <w:pPr>
              <w:spacing w:after="0" w:line="191" w:lineRule="exact"/>
              <w:rPr>
                <w:rFonts w:ascii="Arial" w:cs="Arial" w:eastAsia="Arial" w:hAnsi="Arial"/>
                <w:sz w:val="17"/>
                <w:szCs w:val="17"/>
                <w:color w:val="0000EE"/>
              </w:rPr>
            </w:pPr>
            <w:hyperlink w:anchor="page75">
              <w:r>
                <w:rPr>
                  <w:rFonts w:ascii="Arial" w:cs="Arial" w:eastAsia="Arial" w:hAnsi="Arial"/>
                  <w:sz w:val="17"/>
                  <w:szCs w:val="17"/>
                  <w:color w:val="0000EE"/>
                </w:rPr>
                <w:t>Mine Safety Disclosures</w:t>
              </w:r>
            </w:hyperlink>
          </w:p>
        </w:tc>
        <w:tc>
          <w:tcPr>
            <w:tcW w:w="780" w:type="dxa"/>
            <w:vAlign w:val="bottom"/>
          </w:tcPr>
          <w:p>
            <w:pPr>
              <w:jc w:val="right"/>
              <w:spacing w:after="0" w:line="191" w:lineRule="exact"/>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191"/>
        </w:trPr>
        <w:tc>
          <w:tcPr>
            <w:tcW w:w="1140" w:type="dxa"/>
            <w:vAlign w:val="bottom"/>
            <w:gridSpan w:val="2"/>
          </w:tcPr>
          <w:p>
            <w:pPr>
              <w:spacing w:after="0" w:line="191" w:lineRule="exact"/>
              <w:rPr>
                <w:sz w:val="20"/>
                <w:szCs w:val="20"/>
                <w:color w:val="auto"/>
              </w:rPr>
            </w:pPr>
            <w:r>
              <w:rPr>
                <w:rFonts w:ascii="Arial" w:cs="Arial" w:eastAsia="Arial" w:hAnsi="Arial"/>
                <w:sz w:val="17"/>
                <w:szCs w:val="17"/>
                <w:color w:val="auto"/>
              </w:rPr>
              <w:t>Item 5.</w:t>
            </w:r>
          </w:p>
        </w:tc>
        <w:tc>
          <w:tcPr>
            <w:tcW w:w="1620" w:type="dxa"/>
            <w:vAlign w:val="bottom"/>
            <w:tcBorders>
              <w:top w:val="single" w:sz="8" w:color="0000EE"/>
            </w:tcBorders>
            <w:gridSpan w:val="7"/>
          </w:tcPr>
          <w:p>
            <w:pPr>
              <w:spacing w:after="0" w:line="191" w:lineRule="exact"/>
              <w:rPr>
                <w:rFonts w:ascii="Arial" w:cs="Arial" w:eastAsia="Arial" w:hAnsi="Arial"/>
                <w:sz w:val="17"/>
                <w:szCs w:val="17"/>
                <w:color w:val="0000EE"/>
              </w:rPr>
            </w:pPr>
            <w:hyperlink w:anchor="page75">
              <w:r>
                <w:rPr>
                  <w:rFonts w:ascii="Arial" w:cs="Arial" w:eastAsia="Arial" w:hAnsi="Arial"/>
                  <w:sz w:val="17"/>
                  <w:szCs w:val="17"/>
                  <w:color w:val="0000EE"/>
                </w:rPr>
                <w:t>Other Information</w:t>
              </w:r>
            </w:hyperlink>
          </w:p>
        </w:tc>
        <w:tc>
          <w:tcPr>
            <w:tcW w:w="7700" w:type="dxa"/>
            <w:vAlign w:val="bottom"/>
            <w:gridSpan w:val="13"/>
          </w:tcPr>
          <w:p>
            <w:pPr>
              <w:spacing w:after="0"/>
              <w:rPr>
                <w:sz w:val="16"/>
                <w:szCs w:val="16"/>
                <w:color w:val="auto"/>
              </w:rPr>
            </w:pPr>
          </w:p>
        </w:tc>
        <w:tc>
          <w:tcPr>
            <w:tcW w:w="780" w:type="dxa"/>
            <w:vAlign w:val="bottom"/>
          </w:tcPr>
          <w:p>
            <w:pPr>
              <w:jc w:val="right"/>
              <w:spacing w:after="0" w:line="191" w:lineRule="exact"/>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191"/>
        </w:trPr>
        <w:tc>
          <w:tcPr>
            <w:tcW w:w="1140" w:type="dxa"/>
            <w:vAlign w:val="bottom"/>
            <w:gridSpan w:val="2"/>
          </w:tcPr>
          <w:p>
            <w:pPr>
              <w:spacing w:after="0" w:line="191" w:lineRule="exact"/>
              <w:rPr>
                <w:sz w:val="20"/>
                <w:szCs w:val="20"/>
                <w:color w:val="auto"/>
              </w:rPr>
            </w:pPr>
            <w:r>
              <w:rPr>
                <w:rFonts w:ascii="Arial" w:cs="Arial" w:eastAsia="Arial" w:hAnsi="Arial"/>
                <w:sz w:val="17"/>
                <w:szCs w:val="17"/>
                <w:color w:val="auto"/>
              </w:rPr>
              <w:t>Item 6.</w:t>
            </w:r>
          </w:p>
        </w:tc>
        <w:tc>
          <w:tcPr>
            <w:tcW w:w="1200" w:type="dxa"/>
            <w:vAlign w:val="bottom"/>
            <w:tcBorders>
              <w:top w:val="single" w:sz="8" w:color="0000EE"/>
            </w:tcBorders>
            <w:gridSpan w:val="4"/>
          </w:tcPr>
          <w:p>
            <w:pPr>
              <w:spacing w:after="0" w:line="191" w:lineRule="exact"/>
              <w:rPr>
                <w:rFonts w:ascii="Arial" w:cs="Arial" w:eastAsia="Arial" w:hAnsi="Arial"/>
                <w:sz w:val="17"/>
                <w:szCs w:val="17"/>
                <w:color w:val="0000EE"/>
              </w:rPr>
            </w:pPr>
            <w:hyperlink w:anchor="page76">
              <w:r>
                <w:rPr>
                  <w:rFonts w:ascii="Arial" w:cs="Arial" w:eastAsia="Arial" w:hAnsi="Arial"/>
                  <w:sz w:val="17"/>
                  <w:szCs w:val="17"/>
                  <w:color w:val="0000EE"/>
                </w:rPr>
                <w:t>Exhibits</w:t>
              </w:r>
            </w:hyperlink>
          </w:p>
        </w:tc>
        <w:tc>
          <w:tcPr>
            <w:tcW w:w="8120" w:type="dxa"/>
            <w:vAlign w:val="bottom"/>
            <w:gridSpan w:val="16"/>
          </w:tcPr>
          <w:p>
            <w:pPr>
              <w:spacing w:after="0"/>
              <w:rPr>
                <w:sz w:val="16"/>
                <w:szCs w:val="16"/>
                <w:color w:val="auto"/>
              </w:rPr>
            </w:pPr>
          </w:p>
        </w:tc>
        <w:tc>
          <w:tcPr>
            <w:tcW w:w="780" w:type="dxa"/>
            <w:vAlign w:val="bottom"/>
          </w:tcPr>
          <w:p>
            <w:pPr>
              <w:jc w:val="right"/>
              <w:spacing w:after="0" w:line="191" w:lineRule="exact"/>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191"/>
        </w:trPr>
        <w:tc>
          <w:tcPr>
            <w:tcW w:w="700" w:type="dxa"/>
            <w:vAlign w:val="bottom"/>
            <w:tcBorders>
              <w:bottom w:val="single" w:sz="8" w:color="0000EE"/>
            </w:tcBorders>
          </w:tcPr>
          <w:p>
            <w:pPr>
              <w:spacing w:after="0" w:line="191" w:lineRule="exact"/>
              <w:rPr>
                <w:rFonts w:ascii="Arial" w:cs="Arial" w:eastAsia="Arial" w:hAnsi="Arial"/>
                <w:sz w:val="17"/>
                <w:szCs w:val="17"/>
                <w:color w:val="0000EE"/>
                <w:w w:val="83"/>
              </w:rPr>
            </w:pPr>
            <w:hyperlink w:anchor="page78">
              <w:r>
                <w:rPr>
                  <w:rFonts w:ascii="Arial" w:cs="Arial" w:eastAsia="Arial" w:hAnsi="Arial"/>
                  <w:sz w:val="17"/>
                  <w:szCs w:val="17"/>
                  <w:color w:val="0000EE"/>
                  <w:w w:val="83"/>
                </w:rPr>
                <w:t>Signatures</w:t>
              </w:r>
            </w:hyperlink>
          </w:p>
        </w:tc>
        <w:tc>
          <w:tcPr>
            <w:tcW w:w="440" w:type="dxa"/>
            <w:vAlign w:val="bottom"/>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spacing w:after="0" w:line="191" w:lineRule="exact"/>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05" w:lineRule="exact"/>
        <w:rPr>
          <w:sz w:val="20"/>
          <w:szCs w:val="20"/>
          <w:color w:val="auto"/>
        </w:rPr>
      </w:pPr>
    </w:p>
    <w:p>
      <w:pPr>
        <w:ind w:right="60" w:firstLine="375"/>
        <w:spacing w:after="0" w:line="279" w:lineRule="auto"/>
        <w:rPr>
          <w:sz w:val="20"/>
          <w:szCs w:val="20"/>
          <w:color w:val="auto"/>
        </w:rPr>
      </w:pPr>
      <w:r>
        <w:rPr>
          <w:rFonts w:ascii="Arial" w:cs="Arial" w:eastAsia="Arial" w:hAnsi="Arial"/>
          <w:sz w:val="15"/>
          <w:szCs w:val="15"/>
          <w:color w:val="auto"/>
        </w:rPr>
        <w:t>This Quarterly Report on Form 10-Q, and the information incorporated herein by reference, particularly in the sections captioned “Risk Factors” under Part II, Item 1A, and “Management’s Discussion and Analysis of Financial Condition and Results of Operations” under Part I, Item 2, contains forward-looking statements within the meaning of Section 27A of the Securities Act of 1933, as amended, or the Securities Act, and Section 21E of the Securities Exchange Act of 1934, as amended. In some cases, you can identify forward-looking statements by the words “anticipate,” “believe,” “continue,” “could,” “estimate,” “expect,” “intend,” “may,” “might,” “objective,” “ongoing,” “plan,” “predict,” “project,” “potential,” “should,” “will,” or “would,” or the negative of these terms, or other comparable terminology intended to identify statements about the future. These statements involve known and unknown risks, uncertainties and other factors that may cause our actual results, levels of activity, performance or achievements to be materially different from the information expressed or implied by these forward-looking statements. In addition, these statements are based on our management’s beliefs and assumptions and on information currently available to our management as of the date of this Quarterly Report on Form 10-Q.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Forward-looking statements are inherently subject to risks and uncertainties, some of which cannot be predicted or quantified. You should read the sections titled “Risk Factor Summary” below and “Risk Factors” set forth in Part II, Item 1A of this Quarterly Report on Form 10-Q for a discussion of important factors that may cause our actual results to differ materially from those expressed or implied by our forward-looking statements, which such factors may be updated or supplemented from time to time by subsequent reports we file with the Securities and Exchange Commission.</w:t>
      </w:r>
    </w:p>
    <w:p>
      <w:pPr>
        <w:spacing w:after="0" w:line="166" w:lineRule="exact"/>
        <w:rPr>
          <w:sz w:val="20"/>
          <w:szCs w:val="20"/>
          <w:color w:val="auto"/>
        </w:rPr>
      </w:pPr>
    </w:p>
    <w:p>
      <w:pPr>
        <w:ind w:firstLine="375"/>
        <w:spacing w:after="0" w:line="248" w:lineRule="auto"/>
        <w:rPr>
          <w:sz w:val="20"/>
          <w:szCs w:val="20"/>
          <w:color w:val="auto"/>
        </w:rPr>
      </w:pPr>
      <w:r>
        <w:rPr>
          <w:rFonts w:ascii="Arial" w:cs="Arial" w:eastAsia="Arial" w:hAnsi="Arial"/>
          <w:sz w:val="17"/>
          <w:szCs w:val="17"/>
          <w:color w:val="auto"/>
        </w:rPr>
        <w:t>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Quarterly Report on Form 10-Q will prove to be accurate. Except as required by applicable law, we do not plan to publicly update or revise any forward-looking statements contained herein, whether as a result of any new information, future events, changed circumstances or otherwise.</w:t>
      </w:r>
    </w:p>
    <w:p>
      <w:pPr>
        <w:spacing w:after="0" w:line="183" w:lineRule="exact"/>
        <w:rPr>
          <w:sz w:val="20"/>
          <w:szCs w:val="20"/>
          <w:color w:val="auto"/>
        </w:rPr>
      </w:pPr>
    </w:p>
    <w:p>
      <w:pPr>
        <w:ind w:right="20" w:firstLine="375"/>
        <w:spacing w:after="0" w:line="260" w:lineRule="auto"/>
        <w:rPr>
          <w:sz w:val="20"/>
          <w:szCs w:val="20"/>
          <w:color w:val="auto"/>
        </w:rPr>
      </w:pPr>
      <w:r>
        <w:rPr>
          <w:rFonts w:ascii="Arial" w:cs="Arial" w:eastAsia="Arial" w:hAnsi="Arial"/>
          <w:sz w:val="17"/>
          <w:szCs w:val="17"/>
          <w:color w:val="auto"/>
        </w:rPr>
        <w:t>You should read this Quarterly Report on Form 10-Q, completely and with the understanding that our actual future results may be materially different from what we expect.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718"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7"/>
          <w:szCs w:val="17"/>
          <w:b w:val="1"/>
          <w:bCs w:val="1"/>
          <w:color w:val="auto"/>
        </w:rPr>
        <w:t>RISK FACTOR SUMMARY</w:t>
      </w:r>
    </w:p>
    <w:p>
      <w:pPr>
        <w:spacing w:after="0" w:line="205" w:lineRule="exact"/>
        <w:rPr>
          <w:sz w:val="20"/>
          <w:szCs w:val="20"/>
          <w:color w:val="auto"/>
        </w:rPr>
      </w:pPr>
    </w:p>
    <w:p>
      <w:pPr>
        <w:ind w:right="160" w:firstLine="511"/>
        <w:spacing w:after="0" w:line="288" w:lineRule="auto"/>
        <w:rPr>
          <w:sz w:val="20"/>
          <w:szCs w:val="20"/>
          <w:color w:val="auto"/>
        </w:rPr>
      </w:pPr>
      <w:r>
        <w:rPr>
          <w:rFonts w:ascii="Arial" w:cs="Arial" w:eastAsia="Arial" w:hAnsi="Arial"/>
          <w:sz w:val="15"/>
          <w:szCs w:val="15"/>
          <w:color w:val="auto"/>
        </w:rPr>
        <w:t>Below is a summary of material factors that make an investment in our common stock speculative or risky. Importantly, this summary does not address all the risks and uncertainties that we face. Additional discussion of the risks and uncertainties summarized in this risk factor summary, as well as other risks and uncertainties that we face, can be found under Part II, Item 1A, “Risk Factors” in this Quarterly Report on Form 10-Q. The below summary is qualified in its entirety by the more complete discussion of such risks and uncertainties. You should consider carefully the risks and uncertainties described under Part II, Item 1A, “Risk Factors” in this Quarterly Report on Form 10-Q as part of your evaluation of an investment in our common stock.</w:t>
      </w:r>
    </w:p>
    <w:p>
      <w:pPr>
        <w:spacing w:after="0" w:line="254" w:lineRule="exact"/>
        <w:rPr>
          <w:sz w:val="20"/>
          <w:szCs w:val="20"/>
          <w:color w:val="auto"/>
        </w:rPr>
      </w:pPr>
    </w:p>
    <w:p>
      <w:pPr>
        <w:ind w:left="1020" w:hanging="51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We have a limited operating history and do not have any products approved for sale</w:t>
      </w:r>
      <w:r>
        <w:rPr>
          <w:rFonts w:ascii="Arial" w:cs="Arial" w:eastAsia="Arial" w:hAnsi="Arial"/>
          <w:sz w:val="17"/>
          <w:szCs w:val="17"/>
          <w:color w:val="auto"/>
        </w:rPr>
        <w:t>.</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We have incurred significant losses since our inception, and we expect to continue to incur significant losses for the foreseeable future.</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We have never generated revenue from product sales and may never achieve or maintain profitability.</w:t>
      </w:r>
    </w:p>
    <w:p>
      <w:pPr>
        <w:spacing w:after="0" w:line="101" w:lineRule="exact"/>
        <w:rPr>
          <w:rFonts w:ascii="Arial" w:cs="Arial" w:eastAsia="Arial" w:hAnsi="Arial"/>
          <w:sz w:val="17"/>
          <w:szCs w:val="17"/>
          <w:color w:val="auto"/>
        </w:rPr>
      </w:pPr>
    </w:p>
    <w:p>
      <w:pPr>
        <w:ind w:left="1020" w:right="100" w:hanging="513"/>
        <w:spacing w:after="0" w:line="260"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We will require additional capital, which, if available, may cause dilution to our stockholders, restrict our operations or require us to relinquish rights to our product candidates.</w:t>
      </w:r>
    </w:p>
    <w:p>
      <w:pPr>
        <w:spacing w:after="0" w:line="72" w:lineRule="exact"/>
        <w:rPr>
          <w:rFonts w:ascii="Arial" w:cs="Arial" w:eastAsia="Arial" w:hAnsi="Arial"/>
          <w:sz w:val="17"/>
          <w:szCs w:val="17"/>
          <w:color w:val="auto"/>
        </w:rPr>
      </w:pPr>
    </w:p>
    <w:p>
      <w:pPr>
        <w:ind w:left="1020" w:hanging="513"/>
        <w:spacing w:after="0" w:line="251"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Our business and the business or operations of our research partners, including CRISPR, and other third parties with whom we conduct business could be adversely affected by the effects of health epidemics, including the COVID-19 pandemic, in regions where we or third parties on which we rely have business operations.</w:t>
      </w:r>
    </w:p>
    <w:p>
      <w:pPr>
        <w:spacing w:after="0" w:line="80" w:lineRule="exact"/>
        <w:rPr>
          <w:rFonts w:ascii="Arial" w:cs="Arial" w:eastAsia="Arial" w:hAnsi="Arial"/>
          <w:sz w:val="17"/>
          <w:szCs w:val="17"/>
          <w:color w:val="auto"/>
        </w:rPr>
      </w:pPr>
    </w:p>
    <w:p>
      <w:pPr>
        <w:ind w:left="1020" w:hanging="51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Our business depends upon the success of our chimeric antigen receptor-natural killer cell, or CAR-NK, cell technology platform.</w:t>
      </w:r>
    </w:p>
    <w:p>
      <w:pPr>
        <w:spacing w:after="0" w:line="101" w:lineRule="exact"/>
        <w:rPr>
          <w:rFonts w:ascii="Arial" w:cs="Arial" w:eastAsia="Arial" w:hAnsi="Arial"/>
          <w:sz w:val="17"/>
          <w:szCs w:val="17"/>
          <w:color w:val="auto"/>
        </w:rPr>
      </w:pPr>
    </w:p>
    <w:p>
      <w:pPr>
        <w:ind w:left="1020" w:right="620" w:hanging="513"/>
        <w:spacing w:after="0" w:line="260"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Utilizing CAR-NK cells represents a novel approach to the treatment of cancer, and we must overcome significant challenges in order to develop, commercialize and manufacture our product candidates.</w:t>
      </w:r>
    </w:p>
    <w:p>
      <w:pPr>
        <w:spacing w:after="0" w:line="72" w:lineRule="exact"/>
        <w:rPr>
          <w:rFonts w:ascii="Arial" w:cs="Arial" w:eastAsia="Arial" w:hAnsi="Arial"/>
          <w:sz w:val="17"/>
          <w:szCs w:val="17"/>
          <w:color w:val="auto"/>
        </w:rPr>
      </w:pPr>
    </w:p>
    <w:p>
      <w:pPr>
        <w:ind w:left="1020" w:right="200" w:hanging="513"/>
        <w:spacing w:after="0" w:line="260"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Clinical development involves a lengthy and expensive process with an uncertain outcome, and we may encounter substantial delays due to a variety of reasons outside our control.</w:t>
      </w:r>
    </w:p>
    <w:p>
      <w:pPr>
        <w:spacing w:after="0" w:line="72" w:lineRule="exact"/>
        <w:rPr>
          <w:rFonts w:ascii="Arial" w:cs="Arial" w:eastAsia="Arial" w:hAnsi="Arial"/>
          <w:sz w:val="17"/>
          <w:szCs w:val="17"/>
          <w:color w:val="auto"/>
        </w:rPr>
      </w:pPr>
    </w:p>
    <w:p>
      <w:pPr>
        <w:ind w:left="1020" w:right="120" w:hanging="513"/>
        <w:spacing w:after="0" w:line="326" w:lineRule="auto"/>
        <w:tabs>
          <w:tab w:leader="none" w:pos="1020" w:val="left"/>
        </w:tabs>
        <w:numPr>
          <w:ilvl w:val="0"/>
          <w:numId w:val="3"/>
        </w:numPr>
        <w:rPr>
          <w:rFonts w:ascii="Arial" w:cs="Arial" w:eastAsia="Arial" w:hAnsi="Arial"/>
          <w:sz w:val="15"/>
          <w:szCs w:val="15"/>
          <w:color w:val="auto"/>
        </w:rPr>
      </w:pPr>
      <w:r>
        <w:rPr>
          <w:rFonts w:ascii="Arial" w:cs="Arial" w:eastAsia="Arial" w:hAnsi="Arial"/>
          <w:sz w:val="15"/>
          <w:szCs w:val="15"/>
          <w:i w:val="1"/>
          <w:iCs w:val="1"/>
          <w:color w:val="auto"/>
        </w:rPr>
        <w:t>Our business is highly dependent on the success of our product candidates, and on the success of NKX101 and NKX019 in particular, and we may fail to develop NKX101, NKX019 and/or our other product candidates successfully or be unable to obtain regulatory approval for them.</w:t>
      </w:r>
    </w:p>
    <w:p>
      <w:pPr>
        <w:spacing w:after="0" w:line="27" w:lineRule="exact"/>
        <w:rPr>
          <w:rFonts w:ascii="Arial" w:cs="Arial" w:eastAsia="Arial" w:hAnsi="Arial"/>
          <w:sz w:val="15"/>
          <w:szCs w:val="15"/>
          <w:color w:val="auto"/>
        </w:rPr>
      </w:pPr>
    </w:p>
    <w:p>
      <w:pPr>
        <w:ind w:left="1020" w:right="440" w:hanging="513"/>
        <w:spacing w:after="0" w:line="260"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Our preclinical pipeline programs may experience delays or may never advance to clinical trials, which would adversely affect our ability to obtain regulatory approvals or commercialize these programs on a timely basis or at all.</w:t>
      </w:r>
    </w:p>
    <w:p>
      <w:pPr>
        <w:spacing w:after="0" w:line="72" w:lineRule="exact"/>
        <w:rPr>
          <w:rFonts w:ascii="Arial" w:cs="Arial" w:eastAsia="Arial" w:hAnsi="Arial"/>
          <w:sz w:val="17"/>
          <w:szCs w:val="17"/>
          <w:color w:val="auto"/>
        </w:rPr>
      </w:pPr>
    </w:p>
    <w:p>
      <w:pPr>
        <w:ind w:left="1020" w:right="360" w:hanging="513"/>
        <w:spacing w:after="0" w:line="260"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The results of preclinical studies and early-stage clinical trials may not be predictive of future results. Initial success in any clinical trials may not be indicative of results obtained when these trials are completed or in later stage trials.</w:t>
      </w:r>
    </w:p>
    <w:p>
      <w:pPr>
        <w:spacing w:after="0" w:line="72" w:lineRule="exact"/>
        <w:rPr>
          <w:rFonts w:ascii="Arial" w:cs="Arial" w:eastAsia="Arial" w:hAnsi="Arial"/>
          <w:sz w:val="17"/>
          <w:szCs w:val="17"/>
          <w:color w:val="auto"/>
        </w:rPr>
      </w:pPr>
    </w:p>
    <w:p>
      <w:pPr>
        <w:ind w:left="1020" w:right="60" w:hanging="513"/>
        <w:spacing w:after="0" w:line="260"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If any of our product candidates, or any competing product candidates, demonstrate relevant, serious adverse events, we may be required to halt or delay further clinical development.</w:t>
      </w:r>
    </w:p>
    <w:p>
      <w:pPr>
        <w:spacing w:after="0" w:line="72" w:lineRule="exact"/>
        <w:rPr>
          <w:rFonts w:ascii="Arial" w:cs="Arial" w:eastAsia="Arial" w:hAnsi="Arial"/>
          <w:sz w:val="17"/>
          <w:szCs w:val="17"/>
          <w:color w:val="auto"/>
        </w:rPr>
      </w:pPr>
    </w:p>
    <w:p>
      <w:pPr>
        <w:ind w:left="1020" w:right="560" w:hanging="513"/>
        <w:spacing w:after="0" w:line="260"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If we fail to compete effectively with academic institutions and other biopharmaceutical companies that develop similar or alternatives to cellular immunotherapy product candidates, our business will be materially adversely affected.</w:t>
      </w:r>
    </w:p>
    <w:p>
      <w:pPr>
        <w:spacing w:after="0" w:line="72" w:lineRule="exact"/>
        <w:rPr>
          <w:rFonts w:ascii="Arial" w:cs="Arial" w:eastAsia="Arial" w:hAnsi="Arial"/>
          <w:sz w:val="17"/>
          <w:szCs w:val="17"/>
          <w:color w:val="auto"/>
        </w:rPr>
      </w:pPr>
    </w:p>
    <w:p>
      <w:pPr>
        <w:jc w:val="both"/>
        <w:ind w:left="1020" w:right="340" w:hanging="513"/>
        <w:spacing w:after="0" w:line="326" w:lineRule="auto"/>
        <w:tabs>
          <w:tab w:leader="none" w:pos="1020" w:val="left"/>
        </w:tabs>
        <w:numPr>
          <w:ilvl w:val="0"/>
          <w:numId w:val="3"/>
        </w:numPr>
        <w:rPr>
          <w:rFonts w:ascii="Arial" w:cs="Arial" w:eastAsia="Arial" w:hAnsi="Arial"/>
          <w:sz w:val="15"/>
          <w:szCs w:val="15"/>
          <w:color w:val="auto"/>
        </w:rPr>
      </w:pPr>
      <w:r>
        <w:rPr>
          <w:rFonts w:ascii="Arial" w:cs="Arial" w:eastAsia="Arial" w:hAnsi="Arial"/>
          <w:sz w:val="15"/>
          <w:szCs w:val="15"/>
          <w:i w:val="1"/>
          <w:iCs w:val="1"/>
          <w:color w:val="auto"/>
        </w:rPr>
        <w:t>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w:t>
      </w:r>
    </w:p>
    <w:p>
      <w:pPr>
        <w:spacing w:after="0" w:line="27" w:lineRule="exact"/>
        <w:rPr>
          <w:rFonts w:ascii="Arial" w:cs="Arial" w:eastAsia="Arial" w:hAnsi="Arial"/>
          <w:sz w:val="15"/>
          <w:szCs w:val="15"/>
          <w:color w:val="auto"/>
        </w:rPr>
      </w:pPr>
    </w:p>
    <w:p>
      <w:pPr>
        <w:ind w:left="1020" w:hanging="513"/>
        <w:spacing w:after="0" w:line="251"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We rely on third parties to manufacture certain of our product candidates, and certain materials for use in the production of our product candidates, which increases the risk that we will not have sufficient quantities of such product candidates or materials, or such quantities at an acceptable cost, which could delay, prevent or impair our development or commercialization efforts.</w:t>
      </w:r>
    </w:p>
    <w:p>
      <w:pPr>
        <w:spacing w:after="0" w:line="80" w:lineRule="exact"/>
        <w:rPr>
          <w:rFonts w:ascii="Arial" w:cs="Arial" w:eastAsia="Arial" w:hAnsi="Arial"/>
          <w:sz w:val="17"/>
          <w:szCs w:val="17"/>
          <w:color w:val="auto"/>
        </w:rPr>
      </w:pPr>
    </w:p>
    <w:p>
      <w:pPr>
        <w:ind w:left="1020" w:hanging="51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We are reliant on a sole supplier for certain steps of our manufacturing process.</w:t>
      </w:r>
    </w:p>
    <w:p>
      <w:pPr>
        <w:spacing w:after="0" w:line="101" w:lineRule="exact"/>
        <w:rPr>
          <w:rFonts w:ascii="Arial" w:cs="Arial" w:eastAsia="Arial" w:hAnsi="Arial"/>
          <w:sz w:val="17"/>
          <w:szCs w:val="17"/>
          <w:color w:val="auto"/>
        </w:rPr>
      </w:pPr>
    </w:p>
    <w:p>
      <w:pPr>
        <w:ind w:left="1020" w:right="260" w:hanging="513"/>
        <w:spacing w:after="0" w:line="260"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Delays in commissioning and receiving regulatory approvals for our manufacturing facilities could delay our development plans and thereby limit our ability to develop our product candidates and generate revenues.</w:t>
      </w:r>
    </w:p>
    <w:p>
      <w:pPr>
        <w:spacing w:after="0" w:line="72" w:lineRule="exact"/>
        <w:rPr>
          <w:rFonts w:ascii="Arial" w:cs="Arial" w:eastAsia="Arial" w:hAnsi="Arial"/>
          <w:sz w:val="17"/>
          <w:szCs w:val="17"/>
          <w:color w:val="auto"/>
        </w:rPr>
      </w:pPr>
    </w:p>
    <w:p>
      <w:pPr>
        <w:ind w:left="1020" w:right="20" w:hanging="513"/>
        <w:spacing w:after="0" w:line="260"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If our license agreement with National University of Singapore and St. Jude’s Children’s Research Hospital, Inc. is terminated, we could lose our rights to key components enabling our NK cell engineering platform.</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20"/>
          </w:cols>
          <w:pgMar w:left="320" w:top="519" w:right="359" w:bottom="1440" w:gutter="0" w:footer="0" w:header="0"/>
        </w:sectPr>
      </w:pPr>
    </w:p>
    <w:bookmarkStart w:id="4" w:name="page5"/>
    <w:bookmarkEnd w:id="4"/>
    <w:p>
      <w:pPr>
        <w:ind w:left="520" w:hanging="513"/>
        <w:spacing w:after="0" w:line="260" w:lineRule="auto"/>
        <w:tabs>
          <w:tab w:leader="none" w:pos="52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If any patent protection we obtain is not sufficiently robust, our competitors could develop and commercialize products and technology similar or identical to ours.</w:t>
      </w:r>
    </w:p>
    <w:p>
      <w:pPr>
        <w:spacing w:after="0" w:line="72" w:lineRule="exact"/>
        <w:rPr>
          <w:rFonts w:ascii="Arial" w:cs="Arial" w:eastAsia="Arial" w:hAnsi="Arial"/>
          <w:sz w:val="17"/>
          <w:szCs w:val="17"/>
          <w:color w:val="auto"/>
        </w:rPr>
      </w:pPr>
    </w:p>
    <w:p>
      <w:pPr>
        <w:ind w:left="520" w:right="360" w:hanging="513"/>
        <w:spacing w:after="0" w:line="251" w:lineRule="auto"/>
        <w:tabs>
          <w:tab w:leader="none" w:pos="52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If any of our product candidates are approved for marketing and commercialization and we have not developed or secured marketing, sales and distribution capabilities, either internally or from third parties, we will be unable to successfully commercialize such products and may not be able to generate product revenue.</w:t>
      </w:r>
    </w:p>
    <w:p>
      <w:pPr>
        <w:spacing w:after="0" w:line="80" w:lineRule="exact"/>
        <w:rPr>
          <w:rFonts w:ascii="Arial" w:cs="Arial" w:eastAsia="Arial" w:hAnsi="Arial"/>
          <w:sz w:val="17"/>
          <w:szCs w:val="17"/>
          <w:color w:val="auto"/>
        </w:rPr>
      </w:pPr>
    </w:p>
    <w:p>
      <w:pPr>
        <w:ind w:left="520" w:right="360" w:hanging="513"/>
        <w:spacing w:after="0" w:line="260" w:lineRule="auto"/>
        <w:tabs>
          <w:tab w:leader="none" w:pos="52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Our product candidates, including NKX101 and NKX019, could be subject to regulatory limitations following approval, if and when such approval is granted.</w:t>
      </w:r>
    </w:p>
    <w:p>
      <w:pPr>
        <w:spacing w:after="0" w:line="72" w:lineRule="exact"/>
        <w:rPr>
          <w:rFonts w:ascii="Arial" w:cs="Arial" w:eastAsia="Arial" w:hAnsi="Arial"/>
          <w:sz w:val="17"/>
          <w:szCs w:val="17"/>
          <w:color w:val="auto"/>
        </w:rPr>
      </w:pPr>
    </w:p>
    <w:p>
      <w:pPr>
        <w:ind w:left="520" w:hanging="513"/>
        <w:spacing w:after="0"/>
        <w:tabs>
          <w:tab w:leader="none" w:pos="52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The market price for our common stock may be volatile, which could contribute to the loss of all or part of your investment.</w:t>
      </w:r>
    </w:p>
    <w:p>
      <w:pPr>
        <w:spacing w:after="0" w:line="101" w:lineRule="exact"/>
        <w:rPr>
          <w:rFonts w:ascii="Arial" w:cs="Arial" w:eastAsia="Arial" w:hAnsi="Arial"/>
          <w:sz w:val="17"/>
          <w:szCs w:val="17"/>
          <w:color w:val="auto"/>
        </w:rPr>
      </w:pPr>
    </w:p>
    <w:p>
      <w:pPr>
        <w:ind w:left="520" w:right="160" w:hanging="513"/>
        <w:spacing w:after="0" w:line="260" w:lineRule="auto"/>
        <w:tabs>
          <w:tab w:leader="none" w:pos="52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Concentration of ownership of our shares of common stock among our existing executive officers, directors and principal stockholders may prevent new investors from influencing significant corporate decisions.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59690</wp:posOffset>
            </wp:positionV>
            <wp:extent cx="7169150"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0740"/>
          </w:cols>
          <w:pgMar w:left="820" w:top="12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t>PART I—FINANCIAL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NKARTA,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BALANCE SHEETS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September 30,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6"/>
        </w:trPr>
        <w:tc>
          <w:tcPr>
            <w:tcW w:w="5540" w:type="dxa"/>
            <w:vAlign w:val="bottom"/>
            <w:tcBorders>
              <w:bottom w:val="single" w:sz="8" w:color="CFF0FC"/>
            </w:tcBorders>
          </w:tcPr>
          <w:p>
            <w:pPr>
              <w:spacing w:after="0"/>
              <w:rPr>
                <w:sz w:val="13"/>
                <w:szCs w:val="13"/>
                <w:color w:val="auto"/>
              </w:rPr>
            </w:pPr>
          </w:p>
        </w:tc>
        <w:tc>
          <w:tcPr>
            <w:tcW w:w="22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3"/>
                <w:szCs w:val="13"/>
                <w:b w:val="1"/>
                <w:bCs w:val="1"/>
                <w:color w:val="auto"/>
              </w:rPr>
              <w:t>2021</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540" w:type="dxa"/>
            <w:vAlign w:val="bottom"/>
            <w:shd w:val="clear" w:color="auto" w:fill="CFF0FC"/>
          </w:tcPr>
          <w:p>
            <w:pPr>
              <w:spacing w:after="0"/>
              <w:rPr>
                <w:sz w:val="20"/>
                <w:szCs w:val="20"/>
                <w:color w:val="auto"/>
              </w:rPr>
            </w:pPr>
            <w:r>
              <w:rPr>
                <w:rFonts w:ascii="Arial" w:cs="Arial" w:eastAsia="Arial" w:hAnsi="Arial"/>
                <w:sz w:val="17"/>
                <w:szCs w:val="17"/>
                <w:color w:val="auto"/>
              </w:rPr>
              <w:t>Assets</w:t>
            </w:r>
          </w:p>
        </w:tc>
        <w:tc>
          <w:tcPr>
            <w:tcW w:w="2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40" w:type="dxa"/>
            <w:vAlign w:val="bottom"/>
          </w:tcPr>
          <w:p>
            <w:pPr>
              <w:spacing w:after="0"/>
              <w:rPr>
                <w:sz w:val="20"/>
                <w:szCs w:val="20"/>
                <w:color w:val="auto"/>
              </w:rPr>
            </w:pPr>
            <w:r>
              <w:rPr>
                <w:rFonts w:ascii="Arial" w:cs="Arial" w:eastAsia="Arial" w:hAnsi="Arial"/>
                <w:sz w:val="17"/>
                <w:szCs w:val="17"/>
                <w:color w:val="auto"/>
              </w:rPr>
              <w:t>Current assets</w:t>
            </w: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Cash and cash equivalents</w:t>
            </w:r>
          </w:p>
        </w:tc>
        <w:tc>
          <w:tcPr>
            <w:tcW w:w="2420" w:type="dxa"/>
            <w:vAlign w:val="bottom"/>
            <w:gridSpan w:val="2"/>
            <w:shd w:val="clear" w:color="auto" w:fill="CFF0FC"/>
          </w:tcPr>
          <w:p>
            <w:pPr>
              <w:jc w:val="right"/>
              <w:ind w:right="63"/>
              <w:spacing w:after="0"/>
              <w:rPr>
                <w:sz w:val="20"/>
                <w:szCs w:val="20"/>
                <w:color w:val="auto"/>
              </w:rPr>
            </w:pPr>
            <w:r>
              <w:rPr>
                <w:rFonts w:ascii="Arial" w:cs="Arial" w:eastAsia="Arial" w:hAnsi="Arial"/>
                <w:sz w:val="17"/>
                <w:szCs w:val="17"/>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96,221</w:t>
            </w:r>
          </w:p>
        </w:tc>
        <w:tc>
          <w:tcPr>
            <w:tcW w:w="1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83"/>
              <w:spacing w:after="0"/>
              <w:rPr>
                <w:sz w:val="20"/>
                <w:szCs w:val="20"/>
                <w:color w:val="auto"/>
              </w:rPr>
            </w:pPr>
            <w:r>
              <w:rPr>
                <w:rFonts w:ascii="Arial" w:cs="Arial" w:eastAsia="Arial" w:hAnsi="Arial"/>
                <w:sz w:val="17"/>
                <w:szCs w:val="17"/>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96,692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tcPr>
          <w:p>
            <w:pPr>
              <w:ind w:left="220"/>
              <w:spacing w:after="0"/>
              <w:rPr>
                <w:sz w:val="20"/>
                <w:szCs w:val="20"/>
                <w:color w:val="auto"/>
              </w:rPr>
            </w:pPr>
            <w:r>
              <w:rPr>
                <w:rFonts w:ascii="Arial" w:cs="Arial" w:eastAsia="Arial" w:hAnsi="Arial"/>
                <w:sz w:val="17"/>
                <w:szCs w:val="17"/>
                <w:color w:val="auto"/>
              </w:rPr>
              <w:t>Short-term investments, available-for-sale</w:t>
            </w: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161,477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218,221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22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6,940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3,922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40" w:type="dxa"/>
            <w:vAlign w:val="bottom"/>
          </w:tcPr>
          <w:p>
            <w:pPr>
              <w:spacing w:after="0"/>
              <w:rPr>
                <w:sz w:val="20"/>
                <w:szCs w:val="20"/>
                <w:color w:val="auto"/>
              </w:rPr>
            </w:pPr>
            <w:r>
              <w:rPr>
                <w:rFonts w:ascii="Arial" w:cs="Arial" w:eastAsia="Arial" w:hAnsi="Arial"/>
                <w:sz w:val="17"/>
                <w:szCs w:val="17"/>
                <w:color w:val="auto"/>
              </w:rPr>
              <w:t>Total current assets</w:t>
            </w:r>
          </w:p>
        </w:tc>
        <w:tc>
          <w:tcPr>
            <w:tcW w:w="2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264,638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318,835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540" w:type="dxa"/>
            <w:vAlign w:val="bottom"/>
            <w:shd w:val="clear" w:color="auto" w:fill="CFF0FC"/>
          </w:tcPr>
          <w:p>
            <w:pPr>
              <w:spacing w:after="0"/>
              <w:rPr>
                <w:sz w:val="20"/>
                <w:szCs w:val="20"/>
                <w:color w:val="auto"/>
              </w:rPr>
            </w:pPr>
            <w:r>
              <w:rPr>
                <w:rFonts w:ascii="Arial" w:cs="Arial" w:eastAsia="Arial" w:hAnsi="Arial"/>
                <w:sz w:val="17"/>
                <w:szCs w:val="17"/>
                <w:color w:val="auto"/>
              </w:rPr>
              <w:t>Restricted cash</w:t>
            </w:r>
          </w:p>
        </w:tc>
        <w:tc>
          <w:tcPr>
            <w:tcW w:w="2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2,098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tcPr>
          <w:p>
            <w:pPr>
              <w:spacing w:after="0"/>
              <w:rPr>
                <w:sz w:val="20"/>
                <w:szCs w:val="20"/>
                <w:color w:val="auto"/>
              </w:rPr>
            </w:pPr>
            <w:r>
              <w:rPr>
                <w:rFonts w:ascii="Arial" w:cs="Arial" w:eastAsia="Arial" w:hAnsi="Arial"/>
                <w:sz w:val="17"/>
                <w:szCs w:val="17"/>
                <w:color w:val="auto"/>
              </w:rPr>
              <w:t>Property and equipment, net</w:t>
            </w: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12,151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9,350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40" w:type="dxa"/>
            <w:vAlign w:val="bottom"/>
            <w:shd w:val="clear" w:color="auto" w:fill="CFF0FC"/>
          </w:tcPr>
          <w:p>
            <w:pPr>
              <w:spacing w:after="0"/>
              <w:rPr>
                <w:sz w:val="20"/>
                <w:szCs w:val="20"/>
                <w:color w:val="auto"/>
              </w:rPr>
            </w:pPr>
            <w:r>
              <w:rPr>
                <w:rFonts w:ascii="Arial" w:cs="Arial" w:eastAsia="Arial" w:hAnsi="Arial"/>
                <w:sz w:val="17"/>
                <w:szCs w:val="17"/>
                <w:color w:val="auto"/>
              </w:rPr>
              <w:t>Operating lease right-of-use assets</w:t>
            </w:r>
          </w:p>
        </w:tc>
        <w:tc>
          <w:tcPr>
            <w:tcW w:w="2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12,073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8,505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 long-term assets</w:t>
            </w:r>
          </w:p>
        </w:tc>
        <w:tc>
          <w:tcPr>
            <w:tcW w:w="22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1,505</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assets</w:t>
            </w:r>
          </w:p>
        </w:tc>
        <w:tc>
          <w:tcPr>
            <w:tcW w:w="22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292,465</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337,650</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7"/>
                <w:szCs w:val="17"/>
                <w:color w:val="auto"/>
              </w:rPr>
              <w:t>Liabilities and stockholders’ equity</w:t>
            </w:r>
          </w:p>
        </w:tc>
        <w:tc>
          <w:tcPr>
            <w:tcW w:w="2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540" w:type="dxa"/>
            <w:vAlign w:val="bottom"/>
            <w:vMerge w:val="continue"/>
          </w:tcPr>
          <w:p>
            <w:pPr>
              <w:spacing w:after="0"/>
              <w:rPr>
                <w:sz w:val="16"/>
                <w:szCs w:val="16"/>
                <w:color w:val="auto"/>
              </w:rPr>
            </w:pPr>
          </w:p>
        </w:tc>
        <w:tc>
          <w:tcPr>
            <w:tcW w:w="2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540" w:type="dxa"/>
            <w:vAlign w:val="bottom"/>
            <w:shd w:val="clear" w:color="auto" w:fill="CFF0FC"/>
          </w:tcPr>
          <w:p>
            <w:pPr>
              <w:spacing w:after="0"/>
              <w:rPr>
                <w:sz w:val="20"/>
                <w:szCs w:val="20"/>
                <w:color w:val="auto"/>
              </w:rPr>
            </w:pPr>
            <w:r>
              <w:rPr>
                <w:rFonts w:ascii="Arial" w:cs="Arial" w:eastAsia="Arial" w:hAnsi="Arial"/>
                <w:sz w:val="17"/>
                <w:szCs w:val="17"/>
                <w:color w:val="auto"/>
              </w:rPr>
              <w:t>Current liabilities</w:t>
            </w:r>
          </w:p>
        </w:tc>
        <w:tc>
          <w:tcPr>
            <w:tcW w:w="2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tcPr>
          <w:p>
            <w:pPr>
              <w:ind w:left="220"/>
              <w:spacing w:after="0"/>
              <w:rPr>
                <w:sz w:val="20"/>
                <w:szCs w:val="20"/>
                <w:color w:val="auto"/>
              </w:rPr>
            </w:pPr>
            <w:r>
              <w:rPr>
                <w:rFonts w:ascii="Arial" w:cs="Arial" w:eastAsia="Arial" w:hAnsi="Arial"/>
                <w:sz w:val="17"/>
                <w:szCs w:val="17"/>
                <w:color w:val="auto"/>
              </w:rPr>
              <w:t>Accounts payable</w:t>
            </w:r>
          </w:p>
        </w:tc>
        <w:tc>
          <w:tcPr>
            <w:tcW w:w="2420" w:type="dxa"/>
            <w:vAlign w:val="bottom"/>
            <w:gridSpan w:val="2"/>
          </w:tcPr>
          <w:p>
            <w:pPr>
              <w:jc w:val="right"/>
              <w:ind w:right="63"/>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2,139</w:t>
            </w:r>
          </w:p>
        </w:tc>
        <w:tc>
          <w:tcPr>
            <w:tcW w:w="160" w:type="dxa"/>
            <w:vAlign w:val="bottom"/>
          </w:tcPr>
          <w:p>
            <w:pPr>
              <w:spacing w:after="0"/>
              <w:rPr>
                <w:sz w:val="18"/>
                <w:szCs w:val="18"/>
                <w:color w:val="auto"/>
              </w:rPr>
            </w:pPr>
          </w:p>
        </w:tc>
        <w:tc>
          <w:tcPr>
            <w:tcW w:w="360" w:type="dxa"/>
            <w:vAlign w:val="bottom"/>
            <w:gridSpan w:val="2"/>
          </w:tcPr>
          <w:p>
            <w:pPr>
              <w:jc w:val="right"/>
              <w:ind w:right="83"/>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1,176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Operating lease liabilities, current portion</w:t>
            </w:r>
          </w:p>
        </w:tc>
        <w:tc>
          <w:tcPr>
            <w:tcW w:w="2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2,463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1,402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Accrued and other current liabilities</w:t>
            </w:r>
          </w:p>
        </w:tc>
        <w:tc>
          <w:tcPr>
            <w:tcW w:w="22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7,448</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6,253</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540" w:type="dxa"/>
            <w:vAlign w:val="bottom"/>
            <w:shd w:val="clear" w:color="auto" w:fill="CFF0FC"/>
          </w:tcPr>
          <w:p>
            <w:pPr>
              <w:spacing w:after="0"/>
              <w:rPr>
                <w:sz w:val="20"/>
                <w:szCs w:val="20"/>
                <w:color w:val="auto"/>
              </w:rPr>
            </w:pPr>
            <w:r>
              <w:rPr>
                <w:rFonts w:ascii="Arial" w:cs="Arial" w:eastAsia="Arial" w:hAnsi="Arial"/>
                <w:sz w:val="17"/>
                <w:szCs w:val="17"/>
                <w:color w:val="auto"/>
              </w:rPr>
              <w:t>Total current liabilities</w:t>
            </w:r>
          </w:p>
        </w:tc>
        <w:tc>
          <w:tcPr>
            <w:tcW w:w="2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12,050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8,831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40" w:type="dxa"/>
            <w:vAlign w:val="bottom"/>
          </w:tcPr>
          <w:p>
            <w:pPr>
              <w:spacing w:after="0"/>
              <w:rPr>
                <w:sz w:val="20"/>
                <w:szCs w:val="20"/>
                <w:color w:val="auto"/>
              </w:rPr>
            </w:pPr>
            <w:r>
              <w:rPr>
                <w:rFonts w:ascii="Arial" w:cs="Arial" w:eastAsia="Arial" w:hAnsi="Arial"/>
                <w:sz w:val="17"/>
                <w:szCs w:val="17"/>
                <w:color w:val="auto"/>
              </w:rPr>
              <w:t>Operating lease liabilities, net of current portion</w:t>
            </w: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10,348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7,517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40" w:type="dxa"/>
            <w:vAlign w:val="bottom"/>
            <w:shd w:val="clear" w:color="auto" w:fill="CFF0FC"/>
          </w:tcPr>
          <w:p>
            <w:pPr>
              <w:spacing w:after="0"/>
              <w:rPr>
                <w:sz w:val="20"/>
                <w:szCs w:val="20"/>
                <w:color w:val="auto"/>
              </w:rPr>
            </w:pPr>
            <w:r>
              <w:rPr>
                <w:rFonts w:ascii="Arial" w:cs="Arial" w:eastAsia="Arial" w:hAnsi="Arial"/>
                <w:sz w:val="17"/>
                <w:szCs w:val="17"/>
                <w:color w:val="auto"/>
              </w:rPr>
              <w:t>Other long-term liabilities</w:t>
            </w:r>
          </w:p>
        </w:tc>
        <w:tc>
          <w:tcPr>
            <w:tcW w:w="22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40" w:type="dxa"/>
            <w:vAlign w:val="bottom"/>
          </w:tcPr>
          <w:p>
            <w:pPr>
              <w:spacing w:after="0"/>
              <w:rPr>
                <w:sz w:val="20"/>
                <w:szCs w:val="20"/>
                <w:color w:val="auto"/>
              </w:rPr>
            </w:pPr>
            <w:r>
              <w:rPr>
                <w:rFonts w:ascii="Arial" w:cs="Arial" w:eastAsia="Arial" w:hAnsi="Arial"/>
                <w:sz w:val="17"/>
                <w:szCs w:val="17"/>
                <w:color w:val="auto"/>
              </w:rPr>
              <w:t>Total liabilities</w:t>
            </w:r>
          </w:p>
        </w:tc>
        <w:tc>
          <w:tcPr>
            <w:tcW w:w="2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22,454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16,430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540" w:type="dxa"/>
            <w:vAlign w:val="bottom"/>
            <w:shd w:val="clear" w:color="auto" w:fill="CFF0FC"/>
          </w:tcPr>
          <w:p>
            <w:pPr>
              <w:spacing w:after="0"/>
              <w:rPr>
                <w:sz w:val="20"/>
                <w:szCs w:val="20"/>
                <w:color w:val="auto"/>
              </w:rPr>
            </w:pPr>
            <w:r>
              <w:rPr>
                <w:rFonts w:ascii="Arial" w:cs="Arial" w:eastAsia="Arial" w:hAnsi="Arial"/>
                <w:sz w:val="17"/>
                <w:szCs w:val="17"/>
                <w:color w:val="auto"/>
              </w:rPr>
              <w:t>Commitments and contingencies (Note 7)</w:t>
            </w:r>
          </w:p>
        </w:tc>
        <w:tc>
          <w:tcPr>
            <w:tcW w:w="2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tcPr>
          <w:p>
            <w:pPr>
              <w:spacing w:after="0"/>
              <w:rPr>
                <w:sz w:val="20"/>
                <w:szCs w:val="20"/>
                <w:color w:val="auto"/>
              </w:rPr>
            </w:pPr>
            <w:r>
              <w:rPr>
                <w:rFonts w:ascii="Arial" w:cs="Arial" w:eastAsia="Arial" w:hAnsi="Arial"/>
                <w:sz w:val="17"/>
                <w:szCs w:val="17"/>
                <w:color w:val="auto"/>
              </w:rPr>
              <w:t>Stockholders’ equity</w:t>
            </w: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40" w:type="dxa"/>
            <w:vAlign w:val="bottom"/>
            <w:shd w:val="clear" w:color="auto" w:fill="CFF0FC"/>
          </w:tcPr>
          <w:p>
            <w:pPr>
              <w:ind w:left="120"/>
              <w:spacing w:after="0"/>
              <w:rPr>
                <w:sz w:val="20"/>
                <w:szCs w:val="20"/>
                <w:color w:val="auto"/>
              </w:rPr>
            </w:pPr>
            <w:r>
              <w:rPr>
                <w:rFonts w:ascii="Arial" w:cs="Arial" w:eastAsia="Arial" w:hAnsi="Arial"/>
                <w:sz w:val="17"/>
                <w:szCs w:val="17"/>
                <w:color w:val="auto"/>
              </w:rPr>
              <w:t>Preferred stock</w:t>
            </w:r>
          </w:p>
        </w:tc>
        <w:tc>
          <w:tcPr>
            <w:tcW w:w="2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540" w:type="dxa"/>
            <w:vAlign w:val="bottom"/>
          </w:tcPr>
          <w:p>
            <w:pPr>
              <w:ind w:left="120"/>
              <w:spacing w:after="0"/>
              <w:rPr>
                <w:sz w:val="20"/>
                <w:szCs w:val="20"/>
                <w:color w:val="auto"/>
              </w:rPr>
            </w:pPr>
            <w:r>
              <w:rPr>
                <w:rFonts w:ascii="Arial" w:cs="Arial" w:eastAsia="Arial" w:hAnsi="Arial"/>
                <w:sz w:val="17"/>
                <w:szCs w:val="17"/>
                <w:color w:val="auto"/>
              </w:rPr>
              <w:t>Common stock</w:t>
            </w: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40" w:type="dxa"/>
            <w:vAlign w:val="bottom"/>
            <w:shd w:val="clear" w:color="auto" w:fill="CFF0FC"/>
          </w:tcPr>
          <w:p>
            <w:pPr>
              <w:ind w:left="120"/>
              <w:spacing w:after="0"/>
              <w:rPr>
                <w:sz w:val="20"/>
                <w:szCs w:val="20"/>
                <w:color w:val="auto"/>
              </w:rPr>
            </w:pPr>
            <w:r>
              <w:rPr>
                <w:rFonts w:ascii="Arial" w:cs="Arial" w:eastAsia="Arial" w:hAnsi="Arial"/>
                <w:sz w:val="17"/>
                <w:szCs w:val="17"/>
                <w:color w:val="auto"/>
              </w:rPr>
              <w:t>Additional paid-in capital</w:t>
            </w:r>
          </w:p>
        </w:tc>
        <w:tc>
          <w:tcPr>
            <w:tcW w:w="2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451,320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439,235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tcPr>
          <w:p>
            <w:pPr>
              <w:ind w:left="120"/>
              <w:spacing w:after="0"/>
              <w:rPr>
                <w:sz w:val="20"/>
                <w:szCs w:val="20"/>
                <w:color w:val="auto"/>
              </w:rPr>
            </w:pPr>
            <w:r>
              <w:rPr>
                <w:rFonts w:ascii="Arial" w:cs="Arial" w:eastAsia="Arial" w:hAnsi="Arial"/>
                <w:sz w:val="17"/>
                <w:szCs w:val="17"/>
                <w:color w:val="auto"/>
              </w:rPr>
              <w:t>Accumulated other comprehensive income (loss)</w:t>
            </w: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7"/>
                <w:szCs w:val="17"/>
                <w:color w:val="auto"/>
              </w:rPr>
              <w:t>(30)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40" w:type="dxa"/>
            <w:vAlign w:val="bottom"/>
            <w:shd w:val="clear" w:color="auto" w:fill="CFF0FC"/>
          </w:tcPr>
          <w:p>
            <w:pPr>
              <w:ind w:left="120"/>
              <w:spacing w:after="0"/>
              <w:rPr>
                <w:sz w:val="20"/>
                <w:szCs w:val="20"/>
                <w:color w:val="auto"/>
              </w:rPr>
            </w:pPr>
            <w:r>
              <w:rPr>
                <w:rFonts w:ascii="Arial" w:cs="Arial" w:eastAsia="Arial" w:hAnsi="Arial"/>
                <w:sz w:val="17"/>
                <w:szCs w:val="17"/>
                <w:color w:val="auto"/>
              </w:rPr>
              <w:t>Accumulated deficit</w:t>
            </w:r>
          </w:p>
        </w:tc>
        <w:tc>
          <w:tcPr>
            <w:tcW w:w="2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(181,282)</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(118,021)</w:t>
            </w:r>
          </w:p>
        </w:tc>
        <w:tc>
          <w:tcPr>
            <w:tcW w:w="0" w:type="dxa"/>
            <w:vAlign w:val="bottom"/>
          </w:tcPr>
          <w:p>
            <w:pPr>
              <w:spacing w:after="0"/>
              <w:rPr>
                <w:sz w:val="1"/>
                <w:szCs w:val="1"/>
                <w:color w:val="auto"/>
              </w:rPr>
            </w:pPr>
          </w:p>
        </w:tc>
      </w:tr>
      <w:tr>
        <w:trPr>
          <w:trHeight w:val="202"/>
        </w:trPr>
        <w:tc>
          <w:tcPr>
            <w:tcW w:w="55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Total stockholders’ equity</w:t>
            </w:r>
          </w:p>
        </w:tc>
        <w:tc>
          <w:tcPr>
            <w:tcW w:w="2200" w:type="dxa"/>
            <w:vAlign w:val="bottom"/>
            <w:tcBorders>
              <w:bottom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270,011</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321,220</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liabilities and stockholders’ equity</w:t>
            </w:r>
          </w:p>
        </w:tc>
        <w:tc>
          <w:tcPr>
            <w:tcW w:w="22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292,465</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337,650</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financial statements.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NKARTA,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STATEMENTS OF OPERATIONS AND COMPREHENSIVE LOSS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 except share and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20" w:type="dxa"/>
            <w:vAlign w:val="bottom"/>
            <w:gridSpan w:val="7"/>
          </w:tcPr>
          <w:p>
            <w:pPr>
              <w:ind w:left="460"/>
              <w:spacing w:after="0"/>
              <w:rPr>
                <w:sz w:val="20"/>
                <w:szCs w:val="20"/>
                <w:color w:val="auto"/>
              </w:rPr>
            </w:pPr>
            <w:r>
              <w:rPr>
                <w:rFonts w:ascii="Arial" w:cs="Arial" w:eastAsia="Arial" w:hAnsi="Arial"/>
                <w:sz w:val="13"/>
                <w:szCs w:val="13"/>
                <w:b w:val="1"/>
                <w:bCs w:val="1"/>
                <w:color w:val="auto"/>
              </w:rPr>
              <w:t>Three Months Ended</w:t>
            </w:r>
          </w:p>
        </w:tc>
        <w:tc>
          <w:tcPr>
            <w:tcW w:w="280" w:type="dxa"/>
            <w:vAlign w:val="bottom"/>
          </w:tcPr>
          <w:p>
            <w:pPr>
              <w:spacing w:after="0"/>
              <w:rPr>
                <w:sz w:val="13"/>
                <w:szCs w:val="13"/>
                <w:color w:val="auto"/>
              </w:rPr>
            </w:pPr>
          </w:p>
        </w:tc>
        <w:tc>
          <w:tcPr>
            <w:tcW w:w="1620" w:type="dxa"/>
            <w:vAlign w:val="bottom"/>
            <w:gridSpan w:val="4"/>
          </w:tcPr>
          <w:p>
            <w:pPr>
              <w:jc w:val="right"/>
              <w:spacing w:after="0"/>
              <w:rPr>
                <w:sz w:val="20"/>
                <w:szCs w:val="20"/>
                <w:color w:val="auto"/>
              </w:rPr>
            </w:pPr>
            <w:r>
              <w:rPr>
                <w:rFonts w:ascii="Arial" w:cs="Arial" w:eastAsia="Arial" w:hAnsi="Arial"/>
                <w:sz w:val="13"/>
                <w:szCs w:val="13"/>
                <w:b w:val="1"/>
                <w:bCs w:val="1"/>
                <w:color w:val="auto"/>
              </w:rPr>
              <w:t>Nine Months Ended</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September 30,</w:t>
            </w:r>
          </w:p>
        </w:tc>
        <w:tc>
          <w:tcPr>
            <w:tcW w:w="8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4"/>
          </w:tcPr>
          <w:p>
            <w:pPr>
              <w:jc w:val="right"/>
              <w:ind w:right="103"/>
              <w:spacing w:after="0"/>
              <w:rPr>
                <w:sz w:val="20"/>
                <w:szCs w:val="20"/>
                <w:color w:val="auto"/>
              </w:rPr>
            </w:pPr>
            <w:r>
              <w:rPr>
                <w:rFonts w:ascii="Arial" w:cs="Arial" w:eastAsia="Arial" w:hAnsi="Arial"/>
                <w:sz w:val="13"/>
                <w:szCs w:val="13"/>
                <w:b w:val="1"/>
                <w:bCs w:val="1"/>
                <w:color w:val="auto"/>
              </w:rPr>
              <w:t>September 30,</w:t>
            </w: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4460" w:type="dxa"/>
            <w:vAlign w:val="bottom"/>
            <w:tcBorders>
              <w:bottom w:val="single" w:sz="8" w:color="CFF0FC"/>
            </w:tcBorders>
          </w:tcPr>
          <w:p>
            <w:pPr>
              <w:spacing w:after="0"/>
              <w:rPr>
                <w:sz w:val="12"/>
                <w:szCs w:val="12"/>
                <w:color w:val="auto"/>
              </w:rPr>
            </w:pPr>
          </w:p>
        </w:tc>
        <w:tc>
          <w:tcPr>
            <w:tcW w:w="116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80"/>
              <w:spacing w:after="0" w:line="141" w:lineRule="exact"/>
              <w:rPr>
                <w:sz w:val="20"/>
                <w:szCs w:val="20"/>
                <w:color w:val="auto"/>
              </w:rPr>
            </w:pPr>
            <w:r>
              <w:rPr>
                <w:rFonts w:ascii="Arial" w:cs="Arial" w:eastAsia="Arial" w:hAnsi="Arial"/>
                <w:sz w:val="13"/>
                <w:szCs w:val="13"/>
                <w:b w:val="1"/>
                <w:bCs w:val="1"/>
                <w:color w:val="auto"/>
              </w:rPr>
              <w:t>2021</w:t>
            </w:r>
          </w:p>
        </w:tc>
        <w:tc>
          <w:tcPr>
            <w:tcW w:w="16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99"/>
              <w:spacing w:after="0" w:line="141" w:lineRule="exact"/>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80"/>
              <w:spacing w:after="0" w:line="141" w:lineRule="exact"/>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99"/>
              <w:spacing w:after="0" w:line="141" w:lineRule="exact"/>
              <w:rPr>
                <w:sz w:val="20"/>
                <w:szCs w:val="20"/>
                <w:color w:val="auto"/>
              </w:rPr>
            </w:pPr>
            <w:r>
              <w:rPr>
                <w:rFonts w:ascii="Arial" w:cs="Arial" w:eastAsia="Arial" w:hAnsi="Arial"/>
                <w:sz w:val="13"/>
                <w:szCs w:val="13"/>
                <w:b w:val="1"/>
                <w:bCs w:val="1"/>
                <w:color w:val="auto"/>
                <w:w w:val="89"/>
              </w:rPr>
              <w:t>2020</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460" w:type="dxa"/>
            <w:vAlign w:val="bottom"/>
            <w:shd w:val="clear" w:color="auto" w:fill="CFF0FC"/>
          </w:tcPr>
          <w:p>
            <w:pPr>
              <w:spacing w:after="0"/>
              <w:rPr>
                <w:sz w:val="20"/>
                <w:szCs w:val="20"/>
                <w:color w:val="auto"/>
              </w:rPr>
            </w:pPr>
            <w:r>
              <w:rPr>
                <w:rFonts w:ascii="Arial" w:cs="Arial" w:eastAsia="Arial" w:hAnsi="Arial"/>
                <w:sz w:val="17"/>
                <w:szCs w:val="17"/>
                <w:color w:val="auto"/>
              </w:rPr>
              <w:t>Operating expenses</w:t>
            </w: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60" w:type="dxa"/>
            <w:vAlign w:val="bottom"/>
          </w:tcPr>
          <w:p>
            <w:pPr>
              <w:ind w:left="220"/>
              <w:spacing w:after="0"/>
              <w:rPr>
                <w:sz w:val="20"/>
                <w:szCs w:val="20"/>
                <w:color w:val="auto"/>
              </w:rPr>
            </w:pPr>
            <w:r>
              <w:rPr>
                <w:rFonts w:ascii="Arial" w:cs="Arial" w:eastAsia="Arial" w:hAnsi="Arial"/>
                <w:sz w:val="17"/>
                <w:szCs w:val="17"/>
                <w:color w:val="auto"/>
              </w:rPr>
              <w:t>Research and development</w:t>
            </w:r>
          </w:p>
        </w:tc>
        <w:tc>
          <w:tcPr>
            <w:tcW w:w="1400" w:type="dxa"/>
            <w:vAlign w:val="bottom"/>
            <w:gridSpan w:val="2"/>
          </w:tcPr>
          <w:p>
            <w:pPr>
              <w:jc w:val="right"/>
              <w:ind w:right="83"/>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16,616</w:t>
            </w:r>
          </w:p>
        </w:tc>
        <w:tc>
          <w:tcPr>
            <w:tcW w:w="160" w:type="dxa"/>
            <w:vAlign w:val="bottom"/>
          </w:tcPr>
          <w:p>
            <w:pPr>
              <w:spacing w:after="0"/>
              <w:rPr>
                <w:sz w:val="18"/>
                <w:szCs w:val="18"/>
                <w:color w:val="auto"/>
              </w:rPr>
            </w:pPr>
          </w:p>
        </w:tc>
        <w:tc>
          <w:tcPr>
            <w:tcW w:w="440" w:type="dxa"/>
            <w:vAlign w:val="bottom"/>
            <w:gridSpan w:val="2"/>
          </w:tcPr>
          <w:p>
            <w:pPr>
              <w:jc w:val="right"/>
              <w:ind w:right="177"/>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9,828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46,111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ind w:right="28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24,950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General and administrative</w:t>
            </w:r>
          </w:p>
        </w:tc>
        <w:tc>
          <w:tcPr>
            <w:tcW w:w="11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5,812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3,918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17,431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8,560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Total operating expenses</w:t>
            </w:r>
          </w:p>
        </w:tc>
        <w:tc>
          <w:tcPr>
            <w:tcW w:w="116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22,428</w:t>
            </w:r>
          </w:p>
        </w:tc>
        <w:tc>
          <w:tcPr>
            <w:tcW w:w="16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13,746</w:t>
            </w:r>
          </w:p>
        </w:tc>
        <w:tc>
          <w:tcPr>
            <w:tcW w:w="10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63,542</w:t>
            </w:r>
          </w:p>
        </w:tc>
        <w:tc>
          <w:tcPr>
            <w:tcW w:w="12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33,510</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460" w:type="dxa"/>
            <w:vAlign w:val="bottom"/>
            <w:shd w:val="clear" w:color="auto" w:fill="CFF0FC"/>
          </w:tcPr>
          <w:p>
            <w:pPr>
              <w:spacing w:after="0"/>
              <w:rPr>
                <w:sz w:val="20"/>
                <w:szCs w:val="20"/>
                <w:color w:val="auto"/>
              </w:rPr>
            </w:pPr>
            <w:r>
              <w:rPr>
                <w:rFonts w:ascii="Arial" w:cs="Arial" w:eastAsia="Arial" w:hAnsi="Arial"/>
                <w:sz w:val="17"/>
                <w:szCs w:val="17"/>
                <w:color w:val="auto"/>
              </w:rPr>
              <w:t>Loss from operations</w:t>
            </w: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(22,428)</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(13,746)</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(63,542)</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(33,510)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6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4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Change in fair value of preferred stock</w:t>
            </w: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460" w:type="dxa"/>
            <w:vAlign w:val="bottom"/>
            <w:shd w:val="clear" w:color="auto" w:fill="CFF0FC"/>
          </w:tcPr>
          <w:p>
            <w:pPr>
              <w:ind w:left="340"/>
              <w:spacing w:after="0"/>
              <w:rPr>
                <w:sz w:val="20"/>
                <w:szCs w:val="20"/>
                <w:color w:val="auto"/>
              </w:rPr>
            </w:pPr>
            <w:r>
              <w:rPr>
                <w:rFonts w:ascii="Arial" w:cs="Arial" w:eastAsia="Arial" w:hAnsi="Arial"/>
                <w:sz w:val="17"/>
                <w:szCs w:val="17"/>
                <w:color w:val="auto"/>
              </w:rPr>
              <w:t>purchase right liability</w:t>
            </w: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gridSpan w:val="3"/>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(40,163)</w:t>
            </w:r>
          </w:p>
        </w:tc>
        <w:tc>
          <w:tcPr>
            <w:tcW w:w="0" w:type="dxa"/>
            <w:vAlign w:val="bottom"/>
          </w:tcPr>
          <w:p>
            <w:pPr>
              <w:spacing w:after="0"/>
              <w:rPr>
                <w:sz w:val="1"/>
                <w:szCs w:val="1"/>
                <w:color w:val="auto"/>
              </w:rPr>
            </w:pPr>
          </w:p>
        </w:tc>
      </w:tr>
      <w:tr>
        <w:trPr>
          <w:trHeight w:val="210"/>
        </w:trPr>
        <w:tc>
          <w:tcPr>
            <w:tcW w:w="4460" w:type="dxa"/>
            <w:vAlign w:val="bottom"/>
          </w:tcPr>
          <w:p>
            <w:pPr>
              <w:ind w:left="220"/>
              <w:spacing w:after="0"/>
              <w:rPr>
                <w:sz w:val="20"/>
                <w:szCs w:val="20"/>
                <w:color w:val="auto"/>
              </w:rPr>
            </w:pPr>
            <w:r>
              <w:rPr>
                <w:rFonts w:ascii="Arial" w:cs="Arial" w:eastAsia="Arial" w:hAnsi="Arial"/>
                <w:sz w:val="17"/>
                <w:szCs w:val="17"/>
                <w:color w:val="auto"/>
              </w:rPr>
              <w:t>Interest income</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Other expense, net</w:t>
            </w: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(6)</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(153)</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(14)</w:t>
            </w: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(149)</w:t>
            </w:r>
          </w:p>
        </w:tc>
        <w:tc>
          <w:tcPr>
            <w:tcW w:w="0" w:type="dxa"/>
            <w:vAlign w:val="bottom"/>
          </w:tcPr>
          <w:p>
            <w:pPr>
              <w:spacing w:after="0"/>
              <w:rPr>
                <w:sz w:val="1"/>
                <w:szCs w:val="1"/>
                <w:color w:val="auto"/>
              </w:rPr>
            </w:pPr>
          </w:p>
        </w:tc>
      </w:tr>
      <w:tr>
        <w:trPr>
          <w:trHeight w:val="202"/>
        </w:trPr>
        <w:tc>
          <w:tcPr>
            <w:tcW w:w="44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Total other income (expense), net</w:t>
            </w:r>
          </w:p>
        </w:tc>
        <w:tc>
          <w:tcPr>
            <w:tcW w:w="1160" w:type="dxa"/>
            <w:vAlign w:val="bottom"/>
            <w:tcBorders>
              <w:bottom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75</w:t>
            </w:r>
          </w:p>
        </w:tc>
        <w:tc>
          <w:tcPr>
            <w:tcW w:w="16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w:t>
            </w:r>
          </w:p>
        </w:tc>
        <w:tc>
          <w:tcPr>
            <w:tcW w:w="10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281</w:t>
            </w:r>
          </w:p>
        </w:tc>
        <w:tc>
          <w:tcPr>
            <w:tcW w:w="12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(39,954)</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loss</w:t>
            </w:r>
          </w:p>
        </w:tc>
        <w:tc>
          <w:tcPr>
            <w:tcW w:w="11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(22,353)</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177"/>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(13,693)</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(63,261)</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ind w:right="28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(73,464)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7"/>
                <w:szCs w:val="17"/>
                <w:color w:val="auto"/>
              </w:rPr>
              <w:t>Comprehensive loss:</w:t>
            </w:r>
          </w:p>
        </w:tc>
        <w:tc>
          <w:tcPr>
            <w:tcW w:w="1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460" w:type="dxa"/>
            <w:vAlign w:val="bottom"/>
            <w:vMerge w:val="continue"/>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4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Net loss</w:t>
            </w:r>
          </w:p>
        </w:tc>
        <w:tc>
          <w:tcPr>
            <w:tcW w:w="1400" w:type="dxa"/>
            <w:vAlign w:val="bottom"/>
            <w:gridSpan w:val="2"/>
            <w:shd w:val="clear" w:color="auto" w:fill="CFF0FC"/>
          </w:tcPr>
          <w:p>
            <w:pPr>
              <w:jc w:val="right"/>
              <w:ind w:right="83"/>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(22,353)</w:t>
            </w:r>
          </w:p>
        </w:tc>
        <w:tc>
          <w:tcPr>
            <w:tcW w:w="440" w:type="dxa"/>
            <w:vAlign w:val="bottom"/>
            <w:gridSpan w:val="2"/>
            <w:shd w:val="clear" w:color="auto" w:fill="CFF0FC"/>
          </w:tcPr>
          <w:p>
            <w:pPr>
              <w:jc w:val="right"/>
              <w:ind w:right="177"/>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(13,693)</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(63,261)</w:t>
            </w: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8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(73,464)</w:t>
            </w:r>
          </w:p>
        </w:tc>
        <w:tc>
          <w:tcPr>
            <w:tcW w:w="0" w:type="dxa"/>
            <w:vAlign w:val="bottom"/>
          </w:tcPr>
          <w:p>
            <w:pPr>
              <w:spacing w:after="0"/>
              <w:rPr>
                <w:sz w:val="1"/>
                <w:szCs w:val="1"/>
                <w:color w:val="auto"/>
              </w:rPr>
            </w:pPr>
          </w:p>
        </w:tc>
      </w:tr>
      <w:tr>
        <w:trPr>
          <w:trHeight w:val="210"/>
        </w:trPr>
        <w:tc>
          <w:tcPr>
            <w:tcW w:w="4460" w:type="dxa"/>
            <w:vAlign w:val="bottom"/>
          </w:tcPr>
          <w:p>
            <w:pPr>
              <w:ind w:left="220"/>
              <w:spacing w:after="0"/>
              <w:rPr>
                <w:sz w:val="20"/>
                <w:szCs w:val="20"/>
                <w:color w:val="auto"/>
              </w:rPr>
            </w:pPr>
            <w:r>
              <w:rPr>
                <w:rFonts w:ascii="Arial" w:cs="Arial" w:eastAsia="Arial" w:hAnsi="Arial"/>
                <w:sz w:val="17"/>
                <w:szCs w:val="17"/>
                <w:color w:val="auto"/>
              </w:rPr>
              <w:t>Other comprehensive gain (loss)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(33)</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Comprehensive loss</w:t>
            </w:r>
          </w:p>
        </w:tc>
        <w:tc>
          <w:tcPr>
            <w:tcW w:w="116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(22,389)</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jc w:val="right"/>
              <w:ind w:right="177"/>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(13,690)</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(63,294)</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440" w:type="dxa"/>
            <w:vAlign w:val="bottom"/>
            <w:tcBorders>
              <w:top w:val="single" w:sz="8" w:color="auto"/>
              <w:bottom w:val="single" w:sz="8" w:color="auto"/>
            </w:tcBorders>
            <w:shd w:val="clear" w:color="auto" w:fill="CFF0FC"/>
          </w:tcPr>
          <w:p>
            <w:pPr>
              <w:jc w:val="right"/>
              <w:ind w:right="28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(73,458)</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7"/>
                <w:szCs w:val="17"/>
                <w:color w:val="auto"/>
              </w:rPr>
              <w:t>Net loss per share, basic and diluted</w:t>
            </w:r>
          </w:p>
        </w:tc>
        <w:tc>
          <w:tcPr>
            <w:tcW w:w="140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460" w:type="dxa"/>
            <w:vAlign w:val="bottom"/>
            <w:tcBorders>
              <w:bottom w:val="single" w:sz="8" w:color="CFF0FC"/>
            </w:tcBorders>
            <w:vMerge w:val="continue"/>
          </w:tcPr>
          <w:p>
            <w:pPr>
              <w:spacing w:after="0"/>
              <w:rPr>
                <w:sz w:val="19"/>
                <w:szCs w:val="19"/>
                <w:color w:val="auto"/>
              </w:rPr>
            </w:pPr>
          </w:p>
        </w:tc>
        <w:tc>
          <w:tcPr>
            <w:tcW w:w="11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(0.68)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7"/>
              <w:spacing w:after="0" w:line="188" w:lineRule="exact"/>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(0.44)</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(1.93)</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(6.39)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460" w:type="dxa"/>
            <w:vAlign w:val="bottom"/>
            <w:shd w:val="clear" w:color="auto" w:fill="CFF0FC"/>
          </w:tcPr>
          <w:p>
            <w:pPr>
              <w:spacing w:after="0" w:line="176" w:lineRule="exact"/>
              <w:rPr>
                <w:sz w:val="20"/>
                <w:szCs w:val="20"/>
                <w:color w:val="auto"/>
              </w:rPr>
            </w:pPr>
            <w:r>
              <w:rPr>
                <w:rFonts w:ascii="Arial" w:cs="Arial" w:eastAsia="Arial" w:hAnsi="Arial"/>
                <w:sz w:val="17"/>
                <w:szCs w:val="17"/>
                <w:color w:val="auto"/>
              </w:rPr>
              <w:t>Weighted average shares used to compute net loss</w:t>
            </w:r>
          </w:p>
        </w:tc>
        <w:tc>
          <w:tcPr>
            <w:tcW w:w="1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7"/>
                <w:szCs w:val="17"/>
                <w:color w:val="auto"/>
              </w:rPr>
              <w:t>per share, basic and diluted</w:t>
            </w:r>
          </w:p>
        </w:tc>
        <w:tc>
          <w:tcPr>
            <w:tcW w:w="1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32,902,723</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3"/>
              </w:rPr>
              <w:t>30,981,441</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32,823,829</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11,499,327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financial statements.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NKARTA,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STATEMENTS OF CONVERTIBLE PREFERRED STOCK AND STOCKHOLDERS’ EQUITY (DEFICIT)</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 except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2"/>
              </w:rPr>
              <w:t>Accumulated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12"/>
        </w:trPr>
        <w:tc>
          <w:tcPr>
            <w:tcW w:w="2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60" w:type="dxa"/>
            <w:vAlign w:val="bottom"/>
            <w:gridSpan w:val="3"/>
          </w:tcPr>
          <w:p>
            <w:pPr>
              <w:ind w:left="140"/>
              <w:spacing w:after="0" w:line="112" w:lineRule="exact"/>
              <w:rPr>
                <w:sz w:val="20"/>
                <w:szCs w:val="20"/>
                <w:color w:val="auto"/>
              </w:rPr>
            </w:pPr>
            <w:r>
              <w:rPr>
                <w:rFonts w:ascii="Arial" w:cs="Arial" w:eastAsia="Arial" w:hAnsi="Arial"/>
                <w:sz w:val="10"/>
                <w:szCs w:val="10"/>
                <w:b w:val="1"/>
                <w:bCs w:val="1"/>
                <w:color w:val="auto"/>
              </w:rPr>
              <w:t>Convertible</w:t>
            </w:r>
          </w:p>
        </w:tc>
        <w:tc>
          <w:tcPr>
            <w:tcW w:w="68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tcPr>
          <w:p>
            <w:pPr>
              <w:jc w:val="center"/>
              <w:ind w:right="400"/>
              <w:spacing w:after="0" w:line="112" w:lineRule="exact"/>
              <w:rPr>
                <w:sz w:val="20"/>
                <w:szCs w:val="20"/>
                <w:color w:val="auto"/>
              </w:rPr>
            </w:pPr>
            <w:r>
              <w:rPr>
                <w:rFonts w:ascii="Arial" w:cs="Arial" w:eastAsia="Arial" w:hAnsi="Arial"/>
                <w:sz w:val="10"/>
                <w:szCs w:val="10"/>
                <w:b w:val="1"/>
                <w:bCs w:val="1"/>
                <w:color w:val="auto"/>
                <w:w w:val="93"/>
              </w:rPr>
              <w:t>Additional</w:t>
            </w:r>
          </w:p>
        </w:tc>
        <w:tc>
          <w:tcPr>
            <w:tcW w:w="80" w:type="dxa"/>
            <w:vAlign w:val="bottom"/>
          </w:tcPr>
          <w:p>
            <w:pPr>
              <w:spacing w:after="0"/>
              <w:rPr>
                <w:sz w:val="9"/>
                <w:szCs w:val="9"/>
                <w:color w:val="auto"/>
              </w:rPr>
            </w:pPr>
          </w:p>
        </w:tc>
        <w:tc>
          <w:tcPr>
            <w:tcW w:w="940" w:type="dxa"/>
            <w:vAlign w:val="bottom"/>
            <w:gridSpan w:val="2"/>
          </w:tcPr>
          <w:p>
            <w:pPr>
              <w:jc w:val="center"/>
              <w:ind w:right="240"/>
              <w:spacing w:after="0" w:line="112" w:lineRule="exact"/>
              <w:rPr>
                <w:sz w:val="20"/>
                <w:szCs w:val="20"/>
                <w:color w:val="auto"/>
              </w:rPr>
            </w:pPr>
            <w:r>
              <w:rPr>
                <w:rFonts w:ascii="Arial" w:cs="Arial" w:eastAsia="Arial" w:hAnsi="Arial"/>
                <w:sz w:val="10"/>
                <w:szCs w:val="10"/>
                <w:b w:val="1"/>
                <w:bCs w:val="1"/>
                <w:color w:val="auto"/>
                <w:w w:val="97"/>
              </w:rPr>
              <w:t>Other</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tcPr>
          <w:p>
            <w:pPr>
              <w:jc w:val="center"/>
              <w:ind w:right="180"/>
              <w:spacing w:after="0" w:line="112" w:lineRule="exact"/>
              <w:rPr>
                <w:sz w:val="20"/>
                <w:szCs w:val="20"/>
                <w:color w:val="auto"/>
              </w:rPr>
            </w:pPr>
            <w:r>
              <w:rPr>
                <w:rFonts w:ascii="Arial" w:cs="Arial" w:eastAsia="Arial" w:hAnsi="Arial"/>
                <w:sz w:val="10"/>
                <w:szCs w:val="10"/>
                <w:b w:val="1"/>
                <w:bCs w:val="1"/>
                <w:color w:val="auto"/>
                <w:w w:val="83"/>
              </w:rPr>
              <w:t>Total</w:t>
            </w:r>
          </w:p>
        </w:tc>
      </w:tr>
      <w:tr>
        <w:trPr>
          <w:trHeight w:val="123"/>
        </w:trPr>
        <w:tc>
          <w:tcPr>
            <w:tcW w:w="232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3"/>
          </w:tcPr>
          <w:p>
            <w:pPr>
              <w:ind w:left="60"/>
              <w:spacing w:after="0"/>
              <w:rPr>
                <w:sz w:val="20"/>
                <w:szCs w:val="20"/>
                <w:color w:val="auto"/>
              </w:rPr>
            </w:pPr>
            <w:r>
              <w:rPr>
                <w:rFonts w:ascii="Arial" w:cs="Arial" w:eastAsia="Arial" w:hAnsi="Arial"/>
                <w:sz w:val="10"/>
                <w:szCs w:val="10"/>
                <w:b w:val="1"/>
                <w:bCs w:val="1"/>
                <w:color w:val="auto"/>
                <w:w w:val="91"/>
              </w:rPr>
              <w:t>Preferred Stock</w:t>
            </w:r>
          </w:p>
        </w:tc>
        <w:tc>
          <w:tcPr>
            <w:tcW w:w="680" w:type="dxa"/>
            <w:vAlign w:val="bottom"/>
            <w:tcBorders>
              <w:bottom w:val="single" w:sz="8" w:color="auto"/>
            </w:tcBorders>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tcBorders>
              <w:bottom w:val="single" w:sz="8" w:color="auto"/>
            </w:tcBorders>
            <w:gridSpan w:val="3"/>
          </w:tcPr>
          <w:p>
            <w:pPr>
              <w:jc w:val="right"/>
              <w:ind w:right="417"/>
              <w:spacing w:after="0"/>
              <w:rPr>
                <w:sz w:val="20"/>
                <w:szCs w:val="20"/>
                <w:color w:val="auto"/>
              </w:rPr>
            </w:pPr>
            <w:r>
              <w:rPr>
                <w:rFonts w:ascii="Arial" w:cs="Arial" w:eastAsia="Arial" w:hAnsi="Arial"/>
                <w:sz w:val="10"/>
                <w:szCs w:val="10"/>
                <w:b w:val="1"/>
                <w:bCs w:val="1"/>
                <w:color w:val="auto"/>
              </w:rPr>
              <w:t>Common Stock</w:t>
            </w:r>
          </w:p>
        </w:tc>
        <w:tc>
          <w:tcPr>
            <w:tcW w:w="20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9"/>
              </w:rPr>
              <w:t>Paid-in</w:t>
            </w:r>
          </w:p>
        </w:tc>
        <w:tc>
          <w:tcPr>
            <w:tcW w:w="80" w:type="dxa"/>
            <w:vAlign w:val="bottom"/>
          </w:tcPr>
          <w:p>
            <w:pPr>
              <w:spacing w:after="0"/>
              <w:rPr>
                <w:sz w:val="10"/>
                <w:szCs w:val="10"/>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7"/>
              </w:rPr>
              <w:t>Comprehensive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w w:val="92"/>
              </w:rPr>
              <w:t>Accumulated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8"/>
              </w:rPr>
              <w:t>Stockholders'</w:t>
            </w:r>
          </w:p>
        </w:tc>
      </w:tr>
      <w:tr>
        <w:trPr>
          <w:trHeight w:val="116"/>
        </w:trPr>
        <w:tc>
          <w:tcPr>
            <w:tcW w:w="2320" w:type="dxa"/>
            <w:vAlign w:val="bottom"/>
          </w:tcPr>
          <w:p>
            <w:pPr>
              <w:spacing w:after="0"/>
              <w:rPr>
                <w:sz w:val="10"/>
                <w:szCs w:val="10"/>
                <w:color w:val="auto"/>
              </w:rPr>
            </w:pPr>
          </w:p>
        </w:tc>
        <w:tc>
          <w:tcPr>
            <w:tcW w:w="640" w:type="dxa"/>
            <w:vAlign w:val="bottom"/>
          </w:tcPr>
          <w:p>
            <w:pPr>
              <w:ind w:left="320"/>
              <w:spacing w:after="0"/>
              <w:rPr>
                <w:sz w:val="20"/>
                <w:szCs w:val="20"/>
                <w:color w:val="auto"/>
              </w:rPr>
            </w:pPr>
            <w:r>
              <w:rPr>
                <w:rFonts w:ascii="Arial" w:cs="Arial" w:eastAsia="Arial" w:hAnsi="Arial"/>
                <w:sz w:val="10"/>
                <w:szCs w:val="10"/>
                <w:b w:val="1"/>
                <w:bCs w:val="1"/>
                <w:color w:val="auto"/>
                <w:w w:val="89"/>
              </w:rPr>
              <w:t>Shares</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Borders>
              <w:right w:val="single" w:sz="8" w:color="auto"/>
            </w:tcBorders>
            <w:gridSpan w:val="2"/>
          </w:tcPr>
          <w:p>
            <w:pPr>
              <w:ind w:left="40"/>
              <w:spacing w:after="0"/>
              <w:rPr>
                <w:sz w:val="20"/>
                <w:szCs w:val="20"/>
                <w:color w:val="auto"/>
              </w:rPr>
            </w:pPr>
            <w:r>
              <w:rPr>
                <w:rFonts w:ascii="Arial" w:cs="Arial" w:eastAsia="Arial" w:hAnsi="Arial"/>
                <w:sz w:val="10"/>
                <w:szCs w:val="10"/>
                <w:b w:val="1"/>
                <w:bCs w:val="1"/>
                <w:color w:val="auto"/>
              </w:rPr>
              <w:t>Amount</w:t>
            </w:r>
          </w:p>
        </w:tc>
        <w:tc>
          <w:tcPr>
            <w:tcW w:w="100" w:type="dxa"/>
            <w:vAlign w:val="bottom"/>
          </w:tcPr>
          <w:p>
            <w:pPr>
              <w:spacing w:after="0"/>
              <w:rPr>
                <w:sz w:val="10"/>
                <w:szCs w:val="10"/>
                <w:color w:val="auto"/>
              </w:rPr>
            </w:pPr>
          </w:p>
        </w:tc>
        <w:tc>
          <w:tcPr>
            <w:tcW w:w="880" w:type="dxa"/>
            <w:vAlign w:val="bottom"/>
          </w:tcPr>
          <w:p>
            <w:pPr>
              <w:jc w:val="right"/>
              <w:ind w:right="256"/>
              <w:spacing w:after="0"/>
              <w:rPr>
                <w:sz w:val="20"/>
                <w:szCs w:val="20"/>
                <w:color w:val="auto"/>
              </w:rPr>
            </w:pPr>
            <w:r>
              <w:rPr>
                <w:rFonts w:ascii="Arial" w:cs="Arial" w:eastAsia="Arial" w:hAnsi="Arial"/>
                <w:sz w:val="10"/>
                <w:szCs w:val="10"/>
                <w:b w:val="1"/>
                <w:bCs w:val="1"/>
                <w:color w:val="auto"/>
              </w:rPr>
              <w:t>Shares</w:t>
            </w:r>
          </w:p>
        </w:tc>
        <w:tc>
          <w:tcPr>
            <w:tcW w:w="22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b w:val="1"/>
                <w:bCs w:val="1"/>
                <w:color w:val="auto"/>
              </w:rPr>
              <w:t>Amount</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5"/>
              </w:rPr>
              <w:t>Capital</w:t>
            </w:r>
          </w:p>
        </w:tc>
        <w:tc>
          <w:tcPr>
            <w:tcW w:w="80" w:type="dxa"/>
            <w:vAlign w:val="bottom"/>
          </w:tcPr>
          <w:p>
            <w:pPr>
              <w:spacing w:after="0"/>
              <w:rPr>
                <w:sz w:val="10"/>
                <w:szCs w:val="10"/>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5"/>
              </w:rPr>
              <w:t>Income (Loss)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0"/>
                <w:szCs w:val="10"/>
                <w:b w:val="1"/>
                <w:bCs w:val="1"/>
                <w:color w:val="auto"/>
              </w:rPr>
              <w:t>Deficit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1"/>
              </w:rPr>
              <w:t>Equity</w:t>
            </w:r>
          </w:p>
        </w:tc>
      </w:tr>
      <w:tr>
        <w:trPr>
          <w:trHeight w:val="141"/>
        </w:trPr>
        <w:tc>
          <w:tcPr>
            <w:tcW w:w="2320" w:type="dxa"/>
            <w:vAlign w:val="bottom"/>
            <w:tcBorders>
              <w:top w:val="single" w:sz="8" w:color="CFF0FC"/>
            </w:tcBorders>
            <w:shd w:val="clear" w:color="auto" w:fill="CFF0FC"/>
          </w:tcPr>
          <w:p>
            <w:pPr>
              <w:spacing w:after="0" w:line="141" w:lineRule="exact"/>
              <w:rPr>
                <w:sz w:val="20"/>
                <w:szCs w:val="20"/>
                <w:color w:val="auto"/>
              </w:rPr>
            </w:pPr>
            <w:r>
              <w:rPr>
                <w:rFonts w:ascii="Arial" w:cs="Arial" w:eastAsia="Arial" w:hAnsi="Arial"/>
                <w:sz w:val="13"/>
                <w:szCs w:val="13"/>
                <w:color w:val="auto"/>
              </w:rPr>
              <w:t>Balance, December 31, 2020</w:t>
            </w:r>
          </w:p>
        </w:tc>
        <w:tc>
          <w:tcPr>
            <w:tcW w:w="64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ind w:left="120"/>
              <w:spacing w:after="0" w:line="141" w:lineRule="exact"/>
              <w:rPr>
                <w:sz w:val="20"/>
                <w:szCs w:val="20"/>
                <w:color w:val="auto"/>
              </w:rPr>
            </w:pPr>
            <w:r>
              <w:rPr>
                <w:rFonts w:ascii="Arial" w:cs="Arial" w:eastAsia="Arial" w:hAnsi="Arial"/>
                <w:sz w:val="13"/>
                <w:szCs w:val="13"/>
                <w:color w:val="auto"/>
              </w:rPr>
              <w:t>—</w:t>
            </w:r>
          </w:p>
        </w:tc>
        <w:tc>
          <w:tcPr>
            <w:tcW w:w="26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FF0FC"/>
          </w:tcPr>
          <w:p>
            <w:pPr>
              <w:ind w:left="540"/>
              <w:spacing w:after="0" w:line="141" w:lineRule="exact"/>
              <w:rPr>
                <w:sz w:val="20"/>
                <w:szCs w:val="20"/>
                <w:color w:val="auto"/>
              </w:rPr>
            </w:pPr>
            <w:r>
              <w:rPr>
                <w:rFonts w:ascii="Arial" w:cs="Arial" w:eastAsia="Arial" w:hAnsi="Arial"/>
                <w:sz w:val="13"/>
                <w:szCs w:val="13"/>
                <w:color w:val="auto"/>
                <w:w w:val="91"/>
              </w:rPr>
              <w:t>—</w:t>
            </w:r>
          </w:p>
        </w:tc>
        <w:tc>
          <w:tcPr>
            <w:tcW w:w="240" w:type="dxa"/>
            <w:vAlign w:val="bottom"/>
            <w:tcBorders>
              <w:top w:val="single" w:sz="8" w:color="CFF0FC"/>
              <w:right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32,627,963</w:t>
            </w:r>
          </w:p>
        </w:tc>
        <w:tc>
          <w:tcPr>
            <w:tcW w:w="22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jc w:val="right"/>
              <w:ind w:right="537"/>
              <w:spacing w:after="0" w:line="141" w:lineRule="exact"/>
              <w:rPr>
                <w:sz w:val="20"/>
                <w:szCs w:val="20"/>
                <w:color w:val="auto"/>
              </w:rPr>
            </w:pPr>
            <w:r>
              <w:rPr>
                <w:rFonts w:ascii="Arial" w:cs="Arial" w:eastAsia="Arial" w:hAnsi="Arial"/>
                <w:sz w:val="13"/>
                <w:szCs w:val="13"/>
                <w:color w:val="auto"/>
                <w:w w:val="82"/>
              </w:rPr>
              <w:t>$</w:t>
            </w:r>
          </w:p>
        </w:tc>
        <w:tc>
          <w:tcPr>
            <w:tcW w:w="200" w:type="dxa"/>
            <w:vAlign w:val="bottom"/>
            <w:tcBorders>
              <w:top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3</w:t>
            </w:r>
          </w:p>
        </w:tc>
        <w:tc>
          <w:tcPr>
            <w:tcW w:w="24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439,235</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3</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(118,021)</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321,220</w:t>
            </w:r>
          </w:p>
        </w:tc>
        <w:tc>
          <w:tcPr>
            <w:tcW w:w="60" w:type="dxa"/>
            <w:vAlign w:val="bottom"/>
            <w:tcBorders>
              <w:top w:val="single" w:sz="8" w:color="CFF0FC"/>
            </w:tcBorders>
            <w:shd w:val="clear" w:color="auto" w:fill="CFF0FC"/>
          </w:tcPr>
          <w:p>
            <w:pPr>
              <w:spacing w:after="0"/>
              <w:rPr>
                <w:sz w:val="12"/>
                <w:szCs w:val="12"/>
                <w:color w:val="auto"/>
              </w:rPr>
            </w:pPr>
          </w:p>
        </w:tc>
      </w:tr>
      <w:tr>
        <w:trPr>
          <w:trHeight w:val="133"/>
        </w:trPr>
        <w:tc>
          <w:tcPr>
            <w:tcW w:w="2960" w:type="dxa"/>
            <w:vAlign w:val="bottom"/>
            <w:gridSpan w:val="2"/>
          </w:tcPr>
          <w:p>
            <w:pPr>
              <w:spacing w:after="0" w:line="133" w:lineRule="exact"/>
              <w:rPr>
                <w:sz w:val="20"/>
                <w:szCs w:val="20"/>
                <w:color w:val="auto"/>
              </w:rPr>
            </w:pPr>
            <w:r>
              <w:rPr>
                <w:rFonts w:ascii="Arial" w:cs="Arial" w:eastAsia="Arial" w:hAnsi="Arial"/>
                <w:sz w:val="13"/>
                <w:szCs w:val="13"/>
                <w:color w:val="auto"/>
              </w:rPr>
              <w:t>Vesting of shares of common</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2"/>
        </w:trPr>
        <w:tc>
          <w:tcPr>
            <w:tcW w:w="2960" w:type="dxa"/>
            <w:vAlign w:val="bottom"/>
            <w:gridSpan w:val="2"/>
          </w:tcPr>
          <w:p>
            <w:pPr>
              <w:ind w:left="100"/>
              <w:spacing w:after="0"/>
              <w:rPr>
                <w:sz w:val="20"/>
                <w:szCs w:val="20"/>
                <w:color w:val="auto"/>
              </w:rPr>
            </w:pPr>
            <w:r>
              <w:rPr>
                <w:rFonts w:ascii="Arial" w:cs="Arial" w:eastAsia="Arial" w:hAnsi="Arial"/>
                <w:sz w:val="13"/>
                <w:szCs w:val="13"/>
                <w:color w:val="auto"/>
              </w:rPr>
              <w:t>stock subject to repurchase</w:t>
            </w:r>
          </w:p>
        </w:tc>
        <w:tc>
          <w:tcPr>
            <w:tcW w:w="54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920" w:type="dxa"/>
            <w:vAlign w:val="bottom"/>
            <w:tcBorders>
              <w:right w:val="single" w:sz="8" w:color="auto"/>
            </w:tcBorders>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15,802</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w:t>
            </w:r>
          </w:p>
        </w:tc>
        <w:tc>
          <w:tcPr>
            <w:tcW w:w="60" w:type="dxa"/>
            <w:vAlign w:val="bottom"/>
          </w:tcPr>
          <w:p>
            <w:pPr>
              <w:spacing w:after="0"/>
              <w:rPr>
                <w:sz w:val="13"/>
                <w:szCs w:val="13"/>
                <w:color w:val="auto"/>
              </w:rPr>
            </w:pPr>
          </w:p>
        </w:tc>
      </w:tr>
      <w:tr>
        <w:trPr>
          <w:trHeight w:val="133"/>
        </w:trPr>
        <w:tc>
          <w:tcPr>
            <w:tcW w:w="2960" w:type="dxa"/>
            <w:vAlign w:val="bottom"/>
            <w:gridSpan w:val="2"/>
            <w:shd w:val="clear" w:color="auto" w:fill="CFF0FC"/>
          </w:tcPr>
          <w:p>
            <w:pPr>
              <w:spacing w:after="0" w:line="133" w:lineRule="exact"/>
              <w:rPr>
                <w:sz w:val="20"/>
                <w:szCs w:val="20"/>
                <w:color w:val="auto"/>
              </w:rPr>
            </w:pPr>
            <w:r>
              <w:rPr>
                <w:rFonts w:ascii="Arial" w:cs="Arial" w:eastAsia="Arial" w:hAnsi="Arial"/>
                <w:sz w:val="13"/>
                <w:szCs w:val="13"/>
                <w:color w:val="auto"/>
              </w:rPr>
              <w:t>Issuance of common stock</w:t>
            </w:r>
          </w:p>
        </w:tc>
        <w:tc>
          <w:tcPr>
            <w:tcW w:w="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36"/>
        </w:trPr>
        <w:tc>
          <w:tcPr>
            <w:tcW w:w="2960" w:type="dxa"/>
            <w:vAlign w:val="bottom"/>
            <w:gridSpan w:val="2"/>
            <w:shd w:val="clear" w:color="auto" w:fill="CFF0FC"/>
          </w:tcPr>
          <w:p>
            <w:pPr>
              <w:ind w:left="100"/>
              <w:spacing w:after="0" w:line="136" w:lineRule="exact"/>
              <w:rPr>
                <w:sz w:val="20"/>
                <w:szCs w:val="20"/>
                <w:color w:val="auto"/>
              </w:rPr>
            </w:pPr>
            <w:r>
              <w:rPr>
                <w:rFonts w:ascii="Arial" w:cs="Arial" w:eastAsia="Arial" w:hAnsi="Arial"/>
                <w:sz w:val="13"/>
                <w:szCs w:val="13"/>
                <w:color w:val="auto"/>
              </w:rPr>
              <w:t>upon exercise of stock</w:t>
            </w:r>
          </w:p>
        </w:tc>
        <w:tc>
          <w:tcPr>
            <w:tcW w:w="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52"/>
        </w:trPr>
        <w:tc>
          <w:tcPr>
            <w:tcW w:w="296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option, net of repurchase</w:t>
            </w:r>
          </w:p>
        </w:tc>
        <w:tc>
          <w:tcPr>
            <w:tcW w:w="54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920" w:type="dxa"/>
            <w:vAlign w:val="bottom"/>
            <w:tcBorders>
              <w:right w:val="single" w:sz="8" w:color="auto"/>
            </w:tcBorders>
            <w:gridSpan w:val="2"/>
            <w:shd w:val="clear" w:color="auto" w:fill="CFF0FC"/>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154,489</w:t>
            </w:r>
          </w:p>
        </w:tc>
        <w:tc>
          <w:tcPr>
            <w:tcW w:w="2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756</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756</w:t>
            </w:r>
          </w:p>
        </w:tc>
        <w:tc>
          <w:tcPr>
            <w:tcW w:w="60" w:type="dxa"/>
            <w:vAlign w:val="bottom"/>
            <w:shd w:val="clear" w:color="auto" w:fill="CFF0FC"/>
          </w:tcPr>
          <w:p>
            <w:pPr>
              <w:spacing w:after="0"/>
              <w:rPr>
                <w:sz w:val="13"/>
                <w:szCs w:val="13"/>
                <w:color w:val="auto"/>
              </w:rPr>
            </w:pPr>
          </w:p>
        </w:tc>
      </w:tr>
      <w:tr>
        <w:trPr>
          <w:trHeight w:val="133"/>
        </w:trPr>
        <w:tc>
          <w:tcPr>
            <w:tcW w:w="2960" w:type="dxa"/>
            <w:vAlign w:val="bottom"/>
            <w:gridSpan w:val="2"/>
          </w:tcPr>
          <w:p>
            <w:pPr>
              <w:spacing w:after="0" w:line="133" w:lineRule="exact"/>
              <w:rPr>
                <w:sz w:val="20"/>
                <w:szCs w:val="20"/>
                <w:color w:val="auto"/>
              </w:rPr>
            </w:pPr>
            <w:r>
              <w:rPr>
                <w:rFonts w:ascii="Arial" w:cs="Arial" w:eastAsia="Arial" w:hAnsi="Arial"/>
                <w:sz w:val="13"/>
                <w:szCs w:val="13"/>
                <w:color w:val="auto"/>
              </w:rPr>
              <w:t>Share-based compensation</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2"/>
        </w:trPr>
        <w:tc>
          <w:tcPr>
            <w:tcW w:w="2960" w:type="dxa"/>
            <w:vAlign w:val="bottom"/>
            <w:gridSpan w:val="2"/>
          </w:tcPr>
          <w:p>
            <w:pPr>
              <w:ind w:left="100"/>
              <w:spacing w:after="0"/>
              <w:rPr>
                <w:sz w:val="20"/>
                <w:szCs w:val="20"/>
                <w:color w:val="auto"/>
              </w:rPr>
            </w:pPr>
            <w:r>
              <w:rPr>
                <w:rFonts w:ascii="Arial" w:cs="Arial" w:eastAsia="Arial" w:hAnsi="Arial"/>
                <w:sz w:val="13"/>
                <w:szCs w:val="13"/>
                <w:color w:val="auto"/>
              </w:rPr>
              <w:t>expense</w:t>
            </w:r>
          </w:p>
        </w:tc>
        <w:tc>
          <w:tcPr>
            <w:tcW w:w="54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920" w:type="dxa"/>
            <w:vAlign w:val="bottom"/>
            <w:tcBorders>
              <w:right w:val="single" w:sz="8" w:color="auto"/>
            </w:tcBorders>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3,347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3,347</w:t>
            </w:r>
          </w:p>
        </w:tc>
        <w:tc>
          <w:tcPr>
            <w:tcW w:w="60" w:type="dxa"/>
            <w:vAlign w:val="bottom"/>
          </w:tcPr>
          <w:p>
            <w:pPr>
              <w:spacing w:after="0"/>
              <w:rPr>
                <w:sz w:val="13"/>
                <w:szCs w:val="13"/>
                <w:color w:val="auto"/>
              </w:rPr>
            </w:pPr>
          </w:p>
        </w:tc>
      </w:tr>
      <w:tr>
        <w:trPr>
          <w:trHeight w:val="133"/>
        </w:trPr>
        <w:tc>
          <w:tcPr>
            <w:tcW w:w="2960" w:type="dxa"/>
            <w:vAlign w:val="bottom"/>
            <w:gridSpan w:val="2"/>
            <w:shd w:val="clear" w:color="auto" w:fill="CFF0FC"/>
          </w:tcPr>
          <w:p>
            <w:pPr>
              <w:spacing w:after="0" w:line="133" w:lineRule="exact"/>
              <w:rPr>
                <w:sz w:val="20"/>
                <w:szCs w:val="20"/>
                <w:color w:val="auto"/>
              </w:rPr>
            </w:pPr>
            <w:r>
              <w:rPr>
                <w:rFonts w:ascii="Arial" w:cs="Arial" w:eastAsia="Arial" w:hAnsi="Arial"/>
                <w:sz w:val="13"/>
                <w:szCs w:val="13"/>
                <w:color w:val="auto"/>
              </w:rPr>
              <w:t>Unrealized gain on</w:t>
            </w:r>
          </w:p>
        </w:tc>
        <w:tc>
          <w:tcPr>
            <w:tcW w:w="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52"/>
        </w:trPr>
        <w:tc>
          <w:tcPr>
            <w:tcW w:w="296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short-term investments</w:t>
            </w:r>
          </w:p>
        </w:tc>
        <w:tc>
          <w:tcPr>
            <w:tcW w:w="54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920" w:type="dxa"/>
            <w:vAlign w:val="bottom"/>
            <w:tcBorders>
              <w:right w:val="single" w:sz="8" w:color="auto"/>
            </w:tcBorders>
            <w:gridSpan w:val="2"/>
            <w:shd w:val="clear" w:color="auto" w:fill="CFF0FC"/>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w:t>
            </w:r>
          </w:p>
        </w:tc>
        <w:tc>
          <w:tcPr>
            <w:tcW w:w="60" w:type="dxa"/>
            <w:vAlign w:val="bottom"/>
            <w:shd w:val="clear" w:color="auto" w:fill="CFF0FC"/>
          </w:tcPr>
          <w:p>
            <w:pPr>
              <w:spacing w:after="0"/>
              <w:rPr>
                <w:sz w:val="13"/>
                <w:szCs w:val="13"/>
                <w:color w:val="auto"/>
              </w:rPr>
            </w:pPr>
          </w:p>
        </w:tc>
      </w:tr>
      <w:tr>
        <w:trPr>
          <w:trHeight w:val="149"/>
        </w:trPr>
        <w:tc>
          <w:tcPr>
            <w:tcW w:w="2960" w:type="dxa"/>
            <w:vAlign w:val="bottom"/>
            <w:gridSpan w:val="2"/>
          </w:tcPr>
          <w:p>
            <w:pPr>
              <w:spacing w:after="0"/>
              <w:rPr>
                <w:sz w:val="20"/>
                <w:szCs w:val="20"/>
                <w:color w:val="auto"/>
              </w:rPr>
            </w:pPr>
            <w:r>
              <w:rPr>
                <w:rFonts w:ascii="Arial" w:cs="Arial" w:eastAsia="Arial" w:hAnsi="Arial"/>
                <w:sz w:val="13"/>
                <w:szCs w:val="13"/>
                <w:color w:val="auto"/>
              </w:rPr>
              <w:t>Net loss</w:t>
            </w:r>
          </w:p>
        </w:tc>
        <w:tc>
          <w:tcPr>
            <w:tcW w:w="54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920" w:type="dxa"/>
            <w:vAlign w:val="bottom"/>
            <w:tcBorders>
              <w:right w:val="single" w:sz="8" w:color="auto"/>
            </w:tcBorders>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(19,373)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(19,373)</w:t>
            </w:r>
          </w:p>
        </w:tc>
      </w:tr>
      <w:tr>
        <w:trPr>
          <w:trHeight w:val="141"/>
        </w:trPr>
        <w:tc>
          <w:tcPr>
            <w:tcW w:w="2320" w:type="dxa"/>
            <w:vAlign w:val="bottom"/>
            <w:tcBorders>
              <w:top w:val="single" w:sz="8" w:color="CFF0FC"/>
              <w:bottom w:val="single" w:sz="8" w:color="CFF0FC"/>
            </w:tcBorders>
            <w:shd w:val="clear" w:color="auto" w:fill="CFF0FC"/>
          </w:tcPr>
          <w:p>
            <w:pPr>
              <w:spacing w:after="0" w:line="141" w:lineRule="exact"/>
              <w:rPr>
                <w:sz w:val="20"/>
                <w:szCs w:val="20"/>
                <w:color w:val="auto"/>
              </w:rPr>
            </w:pPr>
            <w:r>
              <w:rPr>
                <w:rFonts w:ascii="Arial" w:cs="Arial" w:eastAsia="Arial" w:hAnsi="Arial"/>
                <w:sz w:val="13"/>
                <w:szCs w:val="13"/>
                <w:color w:val="auto"/>
              </w:rPr>
              <w:t>Balance, March 31, 2021</w:t>
            </w:r>
          </w:p>
        </w:tc>
        <w:tc>
          <w:tcPr>
            <w:tcW w:w="640" w:type="dxa"/>
            <w:vAlign w:val="bottom"/>
            <w:tcBorders>
              <w:top w:val="single" w:sz="8" w:color="auto"/>
              <w:bottom w:val="single" w:sz="8" w:color="auto"/>
            </w:tcBorders>
            <w:shd w:val="clear" w:color="auto" w:fill="CFF0FC"/>
          </w:tcPr>
          <w:p>
            <w:pPr>
              <w:spacing w:after="0"/>
              <w:rPr>
                <w:sz w:val="12"/>
                <w:szCs w:val="12"/>
                <w:color w:val="auto"/>
              </w:rPr>
            </w:pPr>
          </w:p>
        </w:tc>
        <w:tc>
          <w:tcPr>
            <w:tcW w:w="280" w:type="dxa"/>
            <w:vAlign w:val="bottom"/>
            <w:tcBorders>
              <w:top w:val="single" w:sz="8" w:color="auto"/>
              <w:bottom w:val="single" w:sz="8" w:color="auto"/>
            </w:tcBorders>
            <w:shd w:val="clear" w:color="auto" w:fill="CFF0FC"/>
          </w:tcPr>
          <w:p>
            <w:pPr>
              <w:ind w:left="120"/>
              <w:spacing w:after="0" w:line="141" w:lineRule="exact"/>
              <w:rPr>
                <w:sz w:val="20"/>
                <w:szCs w:val="20"/>
                <w:color w:val="auto"/>
              </w:rPr>
            </w:pPr>
            <w:r>
              <w:rPr>
                <w:rFonts w:ascii="Arial" w:cs="Arial" w:eastAsia="Arial" w:hAnsi="Arial"/>
                <w:sz w:val="13"/>
                <w:szCs w:val="13"/>
                <w:color w:val="auto"/>
              </w:rPr>
              <w:t>—</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2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FF0FC"/>
          </w:tcPr>
          <w:p>
            <w:pPr>
              <w:ind w:left="540"/>
              <w:spacing w:after="0" w:line="141" w:lineRule="exact"/>
              <w:rPr>
                <w:sz w:val="20"/>
                <w:szCs w:val="20"/>
                <w:color w:val="auto"/>
              </w:rPr>
            </w:pPr>
            <w:r>
              <w:rPr>
                <w:rFonts w:ascii="Arial" w:cs="Arial" w:eastAsia="Arial" w:hAnsi="Arial"/>
                <w:sz w:val="13"/>
                <w:szCs w:val="13"/>
                <w:color w:val="auto"/>
                <w:w w:val="91"/>
              </w:rPr>
              <w:t>—</w:t>
            </w:r>
          </w:p>
        </w:tc>
        <w:tc>
          <w:tcPr>
            <w:tcW w:w="240" w:type="dxa"/>
            <w:vAlign w:val="bottom"/>
            <w:tcBorders>
              <w:top w:val="single" w:sz="8" w:color="CFF0FC"/>
              <w:bottom w:val="single" w:sz="8" w:color="CFF0FC"/>
              <w:right w:val="single" w:sz="8" w:color="auto"/>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880" w:type="dxa"/>
            <w:vAlign w:val="bottom"/>
            <w:tcBorders>
              <w:top w:val="single" w:sz="8" w:color="auto"/>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32,798,254</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jc w:val="right"/>
              <w:ind w:right="537"/>
              <w:spacing w:after="0" w:line="141" w:lineRule="exact"/>
              <w:rPr>
                <w:sz w:val="20"/>
                <w:szCs w:val="20"/>
                <w:color w:val="auto"/>
              </w:rPr>
            </w:pPr>
            <w:r>
              <w:rPr>
                <w:rFonts w:ascii="Arial" w:cs="Arial" w:eastAsia="Arial" w:hAnsi="Arial"/>
                <w:sz w:val="13"/>
                <w:szCs w:val="13"/>
                <w:color w:val="auto"/>
                <w:w w:val="82"/>
              </w:rPr>
              <w:t>$</w:t>
            </w:r>
          </w:p>
        </w:tc>
        <w:tc>
          <w:tcPr>
            <w:tcW w:w="200" w:type="dxa"/>
            <w:vAlign w:val="bottom"/>
            <w:tcBorders>
              <w:top w:val="single" w:sz="8" w:color="auto"/>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3</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443,347</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34</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(137,394)</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305,990</w:t>
            </w:r>
          </w:p>
        </w:tc>
        <w:tc>
          <w:tcPr>
            <w:tcW w:w="60" w:type="dxa"/>
            <w:vAlign w:val="bottom"/>
            <w:tcBorders>
              <w:top w:val="single" w:sz="8" w:color="CFF0FC"/>
              <w:bottom w:val="single" w:sz="8" w:color="CFF0FC"/>
            </w:tcBorders>
            <w:shd w:val="clear" w:color="auto" w:fill="CFF0FC"/>
          </w:tcPr>
          <w:p>
            <w:pPr>
              <w:spacing w:after="0"/>
              <w:rPr>
                <w:sz w:val="12"/>
                <w:szCs w:val="12"/>
                <w:color w:val="auto"/>
              </w:rPr>
            </w:pPr>
          </w:p>
        </w:tc>
      </w:tr>
      <w:tr>
        <w:trPr>
          <w:trHeight w:val="20"/>
        </w:trPr>
        <w:tc>
          <w:tcPr>
            <w:tcW w:w="29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10"/>
        </w:trPr>
        <w:tc>
          <w:tcPr>
            <w:tcW w:w="2320" w:type="dxa"/>
            <w:vAlign w:val="bottom"/>
          </w:tcPr>
          <w:p>
            <w:pPr>
              <w:spacing w:after="0" w:line="110" w:lineRule="exact"/>
              <w:rPr>
                <w:sz w:val="20"/>
                <w:szCs w:val="20"/>
                <w:color w:val="auto"/>
              </w:rPr>
            </w:pPr>
            <w:r>
              <w:rPr>
                <w:rFonts w:ascii="Arial" w:cs="Arial" w:eastAsia="Arial" w:hAnsi="Arial"/>
                <w:sz w:val="12"/>
                <w:szCs w:val="12"/>
                <w:color w:val="auto"/>
              </w:rPr>
              <w:t>Vesting of shares of common</w:t>
            </w:r>
          </w:p>
        </w:tc>
        <w:tc>
          <w:tcPr>
            <w:tcW w:w="6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52"/>
        </w:trPr>
        <w:tc>
          <w:tcPr>
            <w:tcW w:w="2960" w:type="dxa"/>
            <w:vAlign w:val="bottom"/>
            <w:gridSpan w:val="2"/>
          </w:tcPr>
          <w:p>
            <w:pPr>
              <w:ind w:left="100"/>
              <w:spacing w:after="0"/>
              <w:rPr>
                <w:sz w:val="20"/>
                <w:szCs w:val="20"/>
                <w:color w:val="auto"/>
              </w:rPr>
            </w:pPr>
            <w:r>
              <w:rPr>
                <w:rFonts w:ascii="Arial" w:cs="Arial" w:eastAsia="Arial" w:hAnsi="Arial"/>
                <w:sz w:val="13"/>
                <w:szCs w:val="13"/>
                <w:color w:val="auto"/>
              </w:rPr>
              <w:t>stock subject to repurchase</w:t>
            </w:r>
          </w:p>
        </w:tc>
        <w:tc>
          <w:tcPr>
            <w:tcW w:w="54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920" w:type="dxa"/>
            <w:vAlign w:val="bottom"/>
            <w:tcBorders>
              <w:right w:val="single" w:sz="8" w:color="auto"/>
            </w:tcBorders>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15,575</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w:t>
            </w:r>
          </w:p>
        </w:tc>
        <w:tc>
          <w:tcPr>
            <w:tcW w:w="60" w:type="dxa"/>
            <w:vAlign w:val="bottom"/>
          </w:tcPr>
          <w:p>
            <w:pPr>
              <w:spacing w:after="0"/>
              <w:rPr>
                <w:sz w:val="13"/>
                <w:szCs w:val="13"/>
                <w:color w:val="auto"/>
              </w:rPr>
            </w:pPr>
          </w:p>
        </w:tc>
      </w:tr>
      <w:tr>
        <w:trPr>
          <w:trHeight w:val="133"/>
        </w:trPr>
        <w:tc>
          <w:tcPr>
            <w:tcW w:w="2960" w:type="dxa"/>
            <w:vAlign w:val="bottom"/>
            <w:gridSpan w:val="2"/>
            <w:shd w:val="clear" w:color="auto" w:fill="CFF0FC"/>
          </w:tcPr>
          <w:p>
            <w:pPr>
              <w:spacing w:after="0" w:line="133" w:lineRule="exact"/>
              <w:rPr>
                <w:sz w:val="20"/>
                <w:szCs w:val="20"/>
                <w:color w:val="auto"/>
              </w:rPr>
            </w:pPr>
            <w:r>
              <w:rPr>
                <w:rFonts w:ascii="Arial" w:cs="Arial" w:eastAsia="Arial" w:hAnsi="Arial"/>
                <w:sz w:val="13"/>
                <w:szCs w:val="13"/>
                <w:color w:val="auto"/>
              </w:rPr>
              <w:t>Issuance of common stock</w:t>
            </w:r>
          </w:p>
        </w:tc>
        <w:tc>
          <w:tcPr>
            <w:tcW w:w="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36"/>
        </w:trPr>
        <w:tc>
          <w:tcPr>
            <w:tcW w:w="2960" w:type="dxa"/>
            <w:vAlign w:val="bottom"/>
            <w:gridSpan w:val="2"/>
            <w:shd w:val="clear" w:color="auto" w:fill="CFF0FC"/>
          </w:tcPr>
          <w:p>
            <w:pPr>
              <w:ind w:left="100"/>
              <w:spacing w:after="0" w:line="136" w:lineRule="exact"/>
              <w:rPr>
                <w:sz w:val="20"/>
                <w:szCs w:val="20"/>
                <w:color w:val="auto"/>
              </w:rPr>
            </w:pPr>
            <w:r>
              <w:rPr>
                <w:rFonts w:ascii="Arial" w:cs="Arial" w:eastAsia="Arial" w:hAnsi="Arial"/>
                <w:sz w:val="13"/>
                <w:szCs w:val="13"/>
                <w:color w:val="auto"/>
              </w:rPr>
              <w:t>upon exercise of stock</w:t>
            </w:r>
          </w:p>
        </w:tc>
        <w:tc>
          <w:tcPr>
            <w:tcW w:w="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52"/>
        </w:trPr>
        <w:tc>
          <w:tcPr>
            <w:tcW w:w="296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option, net of repurchase</w:t>
            </w:r>
          </w:p>
        </w:tc>
        <w:tc>
          <w:tcPr>
            <w:tcW w:w="54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920" w:type="dxa"/>
            <w:vAlign w:val="bottom"/>
            <w:tcBorders>
              <w:right w:val="single" w:sz="8" w:color="auto"/>
            </w:tcBorders>
            <w:gridSpan w:val="2"/>
            <w:shd w:val="clear" w:color="auto" w:fill="CFF0FC"/>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39,032</w:t>
            </w:r>
          </w:p>
        </w:tc>
        <w:tc>
          <w:tcPr>
            <w:tcW w:w="2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256</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256</w:t>
            </w:r>
          </w:p>
        </w:tc>
        <w:tc>
          <w:tcPr>
            <w:tcW w:w="60" w:type="dxa"/>
            <w:vAlign w:val="bottom"/>
            <w:shd w:val="clear" w:color="auto" w:fill="CFF0FC"/>
          </w:tcPr>
          <w:p>
            <w:pPr>
              <w:spacing w:after="0"/>
              <w:rPr>
                <w:sz w:val="13"/>
                <w:szCs w:val="13"/>
                <w:color w:val="auto"/>
              </w:rPr>
            </w:pPr>
          </w:p>
        </w:tc>
      </w:tr>
      <w:tr>
        <w:trPr>
          <w:trHeight w:val="133"/>
        </w:trPr>
        <w:tc>
          <w:tcPr>
            <w:tcW w:w="2960" w:type="dxa"/>
            <w:vAlign w:val="bottom"/>
            <w:gridSpan w:val="2"/>
          </w:tcPr>
          <w:p>
            <w:pPr>
              <w:spacing w:after="0" w:line="133" w:lineRule="exact"/>
              <w:rPr>
                <w:sz w:val="20"/>
                <w:szCs w:val="20"/>
                <w:color w:val="auto"/>
              </w:rPr>
            </w:pPr>
            <w:r>
              <w:rPr>
                <w:rFonts w:ascii="Arial" w:cs="Arial" w:eastAsia="Arial" w:hAnsi="Arial"/>
                <w:sz w:val="13"/>
                <w:szCs w:val="13"/>
                <w:color w:val="auto"/>
              </w:rPr>
              <w:t>Share-based compensation</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2"/>
        </w:trPr>
        <w:tc>
          <w:tcPr>
            <w:tcW w:w="2960" w:type="dxa"/>
            <w:vAlign w:val="bottom"/>
            <w:gridSpan w:val="2"/>
          </w:tcPr>
          <w:p>
            <w:pPr>
              <w:ind w:left="100"/>
              <w:spacing w:after="0"/>
              <w:rPr>
                <w:sz w:val="20"/>
                <w:szCs w:val="20"/>
                <w:color w:val="auto"/>
              </w:rPr>
            </w:pPr>
            <w:r>
              <w:rPr>
                <w:rFonts w:ascii="Arial" w:cs="Arial" w:eastAsia="Arial" w:hAnsi="Arial"/>
                <w:sz w:val="13"/>
                <w:szCs w:val="13"/>
                <w:color w:val="auto"/>
              </w:rPr>
              <w:t>expense</w:t>
            </w:r>
          </w:p>
        </w:tc>
        <w:tc>
          <w:tcPr>
            <w:tcW w:w="54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920" w:type="dxa"/>
            <w:vAlign w:val="bottom"/>
            <w:tcBorders>
              <w:right w:val="single" w:sz="8" w:color="auto"/>
            </w:tcBorders>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3,690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3,690</w:t>
            </w:r>
          </w:p>
        </w:tc>
        <w:tc>
          <w:tcPr>
            <w:tcW w:w="60" w:type="dxa"/>
            <w:vAlign w:val="bottom"/>
          </w:tcPr>
          <w:p>
            <w:pPr>
              <w:spacing w:after="0"/>
              <w:rPr>
                <w:sz w:val="13"/>
                <w:szCs w:val="13"/>
                <w:color w:val="auto"/>
              </w:rPr>
            </w:pPr>
          </w:p>
        </w:tc>
      </w:tr>
      <w:tr>
        <w:trPr>
          <w:trHeight w:val="133"/>
        </w:trPr>
        <w:tc>
          <w:tcPr>
            <w:tcW w:w="2960" w:type="dxa"/>
            <w:vAlign w:val="bottom"/>
            <w:gridSpan w:val="2"/>
            <w:shd w:val="clear" w:color="auto" w:fill="CFF0FC"/>
          </w:tcPr>
          <w:p>
            <w:pPr>
              <w:spacing w:after="0" w:line="133" w:lineRule="exact"/>
              <w:rPr>
                <w:sz w:val="20"/>
                <w:szCs w:val="20"/>
                <w:color w:val="auto"/>
              </w:rPr>
            </w:pPr>
            <w:r>
              <w:rPr>
                <w:rFonts w:ascii="Arial" w:cs="Arial" w:eastAsia="Arial" w:hAnsi="Arial"/>
                <w:sz w:val="13"/>
                <w:szCs w:val="13"/>
                <w:color w:val="auto"/>
              </w:rPr>
              <w:t>Unrealized loss on</w:t>
            </w:r>
          </w:p>
        </w:tc>
        <w:tc>
          <w:tcPr>
            <w:tcW w:w="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52"/>
        </w:trPr>
        <w:tc>
          <w:tcPr>
            <w:tcW w:w="296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short-term investments</w:t>
            </w:r>
          </w:p>
        </w:tc>
        <w:tc>
          <w:tcPr>
            <w:tcW w:w="54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920" w:type="dxa"/>
            <w:vAlign w:val="bottom"/>
            <w:tcBorders>
              <w:right w:val="single" w:sz="8" w:color="auto"/>
            </w:tcBorders>
            <w:gridSpan w:val="2"/>
            <w:shd w:val="clear" w:color="auto" w:fill="CFF0FC"/>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(28)</w:t>
            </w:r>
          </w:p>
        </w:tc>
      </w:tr>
      <w:tr>
        <w:trPr>
          <w:trHeight w:val="149"/>
        </w:trPr>
        <w:tc>
          <w:tcPr>
            <w:tcW w:w="2960" w:type="dxa"/>
            <w:vAlign w:val="bottom"/>
            <w:gridSpan w:val="2"/>
          </w:tcPr>
          <w:p>
            <w:pPr>
              <w:spacing w:after="0"/>
              <w:rPr>
                <w:sz w:val="20"/>
                <w:szCs w:val="20"/>
                <w:color w:val="auto"/>
              </w:rPr>
            </w:pPr>
            <w:r>
              <w:rPr>
                <w:rFonts w:ascii="Arial" w:cs="Arial" w:eastAsia="Arial" w:hAnsi="Arial"/>
                <w:sz w:val="13"/>
                <w:szCs w:val="13"/>
                <w:color w:val="auto"/>
              </w:rPr>
              <w:t>Net loss</w:t>
            </w:r>
          </w:p>
        </w:tc>
        <w:tc>
          <w:tcPr>
            <w:tcW w:w="54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920" w:type="dxa"/>
            <w:vAlign w:val="bottom"/>
            <w:tcBorders>
              <w:right w:val="single" w:sz="8" w:color="auto"/>
            </w:tcBorders>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(21,535)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(21,535)</w:t>
            </w:r>
          </w:p>
        </w:tc>
      </w:tr>
      <w:tr>
        <w:trPr>
          <w:trHeight w:val="141"/>
        </w:trPr>
        <w:tc>
          <w:tcPr>
            <w:tcW w:w="2320" w:type="dxa"/>
            <w:vAlign w:val="bottom"/>
            <w:tcBorders>
              <w:top w:val="single" w:sz="8" w:color="CFF0FC"/>
              <w:bottom w:val="single" w:sz="8" w:color="CFF0FC"/>
            </w:tcBorders>
            <w:shd w:val="clear" w:color="auto" w:fill="CFF0FC"/>
          </w:tcPr>
          <w:p>
            <w:pPr>
              <w:spacing w:after="0" w:line="141" w:lineRule="exact"/>
              <w:rPr>
                <w:sz w:val="20"/>
                <w:szCs w:val="20"/>
                <w:color w:val="auto"/>
              </w:rPr>
            </w:pPr>
            <w:r>
              <w:rPr>
                <w:rFonts w:ascii="Arial" w:cs="Arial" w:eastAsia="Arial" w:hAnsi="Arial"/>
                <w:sz w:val="13"/>
                <w:szCs w:val="13"/>
                <w:color w:val="auto"/>
              </w:rPr>
              <w:t>Balance, June 30, 2021</w:t>
            </w:r>
          </w:p>
        </w:tc>
        <w:tc>
          <w:tcPr>
            <w:tcW w:w="640" w:type="dxa"/>
            <w:vAlign w:val="bottom"/>
            <w:tcBorders>
              <w:top w:val="single" w:sz="8" w:color="auto"/>
              <w:bottom w:val="single" w:sz="8" w:color="auto"/>
            </w:tcBorders>
            <w:shd w:val="clear" w:color="auto" w:fill="CFF0FC"/>
          </w:tcPr>
          <w:p>
            <w:pPr>
              <w:spacing w:after="0"/>
              <w:rPr>
                <w:sz w:val="12"/>
                <w:szCs w:val="12"/>
                <w:color w:val="auto"/>
              </w:rPr>
            </w:pPr>
          </w:p>
        </w:tc>
        <w:tc>
          <w:tcPr>
            <w:tcW w:w="280" w:type="dxa"/>
            <w:vAlign w:val="bottom"/>
            <w:tcBorders>
              <w:top w:val="single" w:sz="8" w:color="auto"/>
              <w:bottom w:val="single" w:sz="8" w:color="auto"/>
            </w:tcBorders>
            <w:shd w:val="clear" w:color="auto" w:fill="CFF0FC"/>
          </w:tcPr>
          <w:p>
            <w:pPr>
              <w:ind w:left="120"/>
              <w:spacing w:after="0" w:line="141" w:lineRule="exact"/>
              <w:rPr>
                <w:sz w:val="20"/>
                <w:szCs w:val="20"/>
                <w:color w:val="auto"/>
              </w:rPr>
            </w:pPr>
            <w:r>
              <w:rPr>
                <w:rFonts w:ascii="Arial" w:cs="Arial" w:eastAsia="Arial" w:hAnsi="Arial"/>
                <w:sz w:val="13"/>
                <w:szCs w:val="13"/>
                <w:color w:val="auto"/>
              </w:rPr>
              <w:t>—</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2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FF0FC"/>
          </w:tcPr>
          <w:p>
            <w:pPr>
              <w:ind w:left="540"/>
              <w:spacing w:after="0" w:line="141" w:lineRule="exact"/>
              <w:rPr>
                <w:sz w:val="20"/>
                <w:szCs w:val="20"/>
                <w:color w:val="auto"/>
              </w:rPr>
            </w:pPr>
            <w:r>
              <w:rPr>
                <w:rFonts w:ascii="Arial" w:cs="Arial" w:eastAsia="Arial" w:hAnsi="Arial"/>
                <w:sz w:val="13"/>
                <w:szCs w:val="13"/>
                <w:color w:val="auto"/>
                <w:w w:val="91"/>
              </w:rPr>
              <w:t>—</w:t>
            </w:r>
          </w:p>
        </w:tc>
        <w:tc>
          <w:tcPr>
            <w:tcW w:w="240" w:type="dxa"/>
            <w:vAlign w:val="bottom"/>
            <w:tcBorders>
              <w:top w:val="single" w:sz="8" w:color="CFF0FC"/>
              <w:bottom w:val="single" w:sz="8" w:color="CFF0FC"/>
              <w:right w:val="single" w:sz="8" w:color="auto"/>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880" w:type="dxa"/>
            <w:vAlign w:val="bottom"/>
            <w:tcBorders>
              <w:top w:val="single" w:sz="8" w:color="auto"/>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32,852,861</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jc w:val="right"/>
              <w:ind w:right="537"/>
              <w:spacing w:after="0" w:line="141" w:lineRule="exact"/>
              <w:rPr>
                <w:sz w:val="20"/>
                <w:szCs w:val="20"/>
                <w:color w:val="auto"/>
              </w:rPr>
            </w:pPr>
            <w:r>
              <w:rPr>
                <w:rFonts w:ascii="Arial" w:cs="Arial" w:eastAsia="Arial" w:hAnsi="Arial"/>
                <w:sz w:val="13"/>
                <w:szCs w:val="13"/>
                <w:color w:val="auto"/>
                <w:w w:val="82"/>
              </w:rPr>
              <w:t>$</w:t>
            </w:r>
          </w:p>
        </w:tc>
        <w:tc>
          <w:tcPr>
            <w:tcW w:w="200" w:type="dxa"/>
            <w:vAlign w:val="bottom"/>
            <w:tcBorders>
              <w:top w:val="single" w:sz="8" w:color="auto"/>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3</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447,302</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6</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(158,929)</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288,382</w:t>
            </w:r>
          </w:p>
        </w:tc>
        <w:tc>
          <w:tcPr>
            <w:tcW w:w="60" w:type="dxa"/>
            <w:vAlign w:val="bottom"/>
            <w:tcBorders>
              <w:top w:val="single" w:sz="8" w:color="CFF0FC"/>
              <w:bottom w:val="single" w:sz="8" w:color="CFF0FC"/>
            </w:tcBorders>
            <w:shd w:val="clear" w:color="auto" w:fill="CFF0FC"/>
          </w:tcPr>
          <w:p>
            <w:pPr>
              <w:spacing w:after="0"/>
              <w:rPr>
                <w:sz w:val="12"/>
                <w:szCs w:val="12"/>
                <w:color w:val="auto"/>
              </w:rPr>
            </w:pPr>
          </w:p>
        </w:tc>
      </w:tr>
      <w:tr>
        <w:trPr>
          <w:trHeight w:val="20"/>
        </w:trPr>
        <w:tc>
          <w:tcPr>
            <w:tcW w:w="29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10"/>
        </w:trPr>
        <w:tc>
          <w:tcPr>
            <w:tcW w:w="2320" w:type="dxa"/>
            <w:vAlign w:val="bottom"/>
          </w:tcPr>
          <w:p>
            <w:pPr>
              <w:spacing w:after="0" w:line="110" w:lineRule="exact"/>
              <w:rPr>
                <w:sz w:val="20"/>
                <w:szCs w:val="20"/>
                <w:color w:val="auto"/>
              </w:rPr>
            </w:pPr>
            <w:r>
              <w:rPr>
                <w:rFonts w:ascii="Arial" w:cs="Arial" w:eastAsia="Arial" w:hAnsi="Arial"/>
                <w:sz w:val="12"/>
                <w:szCs w:val="12"/>
                <w:color w:val="auto"/>
              </w:rPr>
              <w:t>Vesting of shares of common</w:t>
            </w:r>
          </w:p>
        </w:tc>
        <w:tc>
          <w:tcPr>
            <w:tcW w:w="6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52"/>
        </w:trPr>
        <w:tc>
          <w:tcPr>
            <w:tcW w:w="2960" w:type="dxa"/>
            <w:vAlign w:val="bottom"/>
            <w:gridSpan w:val="2"/>
          </w:tcPr>
          <w:p>
            <w:pPr>
              <w:ind w:left="100"/>
              <w:spacing w:after="0"/>
              <w:rPr>
                <w:sz w:val="20"/>
                <w:szCs w:val="20"/>
                <w:color w:val="auto"/>
              </w:rPr>
            </w:pPr>
            <w:r>
              <w:rPr>
                <w:rFonts w:ascii="Arial" w:cs="Arial" w:eastAsia="Arial" w:hAnsi="Arial"/>
                <w:sz w:val="13"/>
                <w:szCs w:val="13"/>
                <w:color w:val="auto"/>
              </w:rPr>
              <w:t>stock subject to repurchase</w:t>
            </w:r>
          </w:p>
        </w:tc>
        <w:tc>
          <w:tcPr>
            <w:tcW w:w="54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920" w:type="dxa"/>
            <w:vAlign w:val="bottom"/>
            <w:tcBorders>
              <w:right w:val="single" w:sz="8" w:color="auto"/>
            </w:tcBorders>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15,494</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w:t>
            </w:r>
          </w:p>
        </w:tc>
        <w:tc>
          <w:tcPr>
            <w:tcW w:w="60" w:type="dxa"/>
            <w:vAlign w:val="bottom"/>
          </w:tcPr>
          <w:p>
            <w:pPr>
              <w:spacing w:after="0"/>
              <w:rPr>
                <w:sz w:val="13"/>
                <w:szCs w:val="13"/>
                <w:color w:val="auto"/>
              </w:rPr>
            </w:pPr>
          </w:p>
        </w:tc>
      </w:tr>
      <w:tr>
        <w:trPr>
          <w:trHeight w:val="133"/>
        </w:trPr>
        <w:tc>
          <w:tcPr>
            <w:tcW w:w="2960" w:type="dxa"/>
            <w:vAlign w:val="bottom"/>
            <w:gridSpan w:val="2"/>
            <w:shd w:val="clear" w:color="auto" w:fill="CFF0FC"/>
          </w:tcPr>
          <w:p>
            <w:pPr>
              <w:spacing w:after="0" w:line="133" w:lineRule="exact"/>
              <w:rPr>
                <w:sz w:val="20"/>
                <w:szCs w:val="20"/>
                <w:color w:val="auto"/>
              </w:rPr>
            </w:pPr>
            <w:r>
              <w:rPr>
                <w:rFonts w:ascii="Arial" w:cs="Arial" w:eastAsia="Arial" w:hAnsi="Arial"/>
                <w:sz w:val="13"/>
                <w:szCs w:val="13"/>
                <w:color w:val="auto"/>
              </w:rPr>
              <w:t>Issuance of common stock</w:t>
            </w:r>
          </w:p>
        </w:tc>
        <w:tc>
          <w:tcPr>
            <w:tcW w:w="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36"/>
        </w:trPr>
        <w:tc>
          <w:tcPr>
            <w:tcW w:w="2960" w:type="dxa"/>
            <w:vAlign w:val="bottom"/>
            <w:gridSpan w:val="2"/>
            <w:shd w:val="clear" w:color="auto" w:fill="CFF0FC"/>
          </w:tcPr>
          <w:p>
            <w:pPr>
              <w:ind w:left="100"/>
              <w:spacing w:after="0" w:line="136" w:lineRule="exact"/>
              <w:rPr>
                <w:sz w:val="20"/>
                <w:szCs w:val="20"/>
                <w:color w:val="auto"/>
              </w:rPr>
            </w:pPr>
            <w:r>
              <w:rPr>
                <w:rFonts w:ascii="Arial" w:cs="Arial" w:eastAsia="Arial" w:hAnsi="Arial"/>
                <w:sz w:val="13"/>
                <w:szCs w:val="13"/>
                <w:color w:val="auto"/>
              </w:rPr>
              <w:t>upon exercise of stock option,</w:t>
            </w:r>
          </w:p>
        </w:tc>
        <w:tc>
          <w:tcPr>
            <w:tcW w:w="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52"/>
        </w:trPr>
        <w:tc>
          <w:tcPr>
            <w:tcW w:w="296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net of repurchase</w:t>
            </w:r>
          </w:p>
        </w:tc>
        <w:tc>
          <w:tcPr>
            <w:tcW w:w="54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920" w:type="dxa"/>
            <w:vAlign w:val="bottom"/>
            <w:tcBorders>
              <w:right w:val="single" w:sz="8" w:color="auto"/>
            </w:tcBorders>
            <w:gridSpan w:val="2"/>
            <w:shd w:val="clear" w:color="auto" w:fill="CFF0FC"/>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63,225</w:t>
            </w:r>
          </w:p>
        </w:tc>
        <w:tc>
          <w:tcPr>
            <w:tcW w:w="2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318</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318</w:t>
            </w:r>
          </w:p>
        </w:tc>
        <w:tc>
          <w:tcPr>
            <w:tcW w:w="60" w:type="dxa"/>
            <w:vAlign w:val="bottom"/>
            <w:shd w:val="clear" w:color="auto" w:fill="CFF0FC"/>
          </w:tcPr>
          <w:p>
            <w:pPr>
              <w:spacing w:after="0"/>
              <w:rPr>
                <w:sz w:val="13"/>
                <w:szCs w:val="13"/>
                <w:color w:val="auto"/>
              </w:rPr>
            </w:pPr>
          </w:p>
        </w:tc>
      </w:tr>
      <w:tr>
        <w:trPr>
          <w:trHeight w:val="133"/>
        </w:trPr>
        <w:tc>
          <w:tcPr>
            <w:tcW w:w="2960" w:type="dxa"/>
            <w:vAlign w:val="bottom"/>
            <w:gridSpan w:val="2"/>
          </w:tcPr>
          <w:p>
            <w:pPr>
              <w:spacing w:after="0" w:line="133" w:lineRule="exact"/>
              <w:rPr>
                <w:sz w:val="20"/>
                <w:szCs w:val="20"/>
                <w:color w:val="auto"/>
              </w:rPr>
            </w:pPr>
            <w:r>
              <w:rPr>
                <w:rFonts w:ascii="Arial" w:cs="Arial" w:eastAsia="Arial" w:hAnsi="Arial"/>
                <w:sz w:val="13"/>
                <w:szCs w:val="13"/>
                <w:color w:val="auto"/>
              </w:rPr>
              <w:t>Share-based compensation</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2"/>
        </w:trPr>
        <w:tc>
          <w:tcPr>
            <w:tcW w:w="2960" w:type="dxa"/>
            <w:vAlign w:val="bottom"/>
            <w:gridSpan w:val="2"/>
          </w:tcPr>
          <w:p>
            <w:pPr>
              <w:ind w:left="100"/>
              <w:spacing w:after="0"/>
              <w:rPr>
                <w:sz w:val="20"/>
                <w:szCs w:val="20"/>
                <w:color w:val="auto"/>
              </w:rPr>
            </w:pPr>
            <w:r>
              <w:rPr>
                <w:rFonts w:ascii="Arial" w:cs="Arial" w:eastAsia="Arial" w:hAnsi="Arial"/>
                <w:sz w:val="13"/>
                <w:szCs w:val="13"/>
                <w:color w:val="auto"/>
              </w:rPr>
              <w:t>expense</w:t>
            </w:r>
          </w:p>
        </w:tc>
        <w:tc>
          <w:tcPr>
            <w:tcW w:w="54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920" w:type="dxa"/>
            <w:vAlign w:val="bottom"/>
            <w:tcBorders>
              <w:right w:val="single" w:sz="8" w:color="auto"/>
            </w:tcBorders>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3,692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3,692</w:t>
            </w:r>
          </w:p>
        </w:tc>
        <w:tc>
          <w:tcPr>
            <w:tcW w:w="60" w:type="dxa"/>
            <w:vAlign w:val="bottom"/>
          </w:tcPr>
          <w:p>
            <w:pPr>
              <w:spacing w:after="0"/>
              <w:rPr>
                <w:sz w:val="13"/>
                <w:szCs w:val="13"/>
                <w:color w:val="auto"/>
              </w:rPr>
            </w:pPr>
          </w:p>
        </w:tc>
      </w:tr>
      <w:tr>
        <w:trPr>
          <w:trHeight w:val="133"/>
        </w:trPr>
        <w:tc>
          <w:tcPr>
            <w:tcW w:w="2960" w:type="dxa"/>
            <w:vAlign w:val="bottom"/>
            <w:gridSpan w:val="2"/>
            <w:shd w:val="clear" w:color="auto" w:fill="CFF0FC"/>
          </w:tcPr>
          <w:p>
            <w:pPr>
              <w:spacing w:after="0" w:line="133" w:lineRule="exact"/>
              <w:rPr>
                <w:sz w:val="20"/>
                <w:szCs w:val="20"/>
                <w:color w:val="auto"/>
              </w:rPr>
            </w:pPr>
            <w:r>
              <w:rPr>
                <w:rFonts w:ascii="Arial" w:cs="Arial" w:eastAsia="Arial" w:hAnsi="Arial"/>
                <w:sz w:val="13"/>
                <w:szCs w:val="13"/>
                <w:color w:val="auto"/>
              </w:rPr>
              <w:t>Unrealized loss on</w:t>
            </w:r>
          </w:p>
        </w:tc>
        <w:tc>
          <w:tcPr>
            <w:tcW w:w="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52"/>
        </w:trPr>
        <w:tc>
          <w:tcPr>
            <w:tcW w:w="296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short-term investments</w:t>
            </w:r>
          </w:p>
        </w:tc>
        <w:tc>
          <w:tcPr>
            <w:tcW w:w="54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920" w:type="dxa"/>
            <w:vAlign w:val="bottom"/>
            <w:tcBorders>
              <w:right w:val="single" w:sz="8" w:color="auto"/>
            </w:tcBorders>
            <w:gridSpan w:val="2"/>
            <w:shd w:val="clear" w:color="auto" w:fill="CFF0FC"/>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(36)</w:t>
            </w:r>
          </w:p>
        </w:tc>
      </w:tr>
      <w:tr>
        <w:trPr>
          <w:trHeight w:val="149"/>
        </w:trPr>
        <w:tc>
          <w:tcPr>
            <w:tcW w:w="2960" w:type="dxa"/>
            <w:vAlign w:val="bottom"/>
            <w:gridSpan w:val="2"/>
          </w:tcPr>
          <w:p>
            <w:pPr>
              <w:spacing w:after="0"/>
              <w:rPr>
                <w:sz w:val="20"/>
                <w:szCs w:val="20"/>
                <w:color w:val="auto"/>
              </w:rPr>
            </w:pPr>
            <w:r>
              <w:rPr>
                <w:rFonts w:ascii="Arial" w:cs="Arial" w:eastAsia="Arial" w:hAnsi="Arial"/>
                <w:sz w:val="13"/>
                <w:szCs w:val="13"/>
                <w:color w:val="auto"/>
              </w:rPr>
              <w:t>Net loss</w:t>
            </w:r>
          </w:p>
        </w:tc>
        <w:tc>
          <w:tcPr>
            <w:tcW w:w="54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920" w:type="dxa"/>
            <w:vAlign w:val="bottom"/>
            <w:tcBorders>
              <w:right w:val="single" w:sz="8" w:color="auto"/>
            </w:tcBorders>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(22,353)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(22,353)</w:t>
            </w:r>
          </w:p>
        </w:tc>
      </w:tr>
      <w:tr>
        <w:trPr>
          <w:trHeight w:val="141"/>
        </w:trPr>
        <w:tc>
          <w:tcPr>
            <w:tcW w:w="2320" w:type="dxa"/>
            <w:vAlign w:val="bottom"/>
            <w:tcBorders>
              <w:top w:val="single" w:sz="8" w:color="CFF0FC"/>
              <w:bottom w:val="single" w:sz="8" w:color="CFF0FC"/>
            </w:tcBorders>
            <w:shd w:val="clear" w:color="auto" w:fill="CFF0FC"/>
          </w:tcPr>
          <w:p>
            <w:pPr>
              <w:spacing w:after="0" w:line="141" w:lineRule="exact"/>
              <w:rPr>
                <w:sz w:val="20"/>
                <w:szCs w:val="20"/>
                <w:color w:val="auto"/>
              </w:rPr>
            </w:pPr>
            <w:r>
              <w:rPr>
                <w:rFonts w:ascii="Arial" w:cs="Arial" w:eastAsia="Arial" w:hAnsi="Arial"/>
                <w:sz w:val="13"/>
                <w:szCs w:val="13"/>
                <w:color w:val="auto"/>
              </w:rPr>
              <w:t>Balance, September 30, 2021</w:t>
            </w:r>
          </w:p>
        </w:tc>
        <w:tc>
          <w:tcPr>
            <w:tcW w:w="640" w:type="dxa"/>
            <w:vAlign w:val="bottom"/>
            <w:tcBorders>
              <w:top w:val="single" w:sz="8" w:color="auto"/>
              <w:bottom w:val="single" w:sz="8" w:color="auto"/>
            </w:tcBorders>
            <w:shd w:val="clear" w:color="auto" w:fill="CFF0FC"/>
          </w:tcPr>
          <w:p>
            <w:pPr>
              <w:spacing w:after="0"/>
              <w:rPr>
                <w:sz w:val="12"/>
                <w:szCs w:val="12"/>
                <w:color w:val="auto"/>
              </w:rPr>
            </w:pPr>
          </w:p>
        </w:tc>
        <w:tc>
          <w:tcPr>
            <w:tcW w:w="280" w:type="dxa"/>
            <w:vAlign w:val="bottom"/>
            <w:tcBorders>
              <w:top w:val="single" w:sz="8" w:color="auto"/>
              <w:bottom w:val="single" w:sz="8" w:color="auto"/>
            </w:tcBorders>
            <w:shd w:val="clear" w:color="auto" w:fill="CFF0FC"/>
          </w:tcPr>
          <w:p>
            <w:pPr>
              <w:ind w:left="120"/>
              <w:spacing w:after="0" w:line="141" w:lineRule="exact"/>
              <w:rPr>
                <w:sz w:val="20"/>
                <w:szCs w:val="20"/>
                <w:color w:val="auto"/>
              </w:rPr>
            </w:pPr>
            <w:r>
              <w:rPr>
                <w:rFonts w:ascii="Arial" w:cs="Arial" w:eastAsia="Arial" w:hAnsi="Arial"/>
                <w:sz w:val="13"/>
                <w:szCs w:val="13"/>
                <w:color w:val="auto"/>
              </w:rPr>
              <w:t>—</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2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FF0FC"/>
          </w:tcPr>
          <w:p>
            <w:pPr>
              <w:ind w:left="540"/>
              <w:spacing w:after="0" w:line="141" w:lineRule="exact"/>
              <w:rPr>
                <w:sz w:val="20"/>
                <w:szCs w:val="20"/>
                <w:color w:val="auto"/>
              </w:rPr>
            </w:pPr>
            <w:r>
              <w:rPr>
                <w:rFonts w:ascii="Arial" w:cs="Arial" w:eastAsia="Arial" w:hAnsi="Arial"/>
                <w:sz w:val="13"/>
                <w:szCs w:val="13"/>
                <w:color w:val="auto"/>
                <w:w w:val="91"/>
              </w:rPr>
              <w:t>—</w:t>
            </w:r>
          </w:p>
        </w:tc>
        <w:tc>
          <w:tcPr>
            <w:tcW w:w="240" w:type="dxa"/>
            <w:vAlign w:val="bottom"/>
            <w:tcBorders>
              <w:top w:val="single" w:sz="8" w:color="CFF0FC"/>
              <w:bottom w:val="single" w:sz="8" w:color="CFF0FC"/>
              <w:right w:val="single" w:sz="8" w:color="auto"/>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880" w:type="dxa"/>
            <w:vAlign w:val="bottom"/>
            <w:tcBorders>
              <w:top w:val="single" w:sz="8" w:color="auto"/>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32,931,580</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jc w:val="right"/>
              <w:ind w:right="537"/>
              <w:spacing w:after="0" w:line="141" w:lineRule="exact"/>
              <w:rPr>
                <w:sz w:val="20"/>
                <w:szCs w:val="20"/>
                <w:color w:val="auto"/>
              </w:rPr>
            </w:pPr>
            <w:r>
              <w:rPr>
                <w:rFonts w:ascii="Arial" w:cs="Arial" w:eastAsia="Arial" w:hAnsi="Arial"/>
                <w:sz w:val="13"/>
                <w:szCs w:val="13"/>
                <w:color w:val="auto"/>
                <w:w w:val="82"/>
              </w:rPr>
              <w:t>$</w:t>
            </w:r>
          </w:p>
        </w:tc>
        <w:tc>
          <w:tcPr>
            <w:tcW w:w="200" w:type="dxa"/>
            <w:vAlign w:val="bottom"/>
            <w:tcBorders>
              <w:top w:val="single" w:sz="8" w:color="auto"/>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3</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451,320</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(30)</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(181,282)</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270,011</w:t>
            </w:r>
          </w:p>
        </w:tc>
        <w:tc>
          <w:tcPr>
            <w:tcW w:w="60" w:type="dxa"/>
            <w:vAlign w:val="bottom"/>
            <w:tcBorders>
              <w:top w:val="single" w:sz="8" w:color="CFF0FC"/>
              <w:bottom w:val="single" w:sz="8" w:color="CFF0FC"/>
            </w:tcBorders>
            <w:shd w:val="clear" w:color="auto" w:fill="CFF0FC"/>
          </w:tcPr>
          <w:p>
            <w:pPr>
              <w:spacing w:after="0"/>
              <w:rPr>
                <w:sz w:val="12"/>
                <w:szCs w:val="12"/>
                <w:color w:val="auto"/>
              </w:rPr>
            </w:pPr>
          </w:p>
        </w:tc>
      </w:tr>
      <w:tr>
        <w:trPr>
          <w:trHeight w:val="20"/>
        </w:trPr>
        <w:tc>
          <w:tcPr>
            <w:tcW w:w="2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7"/>
          <w:szCs w:val="17"/>
          <w:b w:val="1"/>
          <w:bCs w:val="1"/>
          <w:color w:val="auto"/>
        </w:rPr>
        <w:t>NKARTA,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STATEMENTS OF CONVERTIBLE PREFERRED STOCK AND STOCKHOLDERS’ EQUITY (DEFICIT)</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 except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2"/>
              </w:rPr>
              <w:t>Accumulated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320" w:type="dxa"/>
            <w:vAlign w:val="bottom"/>
          </w:tcPr>
          <w:p>
            <w:pPr>
              <w:spacing w:after="0"/>
              <w:rPr>
                <w:sz w:val="9"/>
                <w:szCs w:val="9"/>
                <w:color w:val="auto"/>
              </w:rPr>
            </w:pPr>
          </w:p>
        </w:tc>
        <w:tc>
          <w:tcPr>
            <w:tcW w:w="1400" w:type="dxa"/>
            <w:vAlign w:val="bottom"/>
            <w:gridSpan w:val="3"/>
          </w:tcPr>
          <w:p>
            <w:pPr>
              <w:jc w:val="right"/>
              <w:ind w:right="70"/>
              <w:spacing w:after="0" w:line="112" w:lineRule="exact"/>
              <w:rPr>
                <w:sz w:val="20"/>
                <w:szCs w:val="20"/>
                <w:color w:val="auto"/>
              </w:rPr>
            </w:pPr>
            <w:r>
              <w:rPr>
                <w:rFonts w:ascii="Arial" w:cs="Arial" w:eastAsia="Arial" w:hAnsi="Arial"/>
                <w:sz w:val="10"/>
                <w:szCs w:val="10"/>
                <w:b w:val="1"/>
                <w:bCs w:val="1"/>
                <w:color w:val="auto"/>
              </w:rPr>
              <w:t>Convertible</w:t>
            </w:r>
          </w:p>
        </w:tc>
        <w:tc>
          <w:tcPr>
            <w:tcW w:w="68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tcPr>
          <w:p>
            <w:pPr>
              <w:jc w:val="center"/>
              <w:ind w:right="400"/>
              <w:spacing w:after="0" w:line="112" w:lineRule="exact"/>
              <w:rPr>
                <w:sz w:val="20"/>
                <w:szCs w:val="20"/>
                <w:color w:val="auto"/>
              </w:rPr>
            </w:pPr>
            <w:r>
              <w:rPr>
                <w:rFonts w:ascii="Arial" w:cs="Arial" w:eastAsia="Arial" w:hAnsi="Arial"/>
                <w:sz w:val="10"/>
                <w:szCs w:val="10"/>
                <w:b w:val="1"/>
                <w:bCs w:val="1"/>
                <w:color w:val="auto"/>
                <w:w w:val="93"/>
              </w:rPr>
              <w:t>Additional</w:t>
            </w:r>
          </w:p>
        </w:tc>
        <w:tc>
          <w:tcPr>
            <w:tcW w:w="80" w:type="dxa"/>
            <w:vAlign w:val="bottom"/>
          </w:tcPr>
          <w:p>
            <w:pPr>
              <w:spacing w:after="0"/>
              <w:rPr>
                <w:sz w:val="9"/>
                <w:szCs w:val="9"/>
                <w:color w:val="auto"/>
              </w:rPr>
            </w:pPr>
          </w:p>
        </w:tc>
        <w:tc>
          <w:tcPr>
            <w:tcW w:w="940" w:type="dxa"/>
            <w:vAlign w:val="bottom"/>
            <w:gridSpan w:val="2"/>
          </w:tcPr>
          <w:p>
            <w:pPr>
              <w:jc w:val="center"/>
              <w:ind w:right="240"/>
              <w:spacing w:after="0" w:line="112" w:lineRule="exact"/>
              <w:rPr>
                <w:sz w:val="20"/>
                <w:szCs w:val="20"/>
                <w:color w:val="auto"/>
              </w:rPr>
            </w:pPr>
            <w:r>
              <w:rPr>
                <w:rFonts w:ascii="Arial" w:cs="Arial" w:eastAsia="Arial" w:hAnsi="Arial"/>
                <w:sz w:val="10"/>
                <w:szCs w:val="10"/>
                <w:b w:val="1"/>
                <w:bCs w:val="1"/>
                <w:color w:val="auto"/>
                <w:w w:val="97"/>
              </w:rPr>
              <w:t>Other</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tcPr>
          <w:p>
            <w:pPr>
              <w:jc w:val="center"/>
              <w:ind w:right="180"/>
              <w:spacing w:after="0" w:line="112" w:lineRule="exact"/>
              <w:rPr>
                <w:sz w:val="20"/>
                <w:szCs w:val="20"/>
                <w:color w:val="auto"/>
              </w:rPr>
            </w:pPr>
            <w:r>
              <w:rPr>
                <w:rFonts w:ascii="Arial" w:cs="Arial" w:eastAsia="Arial" w:hAnsi="Arial"/>
                <w:sz w:val="10"/>
                <w:szCs w:val="10"/>
                <w:b w:val="1"/>
                <w:bCs w:val="1"/>
                <w:color w:val="auto"/>
                <w:w w:val="83"/>
              </w:rPr>
              <w:t>Total</w:t>
            </w:r>
          </w:p>
        </w:tc>
        <w:tc>
          <w:tcPr>
            <w:tcW w:w="0" w:type="dxa"/>
            <w:vAlign w:val="bottom"/>
          </w:tcPr>
          <w:p>
            <w:pPr>
              <w:spacing w:after="0"/>
              <w:rPr>
                <w:sz w:val="1"/>
                <w:szCs w:val="1"/>
                <w:color w:val="auto"/>
              </w:rPr>
            </w:pPr>
          </w:p>
        </w:tc>
      </w:tr>
      <w:tr>
        <w:trPr>
          <w:trHeight w:val="123"/>
        </w:trPr>
        <w:tc>
          <w:tcPr>
            <w:tcW w:w="2320" w:type="dxa"/>
            <w:vAlign w:val="bottom"/>
          </w:tcPr>
          <w:p>
            <w:pPr>
              <w:spacing w:after="0"/>
              <w:rPr>
                <w:sz w:val="10"/>
                <w:szCs w:val="1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Preferred Stock</w:t>
            </w:r>
          </w:p>
        </w:tc>
        <w:tc>
          <w:tcPr>
            <w:tcW w:w="680" w:type="dxa"/>
            <w:vAlign w:val="bottom"/>
            <w:tcBorders>
              <w:bottom w:val="single" w:sz="8" w:color="auto"/>
            </w:tcBorders>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tcBorders>
              <w:bottom w:val="single" w:sz="8" w:color="auto"/>
            </w:tcBorders>
            <w:gridSpan w:val="3"/>
          </w:tcPr>
          <w:p>
            <w:pPr>
              <w:jc w:val="right"/>
              <w:ind w:right="417"/>
              <w:spacing w:after="0"/>
              <w:rPr>
                <w:sz w:val="20"/>
                <w:szCs w:val="20"/>
                <w:color w:val="auto"/>
              </w:rPr>
            </w:pPr>
            <w:r>
              <w:rPr>
                <w:rFonts w:ascii="Arial" w:cs="Arial" w:eastAsia="Arial" w:hAnsi="Arial"/>
                <w:sz w:val="10"/>
                <w:szCs w:val="10"/>
                <w:b w:val="1"/>
                <w:bCs w:val="1"/>
                <w:color w:val="auto"/>
              </w:rPr>
              <w:t>Common Stock</w:t>
            </w:r>
          </w:p>
        </w:tc>
        <w:tc>
          <w:tcPr>
            <w:tcW w:w="20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9"/>
              </w:rPr>
              <w:t>Paid-in</w:t>
            </w:r>
          </w:p>
        </w:tc>
        <w:tc>
          <w:tcPr>
            <w:tcW w:w="80" w:type="dxa"/>
            <w:vAlign w:val="bottom"/>
          </w:tcPr>
          <w:p>
            <w:pPr>
              <w:spacing w:after="0"/>
              <w:rPr>
                <w:sz w:val="10"/>
                <w:szCs w:val="10"/>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7"/>
              </w:rPr>
              <w:t>Comprehensive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0"/>
                <w:szCs w:val="10"/>
                <w:b w:val="1"/>
                <w:bCs w:val="1"/>
                <w:color w:val="auto"/>
                <w:w w:val="92"/>
              </w:rPr>
              <w:t>Accumulated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8"/>
              </w:rPr>
              <w:t>Stockholders'</w:t>
            </w:r>
          </w:p>
        </w:tc>
        <w:tc>
          <w:tcPr>
            <w:tcW w:w="0" w:type="dxa"/>
            <w:vAlign w:val="bottom"/>
          </w:tcPr>
          <w:p>
            <w:pPr>
              <w:spacing w:after="0"/>
              <w:rPr>
                <w:sz w:val="1"/>
                <w:szCs w:val="1"/>
                <w:color w:val="auto"/>
              </w:rPr>
            </w:pPr>
          </w:p>
        </w:tc>
      </w:tr>
      <w:tr>
        <w:trPr>
          <w:trHeight w:val="116"/>
        </w:trPr>
        <w:tc>
          <w:tcPr>
            <w:tcW w:w="2320" w:type="dxa"/>
            <w:vAlign w:val="bottom"/>
          </w:tcPr>
          <w:p>
            <w:pPr>
              <w:spacing w:after="0"/>
              <w:rPr>
                <w:sz w:val="10"/>
                <w:szCs w:val="10"/>
                <w:color w:val="auto"/>
              </w:rPr>
            </w:pPr>
          </w:p>
        </w:tc>
        <w:tc>
          <w:tcPr>
            <w:tcW w:w="920" w:type="dxa"/>
            <w:vAlign w:val="bottom"/>
            <w:tcBorders>
              <w:bottom w:val="single" w:sz="8" w:color="auto"/>
            </w:tcBorders>
          </w:tcPr>
          <w:p>
            <w:pPr>
              <w:jc w:val="right"/>
              <w:ind w:right="256"/>
              <w:spacing w:after="0"/>
              <w:rPr>
                <w:sz w:val="20"/>
                <w:szCs w:val="20"/>
                <w:color w:val="auto"/>
              </w:rPr>
            </w:pPr>
            <w:r>
              <w:rPr>
                <w:rFonts w:ascii="Arial" w:cs="Arial" w:eastAsia="Arial" w:hAnsi="Arial"/>
                <w:sz w:val="10"/>
                <w:szCs w:val="10"/>
                <w:b w:val="1"/>
                <w:bCs w:val="1"/>
                <w:color w:val="auto"/>
              </w:rPr>
              <w:t>Shares</w:t>
            </w:r>
          </w:p>
        </w:tc>
        <w:tc>
          <w:tcPr>
            <w:tcW w:w="26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0"/>
                <w:szCs w:val="10"/>
                <w:b w:val="1"/>
                <w:bCs w:val="1"/>
                <w:color w:val="auto"/>
              </w:rPr>
              <w:t>Amount</w:t>
            </w:r>
          </w:p>
        </w:tc>
        <w:tc>
          <w:tcPr>
            <w:tcW w:w="2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Borders>
              <w:bottom w:val="single" w:sz="8" w:color="auto"/>
            </w:tcBorders>
          </w:tcPr>
          <w:p>
            <w:pPr>
              <w:jc w:val="right"/>
              <w:ind w:right="255"/>
              <w:spacing w:after="0"/>
              <w:rPr>
                <w:sz w:val="20"/>
                <w:szCs w:val="20"/>
                <w:color w:val="auto"/>
              </w:rPr>
            </w:pPr>
            <w:r>
              <w:rPr>
                <w:rFonts w:ascii="Arial" w:cs="Arial" w:eastAsia="Arial" w:hAnsi="Arial"/>
                <w:sz w:val="10"/>
                <w:szCs w:val="10"/>
                <w:b w:val="1"/>
                <w:bCs w:val="1"/>
                <w:color w:val="auto"/>
              </w:rPr>
              <w:t>Shares</w:t>
            </w:r>
          </w:p>
        </w:tc>
        <w:tc>
          <w:tcPr>
            <w:tcW w:w="220" w:type="dxa"/>
            <w:vAlign w:val="bottom"/>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Amount</w:t>
            </w:r>
          </w:p>
        </w:tc>
        <w:tc>
          <w:tcPr>
            <w:tcW w:w="20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center"/>
              <w:ind w:right="76"/>
              <w:spacing w:after="0"/>
              <w:rPr>
                <w:sz w:val="20"/>
                <w:szCs w:val="20"/>
                <w:color w:val="auto"/>
              </w:rPr>
            </w:pPr>
            <w:r>
              <w:rPr>
                <w:rFonts w:ascii="Arial" w:cs="Arial" w:eastAsia="Arial" w:hAnsi="Arial"/>
                <w:sz w:val="10"/>
                <w:szCs w:val="10"/>
                <w:b w:val="1"/>
                <w:bCs w:val="1"/>
                <w:color w:val="auto"/>
                <w:w w:val="95"/>
              </w:rPr>
              <w:t>Capital</w:t>
            </w:r>
          </w:p>
        </w:tc>
        <w:tc>
          <w:tcPr>
            <w:tcW w:w="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36"/>
              <w:spacing w:after="0"/>
              <w:rPr>
                <w:sz w:val="20"/>
                <w:szCs w:val="20"/>
                <w:color w:val="auto"/>
              </w:rPr>
            </w:pPr>
            <w:r>
              <w:rPr>
                <w:rFonts w:ascii="Arial" w:cs="Arial" w:eastAsia="Arial" w:hAnsi="Arial"/>
                <w:sz w:val="10"/>
                <w:szCs w:val="10"/>
                <w:b w:val="1"/>
                <w:bCs w:val="1"/>
                <w:color w:val="auto"/>
                <w:w w:val="85"/>
              </w:rPr>
              <w:t>Income (Loss)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55"/>
              <w:spacing w:after="0"/>
              <w:rPr>
                <w:sz w:val="20"/>
                <w:szCs w:val="20"/>
                <w:color w:val="auto"/>
              </w:rPr>
            </w:pPr>
            <w:r>
              <w:rPr>
                <w:rFonts w:ascii="Arial" w:cs="Arial" w:eastAsia="Arial" w:hAnsi="Arial"/>
                <w:sz w:val="10"/>
                <w:szCs w:val="10"/>
                <w:b w:val="1"/>
                <w:bCs w:val="1"/>
                <w:color w:val="auto"/>
              </w:rPr>
              <w:t>Deficit</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center"/>
              <w:ind w:right="56"/>
              <w:spacing w:after="0"/>
              <w:rPr>
                <w:sz w:val="20"/>
                <w:szCs w:val="20"/>
                <w:color w:val="auto"/>
              </w:rPr>
            </w:pPr>
            <w:r>
              <w:rPr>
                <w:rFonts w:ascii="Arial" w:cs="Arial" w:eastAsia="Arial" w:hAnsi="Arial"/>
                <w:sz w:val="10"/>
                <w:szCs w:val="10"/>
                <w:b w:val="1"/>
                <w:bCs w:val="1"/>
                <w:color w:val="auto"/>
                <w:w w:val="91"/>
              </w:rPr>
              <w:t>Deficit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320" w:type="dxa"/>
            <w:vAlign w:val="bottom"/>
          </w:tcPr>
          <w:p>
            <w:pPr>
              <w:spacing w:after="0" w:line="141" w:lineRule="exact"/>
              <w:rPr>
                <w:sz w:val="20"/>
                <w:szCs w:val="20"/>
                <w:color w:val="auto"/>
              </w:rPr>
            </w:pPr>
            <w:r>
              <w:rPr>
                <w:rFonts w:ascii="Arial" w:cs="Arial" w:eastAsia="Arial" w:hAnsi="Arial"/>
                <w:sz w:val="13"/>
                <w:szCs w:val="13"/>
                <w:color w:val="auto"/>
              </w:rPr>
              <w:t>Balance, December 31, 2019</w:t>
            </w:r>
          </w:p>
        </w:tc>
        <w:tc>
          <w:tcPr>
            <w:tcW w:w="920" w:type="dxa"/>
            <w:vAlign w:val="bottom"/>
          </w:tcPr>
          <w:p>
            <w:pPr>
              <w:jc w:val="right"/>
              <w:spacing w:after="0" w:line="141" w:lineRule="exact"/>
              <w:rPr>
                <w:sz w:val="20"/>
                <w:szCs w:val="20"/>
                <w:color w:val="auto"/>
              </w:rPr>
            </w:pPr>
            <w:r>
              <w:rPr>
                <w:rFonts w:ascii="Arial" w:cs="Arial" w:eastAsia="Arial" w:hAnsi="Arial"/>
                <w:sz w:val="13"/>
                <w:szCs w:val="13"/>
                <w:color w:val="auto"/>
              </w:rPr>
              <w:t>27,283,973</w:t>
            </w:r>
          </w:p>
        </w:tc>
        <w:tc>
          <w:tcPr>
            <w:tcW w:w="260" w:type="dxa"/>
            <w:vAlign w:val="bottom"/>
          </w:tcPr>
          <w:p>
            <w:pPr>
              <w:spacing w:after="0"/>
              <w:rPr>
                <w:sz w:val="12"/>
                <w:szCs w:val="12"/>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41" w:lineRule="exact"/>
              <w:rPr>
                <w:sz w:val="20"/>
                <w:szCs w:val="20"/>
                <w:color w:val="auto"/>
              </w:rPr>
            </w:pPr>
            <w:r>
              <w:rPr>
                <w:rFonts w:ascii="Arial" w:cs="Arial" w:eastAsia="Arial" w:hAnsi="Arial"/>
                <w:sz w:val="13"/>
                <w:szCs w:val="13"/>
                <w:color w:val="auto"/>
              </w:rPr>
              <w:t>59,815</w:t>
            </w: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1" w:lineRule="exact"/>
              <w:rPr>
                <w:sz w:val="20"/>
                <w:szCs w:val="20"/>
                <w:color w:val="auto"/>
              </w:rPr>
            </w:pPr>
            <w:r>
              <w:rPr>
                <w:rFonts w:ascii="Arial" w:cs="Arial" w:eastAsia="Arial" w:hAnsi="Arial"/>
                <w:sz w:val="13"/>
                <w:szCs w:val="13"/>
                <w:color w:val="auto"/>
              </w:rPr>
              <w:t>1,600,601</w:t>
            </w:r>
          </w:p>
        </w:tc>
        <w:tc>
          <w:tcPr>
            <w:tcW w:w="220" w:type="dxa"/>
            <w:vAlign w:val="bottom"/>
          </w:tcPr>
          <w:p>
            <w:pPr>
              <w:spacing w:after="0"/>
              <w:rPr>
                <w:sz w:val="12"/>
                <w:szCs w:val="12"/>
                <w:color w:val="auto"/>
              </w:rPr>
            </w:pPr>
          </w:p>
        </w:tc>
        <w:tc>
          <w:tcPr>
            <w:tcW w:w="680" w:type="dxa"/>
            <w:vAlign w:val="bottom"/>
          </w:tcPr>
          <w:p>
            <w:pPr>
              <w:jc w:val="right"/>
              <w:ind w:right="537"/>
              <w:spacing w:after="0" w:line="141" w:lineRule="exact"/>
              <w:rPr>
                <w:sz w:val="20"/>
                <w:szCs w:val="20"/>
                <w:color w:val="auto"/>
              </w:rPr>
            </w:pPr>
            <w:r>
              <w:rPr>
                <w:rFonts w:ascii="Arial" w:cs="Arial" w:eastAsia="Arial" w:hAnsi="Arial"/>
                <w:sz w:val="13"/>
                <w:szCs w:val="13"/>
                <w:color w:val="auto"/>
                <w:w w:val="82"/>
              </w:rPr>
              <w:t>$</w:t>
            </w:r>
          </w:p>
        </w:tc>
        <w:tc>
          <w:tcPr>
            <w:tcW w:w="200" w:type="dxa"/>
            <w:vAlign w:val="bottom"/>
          </w:tcPr>
          <w:p>
            <w:pPr>
              <w:jc w:val="right"/>
              <w:spacing w:after="0" w:line="141" w:lineRule="exact"/>
              <w:rPr>
                <w:sz w:val="20"/>
                <w:szCs w:val="20"/>
                <w:color w:val="auto"/>
              </w:rPr>
            </w:pPr>
            <w:r>
              <w:rPr>
                <w:rFonts w:ascii="Arial" w:cs="Arial" w:eastAsia="Arial" w:hAnsi="Arial"/>
                <w:sz w:val="13"/>
                <w:szCs w:val="13"/>
                <w:color w:val="auto"/>
              </w:rPr>
              <w:t>1</w:t>
            </w:r>
          </w:p>
        </w:tc>
        <w:tc>
          <w:tcPr>
            <w:tcW w:w="240" w:type="dxa"/>
            <w:vAlign w:val="bottom"/>
          </w:tcPr>
          <w:p>
            <w:pPr>
              <w:spacing w:after="0"/>
              <w:rPr>
                <w:sz w:val="12"/>
                <w:szCs w:val="12"/>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41" w:lineRule="exact"/>
              <w:rPr>
                <w:sz w:val="20"/>
                <w:szCs w:val="20"/>
                <w:color w:val="auto"/>
              </w:rPr>
            </w:pPr>
            <w:r>
              <w:rPr>
                <w:rFonts w:ascii="Arial" w:cs="Arial" w:eastAsia="Arial" w:hAnsi="Arial"/>
                <w:sz w:val="13"/>
                <w:szCs w:val="13"/>
                <w:color w:val="auto"/>
              </w:rPr>
              <w:t>1,179</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(2)</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41" w:lineRule="exact"/>
              <w:rPr>
                <w:sz w:val="20"/>
                <w:szCs w:val="20"/>
                <w:color w:val="auto"/>
              </w:rPr>
            </w:pPr>
            <w:r>
              <w:rPr>
                <w:rFonts w:ascii="Arial" w:cs="Arial" w:eastAsia="Arial" w:hAnsi="Arial"/>
                <w:sz w:val="13"/>
                <w:szCs w:val="13"/>
                <w:color w:val="auto"/>
              </w:rPr>
              <w:t>(26,660)</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41" w:lineRule="exact"/>
              <w:rPr>
                <w:sz w:val="20"/>
                <w:szCs w:val="20"/>
                <w:color w:val="auto"/>
              </w:rPr>
            </w:pPr>
            <w:r>
              <w:rPr>
                <w:rFonts w:ascii="Arial" w:cs="Arial" w:eastAsia="Arial" w:hAnsi="Arial"/>
                <w:sz w:val="13"/>
                <w:szCs w:val="13"/>
                <w:color w:val="auto"/>
              </w:rPr>
              <w:t>(25,482)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320" w:type="dxa"/>
            <w:vAlign w:val="bottom"/>
            <w:shd w:val="clear" w:color="auto" w:fill="CFF0FC"/>
          </w:tcPr>
          <w:p>
            <w:pPr>
              <w:spacing w:after="0" w:line="133" w:lineRule="exact"/>
              <w:rPr>
                <w:sz w:val="20"/>
                <w:szCs w:val="20"/>
                <w:color w:val="auto"/>
              </w:rPr>
            </w:pPr>
            <w:r>
              <w:rPr>
                <w:rFonts w:ascii="Arial" w:cs="Arial" w:eastAsia="Arial" w:hAnsi="Arial"/>
                <w:sz w:val="13"/>
                <w:szCs w:val="13"/>
                <w:color w:val="auto"/>
              </w:rPr>
              <w:t>Vesting of shares of common</w:t>
            </w:r>
          </w:p>
        </w:tc>
        <w:tc>
          <w:tcPr>
            <w:tcW w:w="9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320" w:type="dxa"/>
            <w:vAlign w:val="bottom"/>
            <w:shd w:val="clear" w:color="auto" w:fill="CFF0FC"/>
          </w:tcPr>
          <w:p>
            <w:pPr>
              <w:ind w:left="100"/>
              <w:spacing w:after="0"/>
              <w:rPr>
                <w:sz w:val="20"/>
                <w:szCs w:val="20"/>
                <w:color w:val="auto"/>
              </w:rPr>
            </w:pPr>
            <w:r>
              <w:rPr>
                <w:rFonts w:ascii="Arial" w:cs="Arial" w:eastAsia="Arial" w:hAnsi="Arial"/>
                <w:sz w:val="13"/>
                <w:szCs w:val="13"/>
                <w:color w:val="auto"/>
              </w:rPr>
              <w:t>stock subject to repurchase</w:t>
            </w: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9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17,494</w:t>
            </w:r>
          </w:p>
        </w:tc>
        <w:tc>
          <w:tcPr>
            <w:tcW w:w="2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320" w:type="dxa"/>
            <w:vAlign w:val="bottom"/>
          </w:tcPr>
          <w:p>
            <w:pPr>
              <w:spacing w:after="0" w:line="133" w:lineRule="exact"/>
              <w:rPr>
                <w:sz w:val="20"/>
                <w:szCs w:val="20"/>
                <w:color w:val="auto"/>
              </w:rPr>
            </w:pPr>
            <w:r>
              <w:rPr>
                <w:rFonts w:ascii="Arial" w:cs="Arial" w:eastAsia="Arial" w:hAnsi="Arial"/>
                <w:sz w:val="13"/>
                <w:szCs w:val="13"/>
                <w:color w:val="auto"/>
              </w:rPr>
              <w:t>Issuance of common stock</w:t>
            </w: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320" w:type="dxa"/>
            <w:vAlign w:val="bottom"/>
          </w:tcPr>
          <w:p>
            <w:pPr>
              <w:ind w:left="100"/>
              <w:spacing w:after="0" w:line="136" w:lineRule="exact"/>
              <w:rPr>
                <w:sz w:val="20"/>
                <w:szCs w:val="20"/>
                <w:color w:val="auto"/>
              </w:rPr>
            </w:pPr>
            <w:r>
              <w:rPr>
                <w:rFonts w:ascii="Arial" w:cs="Arial" w:eastAsia="Arial" w:hAnsi="Arial"/>
                <w:sz w:val="13"/>
                <w:szCs w:val="13"/>
                <w:color w:val="auto"/>
              </w:rPr>
              <w:t>upon exercise of stock</w:t>
            </w: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320" w:type="dxa"/>
            <w:vAlign w:val="bottom"/>
          </w:tcPr>
          <w:p>
            <w:pPr>
              <w:ind w:left="100"/>
              <w:spacing w:after="0"/>
              <w:rPr>
                <w:sz w:val="20"/>
                <w:szCs w:val="20"/>
                <w:color w:val="auto"/>
              </w:rPr>
            </w:pPr>
            <w:r>
              <w:rPr>
                <w:rFonts w:ascii="Arial" w:cs="Arial" w:eastAsia="Arial" w:hAnsi="Arial"/>
                <w:sz w:val="13"/>
                <w:szCs w:val="13"/>
                <w:color w:val="auto"/>
              </w:rPr>
              <w:t>option, net of repurchase</w:t>
            </w: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2,871</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320" w:type="dxa"/>
            <w:vAlign w:val="bottom"/>
            <w:shd w:val="clear" w:color="auto" w:fill="CFF0FC"/>
          </w:tcPr>
          <w:p>
            <w:pPr>
              <w:spacing w:after="0" w:line="133" w:lineRule="exact"/>
              <w:rPr>
                <w:sz w:val="20"/>
                <w:szCs w:val="20"/>
                <w:color w:val="auto"/>
              </w:rPr>
            </w:pPr>
            <w:r>
              <w:rPr>
                <w:rFonts w:ascii="Arial" w:cs="Arial" w:eastAsia="Arial" w:hAnsi="Arial"/>
                <w:sz w:val="13"/>
                <w:szCs w:val="13"/>
                <w:color w:val="auto"/>
              </w:rPr>
              <w:t>Share-based compensation</w:t>
            </w:r>
          </w:p>
        </w:tc>
        <w:tc>
          <w:tcPr>
            <w:tcW w:w="9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320" w:type="dxa"/>
            <w:vAlign w:val="bottom"/>
            <w:shd w:val="clear" w:color="auto" w:fill="CFF0FC"/>
          </w:tcPr>
          <w:p>
            <w:pPr>
              <w:ind w:left="100"/>
              <w:spacing w:after="0"/>
              <w:rPr>
                <w:sz w:val="20"/>
                <w:szCs w:val="20"/>
                <w:color w:val="auto"/>
              </w:rPr>
            </w:pPr>
            <w:r>
              <w:rPr>
                <w:rFonts w:ascii="Arial" w:cs="Arial" w:eastAsia="Arial" w:hAnsi="Arial"/>
                <w:sz w:val="13"/>
                <w:szCs w:val="13"/>
                <w:color w:val="auto"/>
              </w:rPr>
              <w:t>expense</w:t>
            </w: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9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482</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482</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320" w:type="dxa"/>
            <w:vAlign w:val="bottom"/>
          </w:tcPr>
          <w:p>
            <w:pPr>
              <w:spacing w:after="0" w:line="133" w:lineRule="exact"/>
              <w:rPr>
                <w:sz w:val="20"/>
                <w:szCs w:val="20"/>
                <w:color w:val="auto"/>
              </w:rPr>
            </w:pPr>
            <w:r>
              <w:rPr>
                <w:rFonts w:ascii="Arial" w:cs="Arial" w:eastAsia="Arial" w:hAnsi="Arial"/>
                <w:sz w:val="13"/>
                <w:szCs w:val="13"/>
                <w:color w:val="auto"/>
              </w:rPr>
              <w:t>Unrealized loss on short-term</w:t>
            </w: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320" w:type="dxa"/>
            <w:vAlign w:val="bottom"/>
          </w:tcPr>
          <w:p>
            <w:pPr>
              <w:ind w:left="100"/>
              <w:spacing w:after="0"/>
              <w:rPr>
                <w:sz w:val="20"/>
                <w:szCs w:val="20"/>
                <w:color w:val="auto"/>
              </w:rPr>
            </w:pPr>
            <w:r>
              <w:rPr>
                <w:rFonts w:ascii="Arial" w:cs="Arial" w:eastAsia="Arial" w:hAnsi="Arial"/>
                <w:sz w:val="13"/>
                <w:szCs w:val="13"/>
                <w:color w:val="auto"/>
              </w:rPr>
              <w:t>investments</w:t>
            </w: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9"/>
        </w:trPr>
        <w:tc>
          <w:tcPr>
            <w:tcW w:w="2320" w:type="dxa"/>
            <w:vAlign w:val="bottom"/>
            <w:shd w:val="clear" w:color="auto" w:fill="CFF0FC"/>
          </w:tcPr>
          <w:p>
            <w:pPr>
              <w:spacing w:after="0"/>
              <w:rPr>
                <w:sz w:val="20"/>
                <w:szCs w:val="20"/>
                <w:color w:val="auto"/>
              </w:rPr>
            </w:pPr>
            <w:r>
              <w:rPr>
                <w:rFonts w:ascii="Arial" w:cs="Arial" w:eastAsia="Arial" w:hAnsi="Arial"/>
                <w:sz w:val="13"/>
                <w:szCs w:val="13"/>
                <w:color w:val="auto"/>
              </w:rPr>
              <w:t>Net loss</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(8,706)</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(8,706)</w:t>
            </w:r>
          </w:p>
        </w:tc>
        <w:tc>
          <w:tcPr>
            <w:tcW w:w="0" w:type="dxa"/>
            <w:vAlign w:val="bottom"/>
          </w:tcPr>
          <w:p>
            <w:pPr>
              <w:spacing w:after="0"/>
              <w:rPr>
                <w:sz w:val="1"/>
                <w:szCs w:val="1"/>
                <w:color w:val="auto"/>
              </w:rPr>
            </w:pPr>
          </w:p>
        </w:tc>
      </w:tr>
      <w:tr>
        <w:trPr>
          <w:trHeight w:val="20"/>
        </w:trPr>
        <w:tc>
          <w:tcPr>
            <w:tcW w:w="2320" w:type="dxa"/>
            <w:vAlign w:val="bottom"/>
            <w:vMerge w:val="restart"/>
          </w:tcPr>
          <w:p>
            <w:pPr>
              <w:spacing w:after="0"/>
              <w:rPr>
                <w:sz w:val="20"/>
                <w:szCs w:val="20"/>
                <w:color w:val="auto"/>
              </w:rPr>
            </w:pPr>
            <w:r>
              <w:rPr>
                <w:rFonts w:ascii="Arial" w:cs="Arial" w:eastAsia="Arial" w:hAnsi="Arial"/>
                <w:sz w:val="13"/>
                <w:szCs w:val="13"/>
                <w:color w:val="auto"/>
              </w:rPr>
              <w:t>Balance, March 31, 2020</w:t>
            </w: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320" w:type="dxa"/>
            <w:vAlign w:val="bottom"/>
            <w:vMerge w:val="continue"/>
          </w:tcPr>
          <w:p>
            <w:pPr>
              <w:spacing w:after="0"/>
              <w:rPr>
                <w:sz w:val="15"/>
                <w:szCs w:val="15"/>
                <w:color w:val="auto"/>
              </w:rPr>
            </w:pPr>
          </w:p>
        </w:tc>
        <w:tc>
          <w:tcPr>
            <w:tcW w:w="920" w:type="dxa"/>
            <w:vAlign w:val="bottom"/>
          </w:tcPr>
          <w:p>
            <w:pPr>
              <w:jc w:val="right"/>
              <w:spacing w:after="0" w:line="141" w:lineRule="exact"/>
              <w:rPr>
                <w:sz w:val="20"/>
                <w:szCs w:val="20"/>
                <w:color w:val="auto"/>
              </w:rPr>
            </w:pPr>
            <w:r>
              <w:rPr>
                <w:rFonts w:ascii="Arial" w:cs="Arial" w:eastAsia="Arial" w:hAnsi="Arial"/>
                <w:sz w:val="13"/>
                <w:szCs w:val="13"/>
                <w:color w:val="auto"/>
              </w:rPr>
              <w:t>27,283,973</w:t>
            </w:r>
          </w:p>
        </w:tc>
        <w:tc>
          <w:tcPr>
            <w:tcW w:w="260" w:type="dxa"/>
            <w:vAlign w:val="bottom"/>
          </w:tcPr>
          <w:p>
            <w:pPr>
              <w:spacing w:after="0"/>
              <w:rPr>
                <w:sz w:val="15"/>
                <w:szCs w:val="15"/>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41" w:lineRule="exact"/>
              <w:rPr>
                <w:sz w:val="20"/>
                <w:szCs w:val="20"/>
                <w:color w:val="auto"/>
              </w:rPr>
            </w:pPr>
            <w:r>
              <w:rPr>
                <w:rFonts w:ascii="Arial" w:cs="Arial" w:eastAsia="Arial" w:hAnsi="Arial"/>
                <w:sz w:val="13"/>
                <w:szCs w:val="13"/>
                <w:color w:val="auto"/>
              </w:rPr>
              <w:t>59,815</w:t>
            </w:r>
          </w:p>
        </w:tc>
        <w:tc>
          <w:tcPr>
            <w:tcW w:w="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line="141" w:lineRule="exact"/>
              <w:rPr>
                <w:sz w:val="20"/>
                <w:szCs w:val="20"/>
                <w:color w:val="auto"/>
              </w:rPr>
            </w:pPr>
            <w:r>
              <w:rPr>
                <w:rFonts w:ascii="Arial" w:cs="Arial" w:eastAsia="Arial" w:hAnsi="Arial"/>
                <w:sz w:val="13"/>
                <w:szCs w:val="13"/>
                <w:color w:val="auto"/>
              </w:rPr>
              <w:t>1,620,966</w:t>
            </w:r>
          </w:p>
        </w:tc>
        <w:tc>
          <w:tcPr>
            <w:tcW w:w="220" w:type="dxa"/>
            <w:vAlign w:val="bottom"/>
            <w:vMerge w:val="continue"/>
          </w:tcPr>
          <w:p>
            <w:pPr>
              <w:spacing w:after="0"/>
              <w:rPr>
                <w:sz w:val="15"/>
                <w:szCs w:val="15"/>
                <w:color w:val="auto"/>
              </w:rPr>
            </w:pPr>
          </w:p>
        </w:tc>
        <w:tc>
          <w:tcPr>
            <w:tcW w:w="680" w:type="dxa"/>
            <w:vAlign w:val="bottom"/>
          </w:tcPr>
          <w:p>
            <w:pPr>
              <w:jc w:val="right"/>
              <w:ind w:right="537"/>
              <w:spacing w:after="0" w:line="141" w:lineRule="exact"/>
              <w:rPr>
                <w:sz w:val="20"/>
                <w:szCs w:val="20"/>
                <w:color w:val="auto"/>
              </w:rPr>
            </w:pPr>
            <w:r>
              <w:rPr>
                <w:rFonts w:ascii="Arial" w:cs="Arial" w:eastAsia="Arial" w:hAnsi="Arial"/>
                <w:sz w:val="13"/>
                <w:szCs w:val="13"/>
                <w:color w:val="auto"/>
                <w:w w:val="82"/>
              </w:rPr>
              <w:t>$</w:t>
            </w:r>
          </w:p>
        </w:tc>
        <w:tc>
          <w:tcPr>
            <w:tcW w:w="200" w:type="dxa"/>
            <w:vAlign w:val="bottom"/>
          </w:tcPr>
          <w:p>
            <w:pPr>
              <w:jc w:val="right"/>
              <w:spacing w:after="0" w:line="141" w:lineRule="exact"/>
              <w:rPr>
                <w:sz w:val="20"/>
                <w:szCs w:val="20"/>
                <w:color w:val="auto"/>
              </w:rPr>
            </w:pPr>
            <w:r>
              <w:rPr>
                <w:rFonts w:ascii="Arial" w:cs="Arial" w:eastAsia="Arial" w:hAnsi="Arial"/>
                <w:sz w:val="13"/>
                <w:szCs w:val="13"/>
                <w:color w:val="auto"/>
              </w:rPr>
              <w:t>1</w:t>
            </w:r>
          </w:p>
        </w:tc>
        <w:tc>
          <w:tcPr>
            <w:tcW w:w="240" w:type="dxa"/>
            <w:vAlign w:val="bottom"/>
            <w:vMerge w:val="continue"/>
          </w:tcPr>
          <w:p>
            <w:pPr>
              <w:spacing w:after="0"/>
              <w:rPr>
                <w:sz w:val="15"/>
                <w:szCs w:val="15"/>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41" w:lineRule="exact"/>
              <w:rPr>
                <w:sz w:val="20"/>
                <w:szCs w:val="20"/>
                <w:color w:val="auto"/>
              </w:rPr>
            </w:pPr>
            <w:r>
              <w:rPr>
                <w:rFonts w:ascii="Arial" w:cs="Arial" w:eastAsia="Arial" w:hAnsi="Arial"/>
                <w:sz w:val="13"/>
                <w:szCs w:val="13"/>
                <w:color w:val="auto"/>
              </w:rPr>
              <w:t>1,676</w:t>
            </w:r>
          </w:p>
        </w:tc>
        <w:tc>
          <w:tcPr>
            <w:tcW w:w="2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(3)</w:t>
            </w:r>
          </w:p>
        </w:tc>
        <w:tc>
          <w:tcPr>
            <w:tcW w:w="100" w:type="dxa"/>
            <w:vAlign w:val="bottom"/>
            <w:vMerge w:val="continue"/>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41" w:lineRule="exact"/>
              <w:rPr>
                <w:sz w:val="20"/>
                <w:szCs w:val="20"/>
                <w:color w:val="auto"/>
              </w:rPr>
            </w:pPr>
            <w:r>
              <w:rPr>
                <w:rFonts w:ascii="Arial" w:cs="Arial" w:eastAsia="Arial" w:hAnsi="Arial"/>
                <w:sz w:val="13"/>
                <w:szCs w:val="13"/>
                <w:color w:val="auto"/>
              </w:rPr>
              <w:t>(35,366)</w:t>
            </w:r>
          </w:p>
        </w:tc>
        <w:tc>
          <w:tcPr>
            <w:tcW w:w="2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41" w:lineRule="exact"/>
              <w:rPr>
                <w:sz w:val="20"/>
                <w:szCs w:val="20"/>
                <w:color w:val="auto"/>
              </w:rPr>
            </w:pPr>
            <w:r>
              <w:rPr>
                <w:rFonts w:ascii="Arial" w:cs="Arial" w:eastAsia="Arial" w:hAnsi="Arial"/>
                <w:sz w:val="13"/>
                <w:szCs w:val="13"/>
                <w:color w:val="auto"/>
              </w:rPr>
              <w:t>(33,692)</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2320" w:type="dxa"/>
            <w:vAlign w:val="bottom"/>
            <w:tcBorders>
              <w:top w:val="single" w:sz="8" w:color="CFF0FC"/>
            </w:tcBorders>
            <w:shd w:val="clear" w:color="auto" w:fill="CFF0FC"/>
          </w:tcPr>
          <w:p>
            <w:pPr>
              <w:spacing w:after="0" w:line="110" w:lineRule="exact"/>
              <w:rPr>
                <w:sz w:val="20"/>
                <w:szCs w:val="20"/>
                <w:color w:val="auto"/>
              </w:rPr>
            </w:pPr>
            <w:r>
              <w:rPr>
                <w:rFonts w:ascii="Arial" w:cs="Arial" w:eastAsia="Arial" w:hAnsi="Arial"/>
                <w:sz w:val="12"/>
                <w:szCs w:val="12"/>
                <w:color w:val="auto"/>
              </w:rPr>
              <w:t>Vesting of shares of common</w:t>
            </w:r>
          </w:p>
        </w:tc>
        <w:tc>
          <w:tcPr>
            <w:tcW w:w="920" w:type="dxa"/>
            <w:vAlign w:val="bottom"/>
            <w:tcBorders>
              <w:top w:val="single" w:sz="8" w:color="auto"/>
            </w:tcBorders>
            <w:shd w:val="clear" w:color="auto" w:fill="CFF0FC"/>
          </w:tcPr>
          <w:p>
            <w:pPr>
              <w:spacing w:after="0"/>
              <w:rPr>
                <w:sz w:val="9"/>
                <w:szCs w:val="9"/>
                <w:color w:val="auto"/>
              </w:rPr>
            </w:pPr>
          </w:p>
        </w:tc>
        <w:tc>
          <w:tcPr>
            <w:tcW w:w="260" w:type="dxa"/>
            <w:vAlign w:val="bottom"/>
            <w:tcBorders>
              <w:top w:val="single" w:sz="8" w:color="CFF0FC"/>
            </w:tcBorders>
            <w:shd w:val="clear" w:color="auto" w:fill="CFF0FC"/>
          </w:tcPr>
          <w:p>
            <w:pPr>
              <w:spacing w:after="0"/>
              <w:rPr>
                <w:sz w:val="9"/>
                <w:szCs w:val="9"/>
                <w:color w:val="auto"/>
              </w:rPr>
            </w:pPr>
          </w:p>
        </w:tc>
        <w:tc>
          <w:tcPr>
            <w:tcW w:w="220" w:type="dxa"/>
            <w:vAlign w:val="bottom"/>
            <w:tcBorders>
              <w:top w:val="single" w:sz="8" w:color="auto"/>
            </w:tcBorders>
            <w:shd w:val="clear" w:color="auto" w:fill="CFF0FC"/>
          </w:tcPr>
          <w:p>
            <w:pPr>
              <w:spacing w:after="0"/>
              <w:rPr>
                <w:sz w:val="9"/>
                <w:szCs w:val="9"/>
                <w:color w:val="auto"/>
              </w:rPr>
            </w:pPr>
          </w:p>
        </w:tc>
        <w:tc>
          <w:tcPr>
            <w:tcW w:w="680" w:type="dxa"/>
            <w:vAlign w:val="bottom"/>
            <w:tcBorders>
              <w:top w:val="single" w:sz="8" w:color="auto"/>
            </w:tcBorders>
            <w:shd w:val="clear" w:color="auto" w:fill="CFF0FC"/>
          </w:tcPr>
          <w:p>
            <w:pPr>
              <w:spacing w:after="0"/>
              <w:rPr>
                <w:sz w:val="9"/>
                <w:szCs w:val="9"/>
                <w:color w:val="auto"/>
              </w:rPr>
            </w:pPr>
          </w:p>
        </w:tc>
        <w:tc>
          <w:tcPr>
            <w:tcW w:w="240" w:type="dxa"/>
            <w:vAlign w:val="bottom"/>
            <w:tcBorders>
              <w:top w:val="single" w:sz="8" w:color="CFF0FC"/>
              <w:right w:val="single" w:sz="8" w:color="auto"/>
            </w:tcBorders>
            <w:shd w:val="clear" w:color="auto" w:fill="CFF0FC"/>
          </w:tcPr>
          <w:p>
            <w:pPr>
              <w:spacing w:after="0"/>
              <w:rPr>
                <w:sz w:val="9"/>
                <w:szCs w:val="9"/>
                <w:color w:val="auto"/>
              </w:rPr>
            </w:pPr>
          </w:p>
        </w:tc>
        <w:tc>
          <w:tcPr>
            <w:tcW w:w="100" w:type="dxa"/>
            <w:vAlign w:val="bottom"/>
            <w:tcBorders>
              <w:top w:val="single" w:sz="8" w:color="CFF0FC"/>
            </w:tcBorders>
            <w:shd w:val="clear" w:color="auto" w:fill="CFF0FC"/>
          </w:tcPr>
          <w:p>
            <w:pPr>
              <w:spacing w:after="0"/>
              <w:rPr>
                <w:sz w:val="9"/>
                <w:szCs w:val="9"/>
                <w:color w:val="auto"/>
              </w:rPr>
            </w:pPr>
          </w:p>
        </w:tc>
        <w:tc>
          <w:tcPr>
            <w:tcW w:w="880" w:type="dxa"/>
            <w:vAlign w:val="bottom"/>
            <w:tcBorders>
              <w:top w:val="single" w:sz="8" w:color="auto"/>
            </w:tcBorders>
            <w:shd w:val="clear" w:color="auto" w:fill="CFF0FC"/>
          </w:tcPr>
          <w:p>
            <w:pPr>
              <w:spacing w:after="0"/>
              <w:rPr>
                <w:sz w:val="9"/>
                <w:szCs w:val="9"/>
                <w:color w:val="auto"/>
              </w:rPr>
            </w:pPr>
          </w:p>
        </w:tc>
        <w:tc>
          <w:tcPr>
            <w:tcW w:w="220" w:type="dxa"/>
            <w:vAlign w:val="bottom"/>
            <w:tcBorders>
              <w:top w:val="single" w:sz="8" w:color="CFF0FC"/>
            </w:tcBorders>
            <w:shd w:val="clear" w:color="auto" w:fill="CFF0FC"/>
          </w:tcPr>
          <w:p>
            <w:pPr>
              <w:spacing w:after="0"/>
              <w:rPr>
                <w:sz w:val="9"/>
                <w:szCs w:val="9"/>
                <w:color w:val="auto"/>
              </w:rPr>
            </w:pPr>
          </w:p>
        </w:tc>
        <w:tc>
          <w:tcPr>
            <w:tcW w:w="680" w:type="dxa"/>
            <w:vAlign w:val="bottom"/>
            <w:tcBorders>
              <w:top w:val="single" w:sz="8" w:color="auto"/>
            </w:tcBorders>
            <w:shd w:val="clear" w:color="auto" w:fill="CFF0FC"/>
          </w:tcPr>
          <w:p>
            <w:pPr>
              <w:spacing w:after="0"/>
              <w:rPr>
                <w:sz w:val="9"/>
                <w:szCs w:val="9"/>
                <w:color w:val="auto"/>
              </w:rPr>
            </w:pPr>
          </w:p>
        </w:tc>
        <w:tc>
          <w:tcPr>
            <w:tcW w:w="200" w:type="dxa"/>
            <w:vAlign w:val="bottom"/>
            <w:tcBorders>
              <w:top w:val="single" w:sz="8" w:color="auto"/>
            </w:tcBorders>
            <w:shd w:val="clear" w:color="auto" w:fill="CFF0FC"/>
          </w:tcPr>
          <w:p>
            <w:pPr>
              <w:spacing w:after="0"/>
              <w:rPr>
                <w:sz w:val="9"/>
                <w:szCs w:val="9"/>
                <w:color w:val="auto"/>
              </w:rPr>
            </w:pPr>
          </w:p>
        </w:tc>
        <w:tc>
          <w:tcPr>
            <w:tcW w:w="240" w:type="dxa"/>
            <w:vAlign w:val="bottom"/>
            <w:tcBorders>
              <w:top w:val="single" w:sz="8" w:color="CFF0FC"/>
            </w:tcBorders>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740" w:type="dxa"/>
            <w:vAlign w:val="bottom"/>
            <w:tcBorders>
              <w:top w:val="single" w:sz="8" w:color="auto"/>
            </w:tcBorders>
            <w:shd w:val="clear" w:color="auto" w:fill="CFF0FC"/>
          </w:tcPr>
          <w:p>
            <w:pPr>
              <w:spacing w:after="0"/>
              <w:rPr>
                <w:sz w:val="9"/>
                <w:szCs w:val="9"/>
                <w:color w:val="auto"/>
              </w:rPr>
            </w:pPr>
          </w:p>
        </w:tc>
        <w:tc>
          <w:tcPr>
            <w:tcW w:w="240" w:type="dxa"/>
            <w:vAlign w:val="bottom"/>
            <w:tcBorders>
              <w:top w:val="single" w:sz="8" w:color="CFF0FC"/>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800" w:type="dxa"/>
            <w:vAlign w:val="bottom"/>
            <w:tcBorders>
              <w:top w:val="single" w:sz="8" w:color="auto"/>
            </w:tcBorders>
            <w:shd w:val="clear" w:color="auto" w:fill="CFF0FC"/>
          </w:tcPr>
          <w:p>
            <w:pPr>
              <w:spacing w:after="0"/>
              <w:rPr>
                <w:sz w:val="9"/>
                <w:szCs w:val="9"/>
                <w:color w:val="auto"/>
              </w:rPr>
            </w:pPr>
          </w:p>
        </w:tc>
        <w:tc>
          <w:tcPr>
            <w:tcW w:w="140" w:type="dxa"/>
            <w:vAlign w:val="bottom"/>
            <w:tcBorders>
              <w:top w:val="single" w:sz="8" w:color="CFF0FC"/>
            </w:tcBorders>
            <w:shd w:val="clear" w:color="auto" w:fill="CFF0FC"/>
          </w:tcPr>
          <w:p>
            <w:pPr>
              <w:spacing w:after="0"/>
              <w:rPr>
                <w:sz w:val="9"/>
                <w:szCs w:val="9"/>
                <w:color w:val="auto"/>
              </w:rPr>
            </w:pPr>
          </w:p>
        </w:tc>
        <w:tc>
          <w:tcPr>
            <w:tcW w:w="100" w:type="dxa"/>
            <w:vAlign w:val="bottom"/>
            <w:tcBorders>
              <w:top w:val="single" w:sz="8" w:color="CFF0FC"/>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780" w:type="dxa"/>
            <w:vAlign w:val="bottom"/>
            <w:tcBorders>
              <w:top w:val="single" w:sz="8" w:color="auto"/>
            </w:tcBorders>
            <w:shd w:val="clear" w:color="auto" w:fill="CFF0FC"/>
          </w:tcPr>
          <w:p>
            <w:pPr>
              <w:spacing w:after="0"/>
              <w:rPr>
                <w:sz w:val="9"/>
                <w:szCs w:val="9"/>
                <w:color w:val="auto"/>
              </w:rPr>
            </w:pPr>
          </w:p>
        </w:tc>
        <w:tc>
          <w:tcPr>
            <w:tcW w:w="220" w:type="dxa"/>
            <w:vAlign w:val="bottom"/>
            <w:tcBorders>
              <w:top w:val="single" w:sz="8" w:color="CFF0FC"/>
            </w:tcBorders>
            <w:shd w:val="clear" w:color="auto" w:fill="CFF0FC"/>
          </w:tcPr>
          <w:p>
            <w:pPr>
              <w:spacing w:after="0"/>
              <w:rPr>
                <w:sz w:val="9"/>
                <w:szCs w:val="9"/>
                <w:color w:val="auto"/>
              </w:rPr>
            </w:pPr>
          </w:p>
        </w:tc>
        <w:tc>
          <w:tcPr>
            <w:tcW w:w="20" w:type="dxa"/>
            <w:vAlign w:val="bottom"/>
            <w:tcBorders>
              <w:top w:val="single" w:sz="8" w:color="CFF0FC"/>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76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320" w:type="dxa"/>
            <w:vAlign w:val="bottom"/>
            <w:shd w:val="clear" w:color="auto" w:fill="CFF0FC"/>
          </w:tcPr>
          <w:p>
            <w:pPr>
              <w:ind w:left="100"/>
              <w:spacing w:after="0"/>
              <w:rPr>
                <w:sz w:val="20"/>
                <w:szCs w:val="20"/>
                <w:color w:val="auto"/>
              </w:rPr>
            </w:pPr>
            <w:r>
              <w:rPr>
                <w:rFonts w:ascii="Arial" w:cs="Arial" w:eastAsia="Arial" w:hAnsi="Arial"/>
                <w:sz w:val="13"/>
                <w:szCs w:val="13"/>
                <w:color w:val="auto"/>
              </w:rPr>
              <w:t>stock subject to repurchase</w:t>
            </w: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9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19,110</w:t>
            </w:r>
          </w:p>
        </w:tc>
        <w:tc>
          <w:tcPr>
            <w:tcW w:w="2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320" w:type="dxa"/>
            <w:vAlign w:val="bottom"/>
          </w:tcPr>
          <w:p>
            <w:pPr>
              <w:spacing w:after="0" w:line="133" w:lineRule="exact"/>
              <w:rPr>
                <w:sz w:val="20"/>
                <w:szCs w:val="20"/>
                <w:color w:val="auto"/>
              </w:rPr>
            </w:pPr>
            <w:r>
              <w:rPr>
                <w:rFonts w:ascii="Arial" w:cs="Arial" w:eastAsia="Arial" w:hAnsi="Arial"/>
                <w:sz w:val="13"/>
                <w:szCs w:val="13"/>
                <w:color w:val="auto"/>
              </w:rPr>
              <w:t>Issuance of common stock</w:t>
            </w: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320" w:type="dxa"/>
            <w:vAlign w:val="bottom"/>
          </w:tcPr>
          <w:p>
            <w:pPr>
              <w:ind w:left="100"/>
              <w:spacing w:after="0" w:line="136" w:lineRule="exact"/>
              <w:rPr>
                <w:sz w:val="20"/>
                <w:szCs w:val="20"/>
                <w:color w:val="auto"/>
              </w:rPr>
            </w:pPr>
            <w:r>
              <w:rPr>
                <w:rFonts w:ascii="Arial" w:cs="Arial" w:eastAsia="Arial" w:hAnsi="Arial"/>
                <w:sz w:val="13"/>
                <w:szCs w:val="13"/>
                <w:color w:val="auto"/>
              </w:rPr>
              <w:t>upon exercise of stock</w:t>
            </w: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320" w:type="dxa"/>
            <w:vAlign w:val="bottom"/>
          </w:tcPr>
          <w:p>
            <w:pPr>
              <w:ind w:left="100"/>
              <w:spacing w:after="0"/>
              <w:rPr>
                <w:sz w:val="20"/>
                <w:szCs w:val="20"/>
                <w:color w:val="auto"/>
              </w:rPr>
            </w:pPr>
            <w:r>
              <w:rPr>
                <w:rFonts w:ascii="Arial" w:cs="Arial" w:eastAsia="Arial" w:hAnsi="Arial"/>
                <w:sz w:val="13"/>
                <w:szCs w:val="13"/>
                <w:color w:val="auto"/>
              </w:rPr>
              <w:t>option, net of repurchase</w:t>
            </w:r>
          </w:p>
        </w:tc>
        <w:tc>
          <w:tcPr>
            <w:tcW w:w="11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9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110,425</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285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285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320" w:type="dxa"/>
            <w:vAlign w:val="bottom"/>
            <w:shd w:val="clear" w:color="auto" w:fill="CFF0FC"/>
          </w:tcPr>
          <w:p>
            <w:pPr>
              <w:spacing w:after="0" w:line="133" w:lineRule="exact"/>
              <w:rPr>
                <w:sz w:val="20"/>
                <w:szCs w:val="20"/>
                <w:color w:val="auto"/>
              </w:rPr>
            </w:pPr>
            <w:r>
              <w:rPr>
                <w:rFonts w:ascii="Arial" w:cs="Arial" w:eastAsia="Arial" w:hAnsi="Arial"/>
                <w:sz w:val="13"/>
                <w:szCs w:val="13"/>
                <w:color w:val="auto"/>
              </w:rPr>
              <w:t>Share-based compensation</w:t>
            </w:r>
          </w:p>
        </w:tc>
        <w:tc>
          <w:tcPr>
            <w:tcW w:w="9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320" w:type="dxa"/>
            <w:vAlign w:val="bottom"/>
            <w:shd w:val="clear" w:color="auto" w:fill="CFF0FC"/>
          </w:tcPr>
          <w:p>
            <w:pPr>
              <w:ind w:left="100"/>
              <w:spacing w:after="0"/>
              <w:rPr>
                <w:sz w:val="20"/>
                <w:szCs w:val="20"/>
                <w:color w:val="auto"/>
              </w:rPr>
            </w:pPr>
            <w:r>
              <w:rPr>
                <w:rFonts w:ascii="Arial" w:cs="Arial" w:eastAsia="Arial" w:hAnsi="Arial"/>
                <w:sz w:val="13"/>
                <w:szCs w:val="13"/>
                <w:color w:val="auto"/>
              </w:rPr>
              <w:t>expense</w:t>
            </w: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9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566</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566</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320" w:type="dxa"/>
            <w:vAlign w:val="bottom"/>
          </w:tcPr>
          <w:p>
            <w:pPr>
              <w:spacing w:after="0" w:line="133" w:lineRule="exact"/>
              <w:rPr>
                <w:sz w:val="20"/>
                <w:szCs w:val="20"/>
                <w:color w:val="auto"/>
              </w:rPr>
            </w:pPr>
            <w:r>
              <w:rPr>
                <w:rFonts w:ascii="Arial" w:cs="Arial" w:eastAsia="Arial" w:hAnsi="Arial"/>
                <w:sz w:val="13"/>
                <w:szCs w:val="13"/>
                <w:color w:val="auto"/>
              </w:rPr>
              <w:t>Unrealized gain on short-term</w:t>
            </w: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320" w:type="dxa"/>
            <w:vAlign w:val="bottom"/>
          </w:tcPr>
          <w:p>
            <w:pPr>
              <w:ind w:left="100"/>
              <w:spacing w:after="0"/>
              <w:rPr>
                <w:sz w:val="20"/>
                <w:szCs w:val="20"/>
                <w:color w:val="auto"/>
              </w:rPr>
            </w:pPr>
            <w:r>
              <w:rPr>
                <w:rFonts w:ascii="Arial" w:cs="Arial" w:eastAsia="Arial" w:hAnsi="Arial"/>
                <w:sz w:val="13"/>
                <w:szCs w:val="13"/>
                <w:color w:val="auto"/>
              </w:rPr>
              <w:t>investments</w:t>
            </w:r>
          </w:p>
        </w:tc>
        <w:tc>
          <w:tcPr>
            <w:tcW w:w="11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9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20" w:type="dxa"/>
            <w:vAlign w:val="bottom"/>
            <w:shd w:val="clear" w:color="auto" w:fill="CFF0FC"/>
          </w:tcPr>
          <w:p>
            <w:pPr>
              <w:spacing w:after="0"/>
              <w:rPr>
                <w:sz w:val="20"/>
                <w:szCs w:val="20"/>
                <w:color w:val="auto"/>
              </w:rPr>
            </w:pPr>
            <w:r>
              <w:rPr>
                <w:rFonts w:ascii="Arial" w:cs="Arial" w:eastAsia="Arial" w:hAnsi="Arial"/>
                <w:sz w:val="13"/>
                <w:szCs w:val="13"/>
                <w:color w:val="auto"/>
              </w:rPr>
              <w:t>Net loss</w:t>
            </w: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9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(51,065)</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(51,065)</w:t>
            </w:r>
          </w:p>
        </w:tc>
        <w:tc>
          <w:tcPr>
            <w:tcW w:w="0" w:type="dxa"/>
            <w:vAlign w:val="bottom"/>
          </w:tcPr>
          <w:p>
            <w:pPr>
              <w:spacing w:after="0"/>
              <w:rPr>
                <w:sz w:val="1"/>
                <w:szCs w:val="1"/>
                <w:color w:val="auto"/>
              </w:rPr>
            </w:pPr>
          </w:p>
        </w:tc>
      </w:tr>
      <w:tr>
        <w:trPr>
          <w:trHeight w:val="181"/>
        </w:trPr>
        <w:tc>
          <w:tcPr>
            <w:tcW w:w="2320" w:type="dxa"/>
            <w:vAlign w:val="bottom"/>
            <w:tcBorders>
              <w:bottom w:val="single" w:sz="8" w:color="CFF0FC"/>
            </w:tcBorders>
          </w:tcPr>
          <w:p>
            <w:pPr>
              <w:spacing w:after="0" w:line="141" w:lineRule="exact"/>
              <w:rPr>
                <w:sz w:val="20"/>
                <w:szCs w:val="20"/>
                <w:color w:val="auto"/>
              </w:rPr>
            </w:pPr>
            <w:r>
              <w:rPr>
                <w:rFonts w:ascii="Arial" w:cs="Arial" w:eastAsia="Arial" w:hAnsi="Arial"/>
                <w:sz w:val="13"/>
                <w:szCs w:val="13"/>
                <w:color w:val="auto"/>
              </w:rPr>
              <w:t>Balance, June 30, 2020</w:t>
            </w:r>
          </w:p>
        </w:tc>
        <w:tc>
          <w:tcPr>
            <w:tcW w:w="92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27,283,973</w:t>
            </w:r>
          </w:p>
        </w:tc>
        <w:tc>
          <w:tcPr>
            <w:tcW w:w="260" w:type="dxa"/>
            <w:vAlign w:val="bottom"/>
            <w:tcBorders>
              <w:bottom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59,815</w:t>
            </w:r>
          </w:p>
        </w:tc>
        <w:tc>
          <w:tcPr>
            <w:tcW w:w="240" w:type="dxa"/>
            <w:vAlign w:val="bottom"/>
            <w:tcBorders>
              <w:bottom w:val="single" w:sz="8" w:color="CFF0FC"/>
              <w:right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1,750,501</w:t>
            </w:r>
          </w:p>
        </w:tc>
        <w:tc>
          <w:tcPr>
            <w:tcW w:w="220" w:type="dxa"/>
            <w:vAlign w:val="bottom"/>
            <w:tcBorders>
              <w:bottom w:val="single" w:sz="8" w:color="CFF0FC"/>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537"/>
              <w:spacing w:after="0" w:line="141" w:lineRule="exact"/>
              <w:rPr>
                <w:sz w:val="20"/>
                <w:szCs w:val="20"/>
                <w:color w:val="auto"/>
              </w:rPr>
            </w:pPr>
            <w:r>
              <w:rPr>
                <w:rFonts w:ascii="Arial" w:cs="Arial" w:eastAsia="Arial" w:hAnsi="Arial"/>
                <w:sz w:val="13"/>
                <w:szCs w:val="13"/>
                <w:color w:val="auto"/>
                <w:w w:val="82"/>
              </w:rPr>
              <w:t>$</w:t>
            </w:r>
          </w:p>
        </w:tc>
        <w:tc>
          <w:tcPr>
            <w:tcW w:w="20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1</w:t>
            </w:r>
          </w:p>
        </w:tc>
        <w:tc>
          <w:tcPr>
            <w:tcW w:w="24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2,539</w:t>
            </w:r>
          </w:p>
        </w:tc>
        <w:tc>
          <w:tcPr>
            <w:tcW w:w="240" w:type="dxa"/>
            <w:vAlign w:val="bottom"/>
            <w:tcBorders>
              <w:bottom w:val="single" w:sz="8" w:color="CFF0FC"/>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1</w:t>
            </w: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(86,431)</w:t>
            </w:r>
          </w:p>
        </w:tc>
        <w:tc>
          <w:tcPr>
            <w:tcW w:w="22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(83,890)</w:t>
            </w:r>
          </w:p>
        </w:tc>
        <w:tc>
          <w:tcPr>
            <w:tcW w:w="6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2320" w:type="dxa"/>
            <w:vAlign w:val="bottom"/>
            <w:shd w:val="clear" w:color="auto" w:fill="CFF0FC"/>
          </w:tcPr>
          <w:p>
            <w:pPr>
              <w:spacing w:after="0" w:line="110" w:lineRule="exact"/>
              <w:rPr>
                <w:sz w:val="20"/>
                <w:szCs w:val="20"/>
                <w:color w:val="auto"/>
              </w:rPr>
            </w:pPr>
            <w:r>
              <w:rPr>
                <w:rFonts w:ascii="Arial" w:cs="Arial" w:eastAsia="Arial" w:hAnsi="Arial"/>
                <w:sz w:val="12"/>
                <w:szCs w:val="12"/>
                <w:color w:val="auto"/>
              </w:rPr>
              <w:t>Issuance of Series B second</w:t>
            </w:r>
          </w:p>
        </w:tc>
        <w:tc>
          <w:tcPr>
            <w:tcW w:w="9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4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320" w:type="dxa"/>
            <w:vAlign w:val="bottom"/>
            <w:shd w:val="clear" w:color="auto" w:fill="CFF0FC"/>
          </w:tcPr>
          <w:p>
            <w:pPr>
              <w:ind w:left="100"/>
              <w:spacing w:after="0" w:line="136" w:lineRule="exact"/>
              <w:rPr>
                <w:sz w:val="20"/>
                <w:szCs w:val="20"/>
                <w:color w:val="auto"/>
              </w:rPr>
            </w:pPr>
            <w:r>
              <w:rPr>
                <w:rFonts w:ascii="Arial" w:cs="Arial" w:eastAsia="Arial" w:hAnsi="Arial"/>
                <w:sz w:val="13"/>
                <w:szCs w:val="13"/>
                <w:color w:val="auto"/>
              </w:rPr>
              <w:t>tranche convertible preferred</w:t>
            </w:r>
          </w:p>
        </w:tc>
        <w:tc>
          <w:tcPr>
            <w:tcW w:w="9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320" w:type="dxa"/>
            <w:vAlign w:val="bottom"/>
            <w:shd w:val="clear" w:color="auto" w:fill="CFF0FC"/>
          </w:tcPr>
          <w:p>
            <w:pPr>
              <w:ind w:left="140"/>
              <w:spacing w:after="0"/>
              <w:rPr>
                <w:sz w:val="20"/>
                <w:szCs w:val="20"/>
                <w:color w:val="auto"/>
              </w:rPr>
            </w:pPr>
            <w:r>
              <w:rPr>
                <w:rFonts w:ascii="Arial" w:cs="Arial" w:eastAsia="Arial" w:hAnsi="Arial"/>
                <w:sz w:val="13"/>
                <w:szCs w:val="13"/>
                <w:color w:val="auto"/>
              </w:rPr>
              <w:t>stock, net of issuance costs</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27,066,206</w:t>
            </w: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64,321</w:t>
            </w:r>
          </w:p>
        </w:tc>
        <w:tc>
          <w:tcPr>
            <w:tcW w:w="24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3"/>
        </w:trPr>
        <w:tc>
          <w:tcPr>
            <w:tcW w:w="2320" w:type="dxa"/>
            <w:vAlign w:val="bottom"/>
          </w:tcPr>
          <w:p>
            <w:pPr>
              <w:spacing w:after="0" w:line="133" w:lineRule="exact"/>
              <w:rPr>
                <w:sz w:val="20"/>
                <w:szCs w:val="20"/>
                <w:color w:val="auto"/>
              </w:rPr>
            </w:pPr>
            <w:r>
              <w:rPr>
                <w:rFonts w:ascii="Arial" w:cs="Arial" w:eastAsia="Arial" w:hAnsi="Arial"/>
                <w:sz w:val="13"/>
                <w:szCs w:val="13"/>
                <w:color w:val="auto"/>
              </w:rPr>
              <w:t>Reclassification of preferred</w:t>
            </w: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320" w:type="dxa"/>
            <w:vAlign w:val="bottom"/>
          </w:tcPr>
          <w:p>
            <w:pPr>
              <w:ind w:left="100"/>
              <w:spacing w:after="0" w:line="136" w:lineRule="exact"/>
              <w:rPr>
                <w:sz w:val="20"/>
                <w:szCs w:val="20"/>
                <w:color w:val="auto"/>
              </w:rPr>
            </w:pPr>
            <w:r>
              <w:rPr>
                <w:rFonts w:ascii="Arial" w:cs="Arial" w:eastAsia="Arial" w:hAnsi="Arial"/>
                <w:sz w:val="13"/>
                <w:szCs w:val="13"/>
                <w:color w:val="auto"/>
              </w:rPr>
              <w:t>stock purchase right liability</w:t>
            </w: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320" w:type="dxa"/>
            <w:vAlign w:val="bottom"/>
          </w:tcPr>
          <w:p>
            <w:pPr>
              <w:ind w:left="100"/>
              <w:spacing w:after="0" w:line="136" w:lineRule="exact"/>
              <w:rPr>
                <w:sz w:val="20"/>
                <w:szCs w:val="20"/>
                <w:color w:val="auto"/>
              </w:rPr>
            </w:pPr>
            <w:r>
              <w:rPr>
                <w:rFonts w:ascii="Arial" w:cs="Arial" w:eastAsia="Arial" w:hAnsi="Arial"/>
                <w:sz w:val="13"/>
                <w:szCs w:val="13"/>
                <w:color w:val="auto"/>
              </w:rPr>
              <w:t>to equity upon issuance of</w:t>
            </w: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320" w:type="dxa"/>
            <w:vAlign w:val="bottom"/>
          </w:tcPr>
          <w:p>
            <w:pPr>
              <w:ind w:left="100"/>
              <w:spacing w:after="0"/>
              <w:rPr>
                <w:sz w:val="20"/>
                <w:szCs w:val="20"/>
                <w:color w:val="auto"/>
              </w:rPr>
            </w:pPr>
            <w:r>
              <w:rPr>
                <w:rFonts w:ascii="Arial" w:cs="Arial" w:eastAsia="Arial" w:hAnsi="Arial"/>
                <w:sz w:val="13"/>
                <w:szCs w:val="13"/>
                <w:color w:val="auto"/>
              </w:rPr>
              <w:t>convertible preferred stock</w:t>
            </w:r>
          </w:p>
        </w:tc>
        <w:tc>
          <w:tcPr>
            <w:tcW w:w="11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41,641</w:t>
            </w:r>
          </w:p>
        </w:tc>
        <w:tc>
          <w:tcPr>
            <w:tcW w:w="2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3"/>
        </w:trPr>
        <w:tc>
          <w:tcPr>
            <w:tcW w:w="2320" w:type="dxa"/>
            <w:vAlign w:val="bottom"/>
            <w:shd w:val="clear" w:color="auto" w:fill="CFF0FC"/>
          </w:tcPr>
          <w:p>
            <w:pPr>
              <w:spacing w:after="0" w:line="133" w:lineRule="exact"/>
              <w:rPr>
                <w:sz w:val="20"/>
                <w:szCs w:val="20"/>
                <w:color w:val="auto"/>
              </w:rPr>
            </w:pPr>
            <w:r>
              <w:rPr>
                <w:rFonts w:ascii="Arial" w:cs="Arial" w:eastAsia="Arial" w:hAnsi="Arial"/>
                <w:sz w:val="13"/>
                <w:szCs w:val="13"/>
                <w:color w:val="auto"/>
              </w:rPr>
              <w:t>Conversion of convertible</w:t>
            </w:r>
          </w:p>
        </w:tc>
        <w:tc>
          <w:tcPr>
            <w:tcW w:w="9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320" w:type="dxa"/>
            <w:vAlign w:val="bottom"/>
            <w:shd w:val="clear" w:color="auto" w:fill="CFF0FC"/>
          </w:tcPr>
          <w:p>
            <w:pPr>
              <w:ind w:left="100"/>
              <w:spacing w:after="0" w:line="136" w:lineRule="exact"/>
              <w:rPr>
                <w:sz w:val="20"/>
                <w:szCs w:val="20"/>
                <w:color w:val="auto"/>
              </w:rPr>
            </w:pPr>
            <w:r>
              <w:rPr>
                <w:rFonts w:ascii="Arial" w:cs="Arial" w:eastAsia="Arial" w:hAnsi="Arial"/>
                <w:sz w:val="13"/>
                <w:szCs w:val="13"/>
                <w:color w:val="auto"/>
              </w:rPr>
              <w:t>preferred stock to</w:t>
            </w:r>
          </w:p>
        </w:tc>
        <w:tc>
          <w:tcPr>
            <w:tcW w:w="9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320" w:type="dxa"/>
            <w:vAlign w:val="bottom"/>
            <w:shd w:val="clear" w:color="auto" w:fill="CFF0FC"/>
          </w:tcPr>
          <w:p>
            <w:pPr>
              <w:ind w:left="100"/>
              <w:spacing w:after="0"/>
              <w:rPr>
                <w:sz w:val="20"/>
                <w:szCs w:val="20"/>
                <w:color w:val="auto"/>
              </w:rPr>
            </w:pPr>
            <w:r>
              <w:rPr>
                <w:rFonts w:ascii="Arial" w:cs="Arial" w:eastAsia="Arial" w:hAnsi="Arial"/>
                <w:sz w:val="13"/>
                <w:szCs w:val="13"/>
                <w:color w:val="auto"/>
              </w:rPr>
              <w:t>common stock</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(54,350,179)</w:t>
            </w:r>
          </w:p>
        </w:tc>
        <w:tc>
          <w:tcPr>
            <w:tcW w:w="220" w:type="dxa"/>
            <w:vAlign w:val="bottom"/>
            <w:shd w:val="clear" w:color="auto" w:fill="CFF0FC"/>
          </w:tcPr>
          <w:p>
            <w:pPr>
              <w:spacing w:after="0"/>
              <w:rPr>
                <w:sz w:val="13"/>
                <w:szCs w:val="13"/>
                <w:color w:val="auto"/>
              </w:rPr>
            </w:pPr>
          </w:p>
        </w:tc>
        <w:tc>
          <w:tcPr>
            <w:tcW w:w="92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(165,777)</w:t>
            </w: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14,689,215</w:t>
            </w:r>
          </w:p>
        </w:tc>
        <w:tc>
          <w:tcPr>
            <w:tcW w:w="2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165,776</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165,777</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320" w:type="dxa"/>
            <w:vAlign w:val="bottom"/>
          </w:tcPr>
          <w:p>
            <w:pPr>
              <w:spacing w:after="0" w:line="133" w:lineRule="exact"/>
              <w:rPr>
                <w:sz w:val="20"/>
                <w:szCs w:val="20"/>
                <w:color w:val="auto"/>
              </w:rPr>
            </w:pPr>
            <w:r>
              <w:rPr>
                <w:rFonts w:ascii="Arial" w:cs="Arial" w:eastAsia="Arial" w:hAnsi="Arial"/>
                <w:sz w:val="13"/>
                <w:szCs w:val="13"/>
                <w:color w:val="auto"/>
              </w:rPr>
              <w:t>Issuance of common stock</w:t>
            </w: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320" w:type="dxa"/>
            <w:vAlign w:val="bottom"/>
          </w:tcPr>
          <w:p>
            <w:pPr>
              <w:ind w:left="100"/>
              <w:spacing w:after="0" w:line="136" w:lineRule="exact"/>
              <w:rPr>
                <w:sz w:val="20"/>
                <w:szCs w:val="20"/>
                <w:color w:val="auto"/>
              </w:rPr>
            </w:pPr>
            <w:r>
              <w:rPr>
                <w:rFonts w:ascii="Arial" w:cs="Arial" w:eastAsia="Arial" w:hAnsi="Arial"/>
                <w:sz w:val="13"/>
                <w:szCs w:val="13"/>
                <w:color w:val="auto"/>
              </w:rPr>
              <w:t>upon initial public offering</w:t>
            </w: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320" w:type="dxa"/>
            <w:vAlign w:val="bottom"/>
          </w:tcPr>
          <w:p>
            <w:pPr>
              <w:ind w:left="100"/>
              <w:spacing w:after="0"/>
              <w:rPr>
                <w:sz w:val="20"/>
                <w:szCs w:val="20"/>
                <w:color w:val="auto"/>
              </w:rPr>
            </w:pPr>
            <w:r>
              <w:rPr>
                <w:rFonts w:ascii="Arial" w:cs="Arial" w:eastAsia="Arial" w:hAnsi="Arial"/>
                <w:sz w:val="13"/>
                <w:szCs w:val="13"/>
                <w:color w:val="auto"/>
              </w:rPr>
              <w:t>net of issuance costs</w:t>
            </w:r>
          </w:p>
        </w:tc>
        <w:tc>
          <w:tcPr>
            <w:tcW w:w="11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9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16,100,000</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1</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265,129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265,130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320" w:type="dxa"/>
            <w:vAlign w:val="bottom"/>
            <w:shd w:val="clear" w:color="auto" w:fill="CFF0FC"/>
          </w:tcPr>
          <w:p>
            <w:pPr>
              <w:spacing w:after="0" w:line="133" w:lineRule="exact"/>
              <w:rPr>
                <w:sz w:val="20"/>
                <w:szCs w:val="20"/>
                <w:color w:val="auto"/>
              </w:rPr>
            </w:pPr>
            <w:r>
              <w:rPr>
                <w:rFonts w:ascii="Arial" w:cs="Arial" w:eastAsia="Arial" w:hAnsi="Arial"/>
                <w:sz w:val="13"/>
                <w:szCs w:val="13"/>
                <w:color w:val="auto"/>
              </w:rPr>
              <w:t>Vesting of shares of common</w:t>
            </w:r>
          </w:p>
        </w:tc>
        <w:tc>
          <w:tcPr>
            <w:tcW w:w="9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320" w:type="dxa"/>
            <w:vAlign w:val="bottom"/>
            <w:shd w:val="clear" w:color="auto" w:fill="CFF0FC"/>
          </w:tcPr>
          <w:p>
            <w:pPr>
              <w:ind w:left="100"/>
              <w:spacing w:after="0"/>
              <w:rPr>
                <w:sz w:val="20"/>
                <w:szCs w:val="20"/>
                <w:color w:val="auto"/>
              </w:rPr>
            </w:pPr>
            <w:r>
              <w:rPr>
                <w:rFonts w:ascii="Arial" w:cs="Arial" w:eastAsia="Arial" w:hAnsi="Arial"/>
                <w:sz w:val="13"/>
                <w:szCs w:val="13"/>
                <w:color w:val="auto"/>
              </w:rPr>
              <w:t>stock subject to repurchase</w:t>
            </w: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9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18,246</w:t>
            </w:r>
          </w:p>
        </w:tc>
        <w:tc>
          <w:tcPr>
            <w:tcW w:w="2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320" w:type="dxa"/>
            <w:vAlign w:val="bottom"/>
          </w:tcPr>
          <w:p>
            <w:pPr>
              <w:spacing w:after="0" w:line="133" w:lineRule="exact"/>
              <w:rPr>
                <w:sz w:val="20"/>
                <w:szCs w:val="20"/>
                <w:color w:val="auto"/>
              </w:rPr>
            </w:pPr>
            <w:r>
              <w:rPr>
                <w:rFonts w:ascii="Arial" w:cs="Arial" w:eastAsia="Arial" w:hAnsi="Arial"/>
                <w:sz w:val="13"/>
                <w:szCs w:val="13"/>
                <w:color w:val="auto"/>
              </w:rPr>
              <w:t>Issuance of common stock upon</w:t>
            </w: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320" w:type="dxa"/>
            <w:vAlign w:val="bottom"/>
          </w:tcPr>
          <w:p>
            <w:pPr>
              <w:ind w:left="100"/>
              <w:spacing w:after="0" w:line="136" w:lineRule="exact"/>
              <w:rPr>
                <w:sz w:val="20"/>
                <w:szCs w:val="20"/>
                <w:color w:val="auto"/>
              </w:rPr>
            </w:pPr>
            <w:r>
              <w:rPr>
                <w:rFonts w:ascii="Arial" w:cs="Arial" w:eastAsia="Arial" w:hAnsi="Arial"/>
                <w:sz w:val="13"/>
                <w:szCs w:val="13"/>
                <w:color w:val="auto"/>
              </w:rPr>
              <w:t>exercise of stock option,</w:t>
            </w: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320" w:type="dxa"/>
            <w:vAlign w:val="bottom"/>
          </w:tcPr>
          <w:p>
            <w:pPr>
              <w:ind w:left="100"/>
              <w:spacing w:after="0"/>
              <w:rPr>
                <w:sz w:val="20"/>
                <w:szCs w:val="20"/>
                <w:color w:val="auto"/>
              </w:rPr>
            </w:pPr>
            <w:r>
              <w:rPr>
                <w:rFonts w:ascii="Arial" w:cs="Arial" w:eastAsia="Arial" w:hAnsi="Arial"/>
                <w:sz w:val="13"/>
                <w:szCs w:val="13"/>
                <w:color w:val="auto"/>
              </w:rPr>
              <w:t>net of repurchase</w:t>
            </w:r>
          </w:p>
        </w:tc>
        <w:tc>
          <w:tcPr>
            <w:tcW w:w="11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9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10,370</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320" w:type="dxa"/>
            <w:vAlign w:val="bottom"/>
            <w:shd w:val="clear" w:color="auto" w:fill="CFF0FC"/>
          </w:tcPr>
          <w:p>
            <w:pPr>
              <w:spacing w:after="0" w:line="133" w:lineRule="exact"/>
              <w:rPr>
                <w:sz w:val="20"/>
                <w:szCs w:val="20"/>
                <w:color w:val="auto"/>
              </w:rPr>
            </w:pPr>
            <w:r>
              <w:rPr>
                <w:rFonts w:ascii="Arial" w:cs="Arial" w:eastAsia="Arial" w:hAnsi="Arial"/>
                <w:sz w:val="13"/>
                <w:szCs w:val="13"/>
                <w:color w:val="auto"/>
              </w:rPr>
              <w:t>Share-based compensation</w:t>
            </w:r>
          </w:p>
        </w:tc>
        <w:tc>
          <w:tcPr>
            <w:tcW w:w="9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320" w:type="dxa"/>
            <w:vAlign w:val="bottom"/>
            <w:shd w:val="clear" w:color="auto" w:fill="CFF0FC"/>
          </w:tcPr>
          <w:p>
            <w:pPr>
              <w:ind w:left="100"/>
              <w:spacing w:after="0"/>
              <w:rPr>
                <w:sz w:val="20"/>
                <w:szCs w:val="20"/>
                <w:color w:val="auto"/>
              </w:rPr>
            </w:pPr>
            <w:r>
              <w:rPr>
                <w:rFonts w:ascii="Arial" w:cs="Arial" w:eastAsia="Arial" w:hAnsi="Arial"/>
                <w:sz w:val="13"/>
                <w:szCs w:val="13"/>
                <w:color w:val="auto"/>
              </w:rPr>
              <w:t>expense</w:t>
            </w: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9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1,609</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1,609</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320" w:type="dxa"/>
            <w:vAlign w:val="bottom"/>
          </w:tcPr>
          <w:p>
            <w:pPr>
              <w:spacing w:after="0" w:line="133" w:lineRule="exact"/>
              <w:rPr>
                <w:sz w:val="20"/>
                <w:szCs w:val="20"/>
                <w:color w:val="auto"/>
              </w:rPr>
            </w:pPr>
            <w:r>
              <w:rPr>
                <w:rFonts w:ascii="Arial" w:cs="Arial" w:eastAsia="Arial" w:hAnsi="Arial"/>
                <w:sz w:val="13"/>
                <w:szCs w:val="13"/>
                <w:color w:val="auto"/>
              </w:rPr>
              <w:t>Unrealized gain on short-term</w:t>
            </w: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320" w:type="dxa"/>
            <w:vAlign w:val="bottom"/>
          </w:tcPr>
          <w:p>
            <w:pPr>
              <w:ind w:left="100"/>
              <w:spacing w:after="0"/>
              <w:rPr>
                <w:sz w:val="20"/>
                <w:szCs w:val="20"/>
                <w:color w:val="auto"/>
              </w:rPr>
            </w:pPr>
            <w:r>
              <w:rPr>
                <w:rFonts w:ascii="Arial" w:cs="Arial" w:eastAsia="Arial" w:hAnsi="Arial"/>
                <w:sz w:val="13"/>
                <w:szCs w:val="13"/>
                <w:color w:val="auto"/>
              </w:rPr>
              <w:t>investments</w:t>
            </w: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20" w:type="dxa"/>
            <w:vAlign w:val="bottom"/>
            <w:shd w:val="clear" w:color="auto" w:fill="CFF0FC"/>
          </w:tcPr>
          <w:p>
            <w:pPr>
              <w:spacing w:after="0"/>
              <w:rPr>
                <w:sz w:val="20"/>
                <w:szCs w:val="20"/>
                <w:color w:val="auto"/>
              </w:rPr>
            </w:pPr>
            <w:r>
              <w:rPr>
                <w:rFonts w:ascii="Arial" w:cs="Arial" w:eastAsia="Arial" w:hAnsi="Arial"/>
                <w:sz w:val="13"/>
                <w:szCs w:val="13"/>
                <w:color w:val="auto"/>
              </w:rPr>
              <w:t>Net loss</w:t>
            </w: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9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(13,693)</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(13,693)</w:t>
            </w:r>
          </w:p>
        </w:tc>
        <w:tc>
          <w:tcPr>
            <w:tcW w:w="0" w:type="dxa"/>
            <w:vAlign w:val="bottom"/>
          </w:tcPr>
          <w:p>
            <w:pPr>
              <w:spacing w:after="0"/>
              <w:rPr>
                <w:sz w:val="1"/>
                <w:szCs w:val="1"/>
                <w:color w:val="auto"/>
              </w:rPr>
            </w:pPr>
          </w:p>
        </w:tc>
      </w:tr>
      <w:tr>
        <w:trPr>
          <w:trHeight w:val="141"/>
        </w:trPr>
        <w:tc>
          <w:tcPr>
            <w:tcW w:w="2320" w:type="dxa"/>
            <w:vAlign w:val="bottom"/>
          </w:tcPr>
          <w:p>
            <w:pPr>
              <w:spacing w:after="0" w:line="141" w:lineRule="exact"/>
              <w:rPr>
                <w:sz w:val="20"/>
                <w:szCs w:val="20"/>
                <w:color w:val="auto"/>
              </w:rPr>
            </w:pPr>
            <w:r>
              <w:rPr>
                <w:rFonts w:ascii="Arial" w:cs="Arial" w:eastAsia="Arial" w:hAnsi="Arial"/>
                <w:sz w:val="13"/>
                <w:szCs w:val="13"/>
                <w:color w:val="auto"/>
              </w:rPr>
              <w:t>Balance, September 30, 2020</w:t>
            </w:r>
          </w:p>
        </w:tc>
        <w:tc>
          <w:tcPr>
            <w:tcW w:w="92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32,568,332</w:t>
            </w:r>
          </w:p>
        </w:tc>
        <w:tc>
          <w:tcPr>
            <w:tcW w:w="2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537"/>
              <w:spacing w:after="0" w:line="141" w:lineRule="exact"/>
              <w:rPr>
                <w:sz w:val="20"/>
                <w:szCs w:val="20"/>
                <w:color w:val="auto"/>
              </w:rPr>
            </w:pPr>
            <w:r>
              <w:rPr>
                <w:rFonts w:ascii="Arial" w:cs="Arial" w:eastAsia="Arial" w:hAnsi="Arial"/>
                <w:sz w:val="13"/>
                <w:szCs w:val="13"/>
                <w:color w:val="auto"/>
                <w:w w:val="82"/>
              </w:rPr>
              <w:t>$</w:t>
            </w:r>
          </w:p>
        </w:tc>
        <w:tc>
          <w:tcPr>
            <w:tcW w:w="20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3</w:t>
            </w:r>
          </w:p>
        </w:tc>
        <w:tc>
          <w:tcPr>
            <w:tcW w:w="24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435,098</w:t>
            </w: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(100,124)</w:t>
            </w:r>
          </w:p>
        </w:tc>
        <w:tc>
          <w:tcPr>
            <w:tcW w:w="2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334,981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financial statements.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7"/>
          <w:szCs w:val="17"/>
          <w:b w:val="1"/>
          <w:bCs w:val="1"/>
          <w:color w:val="auto"/>
        </w:rPr>
        <w:t>NKARTA,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STATEMENT OF CASH FLOWS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w:t>
      </w:r>
    </w:p>
    <w:p>
      <w:pPr>
        <w:spacing w:after="0" w:line="195" w:lineRule="exact"/>
        <w:rPr>
          <w:sz w:val="20"/>
          <w:szCs w:val="20"/>
          <w:color w:val="auto"/>
        </w:rPr>
      </w:pPr>
    </w:p>
    <w:p>
      <w:pPr>
        <w:jc w:val="center"/>
        <w:ind w:left="7580"/>
        <w:spacing w:after="0"/>
        <w:rPr>
          <w:sz w:val="20"/>
          <w:szCs w:val="20"/>
          <w:color w:val="auto"/>
        </w:rPr>
      </w:pPr>
      <w:r>
        <w:rPr>
          <w:rFonts w:ascii="Arial" w:cs="Arial" w:eastAsia="Arial" w:hAnsi="Arial"/>
          <w:sz w:val="13"/>
          <w:szCs w:val="13"/>
          <w:b w:val="1"/>
          <w:bCs w:val="1"/>
          <w:color w:val="auto"/>
        </w:rPr>
        <w:t>Nine Months Ended</w:t>
      </w:r>
    </w:p>
    <w:p>
      <w:pPr>
        <w:jc w:val="center"/>
        <w:ind w:left="7580"/>
        <w:spacing w:after="0" w:line="229" w:lineRule="auto"/>
        <w:rPr>
          <w:sz w:val="20"/>
          <w:szCs w:val="20"/>
          <w:color w:val="auto"/>
        </w:rPr>
      </w:pPr>
      <w:r>
        <w:rPr>
          <w:rFonts w:ascii="Arial" w:cs="Arial" w:eastAsia="Arial" w:hAnsi="Arial"/>
          <w:sz w:val="13"/>
          <w:szCs w:val="13"/>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6560" w:type="dxa"/>
            <w:vAlign w:val="bottom"/>
            <w:tcBorders>
              <w:bottom w:val="single" w:sz="8" w:color="CFF0FC"/>
            </w:tcBorders>
          </w:tcPr>
          <w:p>
            <w:pPr>
              <w:spacing w:after="0"/>
              <w:rPr>
                <w:sz w:val="12"/>
                <w:szCs w:val="12"/>
                <w:color w:val="auto"/>
              </w:rPr>
            </w:pPr>
          </w:p>
        </w:tc>
        <w:tc>
          <w:tcPr>
            <w:tcW w:w="1180" w:type="dxa"/>
            <w:vAlign w:val="bottom"/>
            <w:tcBorders>
              <w:bottom w:val="single" w:sz="8" w:color="CFF0FC"/>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3"/>
                <w:szCs w:val="13"/>
                <w:b w:val="1"/>
                <w:bCs w:val="1"/>
                <w:color w:val="auto"/>
              </w:rPr>
              <w:t>2021</w:t>
            </w:r>
          </w:p>
        </w:tc>
        <w:tc>
          <w:tcPr>
            <w:tcW w:w="6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FF0FC"/>
            </w:tcBorders>
          </w:tcPr>
          <w:p>
            <w:pPr>
              <w:spacing w:after="0"/>
              <w:rPr>
                <w:sz w:val="12"/>
                <w:szCs w:val="12"/>
                <w:color w:val="auto"/>
              </w:rPr>
            </w:pPr>
          </w:p>
        </w:tc>
        <w:tc>
          <w:tcPr>
            <w:tcW w:w="20" w:type="dxa"/>
            <w:vAlign w:val="bottom"/>
            <w:tcBorders>
              <w:top w:val="single" w:sz="8" w:color="auto"/>
              <w:bottom w:val="single" w:sz="8" w:color="CFF0FC"/>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8"/>
              <w:spacing w:after="0" w:line="141"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2"/>
                <w:szCs w:val="12"/>
                <w:color w:val="auto"/>
              </w:rPr>
            </w:pPr>
          </w:p>
        </w:tc>
      </w:tr>
      <w:tr>
        <w:trPr>
          <w:trHeight w:val="203"/>
        </w:trPr>
        <w:tc>
          <w:tcPr>
            <w:tcW w:w="6560" w:type="dxa"/>
            <w:vAlign w:val="bottom"/>
            <w:shd w:val="clear" w:color="auto" w:fill="CFF0FC"/>
          </w:tcPr>
          <w:p>
            <w:pPr>
              <w:spacing w:after="0"/>
              <w:rPr>
                <w:sz w:val="20"/>
                <w:szCs w:val="20"/>
                <w:color w:val="auto"/>
              </w:rPr>
            </w:pPr>
            <w:r>
              <w:rPr>
                <w:rFonts w:ascii="Arial" w:cs="Arial" w:eastAsia="Arial" w:hAnsi="Arial"/>
                <w:sz w:val="17"/>
                <w:szCs w:val="17"/>
                <w:color w:val="auto"/>
              </w:rPr>
              <w:t>Cash flows from operating activities</w:t>
            </w:r>
          </w:p>
        </w:tc>
        <w:tc>
          <w:tcPr>
            <w:tcW w:w="1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0"/>
        </w:trPr>
        <w:tc>
          <w:tcPr>
            <w:tcW w:w="6560" w:type="dxa"/>
            <w:vAlign w:val="bottom"/>
          </w:tcPr>
          <w:p>
            <w:pPr>
              <w:ind w:left="220"/>
              <w:spacing w:after="0"/>
              <w:rPr>
                <w:sz w:val="20"/>
                <w:szCs w:val="20"/>
                <w:color w:val="auto"/>
              </w:rPr>
            </w:pPr>
            <w:r>
              <w:rPr>
                <w:rFonts w:ascii="Arial" w:cs="Arial" w:eastAsia="Arial" w:hAnsi="Arial"/>
                <w:sz w:val="17"/>
                <w:szCs w:val="17"/>
                <w:color w:val="auto"/>
              </w:rPr>
              <w:t>Net loss</w:t>
            </w:r>
          </w:p>
        </w:tc>
        <w:tc>
          <w:tcPr>
            <w:tcW w:w="2100" w:type="dxa"/>
            <w:vAlign w:val="bottom"/>
            <w:gridSpan w:val="2"/>
          </w:tcPr>
          <w:p>
            <w:pPr>
              <w:jc w:val="right"/>
              <w:ind w:right="766"/>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(63,261)</w:t>
            </w:r>
          </w:p>
        </w:tc>
        <w:tc>
          <w:tcPr>
            <w:tcW w:w="360" w:type="dxa"/>
            <w:vAlign w:val="bottom"/>
            <w:gridSpan w:val="2"/>
          </w:tcPr>
          <w:p>
            <w:pPr>
              <w:jc w:val="right"/>
              <w:ind w:right="228"/>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(73,464)</w:t>
            </w:r>
          </w:p>
        </w:tc>
      </w:tr>
      <w:tr>
        <w:trPr>
          <w:trHeight w:val="211"/>
        </w:trPr>
        <w:tc>
          <w:tcPr>
            <w:tcW w:w="65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1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0"/>
        </w:trPr>
        <w:tc>
          <w:tcPr>
            <w:tcW w:w="6560" w:type="dxa"/>
            <w:vAlign w:val="bottom"/>
          </w:tcPr>
          <w:p>
            <w:pPr>
              <w:ind w:left="460"/>
              <w:spacing w:after="0"/>
              <w:rPr>
                <w:sz w:val="20"/>
                <w:szCs w:val="20"/>
                <w:color w:val="auto"/>
              </w:rPr>
            </w:pPr>
            <w:r>
              <w:rPr>
                <w:rFonts w:ascii="Arial" w:cs="Arial" w:eastAsia="Arial" w:hAnsi="Arial"/>
                <w:sz w:val="17"/>
                <w:szCs w:val="17"/>
                <w:color w:val="auto"/>
              </w:rPr>
              <w:t>Share-based compensation expense</w:t>
            </w: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10,729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2,657</w:t>
            </w:r>
          </w:p>
        </w:tc>
        <w:tc>
          <w:tcPr>
            <w:tcW w:w="120" w:type="dxa"/>
            <w:vAlign w:val="bottom"/>
          </w:tcPr>
          <w:p>
            <w:pPr>
              <w:spacing w:after="0"/>
              <w:rPr>
                <w:sz w:val="18"/>
                <w:szCs w:val="18"/>
                <w:color w:val="auto"/>
              </w:rPr>
            </w:pPr>
          </w:p>
        </w:tc>
      </w:tr>
      <w:tr>
        <w:trPr>
          <w:trHeight w:val="211"/>
        </w:trPr>
        <w:tc>
          <w:tcPr>
            <w:tcW w:w="6560" w:type="dxa"/>
            <w:vAlign w:val="bottom"/>
            <w:shd w:val="clear" w:color="auto" w:fill="CFF0FC"/>
          </w:tcPr>
          <w:p>
            <w:pPr>
              <w:ind w:left="460"/>
              <w:spacing w:after="0"/>
              <w:rPr>
                <w:sz w:val="20"/>
                <w:szCs w:val="20"/>
                <w:color w:val="auto"/>
              </w:rPr>
            </w:pPr>
            <w:r>
              <w:rPr>
                <w:rFonts w:ascii="Arial" w:cs="Arial" w:eastAsia="Arial" w:hAnsi="Arial"/>
                <w:sz w:val="17"/>
                <w:szCs w:val="17"/>
                <w:color w:val="auto"/>
              </w:rPr>
              <w:t>Depreciation and amortization</w:t>
            </w:r>
          </w:p>
        </w:tc>
        <w:tc>
          <w:tcPr>
            <w:tcW w:w="1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1,200</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503</w:t>
            </w:r>
          </w:p>
        </w:tc>
        <w:tc>
          <w:tcPr>
            <w:tcW w:w="120" w:type="dxa"/>
            <w:vAlign w:val="bottom"/>
            <w:shd w:val="clear" w:color="auto" w:fill="CFF0FC"/>
          </w:tcPr>
          <w:p>
            <w:pPr>
              <w:spacing w:after="0"/>
              <w:rPr>
                <w:sz w:val="18"/>
                <w:szCs w:val="18"/>
                <w:color w:val="auto"/>
              </w:rPr>
            </w:pPr>
          </w:p>
        </w:tc>
      </w:tr>
      <w:tr>
        <w:trPr>
          <w:trHeight w:val="210"/>
        </w:trPr>
        <w:tc>
          <w:tcPr>
            <w:tcW w:w="6560" w:type="dxa"/>
            <w:vAlign w:val="bottom"/>
          </w:tcPr>
          <w:p>
            <w:pPr>
              <w:ind w:left="460"/>
              <w:spacing w:after="0"/>
              <w:rPr>
                <w:sz w:val="20"/>
                <w:szCs w:val="20"/>
                <w:color w:val="auto"/>
              </w:rPr>
            </w:pPr>
            <w:r>
              <w:rPr>
                <w:rFonts w:ascii="Arial" w:cs="Arial" w:eastAsia="Arial" w:hAnsi="Arial"/>
                <w:sz w:val="17"/>
                <w:szCs w:val="17"/>
                <w:color w:val="auto"/>
              </w:rPr>
              <w:t>Accretion and amortization of premiums and discounts on investments, net</w:t>
            </w: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2,410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116</w:t>
            </w:r>
          </w:p>
        </w:tc>
        <w:tc>
          <w:tcPr>
            <w:tcW w:w="120" w:type="dxa"/>
            <w:vAlign w:val="bottom"/>
          </w:tcPr>
          <w:p>
            <w:pPr>
              <w:spacing w:after="0"/>
              <w:rPr>
                <w:sz w:val="18"/>
                <w:szCs w:val="18"/>
                <w:color w:val="auto"/>
              </w:rPr>
            </w:pPr>
          </w:p>
        </w:tc>
      </w:tr>
      <w:tr>
        <w:trPr>
          <w:trHeight w:val="211"/>
        </w:trPr>
        <w:tc>
          <w:tcPr>
            <w:tcW w:w="6560" w:type="dxa"/>
            <w:vAlign w:val="bottom"/>
            <w:shd w:val="clear" w:color="auto" w:fill="CFF0FC"/>
          </w:tcPr>
          <w:p>
            <w:pPr>
              <w:ind w:left="460"/>
              <w:spacing w:after="0"/>
              <w:rPr>
                <w:sz w:val="20"/>
                <w:szCs w:val="20"/>
                <w:color w:val="auto"/>
              </w:rPr>
            </w:pPr>
            <w:r>
              <w:rPr>
                <w:rFonts w:ascii="Arial" w:cs="Arial" w:eastAsia="Arial" w:hAnsi="Arial"/>
                <w:sz w:val="17"/>
                <w:szCs w:val="17"/>
                <w:color w:val="auto"/>
              </w:rPr>
              <w:t>Non-cash lease expense</w:t>
            </w:r>
          </w:p>
        </w:tc>
        <w:tc>
          <w:tcPr>
            <w:tcW w:w="1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324</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220</w:t>
            </w:r>
          </w:p>
        </w:tc>
        <w:tc>
          <w:tcPr>
            <w:tcW w:w="120" w:type="dxa"/>
            <w:vAlign w:val="bottom"/>
            <w:shd w:val="clear" w:color="auto" w:fill="CFF0FC"/>
          </w:tcPr>
          <w:p>
            <w:pPr>
              <w:spacing w:after="0"/>
              <w:rPr>
                <w:sz w:val="18"/>
                <w:szCs w:val="18"/>
                <w:color w:val="auto"/>
              </w:rPr>
            </w:pPr>
          </w:p>
        </w:tc>
      </w:tr>
      <w:tr>
        <w:trPr>
          <w:trHeight w:val="210"/>
        </w:trPr>
        <w:tc>
          <w:tcPr>
            <w:tcW w:w="6560" w:type="dxa"/>
            <w:vAlign w:val="bottom"/>
          </w:tcPr>
          <w:p>
            <w:pPr>
              <w:ind w:left="460"/>
              <w:spacing w:after="0"/>
              <w:rPr>
                <w:sz w:val="20"/>
                <w:szCs w:val="20"/>
                <w:color w:val="auto"/>
              </w:rPr>
            </w:pPr>
            <w:r>
              <w:rPr>
                <w:rFonts w:ascii="Arial" w:cs="Arial" w:eastAsia="Arial" w:hAnsi="Arial"/>
                <w:sz w:val="17"/>
                <w:szCs w:val="17"/>
                <w:color w:val="auto"/>
              </w:rPr>
              <w:t>Change in fair value of preferred stock purchase right liability</w:t>
            </w: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40,163</w:t>
            </w:r>
          </w:p>
        </w:tc>
        <w:tc>
          <w:tcPr>
            <w:tcW w:w="120" w:type="dxa"/>
            <w:vAlign w:val="bottom"/>
          </w:tcPr>
          <w:p>
            <w:pPr>
              <w:spacing w:after="0"/>
              <w:rPr>
                <w:sz w:val="18"/>
                <w:szCs w:val="18"/>
                <w:color w:val="auto"/>
              </w:rPr>
            </w:pPr>
          </w:p>
        </w:tc>
      </w:tr>
      <w:tr>
        <w:trPr>
          <w:trHeight w:val="211"/>
        </w:trPr>
        <w:tc>
          <w:tcPr>
            <w:tcW w:w="6560" w:type="dxa"/>
            <w:vAlign w:val="bottom"/>
            <w:shd w:val="clear" w:color="auto" w:fill="CFF0FC"/>
          </w:tcPr>
          <w:p>
            <w:pPr>
              <w:ind w:left="460"/>
              <w:spacing w:after="0"/>
              <w:rPr>
                <w:sz w:val="20"/>
                <w:szCs w:val="20"/>
                <w:color w:val="auto"/>
              </w:rPr>
            </w:pPr>
            <w:r>
              <w:rPr>
                <w:rFonts w:ascii="Arial" w:cs="Arial" w:eastAsia="Arial" w:hAnsi="Arial"/>
                <w:sz w:val="17"/>
                <w:szCs w:val="17"/>
                <w:color w:val="auto"/>
              </w:rPr>
              <w:t>Others</w:t>
            </w:r>
          </w:p>
        </w:tc>
        <w:tc>
          <w:tcPr>
            <w:tcW w:w="1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(15)</w:t>
            </w:r>
          </w:p>
        </w:tc>
      </w:tr>
      <w:tr>
        <w:trPr>
          <w:trHeight w:val="210"/>
        </w:trPr>
        <w:tc>
          <w:tcPr>
            <w:tcW w:w="6560" w:type="dxa"/>
            <w:vAlign w:val="bottom"/>
          </w:tcPr>
          <w:p>
            <w:pPr>
              <w:ind w:left="220"/>
              <w:spacing w:after="0"/>
              <w:rPr>
                <w:sz w:val="20"/>
                <w:szCs w:val="20"/>
                <w:color w:val="auto"/>
              </w:rPr>
            </w:pPr>
            <w:r>
              <w:rPr>
                <w:rFonts w:ascii="Arial" w:cs="Arial" w:eastAsia="Arial" w:hAnsi="Arial"/>
                <w:sz w:val="17"/>
                <w:szCs w:val="17"/>
                <w:color w:val="auto"/>
              </w:rPr>
              <w:t>Changes in operating assets and liabilities:</w:t>
            </w: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1"/>
        </w:trPr>
        <w:tc>
          <w:tcPr>
            <w:tcW w:w="6560" w:type="dxa"/>
            <w:vAlign w:val="bottom"/>
            <w:shd w:val="clear" w:color="auto" w:fill="CFF0FC"/>
          </w:tcPr>
          <w:p>
            <w:pPr>
              <w:ind w:left="460"/>
              <w:spacing w:after="0"/>
              <w:rPr>
                <w:sz w:val="20"/>
                <w:szCs w:val="20"/>
                <w:color w:val="auto"/>
              </w:rPr>
            </w:pPr>
            <w:r>
              <w:rPr>
                <w:rFonts w:ascii="Arial" w:cs="Arial" w:eastAsia="Arial" w:hAnsi="Arial"/>
                <w:sz w:val="17"/>
                <w:szCs w:val="17"/>
                <w:color w:val="auto"/>
              </w:rPr>
              <w:t>Prepaid expenses and other assets</w:t>
            </w:r>
          </w:p>
        </w:tc>
        <w:tc>
          <w:tcPr>
            <w:tcW w:w="1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(3,688)</w:t>
            </w: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(3,355)</w:t>
            </w:r>
          </w:p>
        </w:tc>
      </w:tr>
      <w:tr>
        <w:trPr>
          <w:trHeight w:val="210"/>
        </w:trPr>
        <w:tc>
          <w:tcPr>
            <w:tcW w:w="6560" w:type="dxa"/>
            <w:vAlign w:val="bottom"/>
            <w:tcBorders>
              <w:bottom w:val="single" w:sz="8" w:color="CFF0FC"/>
            </w:tcBorders>
          </w:tcPr>
          <w:p>
            <w:pPr>
              <w:ind w:left="460"/>
              <w:spacing w:after="0"/>
              <w:rPr>
                <w:sz w:val="20"/>
                <w:szCs w:val="20"/>
                <w:color w:val="auto"/>
              </w:rPr>
            </w:pPr>
            <w:r>
              <w:rPr>
                <w:rFonts w:ascii="Arial" w:cs="Arial" w:eastAsia="Arial" w:hAnsi="Arial"/>
                <w:sz w:val="17"/>
                <w:szCs w:val="17"/>
                <w:color w:val="auto"/>
              </w:rPr>
              <w:t>Accounts payable and accrued and other liabilities</w:t>
            </w:r>
          </w:p>
        </w:tc>
        <w:tc>
          <w:tcPr>
            <w:tcW w:w="118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1,931</w:t>
            </w:r>
          </w:p>
        </w:tc>
        <w:tc>
          <w:tcPr>
            <w:tcW w:w="2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2,523</w:t>
            </w:r>
          </w:p>
        </w:tc>
        <w:tc>
          <w:tcPr>
            <w:tcW w:w="120" w:type="dxa"/>
            <w:vAlign w:val="bottom"/>
            <w:tcBorders>
              <w:bottom w:val="single" w:sz="8" w:color="CFF0FC"/>
            </w:tcBorders>
          </w:tcPr>
          <w:p>
            <w:pPr>
              <w:spacing w:after="0"/>
              <w:rPr>
                <w:sz w:val="18"/>
                <w:szCs w:val="18"/>
                <w:color w:val="auto"/>
              </w:rPr>
            </w:pPr>
          </w:p>
        </w:tc>
      </w:tr>
      <w:tr>
        <w:trPr>
          <w:trHeight w:val="204"/>
        </w:trPr>
        <w:tc>
          <w:tcPr>
            <w:tcW w:w="6560" w:type="dxa"/>
            <w:vAlign w:val="bottom"/>
            <w:shd w:val="clear" w:color="auto" w:fill="CFF0FC"/>
          </w:tcPr>
          <w:p>
            <w:pPr>
              <w:spacing w:after="0"/>
              <w:rPr>
                <w:sz w:val="20"/>
                <w:szCs w:val="20"/>
                <w:color w:val="auto"/>
              </w:rPr>
            </w:pPr>
            <w:r>
              <w:rPr>
                <w:rFonts w:ascii="Arial" w:cs="Arial" w:eastAsia="Arial" w:hAnsi="Arial"/>
                <w:sz w:val="17"/>
                <w:szCs w:val="17"/>
                <w:color w:val="auto"/>
              </w:rPr>
              <w:t>Net cash used in operating activities</w:t>
            </w:r>
          </w:p>
        </w:tc>
        <w:tc>
          <w:tcPr>
            <w:tcW w:w="1180" w:type="dxa"/>
            <w:vAlign w:val="bottom"/>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4"/>
              </w:rPr>
              <w:t>(50,355)</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(30,652)</w:t>
            </w:r>
          </w:p>
        </w:tc>
        <w:tc>
          <w:tcPr>
            <w:tcW w:w="120" w:type="dxa"/>
            <w:vAlign w:val="bottom"/>
            <w:shd w:val="clear" w:color="auto" w:fill="CFF0FC"/>
          </w:tcPr>
          <w:p>
            <w:pPr>
              <w:spacing w:after="0"/>
              <w:rPr>
                <w:sz w:val="17"/>
                <w:szCs w:val="17"/>
                <w:color w:val="auto"/>
              </w:rPr>
            </w:pPr>
          </w:p>
        </w:tc>
      </w:tr>
      <w:tr>
        <w:trPr>
          <w:trHeight w:val="202"/>
        </w:trPr>
        <w:tc>
          <w:tcPr>
            <w:tcW w:w="6560" w:type="dxa"/>
            <w:vAlign w:val="bottom"/>
          </w:tcPr>
          <w:p>
            <w:pPr>
              <w:spacing w:after="0"/>
              <w:rPr>
                <w:sz w:val="20"/>
                <w:szCs w:val="20"/>
                <w:color w:val="auto"/>
              </w:rPr>
            </w:pPr>
            <w:r>
              <w:rPr>
                <w:rFonts w:ascii="Arial" w:cs="Arial" w:eastAsia="Arial" w:hAnsi="Arial"/>
                <w:sz w:val="17"/>
                <w:szCs w:val="17"/>
                <w:color w:val="auto"/>
              </w:rPr>
              <w:t>Cash flows from investing activities</w:t>
            </w:r>
          </w:p>
        </w:tc>
        <w:tc>
          <w:tcPr>
            <w:tcW w:w="1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1"/>
        </w:trPr>
        <w:tc>
          <w:tcPr>
            <w:tcW w:w="65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Purchases of property and equipment</w:t>
            </w:r>
          </w:p>
        </w:tc>
        <w:tc>
          <w:tcPr>
            <w:tcW w:w="1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(3,932)</w:t>
            </w: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(6,442)</w:t>
            </w:r>
          </w:p>
        </w:tc>
      </w:tr>
      <w:tr>
        <w:trPr>
          <w:trHeight w:val="210"/>
        </w:trPr>
        <w:tc>
          <w:tcPr>
            <w:tcW w:w="6560" w:type="dxa"/>
            <w:vAlign w:val="bottom"/>
          </w:tcPr>
          <w:p>
            <w:pPr>
              <w:ind w:left="220"/>
              <w:spacing w:after="0"/>
              <w:rPr>
                <w:sz w:val="20"/>
                <w:szCs w:val="20"/>
                <w:color w:val="auto"/>
              </w:rPr>
            </w:pPr>
            <w:r>
              <w:rPr>
                <w:rFonts w:ascii="Arial" w:cs="Arial" w:eastAsia="Arial" w:hAnsi="Arial"/>
                <w:sz w:val="17"/>
                <w:szCs w:val="17"/>
                <w:color w:val="auto"/>
              </w:rPr>
              <w:t>Purchases of short-term investments</w:t>
            </w: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w w:val="90"/>
              </w:rPr>
              <w:t>(131,109)</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(144,916)</w:t>
            </w:r>
          </w:p>
        </w:tc>
      </w:tr>
      <w:tr>
        <w:trPr>
          <w:trHeight w:val="211"/>
        </w:trPr>
        <w:tc>
          <w:tcPr>
            <w:tcW w:w="65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Maturities of short-term investments</w:t>
            </w:r>
          </w:p>
        </w:tc>
        <w:tc>
          <w:tcPr>
            <w:tcW w:w="1180" w:type="dxa"/>
            <w:vAlign w:val="bottom"/>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4"/>
              </w:rPr>
              <w:t>185,410</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20,000</w:t>
            </w:r>
          </w:p>
        </w:tc>
        <w:tc>
          <w:tcPr>
            <w:tcW w:w="120" w:type="dxa"/>
            <w:vAlign w:val="bottom"/>
            <w:shd w:val="clear" w:color="auto" w:fill="CFF0FC"/>
          </w:tcPr>
          <w:p>
            <w:pPr>
              <w:spacing w:after="0"/>
              <w:rPr>
                <w:sz w:val="18"/>
                <w:szCs w:val="18"/>
                <w:color w:val="auto"/>
              </w:rPr>
            </w:pPr>
          </w:p>
        </w:tc>
      </w:tr>
      <w:tr>
        <w:trPr>
          <w:trHeight w:val="202"/>
        </w:trPr>
        <w:tc>
          <w:tcPr>
            <w:tcW w:w="65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Net cash provided by (used in) investing activities</w:t>
            </w:r>
          </w:p>
        </w:tc>
        <w:tc>
          <w:tcPr>
            <w:tcW w:w="1180" w:type="dxa"/>
            <w:vAlign w:val="bottom"/>
            <w:tcBorders>
              <w:bottom w:val="single" w:sz="8" w:color="CFF0FC"/>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50,369</w:t>
            </w:r>
          </w:p>
        </w:tc>
        <w:tc>
          <w:tcPr>
            <w:tcW w:w="28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(131,358)</w:t>
            </w:r>
          </w:p>
        </w:tc>
        <w:tc>
          <w:tcPr>
            <w:tcW w:w="120" w:type="dxa"/>
            <w:vAlign w:val="bottom"/>
            <w:tcBorders>
              <w:bottom w:val="single" w:sz="8" w:color="CFF0FC"/>
            </w:tcBorders>
          </w:tcPr>
          <w:p>
            <w:pPr>
              <w:spacing w:after="0"/>
              <w:rPr>
                <w:sz w:val="17"/>
                <w:szCs w:val="17"/>
                <w:color w:val="auto"/>
              </w:rPr>
            </w:pPr>
          </w:p>
        </w:tc>
      </w:tr>
      <w:tr>
        <w:trPr>
          <w:trHeight w:val="204"/>
        </w:trPr>
        <w:tc>
          <w:tcPr>
            <w:tcW w:w="6560" w:type="dxa"/>
            <w:vAlign w:val="bottom"/>
            <w:shd w:val="clear" w:color="auto" w:fill="CFF0FC"/>
          </w:tcPr>
          <w:p>
            <w:pPr>
              <w:spacing w:after="0"/>
              <w:rPr>
                <w:sz w:val="20"/>
                <w:szCs w:val="20"/>
                <w:color w:val="auto"/>
              </w:rPr>
            </w:pPr>
            <w:r>
              <w:rPr>
                <w:rFonts w:ascii="Arial" w:cs="Arial" w:eastAsia="Arial" w:hAnsi="Arial"/>
                <w:sz w:val="17"/>
                <w:szCs w:val="17"/>
                <w:color w:val="auto"/>
              </w:rPr>
              <w:t>Cash flows from financing activities</w:t>
            </w:r>
          </w:p>
        </w:tc>
        <w:tc>
          <w:tcPr>
            <w:tcW w:w="1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0"/>
        </w:trPr>
        <w:tc>
          <w:tcPr>
            <w:tcW w:w="6560" w:type="dxa"/>
            <w:vAlign w:val="bottom"/>
          </w:tcPr>
          <w:p>
            <w:pPr>
              <w:ind w:left="220"/>
              <w:spacing w:after="0"/>
              <w:rPr>
                <w:sz w:val="20"/>
                <w:szCs w:val="20"/>
                <w:color w:val="auto"/>
              </w:rPr>
            </w:pPr>
            <w:r>
              <w:rPr>
                <w:rFonts w:ascii="Arial" w:cs="Arial" w:eastAsia="Arial" w:hAnsi="Arial"/>
                <w:sz w:val="17"/>
                <w:szCs w:val="17"/>
                <w:color w:val="auto"/>
              </w:rPr>
              <w:t>Proceeds from issuance of convertible preferred stock, net of issuance costs</w:t>
            </w: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64,321</w:t>
            </w:r>
          </w:p>
        </w:tc>
        <w:tc>
          <w:tcPr>
            <w:tcW w:w="120" w:type="dxa"/>
            <w:vAlign w:val="bottom"/>
          </w:tcPr>
          <w:p>
            <w:pPr>
              <w:spacing w:after="0"/>
              <w:rPr>
                <w:sz w:val="18"/>
                <w:szCs w:val="18"/>
                <w:color w:val="auto"/>
              </w:rPr>
            </w:pPr>
          </w:p>
        </w:tc>
      </w:tr>
      <w:tr>
        <w:trPr>
          <w:trHeight w:val="211"/>
        </w:trPr>
        <w:tc>
          <w:tcPr>
            <w:tcW w:w="65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Proceeds from initial public offering, net of issuance costs</w:t>
            </w:r>
          </w:p>
        </w:tc>
        <w:tc>
          <w:tcPr>
            <w:tcW w:w="1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265,461</w:t>
            </w:r>
          </w:p>
        </w:tc>
        <w:tc>
          <w:tcPr>
            <w:tcW w:w="120" w:type="dxa"/>
            <w:vAlign w:val="bottom"/>
            <w:shd w:val="clear" w:color="auto" w:fill="CFF0FC"/>
          </w:tcPr>
          <w:p>
            <w:pPr>
              <w:spacing w:after="0"/>
              <w:rPr>
                <w:sz w:val="18"/>
                <w:szCs w:val="18"/>
                <w:color w:val="auto"/>
              </w:rPr>
            </w:pPr>
          </w:p>
        </w:tc>
      </w:tr>
      <w:tr>
        <w:trPr>
          <w:trHeight w:val="210"/>
        </w:trPr>
        <w:tc>
          <w:tcPr>
            <w:tcW w:w="6560" w:type="dxa"/>
            <w:vAlign w:val="bottom"/>
          </w:tcPr>
          <w:p>
            <w:pPr>
              <w:ind w:left="220"/>
              <w:spacing w:after="0"/>
              <w:rPr>
                <w:sz w:val="20"/>
                <w:szCs w:val="20"/>
                <w:color w:val="auto"/>
              </w:rPr>
            </w:pPr>
            <w:r>
              <w:rPr>
                <w:rFonts w:ascii="Arial" w:cs="Arial" w:eastAsia="Arial" w:hAnsi="Arial"/>
                <w:sz w:val="17"/>
                <w:szCs w:val="17"/>
                <w:color w:val="auto"/>
              </w:rPr>
              <w:t>Proceeds from stock option exercises</w:t>
            </w: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1,330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322</w:t>
            </w:r>
          </w:p>
        </w:tc>
        <w:tc>
          <w:tcPr>
            <w:tcW w:w="120" w:type="dxa"/>
            <w:vAlign w:val="bottom"/>
          </w:tcPr>
          <w:p>
            <w:pPr>
              <w:spacing w:after="0"/>
              <w:rPr>
                <w:sz w:val="18"/>
                <w:szCs w:val="18"/>
                <w:color w:val="auto"/>
              </w:rPr>
            </w:pPr>
          </w:p>
        </w:tc>
      </w:tr>
      <w:tr>
        <w:trPr>
          <w:trHeight w:val="211"/>
        </w:trPr>
        <w:tc>
          <w:tcPr>
            <w:tcW w:w="65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Proceeds from early exercise of stock options</w:t>
            </w:r>
          </w:p>
        </w:tc>
        <w:tc>
          <w:tcPr>
            <w:tcW w:w="1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FF0FC"/>
          </w:tcPr>
          <w:p>
            <w:pPr>
              <w:spacing w:after="0"/>
              <w:rPr>
                <w:sz w:val="18"/>
                <w:szCs w:val="18"/>
                <w:color w:val="auto"/>
              </w:rPr>
            </w:pPr>
          </w:p>
        </w:tc>
      </w:tr>
      <w:tr>
        <w:trPr>
          <w:trHeight w:val="210"/>
        </w:trPr>
        <w:tc>
          <w:tcPr>
            <w:tcW w:w="6560" w:type="dxa"/>
            <w:vAlign w:val="bottom"/>
          </w:tcPr>
          <w:p>
            <w:pPr>
              <w:ind w:left="220"/>
              <w:spacing w:after="0"/>
              <w:rPr>
                <w:sz w:val="20"/>
                <w:szCs w:val="20"/>
                <w:color w:val="auto"/>
              </w:rPr>
            </w:pPr>
            <w:r>
              <w:rPr>
                <w:rFonts w:ascii="Arial" w:cs="Arial" w:eastAsia="Arial" w:hAnsi="Arial"/>
                <w:sz w:val="17"/>
                <w:szCs w:val="17"/>
                <w:color w:val="auto"/>
              </w:rPr>
              <w:t>Payments of deferred offering costs</w:t>
            </w: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(130)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04"/>
        </w:trPr>
        <w:tc>
          <w:tcPr>
            <w:tcW w:w="6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cash provided by financing activities</w:t>
            </w:r>
          </w:p>
        </w:tc>
        <w:tc>
          <w:tcPr>
            <w:tcW w:w="118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1,200</w:t>
            </w:r>
          </w:p>
        </w:tc>
        <w:tc>
          <w:tcPr>
            <w:tcW w:w="2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330,116</w:t>
            </w:r>
          </w:p>
        </w:tc>
        <w:tc>
          <w:tcPr>
            <w:tcW w:w="120" w:type="dxa"/>
            <w:vAlign w:val="bottom"/>
            <w:tcBorders>
              <w:top w:val="single" w:sz="8" w:color="CFF0FC"/>
            </w:tcBorders>
            <w:shd w:val="clear" w:color="auto" w:fill="CFF0FC"/>
          </w:tcPr>
          <w:p>
            <w:pPr>
              <w:spacing w:after="0"/>
              <w:rPr>
                <w:sz w:val="17"/>
                <w:szCs w:val="17"/>
                <w:color w:val="auto"/>
              </w:rPr>
            </w:pPr>
          </w:p>
        </w:tc>
      </w:tr>
      <w:tr>
        <w:trPr>
          <w:trHeight w:val="202"/>
        </w:trPr>
        <w:tc>
          <w:tcPr>
            <w:tcW w:w="6560" w:type="dxa"/>
            <w:vAlign w:val="bottom"/>
          </w:tcPr>
          <w:p>
            <w:pPr>
              <w:spacing w:after="0"/>
              <w:rPr>
                <w:sz w:val="20"/>
                <w:szCs w:val="20"/>
                <w:color w:val="auto"/>
              </w:rPr>
            </w:pPr>
            <w:r>
              <w:rPr>
                <w:rFonts w:ascii="Arial" w:cs="Arial" w:eastAsia="Arial" w:hAnsi="Arial"/>
                <w:sz w:val="17"/>
                <w:szCs w:val="17"/>
                <w:color w:val="auto"/>
              </w:rPr>
              <w:t>Net increase in cash and cash equivalents</w:t>
            </w:r>
          </w:p>
        </w:tc>
        <w:tc>
          <w:tcPr>
            <w:tcW w:w="1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1,214</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168,106</w:t>
            </w:r>
          </w:p>
        </w:tc>
        <w:tc>
          <w:tcPr>
            <w:tcW w:w="120" w:type="dxa"/>
            <w:vAlign w:val="bottom"/>
          </w:tcPr>
          <w:p>
            <w:pPr>
              <w:spacing w:after="0"/>
              <w:rPr>
                <w:sz w:val="17"/>
                <w:szCs w:val="17"/>
                <w:color w:val="auto"/>
              </w:rPr>
            </w:pPr>
          </w:p>
        </w:tc>
      </w:tr>
      <w:tr>
        <w:trPr>
          <w:trHeight w:val="211"/>
        </w:trPr>
        <w:tc>
          <w:tcPr>
            <w:tcW w:w="6560" w:type="dxa"/>
            <w:vAlign w:val="bottom"/>
            <w:shd w:val="clear" w:color="auto" w:fill="CFF0FC"/>
          </w:tcPr>
          <w:p>
            <w:pPr>
              <w:spacing w:after="0"/>
              <w:rPr>
                <w:sz w:val="20"/>
                <w:szCs w:val="20"/>
                <w:color w:val="auto"/>
              </w:rPr>
            </w:pPr>
            <w:r>
              <w:rPr>
                <w:rFonts w:ascii="Arial" w:cs="Arial" w:eastAsia="Arial" w:hAnsi="Arial"/>
                <w:sz w:val="17"/>
                <w:szCs w:val="17"/>
                <w:color w:val="auto"/>
              </w:rPr>
              <w:t>Cash, cash equivalents, and restricted cash beginning of period</w:t>
            </w:r>
          </w:p>
        </w:tc>
        <w:tc>
          <w:tcPr>
            <w:tcW w:w="1180" w:type="dxa"/>
            <w:vAlign w:val="bottom"/>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97,105</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20,875</w:t>
            </w:r>
          </w:p>
        </w:tc>
        <w:tc>
          <w:tcPr>
            <w:tcW w:w="120" w:type="dxa"/>
            <w:vAlign w:val="bottom"/>
            <w:shd w:val="clear" w:color="auto" w:fill="CFF0FC"/>
          </w:tcPr>
          <w:p>
            <w:pPr>
              <w:spacing w:after="0"/>
              <w:rPr>
                <w:sz w:val="18"/>
                <w:szCs w:val="18"/>
                <w:color w:val="auto"/>
              </w:rPr>
            </w:pPr>
          </w:p>
        </w:tc>
      </w:tr>
      <w:tr>
        <w:trPr>
          <w:trHeight w:val="242"/>
        </w:trPr>
        <w:tc>
          <w:tcPr>
            <w:tcW w:w="65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Cash, cash equivalents, and restricted cash end of period</w:t>
            </w:r>
          </w:p>
        </w:tc>
        <w:tc>
          <w:tcPr>
            <w:tcW w:w="1180" w:type="dxa"/>
            <w:vAlign w:val="bottom"/>
            <w:tcBorders>
              <w:bottom w:val="single" w:sz="8" w:color="CFF0FC"/>
            </w:tcBorders>
          </w:tcPr>
          <w:p>
            <w:pPr>
              <w:spacing w:after="0"/>
              <w:rPr>
                <w:sz w:val="21"/>
                <w:szCs w:val="21"/>
                <w:color w:val="auto"/>
              </w:rPr>
            </w:pPr>
          </w:p>
        </w:tc>
        <w:tc>
          <w:tcPr>
            <w:tcW w:w="920" w:type="dxa"/>
            <w:vAlign w:val="bottom"/>
            <w:tcBorders>
              <w:bottom w:val="single" w:sz="8" w:color="auto"/>
            </w:tcBorders>
          </w:tcPr>
          <w:p>
            <w:pPr>
              <w:jc w:val="right"/>
              <w:ind w:right="766"/>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98,319</w:t>
            </w:r>
          </w:p>
        </w:tc>
        <w:tc>
          <w:tcPr>
            <w:tcW w:w="2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jc w:val="right"/>
              <w:ind w:right="228"/>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188,981</w:t>
            </w:r>
          </w:p>
        </w:tc>
        <w:tc>
          <w:tcPr>
            <w:tcW w:w="120" w:type="dxa"/>
            <w:vAlign w:val="bottom"/>
            <w:tcBorders>
              <w:bottom w:val="single" w:sz="8" w:color="CFF0FC"/>
            </w:tcBorders>
          </w:tcPr>
          <w:p>
            <w:pPr>
              <w:spacing w:after="0"/>
              <w:rPr>
                <w:sz w:val="21"/>
                <w:szCs w:val="21"/>
                <w:color w:val="auto"/>
              </w:rPr>
            </w:pPr>
          </w:p>
        </w:tc>
      </w:tr>
      <w:tr>
        <w:trPr>
          <w:trHeight w:val="189"/>
        </w:trPr>
        <w:tc>
          <w:tcPr>
            <w:tcW w:w="6560" w:type="dxa"/>
            <w:vAlign w:val="bottom"/>
            <w:shd w:val="clear" w:color="auto" w:fill="CFF0FC"/>
          </w:tcPr>
          <w:p>
            <w:pPr>
              <w:spacing w:after="0" w:line="187" w:lineRule="exact"/>
              <w:rPr>
                <w:sz w:val="20"/>
                <w:szCs w:val="20"/>
                <w:color w:val="auto"/>
              </w:rPr>
            </w:pPr>
            <w:r>
              <w:rPr>
                <w:rFonts w:ascii="Arial" w:cs="Arial" w:eastAsia="Arial" w:hAnsi="Arial"/>
                <w:sz w:val="17"/>
                <w:szCs w:val="17"/>
                <w:color w:val="auto"/>
              </w:rPr>
              <w:t>Reconciliation of cash, cash equivalents and restricted cash to the balance sheet:</w:t>
            </w:r>
          </w:p>
        </w:tc>
        <w:tc>
          <w:tcPr>
            <w:tcW w:w="11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10"/>
        </w:trPr>
        <w:tc>
          <w:tcPr>
            <w:tcW w:w="6560" w:type="dxa"/>
            <w:vAlign w:val="bottom"/>
          </w:tcPr>
          <w:p>
            <w:pPr>
              <w:ind w:left="220"/>
              <w:spacing w:after="0"/>
              <w:rPr>
                <w:sz w:val="20"/>
                <w:szCs w:val="20"/>
                <w:color w:val="auto"/>
              </w:rPr>
            </w:pPr>
            <w:r>
              <w:rPr>
                <w:rFonts w:ascii="Arial" w:cs="Arial" w:eastAsia="Arial" w:hAnsi="Arial"/>
                <w:sz w:val="17"/>
                <w:szCs w:val="17"/>
                <w:color w:val="auto"/>
              </w:rPr>
              <w:t>Cash and cash equivalents</w:t>
            </w: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96,221</w:t>
            </w:r>
          </w:p>
        </w:tc>
        <w:tc>
          <w:tcPr>
            <w:tcW w:w="280" w:type="dxa"/>
            <w:vAlign w:val="bottom"/>
          </w:tcPr>
          <w:p>
            <w:pPr>
              <w:spacing w:after="0"/>
              <w:rPr>
                <w:sz w:val="18"/>
                <w:szCs w:val="18"/>
                <w:color w:val="auto"/>
              </w:rPr>
            </w:pPr>
          </w:p>
        </w:tc>
        <w:tc>
          <w:tcPr>
            <w:tcW w:w="360" w:type="dxa"/>
            <w:vAlign w:val="bottom"/>
            <w:gridSpan w:val="2"/>
          </w:tcPr>
          <w:p>
            <w:pPr>
              <w:jc w:val="right"/>
              <w:ind w:right="228"/>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188,568</w:t>
            </w:r>
          </w:p>
        </w:tc>
        <w:tc>
          <w:tcPr>
            <w:tcW w:w="120" w:type="dxa"/>
            <w:vAlign w:val="bottom"/>
          </w:tcPr>
          <w:p>
            <w:pPr>
              <w:spacing w:after="0"/>
              <w:rPr>
                <w:sz w:val="18"/>
                <w:szCs w:val="18"/>
                <w:color w:val="auto"/>
              </w:rPr>
            </w:pPr>
          </w:p>
        </w:tc>
      </w:tr>
      <w:tr>
        <w:trPr>
          <w:trHeight w:val="211"/>
        </w:trPr>
        <w:tc>
          <w:tcPr>
            <w:tcW w:w="65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Restricted cash</w:t>
            </w:r>
          </w:p>
        </w:tc>
        <w:tc>
          <w:tcPr>
            <w:tcW w:w="1180" w:type="dxa"/>
            <w:vAlign w:val="bottom"/>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2,098</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413</w:t>
            </w:r>
          </w:p>
        </w:tc>
        <w:tc>
          <w:tcPr>
            <w:tcW w:w="120" w:type="dxa"/>
            <w:vAlign w:val="bottom"/>
            <w:shd w:val="clear" w:color="auto" w:fill="CFF0FC"/>
          </w:tcPr>
          <w:p>
            <w:pPr>
              <w:spacing w:after="0"/>
              <w:rPr>
                <w:sz w:val="18"/>
                <w:szCs w:val="18"/>
                <w:color w:val="auto"/>
              </w:rPr>
            </w:pPr>
          </w:p>
        </w:tc>
      </w:tr>
      <w:tr>
        <w:trPr>
          <w:trHeight w:val="202"/>
        </w:trPr>
        <w:tc>
          <w:tcPr>
            <w:tcW w:w="6560" w:type="dxa"/>
            <w:vAlign w:val="bottom"/>
          </w:tcPr>
          <w:p>
            <w:pPr>
              <w:ind w:left="220"/>
              <w:spacing w:after="0"/>
              <w:rPr>
                <w:sz w:val="20"/>
                <w:szCs w:val="20"/>
                <w:color w:val="auto"/>
              </w:rPr>
            </w:pPr>
            <w:r>
              <w:rPr>
                <w:rFonts w:ascii="Arial" w:cs="Arial" w:eastAsia="Arial" w:hAnsi="Arial"/>
                <w:sz w:val="17"/>
                <w:szCs w:val="17"/>
                <w:color w:val="auto"/>
              </w:rPr>
              <w:t>Total cash, cash equivalents and restricted cash</w:t>
            </w:r>
          </w:p>
        </w:tc>
        <w:tc>
          <w:tcPr>
            <w:tcW w:w="1180" w:type="dxa"/>
            <w:vAlign w:val="bottom"/>
          </w:tcPr>
          <w:p>
            <w:pPr>
              <w:spacing w:after="0"/>
              <w:rPr>
                <w:sz w:val="17"/>
                <w:szCs w:val="17"/>
                <w:color w:val="auto"/>
              </w:rPr>
            </w:pPr>
          </w:p>
        </w:tc>
        <w:tc>
          <w:tcPr>
            <w:tcW w:w="920" w:type="dxa"/>
            <w:vAlign w:val="bottom"/>
            <w:tcBorders>
              <w:bottom w:val="single" w:sz="8" w:color="auto"/>
            </w:tcBorders>
          </w:tcPr>
          <w:p>
            <w:pPr>
              <w:jc w:val="right"/>
              <w:ind w:right="766"/>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98,319</w:t>
            </w:r>
          </w:p>
        </w:tc>
        <w:tc>
          <w:tcPr>
            <w:tcW w:w="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228"/>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188,981</w:t>
            </w:r>
          </w:p>
        </w:tc>
        <w:tc>
          <w:tcPr>
            <w:tcW w:w="120" w:type="dxa"/>
            <w:vAlign w:val="bottom"/>
          </w:tcPr>
          <w:p>
            <w:pPr>
              <w:spacing w:after="0"/>
              <w:rPr>
                <w:sz w:val="17"/>
                <w:szCs w:val="17"/>
                <w:color w:val="auto"/>
              </w:rPr>
            </w:pPr>
          </w:p>
        </w:tc>
      </w:tr>
      <w:tr>
        <w:trPr>
          <w:trHeight w:val="20"/>
        </w:trPr>
        <w:tc>
          <w:tcPr>
            <w:tcW w:w="6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financial statements.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7"/>
          <w:szCs w:val="17"/>
          <w:b w:val="1"/>
          <w:bCs w:val="1"/>
          <w:color w:val="auto"/>
        </w:rPr>
        <w:t>NKARTA,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and Description of Business</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Description of the Business</w:t>
      </w:r>
    </w:p>
    <w:p>
      <w:pPr>
        <w:spacing w:after="0" w:line="102" w:lineRule="exact"/>
        <w:rPr>
          <w:sz w:val="20"/>
          <w:szCs w:val="20"/>
          <w:color w:val="auto"/>
        </w:rPr>
      </w:pPr>
    </w:p>
    <w:p>
      <w:pPr>
        <w:ind w:right="100" w:firstLine="511"/>
        <w:spacing w:after="0" w:line="286" w:lineRule="auto"/>
        <w:rPr>
          <w:sz w:val="20"/>
          <w:szCs w:val="20"/>
          <w:color w:val="auto"/>
        </w:rPr>
      </w:pPr>
      <w:r>
        <w:rPr>
          <w:rFonts w:ascii="Arial" w:cs="Arial" w:eastAsia="Arial" w:hAnsi="Arial"/>
          <w:sz w:val="15"/>
          <w:szCs w:val="15"/>
          <w:color w:val="auto"/>
        </w:rPr>
        <w:t>Nkarta, Inc. (“Nkarta” or the “Company”) was incorporated in the State of Delaware in July 2015. The Company is a biopharmaceutical company developing engineered natural killer (“NK”) cells to treat cancer. The Company is focused on leveraging the natural potent power of NK cells to identify and kill abnormal cells and recruit adaptive immune effectors to generate responses that are specific and durable. Nkarta is combining its NK expansion platform technology with proprietary cell engineering technologies to generate an abundant supply of NK cells, engineer enhanced NK cell recognition of tumor targets, and improve persistence for sustained activity in the body for the treatment of cancer. Nkarta’s goal is to develop off-the-shelf NK cell therapy product candidates to improve outcomes for patients. The Company’s operations are based in South San Francisco, California and it operates in one segment.</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 and Management Plans</w:t>
      </w:r>
    </w:p>
    <w:p>
      <w:pPr>
        <w:spacing w:after="0" w:line="102" w:lineRule="exact"/>
        <w:rPr>
          <w:sz w:val="20"/>
          <w:szCs w:val="20"/>
          <w:color w:val="auto"/>
        </w:rPr>
      </w:pPr>
    </w:p>
    <w:p>
      <w:pPr>
        <w:ind w:right="20" w:firstLine="511"/>
        <w:spacing w:after="0" w:line="246" w:lineRule="auto"/>
        <w:rPr>
          <w:sz w:val="20"/>
          <w:szCs w:val="20"/>
          <w:color w:val="auto"/>
        </w:rPr>
      </w:pPr>
      <w:r>
        <w:rPr>
          <w:rFonts w:ascii="Arial" w:cs="Arial" w:eastAsia="Arial" w:hAnsi="Arial"/>
          <w:sz w:val="17"/>
          <w:szCs w:val="17"/>
          <w:color w:val="auto"/>
        </w:rPr>
        <w:t>The accompanying unaudited condensed financial statements have been prepared assuming that the Company will continue as a going concern. However, since inception, the Company has devoted substantially all of its efforts to organizing and staffing, business planning, raising capital, conducting preclinical studies and initiating clinical studies, and has not realized substantial revenues from its planned principal operations. In addition, the Company has a limited operating history, has incurred operating losses since inception and expects that it will continue to incur net losses into the foreseeable future as it continues its research and development activities. As of September 30, 2021, the Company had an accumulated deficit of $181.3 million and cash, cash equivalents, restricted cash and short-term investments of $259.8 million.</w:t>
      </w:r>
    </w:p>
    <w:p>
      <w:pPr>
        <w:spacing w:after="0" w:line="185" w:lineRule="exact"/>
        <w:rPr>
          <w:sz w:val="20"/>
          <w:szCs w:val="20"/>
          <w:color w:val="auto"/>
        </w:rPr>
      </w:pPr>
    </w:p>
    <w:p>
      <w:pPr>
        <w:ind w:right="80" w:firstLine="750"/>
        <w:spacing w:after="0" w:line="284" w:lineRule="auto"/>
        <w:rPr>
          <w:sz w:val="20"/>
          <w:szCs w:val="20"/>
          <w:color w:val="auto"/>
        </w:rPr>
      </w:pPr>
      <w:r>
        <w:rPr>
          <w:rFonts w:ascii="Arial" w:cs="Arial" w:eastAsia="Arial" w:hAnsi="Arial"/>
          <w:sz w:val="15"/>
          <w:szCs w:val="15"/>
          <w:color w:val="auto"/>
        </w:rPr>
        <w:t>On August 12, 2021, the Company filed a Registration Statement on Form S-3 (the “Shelf Registration Statement”), covering the offer and sale from time to time, pursuant to Rule 415 of the Securities Act of 1933, as amended (the “Securities Act”), of up to $500.0 million in aggregate offering price of shares of the Company’s common stock, shares of the Company’s preferred stock, debt securities, warrants, and rights and units. The Shelf Registration Statement was declared effective by the Securities and Exchange Commission (the “SEC”) on September 2, 2021. The Shelf Registration Statement included a prospectus covering the offer and sale from time to time of up to $150.0 million in aggregate offering price of shares of the Company’s common stock through an “at-the-market” equity offering program (the “ATM Offering Program”) with Cowen and Company, LLC, as sales agent. As of September 30, 2021, no sales of the Company’s common stock had been made pursuant to the ATM Offering Program.</w:t>
      </w:r>
    </w:p>
    <w:p>
      <w:pPr>
        <w:spacing w:after="0" w:line="58" w:lineRule="exact"/>
        <w:rPr>
          <w:sz w:val="20"/>
          <w:szCs w:val="20"/>
          <w:color w:val="auto"/>
        </w:rPr>
      </w:pPr>
    </w:p>
    <w:p>
      <w:pPr>
        <w:ind w:firstLine="511"/>
        <w:spacing w:after="0" w:line="259" w:lineRule="auto"/>
        <w:rPr>
          <w:sz w:val="20"/>
          <w:szCs w:val="20"/>
          <w:color w:val="auto"/>
        </w:rPr>
      </w:pPr>
      <w:r>
        <w:rPr>
          <w:rFonts w:ascii="Arial" w:cs="Arial" w:eastAsia="Arial" w:hAnsi="Arial"/>
          <w:sz w:val="17"/>
          <w:szCs w:val="17"/>
          <w:color w:val="auto"/>
        </w:rPr>
        <w:t>Management plans to continue to incur substantial costs in order to conduct research and development activities and additional capital will be needed to undertake these activities. The Company intends to raise such capital through debt or equity financings or other arrangements to fund operations. Management believes that the Company’s current cash, cash equivalents, restricted cash and short-term investments will provide sufficient funds to enable the Company to meet its obligations for at least twelve months from the filing date of this report.</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Basis of Presentation and Significant Accounting Policies</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201" w:lineRule="exact"/>
        <w:rPr>
          <w:sz w:val="20"/>
          <w:szCs w:val="20"/>
          <w:color w:val="auto"/>
        </w:rPr>
      </w:pPr>
    </w:p>
    <w:p>
      <w:pPr>
        <w:jc w:val="both"/>
        <w:ind w:firstLine="511"/>
        <w:spacing w:after="0" w:line="247" w:lineRule="auto"/>
        <w:rPr>
          <w:sz w:val="20"/>
          <w:szCs w:val="20"/>
          <w:color w:val="auto"/>
        </w:rPr>
      </w:pPr>
      <w:r>
        <w:rPr>
          <w:rFonts w:ascii="Arial" w:cs="Arial" w:eastAsia="Arial" w:hAnsi="Arial"/>
          <w:sz w:val="17"/>
          <w:szCs w:val="17"/>
          <w:color w:val="auto"/>
        </w:rPr>
        <w:t>The accompanying unaudited condensed financial statements as of September 30, 2021 and for the three and nine months ended September 30, 2021 and 2020 have been prepared in accordance with U.S. generally accepted accounting principle (“U.S. GAAP”) for interim financial information and pursuant to Article 10 of Regulation S-X of the Securities Act. Accordingly, they do not include all of the information and notes required by U.S. GAAP for complete financial statements. These unaudited condensed financial statements include only normal and recurring adjustments that the Company believes are necessary to fairly state the Company’s financial position and the results of its operations and cash flows.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 w:name="page12"/>
    <w:bookmarkEnd w:id="11"/>
    <w:p>
      <w:pPr>
        <w:jc w:val="both"/>
        <w:ind w:firstLine="511"/>
        <w:spacing w:after="0" w:line="246" w:lineRule="auto"/>
        <w:rPr>
          <w:sz w:val="20"/>
          <w:szCs w:val="20"/>
          <w:color w:val="auto"/>
        </w:rPr>
      </w:pPr>
      <w:r>
        <w:rPr>
          <w:rFonts w:ascii="Arial" w:cs="Arial" w:eastAsia="Arial" w:hAnsi="Arial"/>
          <w:sz w:val="17"/>
          <w:szCs w:val="17"/>
          <w:color w:val="auto"/>
        </w:rPr>
        <w:t>The results for the three and nine months ended September 30, 2021 are not necessarily indicative of the results expected for the full year or any subsequent interim period. The condensed balance sheet at December 31, 2020 has been derived from the audited financial statements at that date but does not include all disclosures required by U.S. GAAP for complete financial statements. Because all of the disclosures required by U.S. GAAP for complete financial statements are not included herein, these unaudited condensed financial statements and the notes accompanying them should be read in conjunction with the Company’s audited financial statements for the year ended December 31, 2020, contained in the Company’s Annual Report on Form 10-K for the year ended December 31, 2020 filed by the Company with the SEC on March 25, 2021.</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COVID-19 Pandemic</w:t>
      </w:r>
    </w:p>
    <w:p>
      <w:pPr>
        <w:spacing w:after="0" w:line="102" w:lineRule="exact"/>
        <w:rPr>
          <w:sz w:val="20"/>
          <w:szCs w:val="20"/>
          <w:color w:val="auto"/>
        </w:rPr>
      </w:pPr>
    </w:p>
    <w:p>
      <w:pPr>
        <w:ind w:right="20" w:firstLine="511"/>
        <w:spacing w:after="0" w:line="280" w:lineRule="auto"/>
        <w:rPr>
          <w:sz w:val="20"/>
          <w:szCs w:val="20"/>
          <w:color w:val="auto"/>
        </w:rPr>
      </w:pPr>
      <w:r>
        <w:rPr>
          <w:rFonts w:ascii="Arial" w:cs="Arial" w:eastAsia="Arial" w:hAnsi="Arial"/>
          <w:sz w:val="15"/>
          <w:szCs w:val="15"/>
          <w:color w:val="auto"/>
        </w:rPr>
        <w:t>The COVID-19 pandemic has caused disruptions in the global economy and has affected and may continue to affect the Company’s business and operations. The extent of the impact of the COVID-19 pandemic on the Company’s operational and financial performance will depend on certain developments, including the duration and spread of the outbreak, the development and spread of more contagious and/or vaccine-resistant variants, the effectiveness of actions taken in the United States and other countries to contain, vaccinate against, and treat the disease, and the pandemic’s impact on the Company’s current and planned preclinical studies and clinical trials, employees and vendors, all of which are uncertain and cannot be predicted. The extent to which the COVID-19 pandemic may impact the Company’s financial condition or results of operations is uncertain. In response to the pandemic, the Coronavirus Aid, Relief and Economic Security Act (the “CARES Act”) was signed into law on March 27, 2020. The CARES Act, among other things, includes tax provisions relating to refundable payroll tax credits, deferment of employer’s social security payments, net operating loss utilization and carryback periods, modifications to the net interest deduction limitations and technical corrections to tax depreciation methods for qualified improvement property. The CARES Act had no impact on the Company’s income tax provision for the year ended December 31, 2020. The Company continues to evaluate the impact of the CARES Act on its financial position, results of operations and cash flows. The Company currently does not expect to apply for loans or grants under the CARES Act.</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01" w:lineRule="exact"/>
        <w:rPr>
          <w:sz w:val="20"/>
          <w:szCs w:val="20"/>
          <w:color w:val="auto"/>
        </w:rPr>
      </w:pPr>
    </w:p>
    <w:p>
      <w:pPr>
        <w:jc w:val="both"/>
        <w:ind w:firstLine="511"/>
        <w:spacing w:after="0" w:line="247"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the Company’s financial statements and accompanying notes. On an ongoing basis, management evaluates its estimates, including those related to preclinical studies, fair value of assets and liabilities, share-based compensation and income taxes. Management bases its estimates on historical experience, knowledge of current events and actions it may undertake in the future that management believes to be reasonable under the circumstances. Actual results may differ from these estimates and assumptions.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Per Share</w:t>
      </w:r>
    </w:p>
    <w:p>
      <w:pPr>
        <w:spacing w:after="0" w:line="102" w:lineRule="exact"/>
        <w:rPr>
          <w:sz w:val="20"/>
          <w:szCs w:val="20"/>
          <w:color w:val="auto"/>
        </w:rPr>
      </w:pPr>
    </w:p>
    <w:p>
      <w:pPr>
        <w:ind w:firstLine="511"/>
        <w:spacing w:after="0" w:line="284" w:lineRule="auto"/>
        <w:rPr>
          <w:sz w:val="20"/>
          <w:szCs w:val="20"/>
          <w:color w:val="auto"/>
        </w:rPr>
      </w:pPr>
      <w:r>
        <w:rPr>
          <w:rFonts w:ascii="Arial" w:cs="Arial" w:eastAsia="Arial" w:hAnsi="Arial"/>
          <w:sz w:val="15"/>
          <w:szCs w:val="15"/>
          <w:color w:val="auto"/>
        </w:rPr>
        <w:t>Basic net loss per share is calculated by dividing the net loss by the weighted-average number of common shares outstanding for the period, without consideration of potential dilutive securities. Diluted net loss per share is computed by dividing the net loss by the sum of the weighted average number of common shares plus the potential dilutive effects of potential dilutive securities outstanding during the period. Potential dilutive securities are excluded from diluted earnings or loss per share if the effect of such inclusion is antidilutive. The Company’s potentially dilutive securities, which include convertible preferred stock prior to the conversion of such shares to common stock, unvested common stock, and outstanding stock options under the Company’s equity incentive plan, have been excluded from the computation of diluted net loss per share as they would be anti-dilutive to the net loss per share. For all periods presented, there is no difference in the number of shares used to calculate basic and diluted shares outstanding due to the Company’s net loss position.</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201" w:lineRule="exact"/>
        <w:rPr>
          <w:sz w:val="20"/>
          <w:szCs w:val="20"/>
          <w:color w:val="auto"/>
        </w:rPr>
      </w:pPr>
    </w:p>
    <w:p>
      <w:pPr>
        <w:ind w:right="20" w:firstLine="511"/>
        <w:spacing w:after="0" w:line="286" w:lineRule="auto"/>
        <w:rPr>
          <w:sz w:val="20"/>
          <w:szCs w:val="20"/>
          <w:color w:val="auto"/>
        </w:rPr>
      </w:pPr>
      <w:r>
        <w:rPr>
          <w:rFonts w:ascii="Arial" w:cs="Arial" w:eastAsia="Arial" w:hAnsi="Arial"/>
          <w:sz w:val="15"/>
          <w:szCs w:val="15"/>
          <w:i w:val="1"/>
          <w:iCs w:val="1"/>
          <w:color w:val="auto"/>
        </w:rPr>
        <w:t xml:space="preserve">Income Taxes. </w:t>
      </w:r>
      <w:r>
        <w:rPr>
          <w:rFonts w:ascii="Arial" w:cs="Arial" w:eastAsia="Arial" w:hAnsi="Arial"/>
          <w:sz w:val="15"/>
          <w:szCs w:val="15"/>
          <w:color w:val="auto"/>
        </w:rPr>
        <w:t>In December 2019, the Financial Accounting Standards Board (“FASB”) issued Accounting Standards Update (“ASU”) 2019-12—Income Taxes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(Topic 740): </w:t>
      </w:r>
      <w:r>
        <w:rPr>
          <w:rFonts w:ascii="Arial" w:cs="Arial" w:eastAsia="Arial" w:hAnsi="Arial"/>
          <w:sz w:val="15"/>
          <w:szCs w:val="15"/>
          <w:i w:val="1"/>
          <w:iCs w:val="1"/>
          <w:color w:val="auto"/>
        </w:rPr>
        <w:t>Simplifying the Accounting for Income Taxes,</w:t>
      </w:r>
      <w:r>
        <w:rPr>
          <w:rFonts w:ascii="Arial" w:cs="Arial" w:eastAsia="Arial" w:hAnsi="Arial"/>
          <w:sz w:val="15"/>
          <w:szCs w:val="15"/>
          <w:color w:val="auto"/>
        </w:rPr>
        <w:t xml:space="preserve"> which simplifies the accounting for income taxes by eliminating certain exceptions to the guidance in Topic 740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This standard is effective for fiscal years beginning after December 15, 2020, with early adoption permitted. The Company adopted this standard in the first quarter of 2021 using the prospective method, and the adoption did not have a material impact on the Company’s financial statements.</w:t>
      </w:r>
    </w:p>
    <w:p>
      <w:pPr>
        <w:spacing w:after="0" w:line="154" w:lineRule="exact"/>
        <w:rPr>
          <w:sz w:val="20"/>
          <w:szCs w:val="20"/>
          <w:color w:val="auto"/>
        </w:rPr>
      </w:pPr>
    </w:p>
    <w:p>
      <w:pPr>
        <w:ind w:right="320" w:firstLine="511"/>
        <w:spacing w:after="0" w:line="260" w:lineRule="auto"/>
        <w:rPr>
          <w:sz w:val="20"/>
          <w:szCs w:val="20"/>
          <w:color w:val="auto"/>
        </w:rPr>
      </w:pPr>
      <w:r>
        <w:rPr>
          <w:rFonts w:ascii="Arial" w:cs="Arial" w:eastAsia="Arial" w:hAnsi="Arial"/>
          <w:sz w:val="17"/>
          <w:szCs w:val="17"/>
          <w:color w:val="auto"/>
        </w:rPr>
        <w:t>There were no other significant updates to the recently issued accounting standards other than as disclosed herewith for the nine months ended September 30, 2021. Although there are several other new accounting pronouncements issued or proposed by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2" w:name="page13"/>
    <w:bookmarkEnd w:id="12"/>
    <w:p>
      <w:pPr>
        <w:spacing w:after="0"/>
        <w:rPr>
          <w:sz w:val="20"/>
          <w:szCs w:val="20"/>
          <w:color w:val="auto"/>
        </w:rPr>
      </w:pPr>
      <w:r>
        <w:rPr>
          <w:rFonts w:ascii="Arial" w:cs="Arial" w:eastAsia="Arial" w:hAnsi="Arial"/>
          <w:sz w:val="15"/>
          <w:szCs w:val="15"/>
          <w:color w:val="auto"/>
        </w:rPr>
        <w:t>FASB, the Company does not believe any of those accounting pronouncements have had or will have a material impact on its financial position or operating results.</w:t>
      </w: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Net Loss Per Share</w:t>
      </w:r>
    </w:p>
    <w:p>
      <w:pPr>
        <w:spacing w:after="0" w:line="10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tables summarize the computation of the basic and diluted net loss per share (in thousands except share and per share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20" w:type="dxa"/>
            <w:vAlign w:val="bottom"/>
            <w:gridSpan w:val="7"/>
          </w:tcPr>
          <w:p>
            <w:pPr>
              <w:ind w:left="460"/>
              <w:spacing w:after="0"/>
              <w:rPr>
                <w:sz w:val="20"/>
                <w:szCs w:val="20"/>
                <w:color w:val="auto"/>
              </w:rPr>
            </w:pPr>
            <w:r>
              <w:rPr>
                <w:rFonts w:ascii="Arial" w:cs="Arial" w:eastAsia="Arial" w:hAnsi="Arial"/>
                <w:sz w:val="13"/>
                <w:szCs w:val="13"/>
                <w:b w:val="1"/>
                <w:bCs w:val="1"/>
                <w:color w:val="auto"/>
              </w:rPr>
              <w:t>Three Months Ended</w:t>
            </w:r>
          </w:p>
        </w:tc>
        <w:tc>
          <w:tcPr>
            <w:tcW w:w="280" w:type="dxa"/>
            <w:vAlign w:val="bottom"/>
          </w:tcPr>
          <w:p>
            <w:pPr>
              <w:spacing w:after="0"/>
              <w:rPr>
                <w:sz w:val="13"/>
                <w:szCs w:val="13"/>
                <w:color w:val="auto"/>
              </w:rPr>
            </w:pPr>
          </w:p>
        </w:tc>
        <w:tc>
          <w:tcPr>
            <w:tcW w:w="1620" w:type="dxa"/>
            <w:vAlign w:val="bottom"/>
            <w:gridSpan w:val="3"/>
          </w:tcPr>
          <w:p>
            <w:pPr>
              <w:jc w:val="right"/>
              <w:spacing w:after="0"/>
              <w:rPr>
                <w:sz w:val="20"/>
                <w:szCs w:val="20"/>
                <w:color w:val="auto"/>
              </w:rPr>
            </w:pPr>
            <w:r>
              <w:rPr>
                <w:rFonts w:ascii="Arial" w:cs="Arial" w:eastAsia="Arial" w:hAnsi="Arial"/>
                <w:sz w:val="13"/>
                <w:szCs w:val="13"/>
                <w:b w:val="1"/>
                <w:bCs w:val="1"/>
                <w:color w:val="auto"/>
              </w:rPr>
              <w:t>Nine Months Ended</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4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September 30,</w:t>
            </w:r>
          </w:p>
        </w:tc>
        <w:tc>
          <w:tcPr>
            <w:tcW w:w="8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ind w:right="103"/>
              <w:spacing w:after="0"/>
              <w:rPr>
                <w:sz w:val="20"/>
                <w:szCs w:val="20"/>
                <w:color w:val="auto"/>
              </w:rPr>
            </w:pPr>
            <w:r>
              <w:rPr>
                <w:rFonts w:ascii="Arial" w:cs="Arial" w:eastAsia="Arial" w:hAnsi="Arial"/>
                <w:sz w:val="13"/>
                <w:szCs w:val="13"/>
                <w:b w:val="1"/>
                <w:bCs w:val="1"/>
                <w:color w:val="auto"/>
              </w:rPr>
              <w:t>September 30,</w:t>
            </w: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1"/>
        </w:trPr>
        <w:tc>
          <w:tcPr>
            <w:tcW w:w="4800" w:type="dxa"/>
            <w:vAlign w:val="bottom"/>
            <w:tcBorders>
              <w:bottom w:val="single" w:sz="8" w:color="CFF0FC"/>
            </w:tcBorders>
          </w:tcPr>
          <w:p>
            <w:pPr>
              <w:spacing w:after="0"/>
              <w:rPr>
                <w:sz w:val="12"/>
                <w:szCs w:val="12"/>
                <w:color w:val="auto"/>
              </w:rPr>
            </w:pPr>
          </w:p>
        </w:tc>
        <w:tc>
          <w:tcPr>
            <w:tcW w:w="82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84"/>
              <w:spacing w:after="0" w:line="141" w:lineRule="exact"/>
              <w:rPr>
                <w:sz w:val="20"/>
                <w:szCs w:val="20"/>
                <w:color w:val="auto"/>
              </w:rPr>
            </w:pPr>
            <w:r>
              <w:rPr>
                <w:rFonts w:ascii="Arial" w:cs="Arial" w:eastAsia="Arial" w:hAnsi="Arial"/>
                <w:sz w:val="13"/>
                <w:szCs w:val="13"/>
                <w:b w:val="1"/>
                <w:bCs w:val="1"/>
                <w:color w:val="auto"/>
              </w:rPr>
              <w:t>2021</w:t>
            </w:r>
          </w:p>
        </w:tc>
        <w:tc>
          <w:tcPr>
            <w:tcW w:w="16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00"/>
              <w:spacing w:after="0" w:line="141" w:lineRule="exact"/>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84"/>
              <w:spacing w:after="0" w:line="141" w:lineRule="exact"/>
              <w:rPr>
                <w:sz w:val="20"/>
                <w:szCs w:val="20"/>
                <w:color w:val="auto"/>
              </w:rPr>
            </w:pPr>
            <w:r>
              <w:rPr>
                <w:rFonts w:ascii="Arial" w:cs="Arial" w:eastAsia="Arial" w:hAnsi="Arial"/>
                <w:sz w:val="13"/>
                <w:szCs w:val="13"/>
                <w:b w:val="1"/>
                <w:bCs w:val="1"/>
                <w:color w:val="auto"/>
              </w:rPr>
              <w:t>2021</w:t>
            </w:r>
          </w:p>
        </w:tc>
        <w:tc>
          <w:tcPr>
            <w:tcW w:w="260" w:type="dxa"/>
            <w:vAlign w:val="bottom"/>
            <w:tcBorders>
              <w:bottom w:val="single" w:sz="8" w:color="CFF0FC"/>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00"/>
              <w:spacing w:after="0" w:line="141" w:lineRule="exact"/>
              <w:rPr>
                <w:sz w:val="20"/>
                <w:szCs w:val="20"/>
                <w:color w:val="auto"/>
              </w:rPr>
            </w:pPr>
            <w:r>
              <w:rPr>
                <w:rFonts w:ascii="Arial" w:cs="Arial" w:eastAsia="Arial" w:hAnsi="Arial"/>
                <w:sz w:val="13"/>
                <w:szCs w:val="13"/>
                <w:b w:val="1"/>
                <w:bCs w:val="1"/>
                <w:color w:val="auto"/>
                <w:w w:val="89"/>
              </w:rPr>
              <w:t>2020</w:t>
            </w:r>
          </w:p>
        </w:tc>
        <w:tc>
          <w:tcPr>
            <w:tcW w:w="100" w:type="dxa"/>
            <w:vAlign w:val="bottom"/>
            <w:tcBorders>
              <w:bottom w:val="single" w:sz="8" w:color="CFF0FC"/>
            </w:tcBorders>
          </w:tcPr>
          <w:p>
            <w:pPr>
              <w:spacing w:after="0"/>
              <w:rPr>
                <w:sz w:val="12"/>
                <w:szCs w:val="12"/>
                <w:color w:val="auto"/>
              </w:rPr>
            </w:pPr>
          </w:p>
        </w:tc>
      </w:tr>
      <w:tr>
        <w:trPr>
          <w:trHeight w:val="203"/>
        </w:trPr>
        <w:tc>
          <w:tcPr>
            <w:tcW w:w="480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Numerator:</w:t>
            </w: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50"/>
        </w:trPr>
        <w:tc>
          <w:tcPr>
            <w:tcW w:w="4800" w:type="dxa"/>
            <w:vAlign w:val="bottom"/>
          </w:tcPr>
          <w:p>
            <w:pPr>
              <w:spacing w:after="0"/>
              <w:rPr>
                <w:sz w:val="20"/>
                <w:szCs w:val="20"/>
                <w:color w:val="auto"/>
              </w:rPr>
            </w:pPr>
            <w:r>
              <w:rPr>
                <w:rFonts w:ascii="Arial" w:cs="Arial" w:eastAsia="Arial" w:hAnsi="Arial"/>
                <w:sz w:val="17"/>
                <w:szCs w:val="17"/>
                <w:color w:val="auto"/>
              </w:rPr>
              <w:t>Net loss</w:t>
            </w:r>
          </w:p>
        </w:tc>
        <w:tc>
          <w:tcPr>
            <w:tcW w:w="1060" w:type="dxa"/>
            <w:vAlign w:val="bottom"/>
            <w:gridSpan w:val="2"/>
          </w:tcPr>
          <w:p>
            <w:pPr>
              <w:jc w:val="right"/>
              <w:ind w:right="83"/>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(22,353)</w:t>
            </w:r>
          </w:p>
        </w:tc>
        <w:tc>
          <w:tcPr>
            <w:tcW w:w="440" w:type="dxa"/>
            <w:vAlign w:val="bottom"/>
            <w:gridSpan w:val="2"/>
          </w:tcPr>
          <w:p>
            <w:pPr>
              <w:jc w:val="right"/>
              <w:ind w:right="177"/>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(13,693)</w:t>
            </w:r>
          </w:p>
        </w:tc>
        <w:tc>
          <w:tcPr>
            <w:tcW w:w="140" w:type="dxa"/>
            <w:vAlign w:val="bottom"/>
          </w:tcPr>
          <w:p>
            <w:pPr>
              <w:spacing w:after="0"/>
              <w:rPr>
                <w:sz w:val="21"/>
                <w:szCs w:val="21"/>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(63,261)</w:t>
            </w:r>
          </w:p>
        </w:tc>
        <w:tc>
          <w:tcPr>
            <w:tcW w:w="440" w:type="dxa"/>
            <w:vAlign w:val="bottom"/>
          </w:tcPr>
          <w:p>
            <w:pPr>
              <w:jc w:val="right"/>
              <w:ind w:right="28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(73,464)</w:t>
            </w:r>
          </w:p>
        </w:tc>
      </w:tr>
      <w:tr>
        <w:trPr>
          <w:trHeight w:val="189"/>
        </w:trPr>
        <w:tc>
          <w:tcPr>
            <w:tcW w:w="4800" w:type="dxa"/>
            <w:vAlign w:val="bottom"/>
            <w:tcBorders>
              <w:top w:val="single" w:sz="8" w:color="CFF0FC"/>
            </w:tcBorders>
            <w:shd w:val="clear" w:color="auto" w:fill="CFF0FC"/>
          </w:tcPr>
          <w:p>
            <w:pPr>
              <w:spacing w:after="0" w:line="187" w:lineRule="exact"/>
              <w:rPr>
                <w:sz w:val="20"/>
                <w:szCs w:val="20"/>
                <w:color w:val="auto"/>
              </w:rPr>
            </w:pPr>
            <w:r>
              <w:rPr>
                <w:rFonts w:ascii="Arial" w:cs="Arial" w:eastAsia="Arial" w:hAnsi="Arial"/>
                <w:sz w:val="17"/>
                <w:szCs w:val="17"/>
                <w:b w:val="1"/>
                <w:bCs w:val="1"/>
                <w:color w:val="auto"/>
              </w:rPr>
              <w:t>Denominator:</w:t>
            </w:r>
          </w:p>
        </w:tc>
        <w:tc>
          <w:tcPr>
            <w:tcW w:w="82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44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r>
      <w:tr>
        <w:trPr>
          <w:trHeight w:val="210"/>
        </w:trPr>
        <w:tc>
          <w:tcPr>
            <w:tcW w:w="4800" w:type="dxa"/>
            <w:vAlign w:val="bottom"/>
          </w:tcPr>
          <w:p>
            <w:pPr>
              <w:ind w:left="220"/>
              <w:spacing w:after="0"/>
              <w:rPr>
                <w:sz w:val="20"/>
                <w:szCs w:val="20"/>
                <w:color w:val="auto"/>
              </w:rPr>
            </w:pPr>
            <w:r>
              <w:rPr>
                <w:rFonts w:ascii="Arial" w:cs="Arial" w:eastAsia="Arial" w:hAnsi="Arial"/>
                <w:sz w:val="17"/>
                <w:szCs w:val="17"/>
                <w:color w:val="auto"/>
              </w:rPr>
              <w:t>Weighted average common shares outstanding</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32,939,272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3"/>
              </w:rPr>
              <w:t>31,095,610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32,875,670</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w w:val="84"/>
              </w:rPr>
              <w:t>11,620,515</w:t>
            </w:r>
          </w:p>
        </w:tc>
        <w:tc>
          <w:tcPr>
            <w:tcW w:w="100" w:type="dxa"/>
            <w:vAlign w:val="bottom"/>
          </w:tcPr>
          <w:p>
            <w:pPr>
              <w:spacing w:after="0"/>
              <w:rPr>
                <w:sz w:val="18"/>
                <w:szCs w:val="18"/>
                <w:color w:val="auto"/>
              </w:rPr>
            </w:pPr>
          </w:p>
        </w:tc>
      </w:tr>
      <w:tr>
        <w:trPr>
          <w:trHeight w:val="199"/>
        </w:trPr>
        <w:tc>
          <w:tcPr>
            <w:tcW w:w="48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Less: weighted average unvested common stock issued</w:t>
            </w: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1"/>
        </w:trPr>
        <w:tc>
          <w:tcPr>
            <w:tcW w:w="4800" w:type="dxa"/>
            <w:vAlign w:val="bottom"/>
            <w:shd w:val="clear" w:color="auto" w:fill="CFF0FC"/>
          </w:tcPr>
          <w:p>
            <w:pPr>
              <w:ind w:left="340"/>
              <w:spacing w:after="0"/>
              <w:rPr>
                <w:sz w:val="20"/>
                <w:szCs w:val="20"/>
                <w:color w:val="auto"/>
              </w:rPr>
            </w:pPr>
            <w:r>
              <w:rPr>
                <w:rFonts w:ascii="Arial" w:cs="Arial" w:eastAsia="Arial" w:hAnsi="Arial"/>
                <w:sz w:val="17"/>
                <w:szCs w:val="17"/>
                <w:color w:val="auto"/>
              </w:rPr>
              <w:t>upon early exercise of common stock options</w:t>
            </w: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(36,549)</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(114,169)</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(51,841)</w:t>
            </w:r>
          </w:p>
        </w:tc>
        <w:tc>
          <w:tcPr>
            <w:tcW w:w="4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(121,188)</w:t>
            </w:r>
          </w:p>
        </w:tc>
      </w:tr>
      <w:tr>
        <w:trPr>
          <w:trHeight w:val="191"/>
        </w:trPr>
        <w:tc>
          <w:tcPr>
            <w:tcW w:w="4800" w:type="dxa"/>
            <w:vAlign w:val="bottom"/>
          </w:tcPr>
          <w:p>
            <w:pPr>
              <w:spacing w:after="0" w:line="190" w:lineRule="exact"/>
              <w:rPr>
                <w:sz w:val="20"/>
                <w:szCs w:val="20"/>
                <w:color w:val="auto"/>
              </w:rPr>
            </w:pPr>
            <w:r>
              <w:rPr>
                <w:rFonts w:ascii="Arial" w:cs="Arial" w:eastAsia="Arial" w:hAnsi="Arial"/>
                <w:sz w:val="17"/>
                <w:szCs w:val="17"/>
                <w:color w:val="auto"/>
              </w:rPr>
              <w:t>Weighted average shares used to compute net loss per share,</w:t>
            </w:r>
          </w:p>
        </w:tc>
        <w:tc>
          <w:tcPr>
            <w:tcW w:w="8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50"/>
        </w:trPr>
        <w:tc>
          <w:tcPr>
            <w:tcW w:w="4800" w:type="dxa"/>
            <w:vAlign w:val="bottom"/>
            <w:tcBorders>
              <w:bottom w:val="single" w:sz="8" w:color="CFF0FC"/>
            </w:tcBorders>
          </w:tcPr>
          <w:p>
            <w:pPr>
              <w:ind w:left="120"/>
              <w:spacing w:after="0"/>
              <w:rPr>
                <w:sz w:val="20"/>
                <w:szCs w:val="20"/>
                <w:color w:val="auto"/>
              </w:rPr>
            </w:pPr>
            <w:r>
              <w:rPr>
                <w:rFonts w:ascii="Arial" w:cs="Arial" w:eastAsia="Arial" w:hAnsi="Arial"/>
                <w:sz w:val="17"/>
                <w:szCs w:val="17"/>
                <w:color w:val="auto"/>
              </w:rPr>
              <w:t>basic and diluted</w:t>
            </w:r>
          </w:p>
        </w:tc>
        <w:tc>
          <w:tcPr>
            <w:tcW w:w="82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32,902,723</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30,981,441</w:t>
            </w: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32,823,829</w:t>
            </w:r>
          </w:p>
        </w:tc>
        <w:tc>
          <w:tcPr>
            <w:tcW w:w="260" w:type="dxa"/>
            <w:vAlign w:val="bottom"/>
            <w:tcBorders>
              <w:bottom w:val="single" w:sz="8" w:color="CFF0FC"/>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11,499,327</w:t>
            </w:r>
          </w:p>
        </w:tc>
        <w:tc>
          <w:tcPr>
            <w:tcW w:w="100" w:type="dxa"/>
            <w:vAlign w:val="bottom"/>
            <w:tcBorders>
              <w:bottom w:val="single" w:sz="8" w:color="CFF0FC"/>
            </w:tcBorders>
          </w:tcPr>
          <w:p>
            <w:pPr>
              <w:spacing w:after="0"/>
              <w:rPr>
                <w:sz w:val="21"/>
                <w:szCs w:val="21"/>
                <w:color w:val="auto"/>
              </w:rPr>
            </w:pPr>
          </w:p>
        </w:tc>
      </w:tr>
      <w:tr>
        <w:trPr>
          <w:trHeight w:val="188"/>
        </w:trPr>
        <w:tc>
          <w:tcPr>
            <w:tcW w:w="4800" w:type="dxa"/>
            <w:vAlign w:val="bottom"/>
            <w:tcBorders>
              <w:bottom w:val="single" w:sz="8" w:color="CFF0FC"/>
            </w:tcBorders>
            <w:shd w:val="clear" w:color="auto" w:fill="CFF0FC"/>
          </w:tcPr>
          <w:p>
            <w:pPr>
              <w:spacing w:after="0" w:line="187" w:lineRule="exact"/>
              <w:rPr>
                <w:sz w:val="20"/>
                <w:szCs w:val="20"/>
                <w:color w:val="auto"/>
              </w:rPr>
            </w:pPr>
            <w:r>
              <w:rPr>
                <w:rFonts w:ascii="Arial" w:cs="Arial" w:eastAsia="Arial" w:hAnsi="Arial"/>
                <w:sz w:val="17"/>
                <w:szCs w:val="17"/>
                <w:color w:val="auto"/>
              </w:rPr>
              <w:t>Net loss per share, basic and diluted</w:t>
            </w:r>
          </w:p>
        </w:tc>
        <w:tc>
          <w:tcPr>
            <w:tcW w:w="8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line="188" w:lineRule="exact"/>
              <w:rPr>
                <w:sz w:val="20"/>
                <w:szCs w:val="20"/>
                <w:color w:val="auto"/>
              </w:rPr>
            </w:pPr>
            <w:r>
              <w:rPr>
                <w:rFonts w:ascii="Arial" w:cs="Arial" w:eastAsia="Arial" w:hAnsi="Arial"/>
                <w:sz w:val="17"/>
                <w:szCs w:val="17"/>
                <w:color w:val="auto"/>
              </w:rPr>
              <w:t>(0.68)</w:t>
            </w:r>
          </w:p>
        </w:tc>
        <w:tc>
          <w:tcPr>
            <w:tcW w:w="16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jc w:val="right"/>
              <w:ind w:right="177"/>
              <w:spacing w:after="0" w:line="188" w:lineRule="exact"/>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FF0FC"/>
          </w:tcPr>
          <w:p>
            <w:pPr>
              <w:jc w:val="right"/>
              <w:spacing w:after="0" w:line="188" w:lineRule="exact"/>
              <w:rPr>
                <w:sz w:val="20"/>
                <w:szCs w:val="20"/>
                <w:color w:val="auto"/>
              </w:rPr>
            </w:pPr>
            <w:r>
              <w:rPr>
                <w:rFonts w:ascii="Arial" w:cs="Arial" w:eastAsia="Arial" w:hAnsi="Arial"/>
                <w:sz w:val="17"/>
                <w:szCs w:val="17"/>
                <w:color w:val="auto"/>
              </w:rPr>
              <w:t>(0.44)</w:t>
            </w:r>
          </w:p>
        </w:tc>
        <w:tc>
          <w:tcPr>
            <w:tcW w:w="1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line="188" w:lineRule="exact"/>
              <w:rPr>
                <w:sz w:val="20"/>
                <w:szCs w:val="20"/>
                <w:color w:val="auto"/>
              </w:rPr>
            </w:pPr>
            <w:r>
              <w:rPr>
                <w:rFonts w:ascii="Arial" w:cs="Arial" w:eastAsia="Arial" w:hAnsi="Arial"/>
                <w:sz w:val="17"/>
                <w:szCs w:val="17"/>
                <w:color w:val="auto"/>
              </w:rPr>
              <w:t>(1.93)</w:t>
            </w:r>
          </w:p>
        </w:tc>
        <w:tc>
          <w:tcPr>
            <w:tcW w:w="26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jc w:val="right"/>
              <w:ind w:right="28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line="188" w:lineRule="exact"/>
              <w:rPr>
                <w:sz w:val="20"/>
                <w:szCs w:val="20"/>
                <w:color w:val="auto"/>
              </w:rPr>
            </w:pPr>
            <w:r>
              <w:rPr>
                <w:rFonts w:ascii="Arial" w:cs="Arial" w:eastAsia="Arial" w:hAnsi="Arial"/>
                <w:sz w:val="17"/>
                <w:szCs w:val="17"/>
                <w:color w:val="auto"/>
              </w:rPr>
              <w:t>(6.39)</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20"/>
        </w:trPr>
        <w:tc>
          <w:tcPr>
            <w:tcW w:w="4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ind w:firstLine="511"/>
        <w:spacing w:after="0" w:line="260" w:lineRule="auto"/>
        <w:rPr>
          <w:sz w:val="20"/>
          <w:szCs w:val="20"/>
          <w:color w:val="auto"/>
        </w:rPr>
      </w:pPr>
      <w:r>
        <w:rPr>
          <w:rFonts w:ascii="Arial" w:cs="Arial" w:eastAsia="Arial" w:hAnsi="Arial"/>
          <w:sz w:val="17"/>
          <w:szCs w:val="17"/>
          <w:color w:val="auto"/>
        </w:rPr>
        <w:t>The following table summarizes the outstanding potentially dilutive securities that have been excluded in the calculation of diluted net loss per share because their inclusion would be anti-dilutive: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740" w:type="dxa"/>
            <w:vAlign w:val="bottom"/>
          </w:tcPr>
          <w:p>
            <w:pPr>
              <w:spacing w:after="0"/>
              <w:rPr>
                <w:sz w:val="13"/>
                <w:szCs w:val="13"/>
                <w:color w:val="auto"/>
              </w:rPr>
            </w:pPr>
          </w:p>
        </w:tc>
        <w:tc>
          <w:tcPr>
            <w:tcW w:w="2360" w:type="dxa"/>
            <w:vAlign w:val="bottom"/>
            <w:tcBorders>
              <w:bottom w:val="single" w:sz="8" w:color="auto"/>
            </w:tcBorders>
            <w:gridSpan w:val="3"/>
          </w:tcPr>
          <w:p>
            <w:pPr>
              <w:ind w:left="1120"/>
              <w:spacing w:after="0"/>
              <w:rPr>
                <w:sz w:val="20"/>
                <w:szCs w:val="20"/>
                <w:color w:val="auto"/>
              </w:rPr>
            </w:pPr>
            <w:r>
              <w:rPr>
                <w:rFonts w:ascii="Arial" w:cs="Arial" w:eastAsia="Arial" w:hAnsi="Arial"/>
                <w:sz w:val="13"/>
                <w:szCs w:val="13"/>
                <w:b w:val="1"/>
                <w:bCs w:val="1"/>
                <w:color w:val="auto"/>
                <w:w w:val="97"/>
              </w:rPr>
              <w:t>As of September 30,</w:t>
            </w:r>
          </w:p>
        </w:tc>
        <w:tc>
          <w:tcPr>
            <w:tcW w:w="10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1"/>
        </w:trPr>
        <w:tc>
          <w:tcPr>
            <w:tcW w:w="7740" w:type="dxa"/>
            <w:vAlign w:val="bottom"/>
            <w:tcBorders>
              <w:bottom w:val="single" w:sz="8" w:color="CFF0FC"/>
            </w:tcBorders>
          </w:tcPr>
          <w:p>
            <w:pPr>
              <w:spacing w:after="0"/>
              <w:rPr>
                <w:sz w:val="12"/>
                <w:szCs w:val="12"/>
                <w:color w:val="auto"/>
              </w:rPr>
            </w:pPr>
          </w:p>
        </w:tc>
        <w:tc>
          <w:tcPr>
            <w:tcW w:w="1540" w:type="dxa"/>
            <w:vAlign w:val="bottom"/>
            <w:tcBorders>
              <w:bottom w:val="single" w:sz="8" w:color="auto"/>
            </w:tcBorders>
          </w:tcPr>
          <w:p>
            <w:pPr>
              <w:jc w:val="right"/>
              <w:ind w:right="564"/>
              <w:spacing w:after="0" w:line="141" w:lineRule="exact"/>
              <w:rPr>
                <w:sz w:val="20"/>
                <w:szCs w:val="20"/>
                <w:color w:val="auto"/>
              </w:rPr>
            </w:pPr>
            <w:r>
              <w:rPr>
                <w:rFonts w:ascii="Arial" w:cs="Arial" w:eastAsia="Arial" w:hAnsi="Arial"/>
                <w:sz w:val="13"/>
                <w:szCs w:val="13"/>
                <w:b w:val="1"/>
                <w:bCs w:val="1"/>
                <w:color w:val="auto"/>
              </w:rPr>
              <w:t>2021</w:t>
            </w:r>
          </w:p>
        </w:tc>
        <w:tc>
          <w:tcPr>
            <w:tcW w:w="280" w:type="dxa"/>
            <w:vAlign w:val="bottom"/>
            <w:tcBorders>
              <w:bottom w:val="single" w:sz="8" w:color="CFF0FC"/>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62"/>
              <w:spacing w:after="0" w:line="141"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2"/>
                <w:szCs w:val="12"/>
                <w:color w:val="auto"/>
              </w:rPr>
            </w:pPr>
          </w:p>
        </w:tc>
      </w:tr>
      <w:tr>
        <w:trPr>
          <w:trHeight w:val="203"/>
        </w:trPr>
        <w:tc>
          <w:tcPr>
            <w:tcW w:w="7740" w:type="dxa"/>
            <w:vAlign w:val="bottom"/>
            <w:shd w:val="clear" w:color="auto" w:fill="CFF0FC"/>
          </w:tcPr>
          <w:p>
            <w:pPr>
              <w:spacing w:after="0"/>
              <w:rPr>
                <w:sz w:val="20"/>
                <w:szCs w:val="20"/>
                <w:color w:val="auto"/>
              </w:rPr>
            </w:pPr>
            <w:r>
              <w:rPr>
                <w:rFonts w:ascii="Arial" w:cs="Arial" w:eastAsia="Arial" w:hAnsi="Arial"/>
                <w:sz w:val="17"/>
                <w:szCs w:val="17"/>
                <w:color w:val="auto"/>
              </w:rPr>
              <w:t>Common stock options</w:t>
            </w:r>
          </w:p>
        </w:tc>
        <w:tc>
          <w:tcPr>
            <w:tcW w:w="1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4,189,488</w:t>
            </w:r>
          </w:p>
        </w:tc>
        <w:tc>
          <w:tcPr>
            <w:tcW w:w="2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3,564,980</w:t>
            </w:r>
          </w:p>
        </w:tc>
        <w:tc>
          <w:tcPr>
            <w:tcW w:w="120" w:type="dxa"/>
            <w:vAlign w:val="bottom"/>
            <w:shd w:val="clear" w:color="auto" w:fill="CFF0FC"/>
          </w:tcPr>
          <w:p>
            <w:pPr>
              <w:spacing w:after="0"/>
              <w:rPr>
                <w:sz w:val="17"/>
                <w:szCs w:val="17"/>
                <w:color w:val="auto"/>
              </w:rPr>
            </w:pPr>
          </w:p>
        </w:tc>
      </w:tr>
      <w:tr>
        <w:trPr>
          <w:trHeight w:val="210"/>
        </w:trPr>
        <w:tc>
          <w:tcPr>
            <w:tcW w:w="77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Unvested common stock upon early exercise of common stock options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31,355</w:t>
            </w:r>
          </w:p>
        </w:tc>
        <w:tc>
          <w:tcPr>
            <w:tcW w:w="28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107,847</w:t>
            </w:r>
          </w:p>
        </w:tc>
        <w:tc>
          <w:tcPr>
            <w:tcW w:w="120" w:type="dxa"/>
            <w:vAlign w:val="bottom"/>
            <w:tcBorders>
              <w:bottom w:val="single" w:sz="8" w:color="CFF0FC"/>
            </w:tcBorders>
          </w:tcPr>
          <w:p>
            <w:pPr>
              <w:spacing w:after="0"/>
              <w:rPr>
                <w:sz w:val="18"/>
                <w:szCs w:val="18"/>
                <w:color w:val="auto"/>
              </w:rPr>
            </w:pPr>
          </w:p>
        </w:tc>
      </w:tr>
      <w:tr>
        <w:trPr>
          <w:trHeight w:val="203"/>
        </w:trPr>
        <w:tc>
          <w:tcPr>
            <w:tcW w:w="7740" w:type="dxa"/>
            <w:vAlign w:val="bottom"/>
            <w:tcBorders>
              <w:bottom w:val="single" w:sz="8" w:color="CFF0FC"/>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4,220,843</w:t>
            </w:r>
          </w:p>
        </w:tc>
        <w:tc>
          <w:tcPr>
            <w:tcW w:w="28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3,672,827</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20"/>
        </w:trPr>
        <w:tc>
          <w:tcPr>
            <w:tcW w:w="77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Fair Value of Financial Instruments</w:t>
      </w:r>
    </w:p>
    <w:p>
      <w:pPr>
        <w:spacing w:after="0" w:line="10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tables summarize the fair value of the Company’s financial instruments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20" w:type="dxa"/>
            <w:vAlign w:val="bottom"/>
            <w:tcBorders>
              <w:bottom w:val="single" w:sz="8" w:color="auto"/>
            </w:tcBorders>
            <w:gridSpan w:val="6"/>
          </w:tcPr>
          <w:p>
            <w:pPr>
              <w:jc w:val="center"/>
              <w:ind w:left="826"/>
              <w:spacing w:after="0"/>
              <w:rPr>
                <w:sz w:val="20"/>
                <w:szCs w:val="20"/>
                <w:color w:val="auto"/>
              </w:rPr>
            </w:pPr>
            <w:r>
              <w:rPr>
                <w:rFonts w:ascii="Arial" w:cs="Arial" w:eastAsia="Arial" w:hAnsi="Arial"/>
                <w:sz w:val="13"/>
                <w:szCs w:val="13"/>
                <w:b w:val="1"/>
                <w:bCs w:val="1"/>
                <w:color w:val="auto"/>
                <w:w w:val="91"/>
              </w:rPr>
              <w:t>Fair Value Measurements Using</w:t>
            </w:r>
          </w:p>
        </w:tc>
        <w:tc>
          <w:tcPr>
            <w:tcW w:w="10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center"/>
              <w:ind w:right="46"/>
              <w:spacing w:after="0" w:line="121" w:lineRule="exact"/>
              <w:rPr>
                <w:sz w:val="20"/>
                <w:szCs w:val="20"/>
                <w:color w:val="auto"/>
              </w:rPr>
            </w:pPr>
            <w:r>
              <w:rPr>
                <w:rFonts w:ascii="Arial" w:cs="Arial" w:eastAsia="Arial" w:hAnsi="Arial"/>
                <w:sz w:val="13"/>
                <w:szCs w:val="13"/>
                <w:b w:val="1"/>
                <w:bCs w:val="1"/>
                <w:color w:val="auto"/>
                <w:w w:val="90"/>
              </w:rPr>
              <w:t>Quoted Prices</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105"/>
              <w:spacing w:after="0" w:line="121" w:lineRule="exact"/>
              <w:rPr>
                <w:sz w:val="20"/>
                <w:szCs w:val="20"/>
                <w:color w:val="auto"/>
              </w:rPr>
            </w:pPr>
            <w:r>
              <w:rPr>
                <w:rFonts w:ascii="Arial" w:cs="Arial" w:eastAsia="Arial" w:hAnsi="Arial"/>
                <w:sz w:val="13"/>
                <w:szCs w:val="13"/>
                <w:b w:val="1"/>
                <w:bCs w:val="1"/>
                <w:color w:val="auto"/>
                <w:w w:val="90"/>
              </w:rPr>
              <w:t>Significant</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right="26"/>
              <w:spacing w:after="0" w:line="136" w:lineRule="exact"/>
              <w:rPr>
                <w:sz w:val="20"/>
                <w:szCs w:val="20"/>
                <w:color w:val="auto"/>
              </w:rPr>
            </w:pPr>
            <w:r>
              <w:rPr>
                <w:rFonts w:ascii="Arial" w:cs="Arial" w:eastAsia="Arial" w:hAnsi="Arial"/>
                <w:sz w:val="13"/>
                <w:szCs w:val="13"/>
                <w:b w:val="1"/>
                <w:bCs w:val="1"/>
                <w:color w:val="auto"/>
                <w:w w:val="92"/>
              </w:rPr>
              <w:t>in Active</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center"/>
              <w:ind w:right="125"/>
              <w:spacing w:after="0" w:line="136" w:lineRule="exact"/>
              <w:rPr>
                <w:sz w:val="20"/>
                <w:szCs w:val="20"/>
                <w:color w:val="auto"/>
              </w:rPr>
            </w:pPr>
            <w:r>
              <w:rPr>
                <w:rFonts w:ascii="Arial" w:cs="Arial" w:eastAsia="Arial" w:hAnsi="Arial"/>
                <w:sz w:val="13"/>
                <w:szCs w:val="13"/>
                <w:b w:val="1"/>
                <w:bCs w:val="1"/>
                <w:color w:val="auto"/>
                <w:w w:val="97"/>
              </w:rPr>
              <w:t>Other</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ind w:right="260"/>
              <w:spacing w:after="0" w:line="136" w:lineRule="exact"/>
              <w:rPr>
                <w:sz w:val="20"/>
                <w:szCs w:val="20"/>
                <w:color w:val="auto"/>
              </w:rPr>
            </w:pPr>
            <w:r>
              <w:rPr>
                <w:rFonts w:ascii="Arial" w:cs="Arial" w:eastAsia="Arial" w:hAnsi="Arial"/>
                <w:sz w:val="13"/>
                <w:szCs w:val="13"/>
                <w:b w:val="1"/>
                <w:bCs w:val="1"/>
                <w:color w:val="auto"/>
                <w:w w:val="93"/>
              </w:rPr>
              <w:t>Significant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right="46"/>
              <w:spacing w:after="0" w:line="136" w:lineRule="exact"/>
              <w:rPr>
                <w:sz w:val="20"/>
                <w:szCs w:val="20"/>
                <w:color w:val="auto"/>
              </w:rPr>
            </w:pPr>
            <w:r>
              <w:rPr>
                <w:rFonts w:ascii="Arial" w:cs="Arial" w:eastAsia="Arial" w:hAnsi="Arial"/>
                <w:sz w:val="13"/>
                <w:szCs w:val="13"/>
                <w:b w:val="1"/>
                <w:bCs w:val="1"/>
                <w:color w:val="auto"/>
                <w:w w:val="96"/>
              </w:rPr>
              <w:t>Markets for</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center"/>
              <w:ind w:right="105"/>
              <w:spacing w:after="0" w:line="136" w:lineRule="exact"/>
              <w:rPr>
                <w:sz w:val="20"/>
                <w:szCs w:val="20"/>
                <w:color w:val="auto"/>
              </w:rPr>
            </w:pPr>
            <w:r>
              <w:rPr>
                <w:rFonts w:ascii="Arial" w:cs="Arial" w:eastAsia="Arial" w:hAnsi="Arial"/>
                <w:sz w:val="13"/>
                <w:szCs w:val="13"/>
                <w:b w:val="1"/>
                <w:bCs w:val="1"/>
                <w:color w:val="auto"/>
                <w:w w:val="90"/>
              </w:rPr>
              <w:t>Observable</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ind w:right="260"/>
              <w:spacing w:after="0" w:line="136" w:lineRule="exact"/>
              <w:rPr>
                <w:sz w:val="20"/>
                <w:szCs w:val="20"/>
                <w:color w:val="auto"/>
              </w:rPr>
            </w:pPr>
            <w:r>
              <w:rPr>
                <w:rFonts w:ascii="Arial" w:cs="Arial" w:eastAsia="Arial" w:hAnsi="Arial"/>
                <w:sz w:val="13"/>
                <w:szCs w:val="13"/>
                <w:b w:val="1"/>
                <w:bCs w:val="1"/>
                <w:color w:val="auto"/>
                <w:w w:val="90"/>
              </w:rPr>
              <w:t>Unobservable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ind w:right="102"/>
              <w:spacing w:after="0" w:line="136" w:lineRule="exact"/>
              <w:rPr>
                <w:sz w:val="20"/>
                <w:szCs w:val="20"/>
                <w:color w:val="auto"/>
              </w:rPr>
            </w:pPr>
            <w:r>
              <w:rPr>
                <w:rFonts w:ascii="Arial" w:cs="Arial" w:eastAsia="Arial" w:hAnsi="Arial"/>
                <w:sz w:val="13"/>
                <w:szCs w:val="13"/>
                <w:b w:val="1"/>
                <w:bCs w:val="1"/>
                <w:color w:val="auto"/>
                <w:w w:val="92"/>
              </w:rPr>
              <w:t>September 30,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right="46"/>
              <w:spacing w:after="0" w:line="136" w:lineRule="exact"/>
              <w:rPr>
                <w:sz w:val="20"/>
                <w:szCs w:val="20"/>
                <w:color w:val="auto"/>
              </w:rPr>
            </w:pPr>
            <w:r>
              <w:rPr>
                <w:rFonts w:ascii="Arial" w:cs="Arial" w:eastAsia="Arial" w:hAnsi="Arial"/>
                <w:sz w:val="13"/>
                <w:szCs w:val="13"/>
                <w:b w:val="1"/>
                <w:bCs w:val="1"/>
                <w:color w:val="auto"/>
                <w:w w:val="88"/>
              </w:rPr>
              <w:t>Identical Assets</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center"/>
              <w:ind w:right="105"/>
              <w:spacing w:after="0" w:line="136" w:lineRule="exact"/>
              <w:rPr>
                <w:sz w:val="20"/>
                <w:szCs w:val="20"/>
                <w:color w:val="auto"/>
              </w:rPr>
            </w:pPr>
            <w:r>
              <w:rPr>
                <w:rFonts w:ascii="Arial" w:cs="Arial" w:eastAsia="Arial" w:hAnsi="Arial"/>
                <w:sz w:val="13"/>
                <w:szCs w:val="13"/>
                <w:b w:val="1"/>
                <w:bCs w:val="1"/>
                <w:color w:val="auto"/>
                <w:w w:val="92"/>
              </w:rPr>
              <w:t>Inputs</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ind w:right="260"/>
              <w:spacing w:after="0" w:line="136" w:lineRule="exact"/>
              <w:rPr>
                <w:sz w:val="20"/>
                <w:szCs w:val="20"/>
                <w:color w:val="auto"/>
              </w:rPr>
            </w:pPr>
            <w:r>
              <w:rPr>
                <w:rFonts w:ascii="Arial" w:cs="Arial" w:eastAsia="Arial" w:hAnsi="Arial"/>
                <w:sz w:val="13"/>
                <w:szCs w:val="13"/>
                <w:b w:val="1"/>
                <w:bCs w:val="1"/>
                <w:color w:val="auto"/>
                <w:w w:val="97"/>
              </w:rPr>
              <w:t>Inputs</w:t>
            </w:r>
          </w:p>
        </w:tc>
        <w:tc>
          <w:tcPr>
            <w:tcW w:w="0" w:type="dxa"/>
            <w:vAlign w:val="bottom"/>
          </w:tcPr>
          <w:p>
            <w:pPr>
              <w:spacing w:after="0"/>
              <w:rPr>
                <w:sz w:val="1"/>
                <w:szCs w:val="1"/>
                <w:color w:val="auto"/>
              </w:rPr>
            </w:pPr>
          </w:p>
        </w:tc>
      </w:tr>
      <w:tr>
        <w:trPr>
          <w:trHeight w:val="156"/>
        </w:trPr>
        <w:tc>
          <w:tcPr>
            <w:tcW w:w="40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Assets:</w:t>
            </w: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ind w:right="362"/>
              <w:spacing w:after="0"/>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right="26"/>
              <w:spacing w:after="0"/>
              <w:rPr>
                <w:sz w:val="20"/>
                <w:szCs w:val="20"/>
                <w:color w:val="auto"/>
              </w:rPr>
            </w:pPr>
            <w:r>
              <w:rPr>
                <w:rFonts w:ascii="Arial" w:cs="Arial" w:eastAsia="Arial" w:hAnsi="Arial"/>
                <w:sz w:val="13"/>
                <w:szCs w:val="13"/>
                <w:b w:val="1"/>
                <w:bCs w:val="1"/>
                <w:color w:val="auto"/>
                <w:w w:val="94"/>
              </w:rPr>
              <w:t>(Level 1)</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125"/>
              <w:spacing w:after="0"/>
              <w:rPr>
                <w:sz w:val="20"/>
                <w:szCs w:val="20"/>
                <w:color w:val="auto"/>
              </w:rPr>
            </w:pPr>
            <w:r>
              <w:rPr>
                <w:rFonts w:ascii="Arial" w:cs="Arial" w:eastAsia="Arial" w:hAnsi="Arial"/>
                <w:sz w:val="13"/>
                <w:szCs w:val="13"/>
                <w:b w:val="1"/>
                <w:bCs w:val="1"/>
                <w:color w:val="auto"/>
                <w:w w:val="94"/>
              </w:rPr>
              <w:t>(Level 2)</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(Level 3)</w:t>
            </w:r>
          </w:p>
        </w:tc>
        <w:tc>
          <w:tcPr>
            <w:tcW w:w="0" w:type="dxa"/>
            <w:vAlign w:val="bottom"/>
          </w:tcPr>
          <w:p>
            <w:pPr>
              <w:spacing w:after="0"/>
              <w:rPr>
                <w:sz w:val="1"/>
                <w:szCs w:val="1"/>
                <w:color w:val="auto"/>
              </w:rPr>
            </w:pPr>
          </w:p>
        </w:tc>
      </w:tr>
      <w:tr>
        <w:trPr>
          <w:trHeight w:val="202"/>
        </w:trPr>
        <w:tc>
          <w:tcPr>
            <w:tcW w:w="4080" w:type="dxa"/>
            <w:vAlign w:val="bottom"/>
            <w:gridSpan w:val="2"/>
            <w:vMerge w:val="continue"/>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Cash equivalents:</w:t>
            </w:r>
          </w:p>
        </w:tc>
        <w:tc>
          <w:tcPr>
            <w:tcW w:w="1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Pr>
          <w:p>
            <w:pPr>
              <w:ind w:left="440"/>
              <w:spacing w:after="0"/>
              <w:rPr>
                <w:sz w:val="20"/>
                <w:szCs w:val="20"/>
                <w:color w:val="auto"/>
              </w:rPr>
            </w:pPr>
            <w:r>
              <w:rPr>
                <w:rFonts w:ascii="Arial" w:cs="Arial" w:eastAsia="Arial" w:hAnsi="Arial"/>
                <w:sz w:val="17"/>
                <w:szCs w:val="17"/>
                <w:color w:val="auto"/>
              </w:rPr>
              <w:t>Money market funds</w:t>
            </w:r>
          </w:p>
        </w:tc>
        <w:tc>
          <w:tcPr>
            <w:tcW w:w="18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94,401</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94,401</w:t>
            </w:r>
          </w:p>
        </w:tc>
        <w:tc>
          <w:tcPr>
            <w:tcW w:w="420" w:type="dxa"/>
            <w:vAlign w:val="bottom"/>
            <w:gridSpan w:val="2"/>
          </w:tcPr>
          <w:p>
            <w:pPr>
              <w:jc w:val="right"/>
              <w:ind w:right="3"/>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ind w:left="8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060" w:type="dxa"/>
            <w:vAlign w:val="bottom"/>
            <w:tcBorders>
              <w:top w:val="single" w:sz="8" w:color="CFF0FC"/>
            </w:tcBorders>
            <w:shd w:val="clear" w:color="auto" w:fill="CFF0FC"/>
          </w:tcPr>
          <w:p>
            <w:pPr>
              <w:ind w:left="220"/>
              <w:spacing w:after="0"/>
              <w:rPr>
                <w:sz w:val="20"/>
                <w:szCs w:val="20"/>
                <w:color w:val="auto"/>
              </w:rPr>
            </w:pPr>
            <w:r>
              <w:rPr>
                <w:rFonts w:ascii="Arial" w:cs="Arial" w:eastAsia="Arial" w:hAnsi="Arial"/>
                <w:sz w:val="17"/>
                <w:szCs w:val="17"/>
                <w:color w:val="auto"/>
              </w:rPr>
              <w:t>Short-term investments:</w:t>
            </w:r>
          </w:p>
        </w:tc>
        <w:tc>
          <w:tcPr>
            <w:tcW w:w="17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Pr>
          <w:p>
            <w:pPr>
              <w:ind w:left="440"/>
              <w:spacing w:after="0"/>
              <w:rPr>
                <w:sz w:val="20"/>
                <w:szCs w:val="20"/>
                <w:color w:val="auto"/>
              </w:rPr>
            </w:pPr>
            <w:r>
              <w:rPr>
                <w:rFonts w:ascii="Arial" w:cs="Arial" w:eastAsia="Arial" w:hAnsi="Arial"/>
                <w:sz w:val="17"/>
                <w:szCs w:val="17"/>
                <w:color w:val="auto"/>
              </w:rPr>
              <w:t>Corporate debt securities</w:t>
            </w:r>
          </w:p>
        </w:tc>
        <w:tc>
          <w:tcPr>
            <w:tcW w:w="18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85,428</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tcPr>
          <w:p>
            <w:pPr>
              <w:jc w:val="right"/>
              <w:ind w:right="3"/>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85,428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8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60" w:type="dxa"/>
            <w:vAlign w:val="bottom"/>
            <w:shd w:val="clear" w:color="auto" w:fill="CFF0FC"/>
          </w:tcPr>
          <w:p>
            <w:pPr>
              <w:ind w:left="440"/>
              <w:spacing w:after="0"/>
              <w:rPr>
                <w:sz w:val="20"/>
                <w:szCs w:val="20"/>
                <w:color w:val="auto"/>
              </w:rPr>
            </w:pPr>
            <w:r>
              <w:rPr>
                <w:rFonts w:ascii="Arial" w:cs="Arial" w:eastAsia="Arial" w:hAnsi="Arial"/>
                <w:sz w:val="17"/>
                <w:szCs w:val="17"/>
                <w:color w:val="auto"/>
              </w:rPr>
              <w:t>Commercial paper</w:t>
            </w:r>
          </w:p>
        </w:tc>
        <w:tc>
          <w:tcPr>
            <w:tcW w:w="1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30,983</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30,983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8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Pr>
          <w:p>
            <w:pPr>
              <w:ind w:left="440"/>
              <w:spacing w:after="0"/>
              <w:rPr>
                <w:sz w:val="20"/>
                <w:szCs w:val="20"/>
                <w:color w:val="auto"/>
              </w:rPr>
            </w:pPr>
            <w:r>
              <w:rPr>
                <w:rFonts w:ascii="Arial" w:cs="Arial" w:eastAsia="Arial" w:hAnsi="Arial"/>
                <w:sz w:val="17"/>
                <w:szCs w:val="17"/>
                <w:color w:val="auto"/>
              </w:rPr>
              <w:t>U.S. Government securities</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45,066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45,066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8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060" w:type="dxa"/>
            <w:vAlign w:val="bottom"/>
            <w:tcBorders>
              <w:top w:val="single" w:sz="8" w:color="CFF0FC"/>
            </w:tcBorders>
            <w:shd w:val="clear" w:color="auto" w:fill="CFF0FC"/>
          </w:tcPr>
          <w:p>
            <w:pPr>
              <w:ind w:left="660"/>
              <w:spacing w:after="0"/>
              <w:rPr>
                <w:sz w:val="20"/>
                <w:szCs w:val="20"/>
                <w:color w:val="auto"/>
              </w:rPr>
            </w:pPr>
            <w:r>
              <w:rPr>
                <w:rFonts w:ascii="Arial" w:cs="Arial" w:eastAsia="Arial" w:hAnsi="Arial"/>
                <w:sz w:val="17"/>
                <w:szCs w:val="17"/>
                <w:color w:val="auto"/>
              </w:rPr>
              <w:t>Total short-term investments</w:t>
            </w:r>
          </w:p>
        </w:tc>
        <w:tc>
          <w:tcPr>
            <w:tcW w:w="17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161,477</w:t>
            </w: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161,477</w:t>
            </w:r>
          </w:p>
        </w:tc>
        <w:tc>
          <w:tcPr>
            <w:tcW w:w="2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ind w:left="840"/>
              <w:spacing w:after="0"/>
              <w:rPr>
                <w:sz w:val="20"/>
                <w:szCs w:val="20"/>
                <w:color w:val="auto"/>
              </w:rPr>
            </w:pPr>
            <w:r>
              <w:rPr>
                <w:rFonts w:ascii="Arial" w:cs="Arial" w:eastAsia="Arial" w:hAnsi="Arial"/>
                <w:sz w:val="17"/>
                <w:szCs w:val="17"/>
                <w:color w:val="auto"/>
                <w:w w:val="93"/>
              </w:rPr>
              <w:t>—</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60" w:type="dxa"/>
            <w:vAlign w:val="bottom"/>
          </w:tcPr>
          <w:p>
            <w:pPr>
              <w:ind w:left="220"/>
              <w:spacing w:after="0"/>
              <w:rPr>
                <w:sz w:val="20"/>
                <w:szCs w:val="20"/>
                <w:color w:val="auto"/>
              </w:rPr>
            </w:pPr>
            <w:r>
              <w:rPr>
                <w:rFonts w:ascii="Arial" w:cs="Arial" w:eastAsia="Arial" w:hAnsi="Arial"/>
                <w:sz w:val="17"/>
                <w:szCs w:val="17"/>
                <w:color w:val="auto"/>
              </w:rPr>
              <w:t>Total</w:t>
            </w:r>
          </w:p>
        </w:tc>
        <w:tc>
          <w:tcPr>
            <w:tcW w:w="17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255,878</w:t>
            </w:r>
          </w:p>
        </w:tc>
        <w:tc>
          <w:tcPr>
            <w:tcW w:w="2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94,401</w:t>
            </w:r>
          </w:p>
        </w:tc>
        <w:tc>
          <w:tcPr>
            <w:tcW w:w="260" w:type="dxa"/>
            <w:vAlign w:val="bottom"/>
          </w:tcPr>
          <w:p>
            <w:pPr>
              <w:spacing w:after="0"/>
              <w:rPr>
                <w:sz w:val="17"/>
                <w:szCs w:val="17"/>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161,477</w:t>
            </w:r>
          </w:p>
        </w:tc>
        <w:tc>
          <w:tcPr>
            <w:tcW w:w="2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ind w:left="840"/>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740" w:type="dxa"/>
            <w:vAlign w:val="bottom"/>
            <w:vMerge w:val="restart"/>
          </w:tcPr>
          <w:p>
            <w:pPr>
              <w:jc w:val="right"/>
              <w:ind w:right="77"/>
              <w:spacing w:after="0"/>
              <w:rPr>
                <w:sz w:val="20"/>
                <w:szCs w:val="20"/>
                <w:color w:val="auto"/>
              </w:rPr>
            </w:pPr>
            <w:r>
              <w:rPr>
                <w:rFonts w:ascii="Arial" w:cs="Arial" w:eastAsia="Arial" w:hAnsi="Arial"/>
                <w:sz w:val="17"/>
                <w:szCs w:val="17"/>
                <w:color w:val="auto"/>
              </w:rPr>
              <w:t>8</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2"/>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9A9A9A"/>
            </w:tcBorders>
          </w:tcPr>
          <w:p>
            <w:pPr>
              <w:spacing w:after="0"/>
              <w:rPr>
                <w:sz w:val="9"/>
                <w:szCs w:val="9"/>
                <w:color w:val="auto"/>
              </w:rPr>
            </w:pPr>
          </w:p>
        </w:tc>
        <w:tc>
          <w:tcPr>
            <w:tcW w:w="406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56"/>
        </w:trPr>
        <w:tc>
          <w:tcPr>
            <w:tcW w:w="42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gridSpan w:val="6"/>
          </w:tcPr>
          <w:p>
            <w:pPr>
              <w:jc w:val="center"/>
              <w:ind w:left="826"/>
              <w:spacing w:after="0"/>
              <w:rPr>
                <w:sz w:val="20"/>
                <w:szCs w:val="20"/>
                <w:color w:val="auto"/>
              </w:rPr>
            </w:pPr>
            <w:r>
              <w:rPr>
                <w:rFonts w:ascii="Arial" w:cs="Arial" w:eastAsia="Arial" w:hAnsi="Arial"/>
                <w:sz w:val="13"/>
                <w:szCs w:val="13"/>
                <w:b w:val="1"/>
                <w:bCs w:val="1"/>
                <w:color w:val="auto"/>
                <w:w w:val="92"/>
              </w:rPr>
              <w:t>Fair Value Measurements Using</w:t>
            </w:r>
          </w:p>
        </w:tc>
        <w:tc>
          <w:tcPr>
            <w:tcW w:w="10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1"/>
        </w:trPr>
        <w:tc>
          <w:tcPr>
            <w:tcW w:w="42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center"/>
              <w:ind w:right="360"/>
              <w:spacing w:after="0" w:line="121" w:lineRule="exact"/>
              <w:rPr>
                <w:sz w:val="20"/>
                <w:szCs w:val="20"/>
                <w:color w:val="auto"/>
              </w:rPr>
            </w:pPr>
            <w:r>
              <w:rPr>
                <w:rFonts w:ascii="Arial" w:cs="Arial" w:eastAsia="Arial" w:hAnsi="Arial"/>
                <w:sz w:val="13"/>
                <w:szCs w:val="13"/>
                <w:b w:val="1"/>
                <w:bCs w:val="1"/>
                <w:color w:val="auto"/>
                <w:w w:val="90"/>
              </w:rPr>
              <w:t>Quoted Prices</w:t>
            </w:r>
          </w:p>
        </w:tc>
        <w:tc>
          <w:tcPr>
            <w:tcW w:w="160" w:type="dxa"/>
            <w:vAlign w:val="bottom"/>
          </w:tcPr>
          <w:p>
            <w:pPr>
              <w:spacing w:after="0"/>
              <w:rPr>
                <w:sz w:val="10"/>
                <w:szCs w:val="10"/>
                <w:color w:val="auto"/>
              </w:rPr>
            </w:pPr>
          </w:p>
        </w:tc>
        <w:tc>
          <w:tcPr>
            <w:tcW w:w="1220" w:type="dxa"/>
            <w:vAlign w:val="bottom"/>
            <w:gridSpan w:val="2"/>
          </w:tcPr>
          <w:p>
            <w:pPr>
              <w:jc w:val="center"/>
              <w:ind w:right="420"/>
              <w:spacing w:after="0" w:line="121" w:lineRule="exact"/>
              <w:rPr>
                <w:sz w:val="20"/>
                <w:szCs w:val="20"/>
                <w:color w:val="auto"/>
              </w:rPr>
            </w:pPr>
            <w:r>
              <w:rPr>
                <w:rFonts w:ascii="Arial" w:cs="Arial" w:eastAsia="Arial" w:hAnsi="Arial"/>
                <w:sz w:val="13"/>
                <w:szCs w:val="13"/>
                <w:b w:val="1"/>
                <w:bCs w:val="1"/>
                <w:color w:val="auto"/>
                <w:w w:val="90"/>
              </w:rPr>
              <w:t>Significant</w:t>
            </w: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6"/>
        </w:trPr>
        <w:tc>
          <w:tcPr>
            <w:tcW w:w="42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380"/>
              <w:spacing w:after="0" w:line="136" w:lineRule="exact"/>
              <w:rPr>
                <w:sz w:val="20"/>
                <w:szCs w:val="20"/>
                <w:color w:val="auto"/>
              </w:rPr>
            </w:pPr>
            <w:r>
              <w:rPr>
                <w:rFonts w:ascii="Arial" w:cs="Arial" w:eastAsia="Arial" w:hAnsi="Arial"/>
                <w:sz w:val="13"/>
                <w:szCs w:val="13"/>
                <w:b w:val="1"/>
                <w:bCs w:val="1"/>
                <w:color w:val="auto"/>
                <w:w w:val="92"/>
              </w:rPr>
              <w:t>in Active</w:t>
            </w:r>
          </w:p>
        </w:tc>
        <w:tc>
          <w:tcPr>
            <w:tcW w:w="160" w:type="dxa"/>
            <w:vAlign w:val="bottom"/>
          </w:tcPr>
          <w:p>
            <w:pPr>
              <w:spacing w:after="0"/>
              <w:rPr>
                <w:sz w:val="11"/>
                <w:szCs w:val="11"/>
                <w:color w:val="auto"/>
              </w:rPr>
            </w:pPr>
          </w:p>
        </w:tc>
        <w:tc>
          <w:tcPr>
            <w:tcW w:w="1220" w:type="dxa"/>
            <w:vAlign w:val="bottom"/>
            <w:gridSpan w:val="2"/>
          </w:tcPr>
          <w:p>
            <w:pPr>
              <w:jc w:val="center"/>
              <w:ind w:right="400"/>
              <w:spacing w:after="0" w:line="136" w:lineRule="exact"/>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11"/>
                <w:szCs w:val="11"/>
                <w:color w:val="auto"/>
              </w:rPr>
            </w:pPr>
          </w:p>
        </w:tc>
        <w:tc>
          <w:tcPr>
            <w:tcW w:w="1120" w:type="dxa"/>
            <w:vAlign w:val="bottom"/>
            <w:gridSpan w:val="2"/>
          </w:tcPr>
          <w:p>
            <w:pPr>
              <w:jc w:val="center"/>
              <w:ind w:right="240"/>
              <w:spacing w:after="0" w:line="136" w:lineRule="exact"/>
              <w:rPr>
                <w:sz w:val="20"/>
                <w:szCs w:val="20"/>
                <w:color w:val="auto"/>
              </w:rPr>
            </w:pPr>
            <w:r>
              <w:rPr>
                <w:rFonts w:ascii="Arial" w:cs="Arial" w:eastAsia="Arial" w:hAnsi="Arial"/>
                <w:sz w:val="13"/>
                <w:szCs w:val="13"/>
                <w:b w:val="1"/>
                <w:bCs w:val="1"/>
                <w:color w:val="auto"/>
                <w:w w:val="90"/>
              </w:rPr>
              <w:t>Significant</w:t>
            </w:r>
          </w:p>
        </w:tc>
      </w:tr>
      <w:tr>
        <w:trPr>
          <w:trHeight w:val="136"/>
        </w:trPr>
        <w:tc>
          <w:tcPr>
            <w:tcW w:w="42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360"/>
              <w:spacing w:after="0" w:line="136" w:lineRule="exact"/>
              <w:rPr>
                <w:sz w:val="20"/>
                <w:szCs w:val="20"/>
                <w:color w:val="auto"/>
              </w:rPr>
            </w:pPr>
            <w:r>
              <w:rPr>
                <w:rFonts w:ascii="Arial" w:cs="Arial" w:eastAsia="Arial" w:hAnsi="Arial"/>
                <w:sz w:val="13"/>
                <w:szCs w:val="13"/>
                <w:b w:val="1"/>
                <w:bCs w:val="1"/>
                <w:color w:val="auto"/>
                <w:w w:val="96"/>
              </w:rPr>
              <w:t>Markets for</w:t>
            </w:r>
          </w:p>
        </w:tc>
        <w:tc>
          <w:tcPr>
            <w:tcW w:w="160" w:type="dxa"/>
            <w:vAlign w:val="bottom"/>
          </w:tcPr>
          <w:p>
            <w:pPr>
              <w:spacing w:after="0"/>
              <w:rPr>
                <w:sz w:val="11"/>
                <w:szCs w:val="11"/>
                <w:color w:val="auto"/>
              </w:rPr>
            </w:pPr>
          </w:p>
        </w:tc>
        <w:tc>
          <w:tcPr>
            <w:tcW w:w="1220" w:type="dxa"/>
            <w:vAlign w:val="bottom"/>
            <w:gridSpan w:val="2"/>
          </w:tcPr>
          <w:p>
            <w:pPr>
              <w:jc w:val="center"/>
              <w:ind w:right="420"/>
              <w:spacing w:after="0" w:line="136" w:lineRule="exact"/>
              <w:rPr>
                <w:sz w:val="20"/>
                <w:szCs w:val="20"/>
                <w:color w:val="auto"/>
              </w:rPr>
            </w:pPr>
            <w:r>
              <w:rPr>
                <w:rFonts w:ascii="Arial" w:cs="Arial" w:eastAsia="Arial" w:hAnsi="Arial"/>
                <w:sz w:val="13"/>
                <w:szCs w:val="13"/>
                <w:b w:val="1"/>
                <w:bCs w:val="1"/>
                <w:color w:val="auto"/>
                <w:w w:val="90"/>
              </w:rPr>
              <w:t>Observable</w:t>
            </w:r>
          </w:p>
        </w:tc>
        <w:tc>
          <w:tcPr>
            <w:tcW w:w="140" w:type="dxa"/>
            <w:vAlign w:val="bottom"/>
          </w:tcPr>
          <w:p>
            <w:pPr>
              <w:spacing w:after="0"/>
              <w:rPr>
                <w:sz w:val="11"/>
                <w:szCs w:val="11"/>
                <w:color w:val="auto"/>
              </w:rPr>
            </w:pPr>
          </w:p>
        </w:tc>
        <w:tc>
          <w:tcPr>
            <w:tcW w:w="1120" w:type="dxa"/>
            <w:vAlign w:val="bottom"/>
            <w:gridSpan w:val="2"/>
          </w:tcPr>
          <w:p>
            <w:pPr>
              <w:jc w:val="center"/>
              <w:ind w:right="260"/>
              <w:spacing w:after="0" w:line="136" w:lineRule="exact"/>
              <w:rPr>
                <w:sz w:val="20"/>
                <w:szCs w:val="20"/>
                <w:color w:val="auto"/>
              </w:rPr>
            </w:pPr>
            <w:r>
              <w:rPr>
                <w:rFonts w:ascii="Arial" w:cs="Arial" w:eastAsia="Arial" w:hAnsi="Arial"/>
                <w:sz w:val="13"/>
                <w:szCs w:val="13"/>
                <w:b w:val="1"/>
                <w:bCs w:val="1"/>
                <w:color w:val="auto"/>
                <w:w w:val="90"/>
              </w:rPr>
              <w:t>Unobservable</w:t>
            </w:r>
          </w:p>
        </w:tc>
      </w:tr>
      <w:tr>
        <w:trPr>
          <w:trHeight w:val="136"/>
        </w:trPr>
        <w:tc>
          <w:tcPr>
            <w:tcW w:w="42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ind w:right="122"/>
              <w:spacing w:after="0" w:line="136" w:lineRule="exact"/>
              <w:rPr>
                <w:sz w:val="20"/>
                <w:szCs w:val="20"/>
                <w:color w:val="auto"/>
              </w:rPr>
            </w:pPr>
            <w:r>
              <w:rPr>
                <w:rFonts w:ascii="Arial" w:cs="Arial" w:eastAsia="Arial" w:hAnsi="Arial"/>
                <w:sz w:val="13"/>
                <w:szCs w:val="13"/>
                <w:b w:val="1"/>
                <w:bCs w:val="1"/>
                <w:color w:val="auto"/>
                <w:w w:val="92"/>
              </w:rPr>
              <w:t>December 31,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360"/>
              <w:spacing w:after="0" w:line="136" w:lineRule="exact"/>
              <w:rPr>
                <w:sz w:val="20"/>
                <w:szCs w:val="20"/>
                <w:color w:val="auto"/>
              </w:rPr>
            </w:pPr>
            <w:r>
              <w:rPr>
                <w:rFonts w:ascii="Arial" w:cs="Arial" w:eastAsia="Arial" w:hAnsi="Arial"/>
                <w:sz w:val="13"/>
                <w:szCs w:val="13"/>
                <w:b w:val="1"/>
                <w:bCs w:val="1"/>
                <w:color w:val="auto"/>
                <w:w w:val="88"/>
              </w:rPr>
              <w:t>Identical Assets</w:t>
            </w:r>
          </w:p>
        </w:tc>
        <w:tc>
          <w:tcPr>
            <w:tcW w:w="160" w:type="dxa"/>
            <w:vAlign w:val="bottom"/>
          </w:tcPr>
          <w:p>
            <w:pPr>
              <w:spacing w:after="0"/>
              <w:rPr>
                <w:sz w:val="11"/>
                <w:szCs w:val="11"/>
                <w:color w:val="auto"/>
              </w:rPr>
            </w:pPr>
          </w:p>
        </w:tc>
        <w:tc>
          <w:tcPr>
            <w:tcW w:w="1220" w:type="dxa"/>
            <w:vAlign w:val="bottom"/>
            <w:gridSpan w:val="2"/>
          </w:tcPr>
          <w:p>
            <w:pPr>
              <w:jc w:val="center"/>
              <w:ind w:right="420"/>
              <w:spacing w:after="0" w:line="136" w:lineRule="exact"/>
              <w:rPr>
                <w:sz w:val="20"/>
                <w:szCs w:val="20"/>
                <w:color w:val="auto"/>
              </w:rPr>
            </w:pPr>
            <w:r>
              <w:rPr>
                <w:rFonts w:ascii="Arial" w:cs="Arial" w:eastAsia="Arial" w:hAnsi="Arial"/>
                <w:sz w:val="13"/>
                <w:szCs w:val="13"/>
                <w:b w:val="1"/>
                <w:bCs w:val="1"/>
                <w:color w:val="auto"/>
                <w:w w:val="92"/>
              </w:rPr>
              <w:t>Inputs</w:t>
            </w:r>
          </w:p>
        </w:tc>
        <w:tc>
          <w:tcPr>
            <w:tcW w:w="140" w:type="dxa"/>
            <w:vAlign w:val="bottom"/>
          </w:tcPr>
          <w:p>
            <w:pPr>
              <w:spacing w:after="0"/>
              <w:rPr>
                <w:sz w:val="11"/>
                <w:szCs w:val="11"/>
                <w:color w:val="auto"/>
              </w:rPr>
            </w:pPr>
          </w:p>
        </w:tc>
        <w:tc>
          <w:tcPr>
            <w:tcW w:w="1120" w:type="dxa"/>
            <w:vAlign w:val="bottom"/>
            <w:gridSpan w:val="2"/>
          </w:tcPr>
          <w:p>
            <w:pPr>
              <w:jc w:val="center"/>
              <w:ind w:right="240"/>
              <w:spacing w:after="0" w:line="136" w:lineRule="exact"/>
              <w:rPr>
                <w:sz w:val="20"/>
                <w:szCs w:val="20"/>
                <w:color w:val="auto"/>
              </w:rPr>
            </w:pPr>
            <w:r>
              <w:rPr>
                <w:rFonts w:ascii="Arial" w:cs="Arial" w:eastAsia="Arial" w:hAnsi="Arial"/>
                <w:sz w:val="13"/>
                <w:szCs w:val="13"/>
                <w:b w:val="1"/>
                <w:bCs w:val="1"/>
                <w:color w:val="auto"/>
                <w:w w:val="92"/>
              </w:rPr>
              <w:t>Inputs</w:t>
            </w:r>
          </w:p>
        </w:tc>
      </w:tr>
      <w:tr>
        <w:trPr>
          <w:trHeight w:val="156"/>
        </w:trPr>
        <w:tc>
          <w:tcPr>
            <w:tcW w:w="42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362"/>
              <w:spacing w:after="0"/>
              <w:rPr>
                <w:sz w:val="20"/>
                <w:szCs w:val="20"/>
                <w:color w:val="auto"/>
              </w:rPr>
            </w:pPr>
            <w:r>
              <w:rPr>
                <w:rFonts w:ascii="Arial" w:cs="Arial" w:eastAsia="Arial" w:hAnsi="Arial"/>
                <w:sz w:val="13"/>
                <w:szCs w:val="13"/>
                <w:b w:val="1"/>
                <w:bCs w:val="1"/>
                <w:color w:val="auto"/>
              </w:rPr>
              <w:t>2020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4"/>
              </w:rPr>
              <w:t>(Level 1)</w:t>
            </w:r>
          </w:p>
        </w:tc>
        <w:tc>
          <w:tcPr>
            <w:tcW w:w="160" w:type="dxa"/>
            <w:vAlign w:val="bottom"/>
          </w:tcPr>
          <w:p>
            <w:pPr>
              <w:spacing w:after="0"/>
              <w:rPr>
                <w:sz w:val="13"/>
                <w:szCs w:val="13"/>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0"/>
              </w:rPr>
              <w:t>(Level 2)</w:t>
            </w:r>
          </w:p>
        </w:tc>
        <w:tc>
          <w:tcPr>
            <w:tcW w:w="140" w:type="dxa"/>
            <w:vAlign w:val="bottom"/>
          </w:tcPr>
          <w:p>
            <w:pPr>
              <w:spacing w:after="0"/>
              <w:rPr>
                <w:sz w:val="13"/>
                <w:szCs w:val="13"/>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(Level 3)</w:t>
            </w:r>
          </w:p>
        </w:tc>
      </w:tr>
      <w:tr>
        <w:trPr>
          <w:trHeight w:val="203"/>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16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0"/>
        </w:trPr>
        <w:tc>
          <w:tcPr>
            <w:tcW w:w="4200" w:type="dxa"/>
            <w:vAlign w:val="bottom"/>
          </w:tcPr>
          <w:p>
            <w:pPr>
              <w:ind w:left="220"/>
              <w:spacing w:after="0"/>
              <w:rPr>
                <w:sz w:val="20"/>
                <w:szCs w:val="20"/>
                <w:color w:val="auto"/>
              </w:rPr>
            </w:pPr>
            <w:r>
              <w:rPr>
                <w:rFonts w:ascii="Arial" w:cs="Arial" w:eastAsia="Arial" w:hAnsi="Arial"/>
                <w:sz w:val="17"/>
                <w:szCs w:val="17"/>
                <w:color w:val="auto"/>
              </w:rPr>
              <w:t>Cash equivalents:</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4200" w:type="dxa"/>
            <w:vAlign w:val="bottom"/>
            <w:shd w:val="clear" w:color="auto" w:fill="CFF0FC"/>
          </w:tcPr>
          <w:p>
            <w:pPr>
              <w:ind w:left="460"/>
              <w:spacing w:after="0"/>
              <w:rPr>
                <w:sz w:val="20"/>
                <w:szCs w:val="20"/>
                <w:color w:val="auto"/>
              </w:rPr>
            </w:pPr>
            <w:r>
              <w:rPr>
                <w:rFonts w:ascii="Arial" w:cs="Arial" w:eastAsia="Arial" w:hAnsi="Arial"/>
                <w:sz w:val="17"/>
                <w:szCs w:val="17"/>
                <w:color w:val="auto"/>
              </w:rPr>
              <w:t>Money market funds</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94,631</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94,631</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ind w:left="840"/>
              <w:spacing w:after="0"/>
              <w:rPr>
                <w:sz w:val="20"/>
                <w:szCs w:val="20"/>
                <w:color w:val="auto"/>
              </w:rPr>
            </w:pPr>
            <w:r>
              <w:rPr>
                <w:rFonts w:ascii="Arial" w:cs="Arial" w:eastAsia="Arial" w:hAnsi="Arial"/>
                <w:sz w:val="17"/>
                <w:szCs w:val="17"/>
                <w:color w:val="auto"/>
              </w:rPr>
              <w:t>—</w:t>
            </w:r>
          </w:p>
        </w:tc>
      </w:tr>
      <w:tr>
        <w:trPr>
          <w:trHeight w:val="202"/>
        </w:trPr>
        <w:tc>
          <w:tcPr>
            <w:tcW w:w="4200" w:type="dxa"/>
            <w:vAlign w:val="bottom"/>
          </w:tcPr>
          <w:p>
            <w:pPr>
              <w:ind w:left="220"/>
              <w:spacing w:after="0"/>
              <w:rPr>
                <w:sz w:val="20"/>
                <w:szCs w:val="20"/>
                <w:color w:val="auto"/>
              </w:rPr>
            </w:pPr>
            <w:r>
              <w:rPr>
                <w:rFonts w:ascii="Arial" w:cs="Arial" w:eastAsia="Arial" w:hAnsi="Arial"/>
                <w:sz w:val="17"/>
                <w:szCs w:val="17"/>
                <w:color w:val="auto"/>
              </w:rPr>
              <w:t>Short-term investments:</w:t>
            </w:r>
          </w:p>
        </w:tc>
        <w:tc>
          <w:tcPr>
            <w:tcW w:w="16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4200" w:type="dxa"/>
            <w:vAlign w:val="bottom"/>
            <w:shd w:val="clear" w:color="auto" w:fill="CFF0FC"/>
          </w:tcPr>
          <w:p>
            <w:pPr>
              <w:ind w:left="460"/>
              <w:spacing w:after="0"/>
              <w:rPr>
                <w:sz w:val="20"/>
                <w:szCs w:val="20"/>
                <w:color w:val="auto"/>
              </w:rPr>
            </w:pPr>
            <w:r>
              <w:rPr>
                <w:rFonts w:ascii="Arial" w:cs="Arial" w:eastAsia="Arial" w:hAnsi="Arial"/>
                <w:sz w:val="17"/>
                <w:szCs w:val="17"/>
                <w:color w:val="auto"/>
              </w:rPr>
              <w:t>Corporate debt securities</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48,614</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48,614</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840"/>
              <w:spacing w:after="0"/>
              <w:rPr>
                <w:sz w:val="20"/>
                <w:szCs w:val="20"/>
                <w:color w:val="auto"/>
              </w:rPr>
            </w:pPr>
            <w:r>
              <w:rPr>
                <w:rFonts w:ascii="Arial" w:cs="Arial" w:eastAsia="Arial" w:hAnsi="Arial"/>
                <w:sz w:val="17"/>
                <w:szCs w:val="17"/>
                <w:color w:val="auto"/>
              </w:rPr>
              <w:t>—</w:t>
            </w:r>
          </w:p>
        </w:tc>
      </w:tr>
      <w:tr>
        <w:trPr>
          <w:trHeight w:val="210"/>
        </w:trPr>
        <w:tc>
          <w:tcPr>
            <w:tcW w:w="4200" w:type="dxa"/>
            <w:vAlign w:val="bottom"/>
          </w:tcPr>
          <w:p>
            <w:pPr>
              <w:ind w:left="460"/>
              <w:spacing w:after="0"/>
              <w:rPr>
                <w:sz w:val="20"/>
                <w:szCs w:val="20"/>
                <w:color w:val="auto"/>
              </w:rPr>
            </w:pPr>
            <w:r>
              <w:rPr>
                <w:rFonts w:ascii="Arial" w:cs="Arial" w:eastAsia="Arial" w:hAnsi="Arial"/>
                <w:sz w:val="17"/>
                <w:szCs w:val="17"/>
                <w:color w:val="auto"/>
              </w:rPr>
              <w:t>Commercial paper</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63,445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63,445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840"/>
              <w:spacing w:after="0"/>
              <w:rPr>
                <w:sz w:val="20"/>
                <w:szCs w:val="20"/>
                <w:color w:val="auto"/>
              </w:rPr>
            </w:pPr>
            <w:r>
              <w:rPr>
                <w:rFonts w:ascii="Arial" w:cs="Arial" w:eastAsia="Arial" w:hAnsi="Arial"/>
                <w:sz w:val="17"/>
                <w:szCs w:val="17"/>
                <w:color w:val="auto"/>
              </w:rPr>
              <w:t>—</w:t>
            </w:r>
          </w:p>
        </w:tc>
      </w:tr>
      <w:tr>
        <w:trPr>
          <w:trHeight w:val="211"/>
        </w:trPr>
        <w:tc>
          <w:tcPr>
            <w:tcW w:w="4200" w:type="dxa"/>
            <w:vAlign w:val="bottom"/>
            <w:shd w:val="clear" w:color="auto" w:fill="CFF0FC"/>
          </w:tcPr>
          <w:p>
            <w:pPr>
              <w:ind w:left="460"/>
              <w:spacing w:after="0"/>
              <w:rPr>
                <w:sz w:val="20"/>
                <w:szCs w:val="20"/>
                <w:color w:val="auto"/>
              </w:rPr>
            </w:pPr>
            <w:r>
              <w:rPr>
                <w:rFonts w:ascii="Arial" w:cs="Arial" w:eastAsia="Arial" w:hAnsi="Arial"/>
                <w:sz w:val="17"/>
                <w:szCs w:val="17"/>
                <w:color w:val="auto"/>
              </w:rPr>
              <w:t>U.S. Government securities</w:t>
            </w:r>
          </w:p>
        </w:tc>
        <w:tc>
          <w:tcPr>
            <w:tcW w:w="1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106,162</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106,162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840"/>
              <w:spacing w:after="0"/>
              <w:rPr>
                <w:sz w:val="20"/>
                <w:szCs w:val="20"/>
                <w:color w:val="auto"/>
              </w:rPr>
            </w:pPr>
            <w:r>
              <w:rPr>
                <w:rFonts w:ascii="Arial" w:cs="Arial" w:eastAsia="Arial" w:hAnsi="Arial"/>
                <w:sz w:val="17"/>
                <w:szCs w:val="17"/>
                <w:color w:val="auto"/>
              </w:rPr>
              <w:t>—</w:t>
            </w:r>
          </w:p>
        </w:tc>
      </w:tr>
      <w:tr>
        <w:trPr>
          <w:trHeight w:val="202"/>
        </w:trPr>
        <w:tc>
          <w:tcPr>
            <w:tcW w:w="4200" w:type="dxa"/>
            <w:vAlign w:val="bottom"/>
            <w:tcBorders>
              <w:bottom w:val="single" w:sz="8" w:color="CFF0FC"/>
            </w:tcBorders>
          </w:tcPr>
          <w:p>
            <w:pPr>
              <w:ind w:left="680"/>
              <w:spacing w:after="0"/>
              <w:rPr>
                <w:sz w:val="20"/>
                <w:szCs w:val="20"/>
                <w:color w:val="auto"/>
              </w:rPr>
            </w:pPr>
            <w:r>
              <w:rPr>
                <w:rFonts w:ascii="Arial" w:cs="Arial" w:eastAsia="Arial" w:hAnsi="Arial"/>
                <w:sz w:val="17"/>
                <w:szCs w:val="17"/>
                <w:color w:val="auto"/>
              </w:rPr>
              <w:t>Total short-term investments</w:t>
            </w:r>
          </w:p>
        </w:tc>
        <w:tc>
          <w:tcPr>
            <w:tcW w:w="162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218,221</w:t>
            </w:r>
          </w:p>
        </w:tc>
        <w:tc>
          <w:tcPr>
            <w:tcW w:w="24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218,221</w:t>
            </w:r>
          </w:p>
        </w:tc>
        <w:tc>
          <w:tcPr>
            <w:tcW w:w="24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7"/>
                <w:szCs w:val="17"/>
                <w:color w:val="auto"/>
                <w:w w:val="93"/>
              </w:rPr>
              <w:t>—</w:t>
            </w:r>
          </w:p>
        </w:tc>
        <w:tc>
          <w:tcPr>
            <w:tcW w:w="100" w:type="dxa"/>
            <w:vAlign w:val="bottom"/>
            <w:tcBorders>
              <w:bottom w:val="single" w:sz="8" w:color="CFF0FC"/>
            </w:tcBorders>
          </w:tcPr>
          <w:p>
            <w:pPr>
              <w:spacing w:after="0"/>
              <w:rPr>
                <w:sz w:val="17"/>
                <w:szCs w:val="17"/>
                <w:color w:val="auto"/>
              </w:rPr>
            </w:pPr>
          </w:p>
        </w:tc>
      </w:tr>
      <w:tr>
        <w:trPr>
          <w:trHeight w:val="203"/>
        </w:trPr>
        <w:tc>
          <w:tcPr>
            <w:tcW w:w="42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7"/>
                <w:szCs w:val="17"/>
                <w:color w:val="auto"/>
              </w:rPr>
              <w:t>Total</w:t>
            </w:r>
          </w:p>
        </w:tc>
        <w:tc>
          <w:tcPr>
            <w:tcW w:w="16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312,852</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94,631</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218,221</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ind w:left="840"/>
              <w:spacing w:after="0"/>
              <w:rPr>
                <w:sz w:val="20"/>
                <w:szCs w:val="20"/>
                <w:color w:val="auto"/>
              </w:rPr>
            </w:pPr>
            <w:r>
              <w:rPr>
                <w:rFonts w:ascii="Arial" w:cs="Arial" w:eastAsia="Arial" w:hAnsi="Arial"/>
                <w:sz w:val="17"/>
                <w:szCs w:val="17"/>
                <w:color w:val="auto"/>
                <w:w w:val="93"/>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4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Equivalents and Short-Term Investments</w:t>
      </w:r>
    </w:p>
    <w:p>
      <w:pPr>
        <w:spacing w:after="0" w:line="102" w:lineRule="exact"/>
        <w:rPr>
          <w:sz w:val="20"/>
          <w:szCs w:val="20"/>
          <w:color w:val="auto"/>
        </w:rPr>
      </w:pPr>
    </w:p>
    <w:p>
      <w:pPr>
        <w:ind w:right="120" w:firstLine="511"/>
        <w:spacing w:after="0" w:line="248" w:lineRule="auto"/>
        <w:rPr>
          <w:sz w:val="20"/>
          <w:szCs w:val="20"/>
          <w:color w:val="auto"/>
        </w:rPr>
      </w:pPr>
      <w:r>
        <w:rPr>
          <w:rFonts w:ascii="Arial" w:cs="Arial" w:eastAsia="Arial" w:hAnsi="Arial"/>
          <w:sz w:val="17"/>
          <w:szCs w:val="17"/>
          <w:color w:val="auto"/>
        </w:rPr>
        <w:t>Financial assets measured at fair value on a recurring basis consist of the Company’s cash equivalents and short-term investments. Cash equivalents consisted of money market funds and short-term investments consisted of commercial paper, U.S. Government securities and corporate bonds. The Company obtains pricing information from its investment manager and generally determines the fair value of investment securities using standard observable inputs, including reported trades, broker/dealer quotes, and bids and/or offers.</w:t>
      </w:r>
    </w:p>
    <w:p>
      <w:pPr>
        <w:spacing w:after="0" w:line="183" w:lineRule="exact"/>
        <w:rPr>
          <w:sz w:val="20"/>
          <w:szCs w:val="20"/>
          <w:color w:val="auto"/>
        </w:rPr>
      </w:pPr>
    </w:p>
    <w:p>
      <w:pPr>
        <w:ind w:right="100" w:firstLine="511"/>
        <w:spacing w:after="0" w:line="251" w:lineRule="auto"/>
        <w:rPr>
          <w:sz w:val="20"/>
          <w:szCs w:val="20"/>
          <w:color w:val="auto"/>
        </w:rPr>
      </w:pPr>
      <w:r>
        <w:rPr>
          <w:rFonts w:ascii="Arial" w:cs="Arial" w:eastAsia="Arial" w:hAnsi="Arial"/>
          <w:sz w:val="17"/>
          <w:szCs w:val="17"/>
          <w:color w:val="auto"/>
        </w:rPr>
        <w:t>Investments are classified as Level 1 within the fair value hierarchy if their quoted prices are available in active markets for identical securities. Investments in money market funds of $94.4 million and $94.6 million as of September 30, 2021 and December 31, 2020, respectively, were classified as Level 1 instruments and were included in cash and cash equivalents.</w:t>
      </w:r>
    </w:p>
    <w:p>
      <w:pPr>
        <w:spacing w:after="0" w:line="180" w:lineRule="exact"/>
        <w:rPr>
          <w:sz w:val="20"/>
          <w:szCs w:val="20"/>
          <w:color w:val="auto"/>
        </w:rPr>
      </w:pPr>
    </w:p>
    <w:p>
      <w:pPr>
        <w:ind w:right="20" w:firstLine="511"/>
        <w:spacing w:after="0" w:line="284" w:lineRule="auto"/>
        <w:rPr>
          <w:sz w:val="20"/>
          <w:szCs w:val="20"/>
          <w:color w:val="auto"/>
        </w:rPr>
      </w:pPr>
      <w:r>
        <w:rPr>
          <w:rFonts w:ascii="Arial" w:cs="Arial" w:eastAsia="Arial" w:hAnsi="Arial"/>
          <w:sz w:val="15"/>
          <w:szCs w:val="15"/>
          <w:color w:val="auto"/>
        </w:rPr>
        <w:t>Investments in marketable securities are valued using Level 2 inputs. Level 2 securities are initially valued at the transaction price and subsequently valued and reported upon utilizing inputs other than quoted prices that are observable either directly or indirectly, such as quotes from third-party pricing vendors. Fair values determined by Level 2 inputs, which utilize data points that are observable such as quoted prices, interest rates and yield curves, require the exercise of judgment and use of estimates, that if changed, could significantly affect the Company’s financial position and results of operations. The marketable securities of $161.5 million and $218.2 million as of September 30, 2021 and December 31, 2020, respectively, were classified as Level 2 instruments and were included in short-term investments. Accrued interest receivable related to short-term investments was $0.9 million and $1.1 million as of September 30, 2021 and December 31, 2020, respectively, and included as part of prepaid expenses and other current assets in the condensed balance sheets.</w:t>
      </w:r>
    </w:p>
    <w:p>
      <w:pPr>
        <w:spacing w:after="0" w:line="157" w:lineRule="exact"/>
        <w:rPr>
          <w:sz w:val="20"/>
          <w:szCs w:val="20"/>
          <w:color w:val="auto"/>
        </w:rPr>
      </w:pPr>
    </w:p>
    <w:p>
      <w:pPr>
        <w:ind w:right="40" w:firstLine="511"/>
        <w:spacing w:after="0" w:line="260" w:lineRule="auto"/>
        <w:rPr>
          <w:sz w:val="20"/>
          <w:szCs w:val="20"/>
          <w:color w:val="auto"/>
        </w:rPr>
      </w:pPr>
      <w:r>
        <w:rPr>
          <w:rFonts w:ascii="Arial" w:cs="Arial" w:eastAsia="Arial" w:hAnsi="Arial"/>
          <w:sz w:val="17"/>
          <w:szCs w:val="17"/>
          <w:color w:val="auto"/>
        </w:rPr>
        <w:t>The following tables summarize the Company’s short-term investments accounted for as available-for-sale securities as of September 30, 2021 and December 31, 2020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540" w:type="dxa"/>
            <w:vAlign w:val="bottom"/>
          </w:tcPr>
          <w:p>
            <w:pPr>
              <w:spacing w:after="0"/>
              <w:rPr>
                <w:sz w:val="13"/>
                <w:szCs w:val="13"/>
                <w:color w:val="auto"/>
              </w:rPr>
            </w:pPr>
          </w:p>
        </w:tc>
        <w:tc>
          <w:tcPr>
            <w:tcW w:w="136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8"/>
              </w:rPr>
              <w:t>Maturity</w:t>
            </w: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3"/>
                <w:szCs w:val="13"/>
                <w:b w:val="1"/>
                <w:bCs w:val="1"/>
                <w:color w:val="auto"/>
              </w:rPr>
              <w:t>September 30, 2021</w:t>
            </w: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454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center"/>
              <w:ind w:right="83"/>
              <w:spacing w:after="0" w:line="121" w:lineRule="exact"/>
              <w:rPr>
                <w:sz w:val="20"/>
                <w:szCs w:val="20"/>
                <w:color w:val="auto"/>
              </w:rPr>
            </w:pPr>
            <w:r>
              <w:rPr>
                <w:rFonts w:ascii="Arial" w:cs="Arial" w:eastAsia="Arial" w:hAnsi="Arial"/>
                <w:sz w:val="13"/>
                <w:szCs w:val="13"/>
                <w:b w:val="1"/>
                <w:bCs w:val="1"/>
                <w:color w:val="auto"/>
                <w:w w:val="94"/>
              </w:rPr>
              <w:t>Amortized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280"/>
              <w:spacing w:after="0" w:line="121" w:lineRule="exact"/>
              <w:rPr>
                <w:sz w:val="20"/>
                <w:szCs w:val="20"/>
                <w:color w:val="auto"/>
              </w:rPr>
            </w:pPr>
            <w:r>
              <w:rPr>
                <w:rFonts w:ascii="Arial" w:cs="Arial" w:eastAsia="Arial" w:hAnsi="Arial"/>
                <w:sz w:val="13"/>
                <w:szCs w:val="13"/>
                <w:b w:val="1"/>
                <w:bCs w:val="1"/>
                <w:color w:val="auto"/>
                <w:w w:val="91"/>
              </w:rPr>
              <w:t>Unrealized</w:t>
            </w:r>
          </w:p>
        </w:tc>
        <w:tc>
          <w:tcPr>
            <w:tcW w:w="120" w:type="dxa"/>
            <w:vAlign w:val="bottom"/>
          </w:tcPr>
          <w:p>
            <w:pPr>
              <w:spacing w:after="0"/>
              <w:rPr>
                <w:sz w:val="10"/>
                <w:szCs w:val="10"/>
                <w:color w:val="auto"/>
              </w:rPr>
            </w:pPr>
          </w:p>
        </w:tc>
        <w:tc>
          <w:tcPr>
            <w:tcW w:w="900" w:type="dxa"/>
            <w:vAlign w:val="bottom"/>
          </w:tcPr>
          <w:p>
            <w:pPr>
              <w:jc w:val="center"/>
              <w:ind w:left="150"/>
              <w:spacing w:after="0" w:line="121" w:lineRule="exact"/>
              <w:rPr>
                <w:sz w:val="20"/>
                <w:szCs w:val="20"/>
                <w:color w:val="auto"/>
              </w:rPr>
            </w:pPr>
            <w:r>
              <w:rPr>
                <w:rFonts w:ascii="Arial" w:cs="Arial" w:eastAsia="Arial" w:hAnsi="Arial"/>
                <w:sz w:val="13"/>
                <w:szCs w:val="13"/>
                <w:b w:val="1"/>
                <w:bCs w:val="1"/>
                <w:color w:val="auto"/>
                <w:w w:val="91"/>
              </w:rPr>
              <w:t>Unrealized</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ind w:left="100"/>
              <w:spacing w:after="0" w:line="121" w:lineRule="exact"/>
              <w:rPr>
                <w:sz w:val="20"/>
                <w:szCs w:val="20"/>
                <w:color w:val="auto"/>
              </w:rPr>
            </w:pPr>
            <w:r>
              <w:rPr>
                <w:rFonts w:ascii="Arial" w:cs="Arial" w:eastAsia="Arial" w:hAnsi="Arial"/>
                <w:sz w:val="13"/>
                <w:szCs w:val="13"/>
                <w:b w:val="1"/>
                <w:bCs w:val="1"/>
                <w:color w:val="auto"/>
              </w:rPr>
              <w:t>Estimated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4540" w:type="dxa"/>
            <w:vAlign w:val="bottom"/>
          </w:tcPr>
          <w:p>
            <w:pPr>
              <w:spacing w:after="0"/>
              <w:rPr>
                <w:sz w:val="13"/>
                <w:szCs w:val="13"/>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(in years)</w:t>
            </w:r>
          </w:p>
        </w:tc>
        <w:tc>
          <w:tcPr>
            <w:tcW w:w="160" w:type="dxa"/>
            <w:vAlign w:val="bottom"/>
          </w:tcPr>
          <w:p>
            <w:pPr>
              <w:spacing w:after="0"/>
              <w:rPr>
                <w:sz w:val="13"/>
                <w:szCs w:val="13"/>
                <w:color w:val="auto"/>
              </w:rPr>
            </w:pPr>
          </w:p>
        </w:tc>
        <w:tc>
          <w:tcPr>
            <w:tcW w:w="960" w:type="dxa"/>
            <w:vAlign w:val="bottom"/>
          </w:tcPr>
          <w:p>
            <w:pPr>
              <w:jc w:val="center"/>
              <w:ind w:right="103"/>
              <w:spacing w:after="0"/>
              <w:rPr>
                <w:sz w:val="20"/>
                <w:szCs w:val="20"/>
                <w:color w:val="auto"/>
              </w:rPr>
            </w:pPr>
            <w:r>
              <w:rPr>
                <w:rFonts w:ascii="Arial" w:cs="Arial" w:eastAsia="Arial" w:hAnsi="Arial"/>
                <w:sz w:val="13"/>
                <w:szCs w:val="13"/>
                <w:b w:val="1"/>
                <w:bCs w:val="1"/>
                <w:color w:val="auto"/>
                <w:w w:val="89"/>
              </w:rPr>
              <w:t>Cost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0"/>
              </w:rPr>
              <w:t>Losses</w:t>
            </w:r>
          </w:p>
        </w:tc>
        <w:tc>
          <w:tcPr>
            <w:tcW w:w="120" w:type="dxa"/>
            <w:vAlign w:val="bottom"/>
          </w:tcPr>
          <w:p>
            <w:pPr>
              <w:spacing w:after="0"/>
              <w:rPr>
                <w:sz w:val="13"/>
                <w:szCs w:val="13"/>
                <w:color w:val="auto"/>
              </w:rPr>
            </w:pPr>
          </w:p>
        </w:tc>
        <w:tc>
          <w:tcPr>
            <w:tcW w:w="900" w:type="dxa"/>
            <w:vAlign w:val="bottom"/>
          </w:tcPr>
          <w:p>
            <w:pPr>
              <w:jc w:val="center"/>
              <w:ind w:left="150"/>
              <w:spacing w:after="0"/>
              <w:rPr>
                <w:sz w:val="20"/>
                <w:szCs w:val="20"/>
                <w:color w:val="auto"/>
              </w:rPr>
            </w:pPr>
            <w:r>
              <w:rPr>
                <w:rFonts w:ascii="Arial" w:cs="Arial" w:eastAsia="Arial" w:hAnsi="Arial"/>
                <w:sz w:val="13"/>
                <w:szCs w:val="13"/>
                <w:b w:val="1"/>
                <w:bCs w:val="1"/>
                <w:color w:val="auto"/>
                <w:w w:val="88"/>
              </w:rPr>
              <w:t>Gains</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ind w:left="10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203"/>
        </w:trPr>
        <w:tc>
          <w:tcPr>
            <w:tcW w:w="4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Corporate debt securities</w:t>
            </w:r>
          </w:p>
        </w:tc>
        <w:tc>
          <w:tcPr>
            <w:tcW w:w="12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7"/>
                <w:szCs w:val="17"/>
                <w:color w:val="auto"/>
                <w:w w:val="86"/>
              </w:rPr>
              <w:t>1 year or less</w:t>
            </w:r>
          </w:p>
        </w:tc>
        <w:tc>
          <w:tcPr>
            <w:tcW w:w="1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85,460</w:t>
            </w:r>
          </w:p>
        </w:tc>
        <w:tc>
          <w:tcPr>
            <w:tcW w:w="1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(32)</w:t>
            </w:r>
          </w:p>
        </w:tc>
        <w:tc>
          <w:tcPr>
            <w:tcW w:w="1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85,428</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40" w:type="dxa"/>
            <w:vAlign w:val="bottom"/>
          </w:tcPr>
          <w:p>
            <w:pPr>
              <w:spacing w:after="0"/>
              <w:rPr>
                <w:sz w:val="20"/>
                <w:szCs w:val="20"/>
                <w:color w:val="auto"/>
              </w:rPr>
            </w:pPr>
            <w:r>
              <w:rPr>
                <w:rFonts w:ascii="Arial" w:cs="Arial" w:eastAsia="Arial" w:hAnsi="Arial"/>
                <w:sz w:val="17"/>
                <w:szCs w:val="17"/>
                <w:color w:val="auto"/>
              </w:rPr>
              <w:t>Commercial paper</w:t>
            </w:r>
          </w:p>
        </w:tc>
        <w:tc>
          <w:tcPr>
            <w:tcW w:w="1360" w:type="dxa"/>
            <w:vAlign w:val="bottom"/>
            <w:gridSpan w:val="2"/>
          </w:tcPr>
          <w:p>
            <w:pPr>
              <w:jc w:val="center"/>
              <w:ind w:right="160"/>
              <w:spacing w:after="0"/>
              <w:rPr>
                <w:sz w:val="20"/>
                <w:szCs w:val="20"/>
                <w:color w:val="auto"/>
              </w:rPr>
            </w:pPr>
            <w:r>
              <w:rPr>
                <w:rFonts w:ascii="Arial" w:cs="Arial" w:eastAsia="Arial" w:hAnsi="Arial"/>
                <w:sz w:val="17"/>
                <w:szCs w:val="17"/>
                <w:color w:val="auto"/>
                <w:w w:val="86"/>
              </w:rPr>
              <w:t>1 year or less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30,983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30,983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540" w:type="dxa"/>
            <w:vAlign w:val="bottom"/>
            <w:shd w:val="clear" w:color="auto" w:fill="CFF0FC"/>
          </w:tcPr>
          <w:p>
            <w:pPr>
              <w:spacing w:after="0"/>
              <w:rPr>
                <w:sz w:val="20"/>
                <w:szCs w:val="20"/>
                <w:color w:val="auto"/>
              </w:rPr>
            </w:pPr>
            <w:r>
              <w:rPr>
                <w:rFonts w:ascii="Arial" w:cs="Arial" w:eastAsia="Arial" w:hAnsi="Arial"/>
                <w:sz w:val="17"/>
                <w:szCs w:val="17"/>
                <w:color w:val="auto"/>
              </w:rPr>
              <w:t>U.S. Government securities</w:t>
            </w:r>
          </w:p>
        </w:tc>
        <w:tc>
          <w:tcPr>
            <w:tcW w:w="1360" w:type="dxa"/>
            <w:vAlign w:val="bottom"/>
            <w:gridSpan w:val="2"/>
            <w:shd w:val="clear" w:color="auto" w:fill="CFF0FC"/>
          </w:tcPr>
          <w:p>
            <w:pPr>
              <w:jc w:val="center"/>
              <w:ind w:right="160"/>
              <w:spacing w:after="0"/>
              <w:rPr>
                <w:sz w:val="20"/>
                <w:szCs w:val="20"/>
                <w:color w:val="auto"/>
              </w:rPr>
            </w:pPr>
            <w:r>
              <w:rPr>
                <w:rFonts w:ascii="Arial" w:cs="Arial" w:eastAsia="Arial" w:hAnsi="Arial"/>
                <w:sz w:val="17"/>
                <w:szCs w:val="17"/>
                <w:color w:val="auto"/>
                <w:w w:val="86"/>
              </w:rPr>
              <w:t>1 year or less</w:t>
            </w:r>
          </w:p>
        </w:tc>
        <w:tc>
          <w:tcPr>
            <w:tcW w:w="1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45,064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45,066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40" w:type="dxa"/>
            <w:vAlign w:val="bottom"/>
          </w:tcPr>
          <w:p>
            <w:pPr>
              <w:ind w:left="220"/>
              <w:spacing w:after="0"/>
              <w:rPr>
                <w:sz w:val="20"/>
                <w:szCs w:val="20"/>
                <w:color w:val="auto"/>
              </w:rPr>
            </w:pPr>
            <w:r>
              <w:rPr>
                <w:rFonts w:ascii="Arial" w:cs="Arial" w:eastAsia="Arial" w:hAnsi="Arial"/>
                <w:sz w:val="17"/>
                <w:szCs w:val="17"/>
                <w:color w:val="auto"/>
              </w:rPr>
              <w:t>Total</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161,507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bottom w:val="single" w:sz="8" w:color="auto"/>
            </w:tcBorders>
          </w:tcPr>
          <w:p>
            <w:pPr>
              <w:jc w:val="right"/>
              <w:ind w:right="750"/>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161,477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4540" w:type="dxa"/>
            <w:vAlign w:val="bottom"/>
          </w:tcPr>
          <w:p>
            <w:pPr>
              <w:spacing w:after="0"/>
              <w:rPr>
                <w:sz w:val="24"/>
                <w:szCs w:val="24"/>
                <w:color w:val="auto"/>
              </w:rPr>
            </w:pPr>
          </w:p>
        </w:tc>
        <w:tc>
          <w:tcPr>
            <w:tcW w:w="136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8"/>
              </w:rPr>
              <w:t>Maturity</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3"/>
                <w:szCs w:val="13"/>
                <w:b w:val="1"/>
                <w:bCs w:val="1"/>
                <w:color w:val="auto"/>
              </w:rPr>
              <w:t>December 31, 2020</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454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center"/>
              <w:ind w:right="83"/>
              <w:spacing w:after="0" w:line="121" w:lineRule="exact"/>
              <w:rPr>
                <w:sz w:val="20"/>
                <w:szCs w:val="20"/>
                <w:color w:val="auto"/>
              </w:rPr>
            </w:pPr>
            <w:r>
              <w:rPr>
                <w:rFonts w:ascii="Arial" w:cs="Arial" w:eastAsia="Arial" w:hAnsi="Arial"/>
                <w:sz w:val="13"/>
                <w:szCs w:val="13"/>
                <w:b w:val="1"/>
                <w:bCs w:val="1"/>
                <w:color w:val="auto"/>
                <w:w w:val="94"/>
              </w:rPr>
              <w:t>Amortized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280"/>
              <w:spacing w:after="0" w:line="121" w:lineRule="exact"/>
              <w:rPr>
                <w:sz w:val="20"/>
                <w:szCs w:val="20"/>
                <w:color w:val="auto"/>
              </w:rPr>
            </w:pPr>
            <w:r>
              <w:rPr>
                <w:rFonts w:ascii="Arial" w:cs="Arial" w:eastAsia="Arial" w:hAnsi="Arial"/>
                <w:sz w:val="13"/>
                <w:szCs w:val="13"/>
                <w:b w:val="1"/>
                <w:bCs w:val="1"/>
                <w:color w:val="auto"/>
                <w:w w:val="91"/>
              </w:rPr>
              <w:t>Unrealized</w:t>
            </w:r>
          </w:p>
        </w:tc>
        <w:tc>
          <w:tcPr>
            <w:tcW w:w="120" w:type="dxa"/>
            <w:vAlign w:val="bottom"/>
          </w:tcPr>
          <w:p>
            <w:pPr>
              <w:spacing w:after="0"/>
              <w:rPr>
                <w:sz w:val="10"/>
                <w:szCs w:val="10"/>
                <w:color w:val="auto"/>
              </w:rPr>
            </w:pPr>
          </w:p>
        </w:tc>
        <w:tc>
          <w:tcPr>
            <w:tcW w:w="900" w:type="dxa"/>
            <w:vAlign w:val="bottom"/>
          </w:tcPr>
          <w:p>
            <w:pPr>
              <w:jc w:val="center"/>
              <w:ind w:left="150"/>
              <w:spacing w:after="0" w:line="121" w:lineRule="exact"/>
              <w:rPr>
                <w:sz w:val="20"/>
                <w:szCs w:val="20"/>
                <w:color w:val="auto"/>
              </w:rPr>
            </w:pPr>
            <w:r>
              <w:rPr>
                <w:rFonts w:ascii="Arial" w:cs="Arial" w:eastAsia="Arial" w:hAnsi="Arial"/>
                <w:sz w:val="13"/>
                <w:szCs w:val="13"/>
                <w:b w:val="1"/>
                <w:bCs w:val="1"/>
                <w:color w:val="auto"/>
                <w:w w:val="91"/>
              </w:rPr>
              <w:t>Unrealized</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ind w:left="100"/>
              <w:spacing w:after="0" w:line="121" w:lineRule="exact"/>
              <w:rPr>
                <w:sz w:val="20"/>
                <w:szCs w:val="20"/>
                <w:color w:val="auto"/>
              </w:rPr>
            </w:pPr>
            <w:r>
              <w:rPr>
                <w:rFonts w:ascii="Arial" w:cs="Arial" w:eastAsia="Arial" w:hAnsi="Arial"/>
                <w:sz w:val="13"/>
                <w:szCs w:val="13"/>
                <w:b w:val="1"/>
                <w:bCs w:val="1"/>
                <w:color w:val="auto"/>
              </w:rPr>
              <w:t>Estimated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4540" w:type="dxa"/>
            <w:vAlign w:val="bottom"/>
            <w:tcBorders>
              <w:bottom w:val="single" w:sz="8" w:color="CFF0FC"/>
            </w:tcBorders>
          </w:tcPr>
          <w:p>
            <w:pPr>
              <w:spacing w:after="0"/>
              <w:rPr>
                <w:sz w:val="13"/>
                <w:szCs w:val="13"/>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(in years)</w:t>
            </w:r>
          </w:p>
        </w:tc>
        <w:tc>
          <w:tcPr>
            <w:tcW w:w="1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03"/>
              <w:spacing w:after="0"/>
              <w:rPr>
                <w:sz w:val="20"/>
                <w:szCs w:val="20"/>
                <w:color w:val="auto"/>
              </w:rPr>
            </w:pPr>
            <w:r>
              <w:rPr>
                <w:rFonts w:ascii="Arial" w:cs="Arial" w:eastAsia="Arial" w:hAnsi="Arial"/>
                <w:sz w:val="13"/>
                <w:szCs w:val="13"/>
                <w:b w:val="1"/>
                <w:bCs w:val="1"/>
                <w:color w:val="auto"/>
                <w:w w:val="89"/>
              </w:rPr>
              <w:t>Cost</w:t>
            </w: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85"/>
              <w:spacing w:after="0"/>
              <w:rPr>
                <w:sz w:val="20"/>
                <w:szCs w:val="20"/>
                <w:color w:val="auto"/>
              </w:rPr>
            </w:pPr>
            <w:r>
              <w:rPr>
                <w:rFonts w:ascii="Arial" w:cs="Arial" w:eastAsia="Arial" w:hAnsi="Arial"/>
                <w:sz w:val="13"/>
                <w:szCs w:val="13"/>
                <w:b w:val="1"/>
                <w:bCs w:val="1"/>
                <w:color w:val="auto"/>
                <w:w w:val="80"/>
              </w:rPr>
              <w:t>Losses</w:t>
            </w: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center"/>
              <w:ind w:left="150"/>
              <w:spacing w:after="0"/>
              <w:rPr>
                <w:sz w:val="20"/>
                <w:szCs w:val="20"/>
                <w:color w:val="auto"/>
              </w:rPr>
            </w:pPr>
            <w:r>
              <w:rPr>
                <w:rFonts w:ascii="Arial" w:cs="Arial" w:eastAsia="Arial" w:hAnsi="Arial"/>
                <w:sz w:val="13"/>
                <w:szCs w:val="13"/>
                <w:b w:val="1"/>
                <w:bCs w:val="1"/>
                <w:color w:val="auto"/>
                <w:w w:val="88"/>
              </w:rPr>
              <w:t>Gains</w:t>
            </w: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Fair Value</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CFF0FC"/>
          </w:tcPr>
          <w:p>
            <w:pPr>
              <w:spacing w:after="0"/>
              <w:rPr>
                <w:sz w:val="20"/>
                <w:szCs w:val="20"/>
                <w:color w:val="auto"/>
              </w:rPr>
            </w:pPr>
            <w:r>
              <w:rPr>
                <w:rFonts w:ascii="Arial" w:cs="Arial" w:eastAsia="Arial" w:hAnsi="Arial"/>
                <w:sz w:val="17"/>
                <w:szCs w:val="17"/>
                <w:color w:val="auto"/>
              </w:rPr>
              <w:t>Corporate debt securities</w:t>
            </w:r>
          </w:p>
        </w:tc>
        <w:tc>
          <w:tcPr>
            <w:tcW w:w="12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6"/>
              </w:rPr>
              <w:t>1 year or less</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48,616</w:t>
            </w:r>
          </w:p>
        </w:tc>
        <w:tc>
          <w:tcPr>
            <w:tcW w:w="240" w:type="dxa"/>
            <w:vAlign w:val="bottom"/>
            <w:gridSpan w:val="2"/>
            <w:shd w:val="clear" w:color="auto" w:fill="CFF0FC"/>
          </w:tcPr>
          <w:p>
            <w:pPr>
              <w:spacing w:after="0"/>
              <w:rPr>
                <w:sz w:val="17"/>
                <w:szCs w:val="17"/>
                <w:color w:val="auto"/>
              </w:rPr>
            </w:pP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(6)</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750"/>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48,614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40" w:type="dxa"/>
            <w:vAlign w:val="bottom"/>
          </w:tcPr>
          <w:p>
            <w:pPr>
              <w:spacing w:after="0"/>
              <w:rPr>
                <w:sz w:val="20"/>
                <w:szCs w:val="20"/>
                <w:color w:val="auto"/>
              </w:rPr>
            </w:pPr>
            <w:r>
              <w:rPr>
                <w:rFonts w:ascii="Arial" w:cs="Arial" w:eastAsia="Arial" w:hAnsi="Arial"/>
                <w:sz w:val="17"/>
                <w:szCs w:val="17"/>
                <w:color w:val="auto"/>
              </w:rPr>
              <w:t>Commercial paper</w:t>
            </w:r>
          </w:p>
        </w:tc>
        <w:tc>
          <w:tcPr>
            <w:tcW w:w="1360" w:type="dxa"/>
            <w:vAlign w:val="bottom"/>
            <w:gridSpan w:val="2"/>
          </w:tcPr>
          <w:p>
            <w:pPr>
              <w:jc w:val="center"/>
              <w:ind w:right="160"/>
              <w:spacing w:after="0"/>
              <w:rPr>
                <w:sz w:val="20"/>
                <w:szCs w:val="20"/>
                <w:color w:val="auto"/>
              </w:rPr>
            </w:pPr>
            <w:r>
              <w:rPr>
                <w:rFonts w:ascii="Arial" w:cs="Arial" w:eastAsia="Arial" w:hAnsi="Arial"/>
                <w:sz w:val="17"/>
                <w:szCs w:val="17"/>
                <w:color w:val="auto"/>
                <w:w w:val="86"/>
              </w:rPr>
              <w:t>1 year or less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63,445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63,445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540" w:type="dxa"/>
            <w:vAlign w:val="bottom"/>
            <w:shd w:val="clear" w:color="auto" w:fill="CFF0FC"/>
          </w:tcPr>
          <w:p>
            <w:pPr>
              <w:spacing w:after="0"/>
              <w:rPr>
                <w:sz w:val="20"/>
                <w:szCs w:val="20"/>
                <w:color w:val="auto"/>
              </w:rPr>
            </w:pPr>
            <w:r>
              <w:rPr>
                <w:rFonts w:ascii="Arial" w:cs="Arial" w:eastAsia="Arial" w:hAnsi="Arial"/>
                <w:sz w:val="17"/>
                <w:szCs w:val="17"/>
                <w:color w:val="auto"/>
              </w:rPr>
              <w:t>U.S. Government securities</w:t>
            </w:r>
          </w:p>
        </w:tc>
        <w:tc>
          <w:tcPr>
            <w:tcW w:w="1360" w:type="dxa"/>
            <w:vAlign w:val="bottom"/>
            <w:gridSpan w:val="2"/>
            <w:shd w:val="clear" w:color="auto" w:fill="CFF0FC"/>
          </w:tcPr>
          <w:p>
            <w:pPr>
              <w:jc w:val="center"/>
              <w:ind w:right="160"/>
              <w:spacing w:after="0"/>
              <w:rPr>
                <w:sz w:val="20"/>
                <w:szCs w:val="20"/>
                <w:color w:val="auto"/>
              </w:rPr>
            </w:pPr>
            <w:r>
              <w:rPr>
                <w:rFonts w:ascii="Arial" w:cs="Arial" w:eastAsia="Arial" w:hAnsi="Arial"/>
                <w:sz w:val="17"/>
                <w:szCs w:val="17"/>
                <w:color w:val="auto"/>
                <w:w w:val="86"/>
              </w:rPr>
              <w:t>1 year or less</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106,157</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(7)</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106,162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40" w:type="dxa"/>
            <w:vAlign w:val="bottom"/>
          </w:tcPr>
          <w:p>
            <w:pPr>
              <w:ind w:left="220"/>
              <w:spacing w:after="0"/>
              <w:rPr>
                <w:sz w:val="20"/>
                <w:szCs w:val="20"/>
                <w:color w:val="auto"/>
              </w:rPr>
            </w:pPr>
            <w:r>
              <w:rPr>
                <w:rFonts w:ascii="Arial" w:cs="Arial" w:eastAsia="Arial" w:hAnsi="Arial"/>
                <w:sz w:val="17"/>
                <w:szCs w:val="17"/>
                <w:color w:val="auto"/>
              </w:rPr>
              <w:t>Total</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218,218</w:t>
            </w:r>
          </w:p>
        </w:tc>
        <w:tc>
          <w:tcPr>
            <w:tcW w:w="120" w:type="dxa"/>
            <w:vAlign w:val="bottom"/>
          </w:tcPr>
          <w:p>
            <w:pPr>
              <w:spacing w:after="0"/>
              <w:rPr>
                <w:sz w:val="17"/>
                <w:szCs w:val="17"/>
                <w:color w:val="auto"/>
              </w:rPr>
            </w:pPr>
          </w:p>
        </w:tc>
        <w:tc>
          <w:tcPr>
            <w:tcW w:w="280" w:type="dxa"/>
            <w:vAlign w:val="bottom"/>
            <w:tcBorders>
              <w:top w:val="single" w:sz="8" w:color="auto"/>
            </w:tcBorders>
            <w:gridSpan w:val="2"/>
          </w:tcPr>
          <w:p>
            <w:pPr>
              <w:jc w:val="right"/>
              <w:ind w:right="3"/>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17"/>
                <w:szCs w:val="17"/>
                <w:color w:val="auto"/>
              </w:rPr>
            </w:pPr>
          </w:p>
        </w:tc>
        <w:tc>
          <w:tcPr>
            <w:tcW w:w="1020" w:type="dxa"/>
            <w:vAlign w:val="bottom"/>
            <w:tcBorders>
              <w:top w:val="single" w:sz="8" w:color="auto"/>
            </w:tcBorders>
            <w:gridSpan w:val="2"/>
          </w:tcPr>
          <w:p>
            <w:pPr>
              <w:jc w:val="right"/>
              <w:ind w:right="750"/>
              <w:spacing w:after="0"/>
              <w:rPr>
                <w:sz w:val="20"/>
                <w:szCs w:val="20"/>
                <w:color w:val="auto"/>
              </w:rPr>
            </w:pPr>
            <w:r>
              <w:rPr>
                <w:rFonts w:ascii="Arial" w:cs="Arial" w:eastAsia="Arial" w:hAnsi="Arial"/>
                <w:sz w:val="17"/>
                <w:szCs w:val="17"/>
                <w:color w:val="auto"/>
              </w:rPr>
              <w:t>$</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218,221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right="160" w:firstLine="511"/>
        <w:spacing w:after="0" w:line="326" w:lineRule="auto"/>
        <w:rPr>
          <w:sz w:val="20"/>
          <w:szCs w:val="20"/>
          <w:color w:val="auto"/>
        </w:rPr>
      </w:pPr>
      <w:r>
        <w:rPr>
          <w:rFonts w:ascii="Arial" w:cs="Arial" w:eastAsia="Arial" w:hAnsi="Arial"/>
          <w:sz w:val="15"/>
          <w:szCs w:val="15"/>
          <w:color w:val="auto"/>
        </w:rPr>
        <w:t>The Company has classified all of its available-for-sale investment securities as current assets on the condensed balance sheets based on the highly liquid nature of these investment securities and because these investment securities are considered available for use in current operations.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14" w:name="page15"/>
    <w:bookmarkEnd w:id="14"/>
    <w:p>
      <w:pPr>
        <w:ind w:right="20" w:firstLine="511"/>
        <w:spacing w:after="0" w:line="288" w:lineRule="auto"/>
        <w:rPr>
          <w:sz w:val="20"/>
          <w:szCs w:val="20"/>
          <w:color w:val="auto"/>
        </w:rPr>
      </w:pPr>
      <w:r>
        <w:rPr>
          <w:rFonts w:ascii="Arial" w:cs="Arial" w:eastAsia="Arial" w:hAnsi="Arial"/>
          <w:sz w:val="15"/>
          <w:szCs w:val="15"/>
          <w:color w:val="auto"/>
        </w:rPr>
        <w:t>The Company considers whether unrealized losses have resulted from a credit loss or other factors. The unrealized losses on the Company’s available-for-sale securities as of September 30, 2021 and December 31, 2020 were caused by fluctuations in market value and interest rates as a result of the economic environment and not credit risk. The Company concluded that an allowance for credit losses was unnecessary as of September 30, 2021 and that there were no impairments as of December 31, 2020. It is neither management’s intention to sell nor is it more likely than not that the Company will be required to sell these investments prior to recovery of their cost basis or recovery of fair value. Unrealized gains and losses are included in accumulated other comprehensive income.</w:t>
      </w:r>
    </w:p>
    <w:p>
      <w:pPr>
        <w:spacing w:after="0" w:line="155" w:lineRule="exact"/>
        <w:rPr>
          <w:sz w:val="20"/>
          <w:szCs w:val="20"/>
          <w:color w:val="auto"/>
        </w:rPr>
      </w:pPr>
    </w:p>
    <w:p>
      <w:pPr>
        <w:ind w:right="80" w:firstLine="511"/>
        <w:spacing w:after="0" w:line="260" w:lineRule="auto"/>
        <w:rPr>
          <w:sz w:val="20"/>
          <w:szCs w:val="20"/>
          <w:color w:val="auto"/>
        </w:rPr>
      </w:pPr>
      <w:r>
        <w:rPr>
          <w:rFonts w:ascii="Arial" w:cs="Arial" w:eastAsia="Arial" w:hAnsi="Arial"/>
          <w:sz w:val="17"/>
          <w:szCs w:val="17"/>
          <w:color w:val="auto"/>
        </w:rPr>
        <w:t>There was no realized gain or loss on available-for-sale securities in the periods presented. The Company uses the specific identification method to determine the cost basis of investments sold.</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Balance Sheet Components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Prepaid Expenses and Other Current Assets</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Prepaid expenses and other current assets are comprised of the following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9"/>
              </w:rPr>
              <w:t>September 30,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56"/>
        </w:trPr>
        <w:tc>
          <w:tcPr>
            <w:tcW w:w="6560" w:type="dxa"/>
            <w:vAlign w:val="bottom"/>
            <w:tcBorders>
              <w:bottom w:val="single" w:sz="8" w:color="CFF0FC"/>
            </w:tcBorders>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162"/>
              <w:spacing w:after="0"/>
              <w:rPr>
                <w:sz w:val="20"/>
                <w:szCs w:val="20"/>
                <w:color w:val="auto"/>
              </w:rPr>
            </w:pPr>
            <w:r>
              <w:rPr>
                <w:rFonts w:ascii="Arial" w:cs="Arial" w:eastAsia="Arial" w:hAnsi="Arial"/>
                <w:sz w:val="13"/>
                <w:szCs w:val="13"/>
                <w:b w:val="1"/>
                <w:bCs w:val="1"/>
                <w:color w:val="auto"/>
                <w:w w:val="96"/>
              </w:rPr>
              <w:t>2021</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162"/>
              <w:spacing w:after="0"/>
              <w:rPr>
                <w:sz w:val="20"/>
                <w:szCs w:val="20"/>
                <w:color w:val="auto"/>
              </w:rPr>
            </w:pPr>
            <w:r>
              <w:rPr>
                <w:rFonts w:ascii="Arial" w:cs="Arial" w:eastAsia="Arial" w:hAnsi="Arial"/>
                <w:sz w:val="13"/>
                <w:szCs w:val="13"/>
                <w:b w:val="1"/>
                <w:bCs w:val="1"/>
                <w:color w:val="auto"/>
                <w:w w:val="96"/>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spacing w:after="0"/>
              <w:rPr>
                <w:sz w:val="20"/>
                <w:szCs w:val="20"/>
                <w:color w:val="auto"/>
              </w:rPr>
            </w:pPr>
            <w:r>
              <w:rPr>
                <w:rFonts w:ascii="Arial" w:cs="Arial" w:eastAsia="Arial" w:hAnsi="Arial"/>
                <w:sz w:val="17"/>
                <w:szCs w:val="17"/>
                <w:color w:val="auto"/>
              </w:rPr>
              <w:t>Prepaid expenses</w:t>
            </w: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4,511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2,586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5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 current assets</w:t>
            </w:r>
          </w:p>
        </w:tc>
        <w:tc>
          <w:tcPr>
            <w:tcW w:w="11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2,429</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1,336</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56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7"/>
                <w:szCs w:val="17"/>
                <w:color w:val="auto"/>
              </w:rPr>
              <w:t>Total prepaid expenses and other current assets</w:t>
            </w:r>
          </w:p>
        </w:tc>
        <w:tc>
          <w:tcPr>
            <w:tcW w:w="11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6,940</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3,922</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7"/>
                <w:szCs w:val="17"/>
                <w:b w:val="1"/>
                <w:bCs w:val="1"/>
                <w:i w:val="1"/>
                <w:iCs w:val="1"/>
                <w:color w:val="auto"/>
              </w:rPr>
              <w:t>Property and Equipment, Net</w:t>
            </w:r>
          </w:p>
        </w:tc>
        <w:tc>
          <w:tcPr>
            <w:tcW w:w="1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656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560" w:type="dxa"/>
            <w:vAlign w:val="bottom"/>
          </w:tcPr>
          <w:p>
            <w:pPr>
              <w:ind w:left="500"/>
              <w:spacing w:after="0"/>
              <w:rPr>
                <w:sz w:val="20"/>
                <w:szCs w:val="20"/>
                <w:color w:val="auto"/>
              </w:rPr>
            </w:pPr>
            <w:r>
              <w:rPr>
                <w:rFonts w:ascii="Arial" w:cs="Arial" w:eastAsia="Arial" w:hAnsi="Arial"/>
                <w:sz w:val="17"/>
                <w:szCs w:val="17"/>
                <w:color w:val="auto"/>
              </w:rPr>
              <w:t>Property and equipment, net is comprised of the following (in thousands):</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6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9"/>
              </w:rPr>
              <w:t>September 30,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56"/>
        </w:trPr>
        <w:tc>
          <w:tcPr>
            <w:tcW w:w="6560" w:type="dxa"/>
            <w:vAlign w:val="bottom"/>
            <w:vMerge w:val="restart"/>
          </w:tcPr>
          <w:p>
            <w:pPr>
              <w:spacing w:after="0"/>
              <w:rPr>
                <w:sz w:val="20"/>
                <w:szCs w:val="20"/>
                <w:color w:val="auto"/>
              </w:rPr>
            </w:pPr>
            <w:r>
              <w:rPr>
                <w:rFonts w:ascii="Arial" w:cs="Arial" w:eastAsia="Arial" w:hAnsi="Arial"/>
                <w:sz w:val="17"/>
                <w:szCs w:val="17"/>
                <w:color w:val="auto"/>
              </w:rPr>
              <w:t>Leasehold improvements</w:t>
            </w:r>
          </w:p>
        </w:tc>
        <w:tc>
          <w:tcPr>
            <w:tcW w:w="11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162"/>
              <w:spacing w:after="0"/>
              <w:rPr>
                <w:sz w:val="20"/>
                <w:szCs w:val="20"/>
                <w:color w:val="auto"/>
              </w:rPr>
            </w:pPr>
            <w:r>
              <w:rPr>
                <w:rFonts w:ascii="Arial" w:cs="Arial" w:eastAsia="Arial" w:hAnsi="Arial"/>
                <w:sz w:val="13"/>
                <w:szCs w:val="13"/>
                <w:b w:val="1"/>
                <w:bCs w:val="1"/>
                <w:color w:val="auto"/>
                <w:w w:val="96"/>
              </w:rPr>
              <w:t>2021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162"/>
              <w:spacing w:after="0"/>
              <w:rPr>
                <w:sz w:val="20"/>
                <w:szCs w:val="20"/>
                <w:color w:val="auto"/>
              </w:rPr>
            </w:pPr>
            <w:r>
              <w:rPr>
                <w:rFonts w:ascii="Arial" w:cs="Arial" w:eastAsia="Arial" w:hAnsi="Arial"/>
                <w:sz w:val="13"/>
                <w:szCs w:val="13"/>
                <w:b w:val="1"/>
                <w:bCs w:val="1"/>
                <w:color w:val="auto"/>
                <w:w w:val="96"/>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656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3,424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1,984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560" w:type="dxa"/>
            <w:vAlign w:val="bottom"/>
            <w:shd w:val="clear" w:color="auto" w:fill="CFF0FC"/>
          </w:tcPr>
          <w:p>
            <w:pPr>
              <w:spacing w:after="0"/>
              <w:rPr>
                <w:sz w:val="20"/>
                <w:szCs w:val="20"/>
                <w:color w:val="auto"/>
              </w:rPr>
            </w:pPr>
            <w:r>
              <w:rPr>
                <w:rFonts w:ascii="Arial" w:cs="Arial" w:eastAsia="Arial" w:hAnsi="Arial"/>
                <w:sz w:val="17"/>
                <w:szCs w:val="17"/>
                <w:color w:val="auto"/>
              </w:rPr>
              <w:t>Furniture and fixtures</w:t>
            </w: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Pr>
          <w:p>
            <w:pPr>
              <w:spacing w:after="0"/>
              <w:rPr>
                <w:sz w:val="20"/>
                <w:szCs w:val="20"/>
                <w:color w:val="auto"/>
              </w:rPr>
            </w:pPr>
            <w:r>
              <w:rPr>
                <w:rFonts w:ascii="Arial" w:cs="Arial" w:eastAsia="Arial" w:hAnsi="Arial"/>
                <w:sz w:val="17"/>
                <w:szCs w:val="17"/>
                <w:color w:val="auto"/>
              </w:rPr>
              <w:t>Research equipment</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8,716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4,892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560" w:type="dxa"/>
            <w:vAlign w:val="bottom"/>
            <w:shd w:val="clear" w:color="auto" w:fill="CFF0FC"/>
          </w:tcPr>
          <w:p>
            <w:pPr>
              <w:spacing w:after="0"/>
              <w:rPr>
                <w:sz w:val="20"/>
                <w:szCs w:val="20"/>
                <w:color w:val="auto"/>
              </w:rPr>
            </w:pPr>
            <w:r>
              <w:rPr>
                <w:rFonts w:ascii="Arial" w:cs="Arial" w:eastAsia="Arial" w:hAnsi="Arial"/>
                <w:sz w:val="17"/>
                <w:szCs w:val="17"/>
                <w:color w:val="auto"/>
              </w:rPr>
              <w:t>Computers and software</w:t>
            </w: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Construction in progress</w:t>
            </w:r>
          </w:p>
        </w:tc>
        <w:tc>
          <w:tcPr>
            <w:tcW w:w="11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1,975</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3,459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5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Total property and equipment</w:t>
            </w: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14,782</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10,781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560" w:type="dxa"/>
            <w:vAlign w:val="bottom"/>
          </w:tcPr>
          <w:p>
            <w:pPr>
              <w:spacing w:after="0"/>
              <w:rPr>
                <w:sz w:val="20"/>
                <w:szCs w:val="20"/>
                <w:color w:val="auto"/>
              </w:rPr>
            </w:pPr>
            <w:r>
              <w:rPr>
                <w:rFonts w:ascii="Arial" w:cs="Arial" w:eastAsia="Arial" w:hAnsi="Arial"/>
                <w:sz w:val="17"/>
                <w:szCs w:val="17"/>
                <w:color w:val="auto"/>
              </w:rPr>
              <w:t>Less accumulated depreciation and amortization</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7"/>
                <w:szCs w:val="17"/>
                <w:color w:val="auto"/>
              </w:rPr>
              <w:t>(2,631)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7"/>
                <w:szCs w:val="17"/>
                <w:color w:val="auto"/>
              </w:rPr>
              <w:t>(1,431)</w:t>
            </w:r>
          </w:p>
        </w:tc>
        <w:tc>
          <w:tcPr>
            <w:tcW w:w="0" w:type="dxa"/>
            <w:vAlign w:val="bottom"/>
          </w:tcPr>
          <w:p>
            <w:pPr>
              <w:spacing w:after="0"/>
              <w:rPr>
                <w:sz w:val="1"/>
                <w:szCs w:val="1"/>
                <w:color w:val="auto"/>
              </w:rPr>
            </w:pPr>
          </w:p>
        </w:tc>
      </w:tr>
      <w:tr>
        <w:trPr>
          <w:trHeight w:val="203"/>
        </w:trPr>
        <w:tc>
          <w:tcPr>
            <w:tcW w:w="6560" w:type="dxa"/>
            <w:vAlign w:val="bottom"/>
            <w:tcBorders>
              <w:top w:val="single" w:sz="8" w:color="CFF0FC"/>
              <w:bottom w:val="single" w:sz="8" w:color="CFF0FC"/>
            </w:tcBorders>
            <w:shd w:val="clear" w:color="auto" w:fill="CFF0FC"/>
          </w:tcPr>
          <w:p>
            <w:pPr>
              <w:ind w:left="220"/>
              <w:spacing w:after="0"/>
              <w:rPr>
                <w:sz w:val="20"/>
                <w:szCs w:val="20"/>
                <w:color w:val="auto"/>
              </w:rPr>
            </w:pPr>
            <w:r>
              <w:rPr>
                <w:rFonts w:ascii="Arial" w:cs="Arial" w:eastAsia="Arial" w:hAnsi="Arial"/>
                <w:sz w:val="17"/>
                <w:szCs w:val="17"/>
                <w:color w:val="auto"/>
              </w:rPr>
              <w:t>Total property and equipment, net</w:t>
            </w:r>
          </w:p>
        </w:tc>
        <w:tc>
          <w:tcPr>
            <w:tcW w:w="118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12,151</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9,350</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ind w:right="60" w:firstLine="511"/>
        <w:spacing w:after="0" w:line="260" w:lineRule="auto"/>
        <w:rPr>
          <w:sz w:val="20"/>
          <w:szCs w:val="20"/>
          <w:color w:val="auto"/>
        </w:rPr>
      </w:pPr>
      <w:r>
        <w:rPr>
          <w:rFonts w:ascii="Arial" w:cs="Arial" w:eastAsia="Arial" w:hAnsi="Arial"/>
          <w:sz w:val="17"/>
          <w:szCs w:val="17"/>
          <w:color w:val="auto"/>
        </w:rPr>
        <w:t>Depreciation and amortization expense was $0.5 million and $1.2 million for the three and nine months ended September 30, 2021, respectively, and $0.2 million and $0.5 million for the three and nine months ended September 30, 2020, respectively.</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Accrued and Other Current Liabilities</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Accrued other current liabilities are comprised of the following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ind w:right="302"/>
              <w:spacing w:after="0"/>
              <w:rPr>
                <w:sz w:val="20"/>
                <w:szCs w:val="20"/>
                <w:color w:val="auto"/>
              </w:rPr>
            </w:pPr>
            <w:r>
              <w:rPr>
                <w:rFonts w:ascii="Arial" w:cs="Arial" w:eastAsia="Arial" w:hAnsi="Arial"/>
                <w:sz w:val="13"/>
                <w:szCs w:val="13"/>
                <w:b w:val="1"/>
                <w:bCs w:val="1"/>
                <w:color w:val="auto"/>
              </w:rPr>
              <w:t>September 30,</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tcPr>
          <w:p>
            <w:pPr>
              <w:ind w:left="16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6"/>
        </w:trPr>
        <w:tc>
          <w:tcPr>
            <w:tcW w:w="4120" w:type="dxa"/>
            <w:vAlign w:val="bottom"/>
            <w:tcBorders>
              <w:bottom w:val="single" w:sz="8" w:color="CFF0FC"/>
            </w:tcBorders>
          </w:tcPr>
          <w:p>
            <w:pPr>
              <w:spacing w:after="0"/>
              <w:rPr>
                <w:sz w:val="13"/>
                <w:szCs w:val="13"/>
                <w:color w:val="auto"/>
              </w:rPr>
            </w:pPr>
          </w:p>
        </w:tc>
        <w:tc>
          <w:tcPr>
            <w:tcW w:w="36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2021</w:t>
            </w:r>
          </w:p>
        </w:tc>
        <w:tc>
          <w:tcPr>
            <w:tcW w:w="2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FF0FC"/>
          </w:tcPr>
          <w:p>
            <w:pPr>
              <w:spacing w:after="0"/>
              <w:rPr>
                <w:sz w:val="20"/>
                <w:szCs w:val="20"/>
                <w:color w:val="auto"/>
              </w:rPr>
            </w:pPr>
            <w:r>
              <w:rPr>
                <w:rFonts w:ascii="Arial" w:cs="Arial" w:eastAsia="Arial" w:hAnsi="Arial"/>
                <w:sz w:val="17"/>
                <w:szCs w:val="17"/>
                <w:color w:val="auto"/>
              </w:rPr>
              <w:t>Accrued compensation</w:t>
            </w:r>
          </w:p>
        </w:tc>
        <w:tc>
          <w:tcPr>
            <w:tcW w:w="36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4,502</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3,534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20"/>
                <w:szCs w:val="20"/>
                <w:color w:val="auto"/>
              </w:rPr>
            </w:pPr>
            <w:r>
              <w:rPr>
                <w:rFonts w:ascii="Arial" w:cs="Arial" w:eastAsia="Arial" w:hAnsi="Arial"/>
                <w:sz w:val="17"/>
                <w:szCs w:val="17"/>
                <w:color w:val="auto"/>
              </w:rPr>
              <w:t>Accrued research and development costs</w:t>
            </w:r>
          </w:p>
        </w:tc>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1,780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1,675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20" w:type="dxa"/>
            <w:vAlign w:val="bottom"/>
            <w:shd w:val="clear" w:color="auto" w:fill="CFF0FC"/>
          </w:tcPr>
          <w:p>
            <w:pPr>
              <w:spacing w:after="0"/>
              <w:rPr>
                <w:sz w:val="20"/>
                <w:szCs w:val="20"/>
                <w:color w:val="auto"/>
              </w:rPr>
            </w:pPr>
            <w:r>
              <w:rPr>
                <w:rFonts w:ascii="Arial" w:cs="Arial" w:eastAsia="Arial" w:hAnsi="Arial"/>
                <w:sz w:val="17"/>
                <w:szCs w:val="17"/>
                <w:color w:val="auto"/>
              </w:rPr>
              <w:t>Accrued property and equipment</w:t>
            </w:r>
          </w:p>
        </w:tc>
        <w:tc>
          <w:tcPr>
            <w:tcW w:w="3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152</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 accrued and current liabilities</w:t>
            </w:r>
          </w:p>
        </w:tc>
        <w:tc>
          <w:tcPr>
            <w:tcW w:w="36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1,014</w:t>
            </w:r>
          </w:p>
        </w:tc>
        <w:tc>
          <w:tcPr>
            <w:tcW w:w="2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7"/>
                <w:szCs w:val="17"/>
                <w:color w:val="auto"/>
              </w:rPr>
              <w:t>Total accrued and other liabilities</w:t>
            </w:r>
          </w:p>
        </w:tc>
        <w:tc>
          <w:tcPr>
            <w:tcW w:w="36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7,448</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6,253</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620" w:type="dxa"/>
            <w:vAlign w:val="bottom"/>
            <w:vMerge w:val="restart"/>
          </w:tcPr>
          <w:p>
            <w:pPr>
              <w:jc w:val="right"/>
              <w:ind w:right="1957"/>
              <w:spacing w:after="0"/>
              <w:rPr>
                <w:sz w:val="20"/>
                <w:szCs w:val="20"/>
                <w:color w:val="auto"/>
              </w:rPr>
            </w:pPr>
            <w:r>
              <w:rPr>
                <w:rFonts w:ascii="Arial" w:cs="Arial" w:eastAsia="Arial" w:hAnsi="Arial"/>
                <w:sz w:val="17"/>
                <w:szCs w:val="17"/>
                <w:color w:val="auto"/>
              </w:rPr>
              <w:t>10</w:t>
            </w: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1"/>
        </w:trPr>
        <w:tc>
          <w:tcPr>
            <w:tcW w:w="412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4120" w:type="dxa"/>
            <w:vAlign w:val="bottom"/>
            <w:tcBorders>
              <w:bottom w:val="single" w:sz="8" w:color="9A9A9A"/>
            </w:tcBorders>
          </w:tcPr>
          <w:p>
            <w:pPr>
              <w:spacing w:after="0"/>
              <w:rPr>
                <w:sz w:val="9"/>
                <w:szCs w:val="9"/>
                <w:color w:val="auto"/>
              </w:rPr>
            </w:pPr>
          </w:p>
        </w:tc>
        <w:tc>
          <w:tcPr>
            <w:tcW w:w="36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auto"/>
        </w:rPr>
        <w:t>6. Leases</w:t>
      </w:r>
    </w:p>
    <w:p>
      <w:pPr>
        <w:spacing w:after="0" w:line="106" w:lineRule="exact"/>
        <w:rPr>
          <w:sz w:val="20"/>
          <w:szCs w:val="20"/>
          <w:color w:val="auto"/>
        </w:rPr>
      </w:pPr>
    </w:p>
    <w:p>
      <w:pPr>
        <w:ind w:right="120" w:firstLine="511"/>
        <w:spacing w:after="0" w:line="284" w:lineRule="auto"/>
        <w:rPr>
          <w:sz w:val="20"/>
          <w:szCs w:val="20"/>
          <w:color w:val="auto"/>
        </w:rPr>
      </w:pPr>
      <w:r>
        <w:rPr>
          <w:rFonts w:ascii="Arial" w:cs="Arial" w:eastAsia="Arial" w:hAnsi="Arial"/>
          <w:sz w:val="15"/>
          <w:szCs w:val="15"/>
          <w:color w:val="auto"/>
        </w:rPr>
        <w:t>The Company has operating leases for its current corporate offices, laboratory space, manufacturing facility, and dedicated space in a vivarium in South San Francisco, California, as well as for an additional facility in South San Francisco that the Company plans to use for corporate offices, laboratories and manufacturing. Rent expense, which is recognized on a straight-line basis over the term of each lease, was $0.7 million and $1.9 million for the three and nine months ended September 30, 2021, respectively, and $0.5 million and $1.4 million for the three and nine months ended September 30, 2020, respectively. The total cash paid for operating leases included in the operating cash flows was $0.6 million and $1.6 million for the three and nine months ended September 30, 2021, respectively, and $0.4 million and $1.3 million for the three and nine months ended September 30, 2020, respectively. The weighted-average remaining lease term was 6.9 years for the corporate office and laboratory space leases as of September 30, 2021. The weighted-average discount rate was 9.1% as of September 30, 2021.</w:t>
      </w:r>
    </w:p>
    <w:p>
      <w:pPr>
        <w:spacing w:after="0" w:line="58" w:lineRule="exact"/>
        <w:rPr>
          <w:sz w:val="20"/>
          <w:szCs w:val="20"/>
          <w:color w:val="auto"/>
        </w:rPr>
      </w:pPr>
    </w:p>
    <w:p>
      <w:pPr>
        <w:ind w:right="300" w:firstLine="511"/>
        <w:spacing w:after="0" w:line="301" w:lineRule="auto"/>
        <w:rPr>
          <w:sz w:val="20"/>
          <w:szCs w:val="20"/>
          <w:color w:val="auto"/>
        </w:rPr>
      </w:pPr>
      <w:r>
        <w:rPr>
          <w:rFonts w:ascii="Arial" w:cs="Arial" w:eastAsia="Arial" w:hAnsi="Arial"/>
          <w:sz w:val="15"/>
          <w:szCs w:val="15"/>
          <w:color w:val="auto"/>
        </w:rPr>
        <w:t>In May 2018, the Company entered into a lease agreement for its corporate office and laboratory space located in South San Francisco, California with an expiration date in May 2025 (the “Initial Lease Agreement”). In April 2019, the Company executed the first amendment to the Initial Lease Agreement for additional corporate space, laboratory space and manufacturing capabilities and an extension to the lease term through April 2026.</w:t>
      </w:r>
    </w:p>
    <w:p>
      <w:pPr>
        <w:spacing w:after="0" w:line="45" w:lineRule="exact"/>
        <w:rPr>
          <w:sz w:val="20"/>
          <w:szCs w:val="20"/>
          <w:color w:val="auto"/>
        </w:rPr>
      </w:pPr>
    </w:p>
    <w:p>
      <w:pPr>
        <w:ind w:firstLine="511"/>
        <w:spacing w:after="0" w:line="299" w:lineRule="auto"/>
        <w:rPr>
          <w:sz w:val="20"/>
          <w:szCs w:val="20"/>
          <w:color w:val="auto"/>
        </w:rPr>
      </w:pPr>
      <w:r>
        <w:rPr>
          <w:rFonts w:ascii="Arial" w:cs="Arial" w:eastAsia="Arial" w:hAnsi="Arial"/>
          <w:sz w:val="14"/>
          <w:szCs w:val="14"/>
          <w:color w:val="auto"/>
        </w:rPr>
        <w:t>In May 2020, the Company signed a second amendment to the Initial Lease Agreement. The amended lease provides for an eight-year non-cancelable lease of additional office and laboratory space in the same building. The lease amendment for additional office and laboratory space provided for abatement of rent during the first three months of the lease and contains rent escalations during the term of the lease. The lease for this additional space commenced in January 2021 and expires in January 2029. The lease amendment also includes an extension of the lease term for the existing office and laboratory space beginning on May 1, 2020 and expiring in January</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2029. The amendment to the Initial Lease Agreement also includes an option to extend the lease for an additional seven-year term.</w:t>
      </w:r>
    </w:p>
    <w:p>
      <w:pPr>
        <w:spacing w:after="0" w:line="91" w:lineRule="exact"/>
        <w:rPr>
          <w:sz w:val="20"/>
          <w:szCs w:val="20"/>
          <w:color w:val="auto"/>
        </w:rPr>
      </w:pPr>
    </w:p>
    <w:p>
      <w:pPr>
        <w:ind w:right="220" w:firstLine="511"/>
        <w:spacing w:after="0" w:line="260" w:lineRule="auto"/>
        <w:rPr>
          <w:sz w:val="20"/>
          <w:szCs w:val="20"/>
          <w:color w:val="auto"/>
        </w:rPr>
      </w:pPr>
      <w:r>
        <w:rPr>
          <w:rFonts w:ascii="Arial" w:cs="Arial" w:eastAsia="Arial" w:hAnsi="Arial"/>
          <w:sz w:val="17"/>
          <w:szCs w:val="17"/>
          <w:color w:val="auto"/>
        </w:rPr>
        <w:t>In January 2021, the Company signed a third amendment to the Initial Lease Agreement which provides for lease of additional space in the same building. The lease amendment for this additional space commenced in April 2021 and expires in March 2024.</w:t>
      </w:r>
    </w:p>
    <w:p>
      <w:pPr>
        <w:spacing w:after="0" w:line="72" w:lineRule="exact"/>
        <w:rPr>
          <w:sz w:val="20"/>
          <w:szCs w:val="20"/>
          <w:color w:val="auto"/>
        </w:rPr>
      </w:pPr>
    </w:p>
    <w:p>
      <w:pPr>
        <w:ind w:right="60" w:firstLine="511"/>
        <w:spacing w:after="0" w:line="288" w:lineRule="auto"/>
        <w:rPr>
          <w:sz w:val="20"/>
          <w:szCs w:val="20"/>
          <w:color w:val="auto"/>
        </w:rPr>
      </w:pPr>
      <w:r>
        <w:rPr>
          <w:rFonts w:ascii="Arial" w:cs="Arial" w:eastAsia="Arial" w:hAnsi="Arial"/>
          <w:sz w:val="15"/>
          <w:szCs w:val="15"/>
          <w:color w:val="auto"/>
        </w:rPr>
        <w:t>In October 2021, the Company signed a fourth amendment to the Initial Lease Agreement which provides for lease of additional space in the same building. The lease for additional office and laboratory space provides for abatement of rent during the first two months of the lease and contains rent escalations during the term of the lease. The lease amendment of this additional space is anticipated to commence in April 2022 and expires in January 2029. The Company expects to pay base rent of approximately $4.6 million over the lease term. The lease amendment also includes this additional space in the Company’s option to extend the amended Initial Lease Agreement for an additional seven-year term. The other terms of the Initial Lease Agreement, as amended, remain unchanged.</w:t>
      </w:r>
    </w:p>
    <w:p>
      <w:pPr>
        <w:spacing w:after="0" w:line="55" w:lineRule="exact"/>
        <w:rPr>
          <w:sz w:val="20"/>
          <w:szCs w:val="20"/>
          <w:color w:val="auto"/>
        </w:rPr>
      </w:pPr>
    </w:p>
    <w:p>
      <w:pPr>
        <w:ind w:right="20" w:firstLine="511"/>
        <w:spacing w:after="0" w:line="282" w:lineRule="auto"/>
        <w:rPr>
          <w:sz w:val="20"/>
          <w:szCs w:val="20"/>
          <w:color w:val="auto"/>
        </w:rPr>
      </w:pPr>
      <w:r>
        <w:rPr>
          <w:rFonts w:ascii="Arial" w:cs="Arial" w:eastAsia="Arial" w:hAnsi="Arial"/>
          <w:sz w:val="15"/>
          <w:szCs w:val="15"/>
          <w:color w:val="auto"/>
        </w:rPr>
        <w:t xml:space="preserve">In July 2021, the Company entered into a lease agreement for corporate office, manufacturing and laboratory space located in South San Francisco, California with an expiration date approximately twelve years after the lease commencement date (the “Additional Lease Agreement”). </w:t>
      </w:r>
      <w:r>
        <w:rPr>
          <w:rFonts w:ascii="Arial" w:cs="Arial" w:eastAsia="Arial" w:hAnsi="Arial"/>
          <w:sz w:val="15"/>
          <w:szCs w:val="15"/>
          <w:color w:val="212529"/>
        </w:rPr>
        <w:t>The Company will become responsible for</w:t>
      </w:r>
      <w:r>
        <w:rPr>
          <w:rFonts w:ascii="Arial" w:cs="Arial" w:eastAsia="Arial" w:hAnsi="Arial"/>
          <w:sz w:val="15"/>
          <w:szCs w:val="15"/>
          <w:color w:val="auto"/>
        </w:rPr>
        <w:t xml:space="preserve"> </w:t>
      </w:r>
      <w:r>
        <w:rPr>
          <w:rFonts w:ascii="Arial" w:cs="Arial" w:eastAsia="Arial" w:hAnsi="Arial"/>
          <w:sz w:val="15"/>
          <w:szCs w:val="15"/>
          <w:color w:val="212529"/>
        </w:rPr>
        <w:t>paying rent on the lease commencement date. The Company’s monthly installment of base rent for the new premises will start at approximately $0.6 million commencing on the lease commencement date and will increase on an annual basis up to a maximum monthly base rent of approximately $0.8 million. The Company expects to pay base rent of approximately $98.8 million over the lease term. In addition to base rent, the Company is responsible for payment of direct expenses, which include operating, insurance and tax expenses. The lease also provides for certain tenant improvement allowances of up to approximately $25.2 million for tenant improvements and certain infrastructure upgrades in connection with the initial buildout of the premises, approximately $4.4 million of which, if utilized, would need to be repaid by the Company over the lease term. During the three months ended September 30, 2021, the Company delivered a security deposit in the form of a letter of credit of $1.6 million to the Landlord in connection with the Additional Lease Agreement.</w:t>
      </w:r>
    </w:p>
    <w:p>
      <w:pPr>
        <w:spacing w:after="0" w:line="59" w:lineRule="exact"/>
        <w:rPr>
          <w:sz w:val="20"/>
          <w:szCs w:val="20"/>
          <w:color w:val="auto"/>
        </w:rPr>
      </w:pPr>
    </w:p>
    <w:p>
      <w:pPr>
        <w:ind w:right="120" w:firstLine="511"/>
        <w:spacing w:after="0" w:line="301" w:lineRule="auto"/>
        <w:rPr>
          <w:sz w:val="20"/>
          <w:szCs w:val="20"/>
          <w:color w:val="auto"/>
        </w:rPr>
      </w:pPr>
      <w:r>
        <w:rPr>
          <w:rFonts w:ascii="Arial" w:cs="Arial" w:eastAsia="Arial" w:hAnsi="Arial"/>
          <w:sz w:val="15"/>
          <w:szCs w:val="15"/>
          <w:color w:val="212529"/>
        </w:rPr>
        <w:t xml:space="preserve">On </w:t>
      </w:r>
      <w:r>
        <w:rPr>
          <w:rFonts w:ascii="Arial" w:cs="Arial" w:eastAsia="Arial" w:hAnsi="Arial"/>
          <w:sz w:val="15"/>
          <w:szCs w:val="15"/>
          <w:color w:val="000000"/>
        </w:rPr>
        <w:t>November 5, 2021, the Company entered into an amendment to its corporate office, manufacturing and laboratory facilities lease. The lease amendment</w:t>
      </w:r>
      <w:r>
        <w:rPr>
          <w:rFonts w:ascii="Arial" w:cs="Arial" w:eastAsia="Arial" w:hAnsi="Arial"/>
          <w:sz w:val="15"/>
          <w:szCs w:val="15"/>
          <w:color w:val="212529"/>
        </w:rPr>
        <w:t xml:space="preserve"> </w:t>
      </w:r>
      <w:r>
        <w:rPr>
          <w:rFonts w:ascii="Arial" w:cs="Arial" w:eastAsia="Arial" w:hAnsi="Arial"/>
          <w:sz w:val="15"/>
          <w:szCs w:val="15"/>
          <w:color w:val="000000"/>
        </w:rPr>
        <w:t>expressly includes manufacturing as a permitted use at the facility, clarifies that Silicon Valley Bank is an acceptable bank for purposes of issuing a letter of credit under the lease, revises the letter of credit transferability terms and replaces the form of letter of credit attached to the lease.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16" w:name="page17"/>
    <w:bookmarkEnd w:id="16"/>
    <w:p>
      <w:pPr>
        <w:ind w:left="500"/>
        <w:spacing w:after="0"/>
        <w:rPr>
          <w:sz w:val="20"/>
          <w:szCs w:val="20"/>
          <w:color w:val="auto"/>
        </w:rPr>
      </w:pPr>
      <w:r>
        <w:rPr>
          <w:rFonts w:ascii="Arial" w:cs="Arial" w:eastAsia="Arial" w:hAnsi="Arial"/>
          <w:sz w:val="17"/>
          <w:szCs w:val="17"/>
          <w:color w:val="auto"/>
        </w:rPr>
        <w:t>Maturities of operating lease liabilities under existing operating leases as of September 30, 2021 were as follows (in thousands):</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9220" w:type="dxa"/>
            <w:vAlign w:val="bottom"/>
            <w:gridSpan w:val="2"/>
          </w:tcPr>
          <w:p>
            <w:pPr>
              <w:spacing w:after="0"/>
              <w:rPr>
                <w:sz w:val="20"/>
                <w:szCs w:val="20"/>
                <w:color w:val="auto"/>
              </w:rPr>
            </w:pPr>
            <w:r>
              <w:rPr>
                <w:rFonts w:ascii="Arial" w:cs="Arial" w:eastAsia="Arial" w:hAnsi="Arial"/>
                <w:sz w:val="13"/>
                <w:szCs w:val="13"/>
                <w:b w:val="1"/>
                <w:bCs w:val="1"/>
                <w:color w:val="auto"/>
              </w:rPr>
              <w:t>Year ending December 31,</w:t>
            </w:r>
          </w:p>
        </w:tc>
        <w:tc>
          <w:tcPr>
            <w:tcW w:w="400" w:type="dxa"/>
            <w:vAlign w:val="bottom"/>
          </w:tcPr>
          <w:p>
            <w:pPr>
              <w:spacing w:after="0"/>
              <w:rPr>
                <w:sz w:val="13"/>
                <w:szCs w:val="13"/>
                <w:color w:val="auto"/>
              </w:rPr>
            </w:pPr>
          </w:p>
        </w:tc>
        <w:tc>
          <w:tcPr>
            <w:tcW w:w="1600" w:type="dxa"/>
            <w:vAlign w:val="bottom"/>
            <w:gridSpan w:val="2"/>
          </w:tcPr>
          <w:p>
            <w:pPr>
              <w:jc w:val="right"/>
              <w:ind w:right="84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203"/>
        </w:trPr>
        <w:tc>
          <w:tcPr>
            <w:tcW w:w="9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color w:val="auto"/>
              </w:rPr>
              <w:t>2021 (remaining three months)</w:t>
            </w:r>
          </w:p>
        </w:tc>
        <w:tc>
          <w:tcPr>
            <w:tcW w:w="200" w:type="dxa"/>
            <w:vAlign w:val="bottom"/>
            <w:tcBorders>
              <w:top w:val="single" w:sz="8" w:color="CFF0FC"/>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jc w:val="right"/>
              <w:ind w:right="243"/>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629</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020" w:type="dxa"/>
            <w:vAlign w:val="bottom"/>
          </w:tcPr>
          <w:p>
            <w:pPr>
              <w:spacing w:after="0"/>
              <w:rPr>
                <w:sz w:val="20"/>
                <w:szCs w:val="20"/>
                <w:color w:val="auto"/>
              </w:rPr>
            </w:pPr>
            <w:r>
              <w:rPr>
                <w:rFonts w:ascii="Arial" w:cs="Arial" w:eastAsia="Arial" w:hAnsi="Arial"/>
                <w:sz w:val="17"/>
                <w:szCs w:val="17"/>
                <w:color w:val="auto"/>
              </w:rPr>
              <w:t>2022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2,579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020" w:type="dxa"/>
            <w:vAlign w:val="bottom"/>
            <w:shd w:val="clear" w:color="auto" w:fill="CFF0FC"/>
          </w:tcPr>
          <w:p>
            <w:pPr>
              <w:spacing w:after="0"/>
              <w:rPr>
                <w:sz w:val="20"/>
                <w:szCs w:val="20"/>
                <w:color w:val="auto"/>
              </w:rPr>
            </w:pPr>
            <w:r>
              <w:rPr>
                <w:rFonts w:ascii="Arial" w:cs="Arial" w:eastAsia="Arial" w:hAnsi="Arial"/>
                <w:sz w:val="17"/>
                <w:szCs w:val="17"/>
                <w:color w:val="auto"/>
              </w:rPr>
              <w:t>2023</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2,432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20" w:type="dxa"/>
            <w:vAlign w:val="bottom"/>
          </w:tcPr>
          <w:p>
            <w:pPr>
              <w:spacing w:after="0"/>
              <w:rPr>
                <w:sz w:val="20"/>
                <w:szCs w:val="20"/>
                <w:color w:val="auto"/>
              </w:rPr>
            </w:pPr>
            <w:r>
              <w:rPr>
                <w:rFonts w:ascii="Arial" w:cs="Arial" w:eastAsia="Arial" w:hAnsi="Arial"/>
                <w:sz w:val="17"/>
                <w:szCs w:val="17"/>
                <w:color w:val="auto"/>
              </w:rPr>
              <w:t>2024</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2,184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020" w:type="dxa"/>
            <w:vAlign w:val="bottom"/>
            <w:shd w:val="clear" w:color="auto" w:fill="CFF0FC"/>
          </w:tcPr>
          <w:p>
            <w:pPr>
              <w:spacing w:after="0"/>
              <w:rPr>
                <w:sz w:val="20"/>
                <w:szCs w:val="20"/>
                <w:color w:val="auto"/>
              </w:rPr>
            </w:pPr>
            <w:r>
              <w:rPr>
                <w:rFonts w:ascii="Arial" w:cs="Arial" w:eastAsia="Arial" w:hAnsi="Arial"/>
                <w:sz w:val="17"/>
                <w:szCs w:val="17"/>
                <w:color w:val="auto"/>
              </w:rPr>
              <w:t>2025</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20" w:type="dxa"/>
            <w:vAlign w:val="bottom"/>
            <w:tcBorders>
              <w:bottom w:val="single" w:sz="8" w:color="CFF0FC"/>
            </w:tcBorders>
            <w:gridSpan w:val="2"/>
          </w:tcPr>
          <w:p>
            <w:pPr>
              <w:spacing w:after="0"/>
              <w:rPr>
                <w:sz w:val="20"/>
                <w:szCs w:val="20"/>
                <w:color w:val="auto"/>
              </w:rPr>
            </w:pPr>
            <w:r>
              <w:rPr>
                <w:rFonts w:ascii="Arial" w:cs="Arial" w:eastAsia="Arial" w:hAnsi="Arial"/>
                <w:sz w:val="17"/>
                <w:szCs w:val="17"/>
                <w:color w:val="auto"/>
              </w:rPr>
              <w:t>2026 and thereafter</w:t>
            </w:r>
          </w:p>
        </w:tc>
        <w:tc>
          <w:tcPr>
            <w:tcW w:w="4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7,321</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9220" w:type="dxa"/>
            <w:vAlign w:val="bottom"/>
            <w:gridSpan w:val="2"/>
            <w:shd w:val="clear" w:color="auto" w:fill="CFF0FC"/>
          </w:tcPr>
          <w:p>
            <w:pPr>
              <w:ind w:left="220"/>
              <w:spacing w:after="0"/>
              <w:rPr>
                <w:sz w:val="20"/>
                <w:szCs w:val="20"/>
                <w:color w:val="auto"/>
              </w:rPr>
            </w:pPr>
            <w:r>
              <w:rPr>
                <w:rFonts w:ascii="Arial" w:cs="Arial" w:eastAsia="Arial" w:hAnsi="Arial"/>
                <w:sz w:val="17"/>
                <w:szCs w:val="17"/>
                <w:color w:val="auto"/>
              </w:rPr>
              <w:t>Total future minimum lease payments</w:t>
            </w:r>
          </w:p>
        </w:tc>
        <w:tc>
          <w:tcPr>
            <w:tcW w:w="4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17,345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220" w:type="dxa"/>
            <w:vAlign w:val="bottom"/>
            <w:gridSpan w:val="2"/>
          </w:tcPr>
          <w:p>
            <w:pPr>
              <w:spacing w:after="0"/>
              <w:rPr>
                <w:sz w:val="20"/>
                <w:szCs w:val="20"/>
                <w:color w:val="auto"/>
              </w:rPr>
            </w:pPr>
            <w:r>
              <w:rPr>
                <w:rFonts w:ascii="Arial" w:cs="Arial" w:eastAsia="Arial" w:hAnsi="Arial"/>
                <w:sz w:val="17"/>
                <w:szCs w:val="17"/>
                <w:color w:val="auto"/>
              </w:rPr>
              <w:t>Less imputed interest</w:t>
            </w:r>
          </w:p>
        </w:tc>
        <w:tc>
          <w:tcPr>
            <w:tcW w:w="40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7"/>
                <w:szCs w:val="17"/>
                <w:color w:val="auto"/>
              </w:rPr>
              <w:t>(4,534)</w:t>
            </w:r>
          </w:p>
        </w:tc>
        <w:tc>
          <w:tcPr>
            <w:tcW w:w="0" w:type="dxa"/>
            <w:vAlign w:val="bottom"/>
          </w:tcPr>
          <w:p>
            <w:pPr>
              <w:spacing w:after="0"/>
              <w:rPr>
                <w:sz w:val="1"/>
                <w:szCs w:val="1"/>
                <w:color w:val="auto"/>
              </w:rPr>
            </w:pPr>
          </w:p>
        </w:tc>
      </w:tr>
      <w:tr>
        <w:trPr>
          <w:trHeight w:val="203"/>
        </w:trPr>
        <w:tc>
          <w:tcPr>
            <w:tcW w:w="9220" w:type="dxa"/>
            <w:vAlign w:val="bottom"/>
            <w:tcBorders>
              <w:top w:val="single" w:sz="8" w:color="CFF0FC"/>
              <w:bottom w:val="single" w:sz="8" w:color="CFF0FC"/>
            </w:tcBorders>
            <w:gridSpan w:val="2"/>
            <w:shd w:val="clear" w:color="auto" w:fill="CFF0FC"/>
          </w:tcPr>
          <w:p>
            <w:pPr>
              <w:ind w:left="220"/>
              <w:spacing w:after="0"/>
              <w:rPr>
                <w:sz w:val="20"/>
                <w:szCs w:val="20"/>
                <w:color w:val="auto"/>
              </w:rPr>
            </w:pPr>
            <w:r>
              <w:rPr>
                <w:rFonts w:ascii="Arial" w:cs="Arial" w:eastAsia="Arial" w:hAnsi="Arial"/>
                <w:sz w:val="17"/>
                <w:szCs w:val="17"/>
                <w:color w:val="auto"/>
              </w:rPr>
              <w:t>Present value of net minimum lease payments</w:t>
            </w:r>
          </w:p>
        </w:tc>
        <w:tc>
          <w:tcPr>
            <w:tcW w:w="400" w:type="dxa"/>
            <w:vAlign w:val="bottom"/>
            <w:tcBorders>
              <w:top w:val="single" w:sz="8" w:color="auto"/>
              <w:bottom w:val="single" w:sz="8" w:color="auto"/>
            </w:tcBorders>
            <w:shd w:val="clear" w:color="auto" w:fill="CFF0FC"/>
          </w:tcPr>
          <w:p>
            <w:pPr>
              <w:jc w:val="right"/>
              <w:ind w:right="243"/>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12,811</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20" w:type="dxa"/>
            <w:vAlign w:val="bottom"/>
            <w:gridSpan w:val="2"/>
            <w:vMerge w:val="restart"/>
          </w:tcPr>
          <w:p>
            <w:pPr>
              <w:spacing w:after="0"/>
              <w:rPr>
                <w:sz w:val="20"/>
                <w:szCs w:val="20"/>
                <w:color w:val="auto"/>
              </w:rPr>
            </w:pPr>
            <w:r>
              <w:rPr>
                <w:rFonts w:ascii="Arial" w:cs="Arial" w:eastAsia="Arial" w:hAnsi="Arial"/>
                <w:sz w:val="17"/>
                <w:szCs w:val="17"/>
                <w:color w:val="auto"/>
              </w:rPr>
              <w:t>Operating lease liabilities:</w:t>
            </w: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922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92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Current</w:t>
            </w:r>
          </w:p>
        </w:tc>
        <w:tc>
          <w:tcPr>
            <w:tcW w:w="4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2,463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20" w:type="dxa"/>
            <w:vAlign w:val="bottom"/>
            <w:tcBorders>
              <w:bottom w:val="single" w:sz="8" w:color="CFF0FC"/>
            </w:tcBorders>
            <w:gridSpan w:val="2"/>
          </w:tcPr>
          <w:p>
            <w:pPr>
              <w:spacing w:after="0"/>
              <w:rPr>
                <w:sz w:val="20"/>
                <w:szCs w:val="20"/>
                <w:color w:val="auto"/>
              </w:rPr>
            </w:pPr>
            <w:r>
              <w:rPr>
                <w:rFonts w:ascii="Arial" w:cs="Arial" w:eastAsia="Arial" w:hAnsi="Arial"/>
                <w:sz w:val="17"/>
                <w:szCs w:val="17"/>
                <w:color w:val="auto"/>
              </w:rPr>
              <w:t>Non-current</w:t>
            </w:r>
          </w:p>
        </w:tc>
        <w:tc>
          <w:tcPr>
            <w:tcW w:w="4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10,348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220" w:type="dxa"/>
            <w:vAlign w:val="bottom"/>
            <w:tcBorders>
              <w:bottom w:val="single" w:sz="8" w:color="CFF0FC"/>
            </w:tcBorders>
            <w:gridSpan w:val="2"/>
            <w:shd w:val="clear" w:color="auto" w:fill="CFF0FC"/>
          </w:tcPr>
          <w:p>
            <w:pPr>
              <w:ind w:left="220"/>
              <w:spacing w:after="0"/>
              <w:rPr>
                <w:sz w:val="20"/>
                <w:szCs w:val="20"/>
                <w:color w:val="auto"/>
              </w:rPr>
            </w:pPr>
            <w:r>
              <w:rPr>
                <w:rFonts w:ascii="Arial" w:cs="Arial" w:eastAsia="Arial" w:hAnsi="Arial"/>
                <w:sz w:val="17"/>
                <w:szCs w:val="17"/>
                <w:color w:val="auto"/>
              </w:rPr>
              <w:t>Total lease liability</w:t>
            </w:r>
          </w:p>
        </w:tc>
        <w:tc>
          <w:tcPr>
            <w:tcW w:w="400" w:type="dxa"/>
            <w:vAlign w:val="bottom"/>
            <w:tcBorders>
              <w:bottom w:val="single" w:sz="8" w:color="auto"/>
            </w:tcBorders>
            <w:shd w:val="clear" w:color="auto" w:fill="CFF0FC"/>
          </w:tcPr>
          <w:p>
            <w:pPr>
              <w:jc w:val="right"/>
              <w:ind w:right="243"/>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12,811</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Commitments &amp; Contingencies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Guarantee Agreement</w:t>
      </w:r>
    </w:p>
    <w:p>
      <w:pPr>
        <w:spacing w:after="0" w:line="102" w:lineRule="exact"/>
        <w:rPr>
          <w:sz w:val="20"/>
          <w:szCs w:val="20"/>
          <w:color w:val="auto"/>
        </w:rPr>
      </w:pPr>
    </w:p>
    <w:p>
      <w:pPr>
        <w:ind w:right="20" w:firstLine="511"/>
        <w:spacing w:after="0" w:line="288" w:lineRule="auto"/>
        <w:rPr>
          <w:sz w:val="20"/>
          <w:szCs w:val="20"/>
          <w:color w:val="auto"/>
        </w:rPr>
      </w:pPr>
      <w:r>
        <w:rPr>
          <w:rFonts w:ascii="Arial" w:cs="Arial" w:eastAsia="Arial" w:hAnsi="Arial"/>
          <w:sz w:val="15"/>
          <w:szCs w:val="15"/>
          <w:color w:val="auto"/>
        </w:rPr>
        <w:t>The Company has agreements whereby it indemnifies its officers and directors for certain events or occurrences while the officer or director is, or was, serving at the Company’s request in such capacity. The term of the indemnification period is for the officer’s or director’s lifetime. The maximum potential amount of future payments the Company could be required to make under these indemnification agreements is unlimited; however, the Company has a director and officer insurance policy that limits its exposure and enables the Company to recover a portion of any future amounts under certain circumstances and subject to deductibles and exclusions. The Company had no liabilities recorded for these agreements as of September 30, 2021 and December 31, 2020.</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Letters of Credit</w:t>
      </w:r>
    </w:p>
    <w:p>
      <w:pPr>
        <w:spacing w:after="0" w:line="102" w:lineRule="exact"/>
        <w:rPr>
          <w:sz w:val="20"/>
          <w:szCs w:val="20"/>
          <w:color w:val="auto"/>
        </w:rPr>
      </w:pPr>
    </w:p>
    <w:p>
      <w:pPr>
        <w:ind w:right="220" w:firstLine="511"/>
        <w:spacing w:after="0" w:line="248" w:lineRule="auto"/>
        <w:rPr>
          <w:sz w:val="20"/>
          <w:szCs w:val="20"/>
          <w:color w:val="auto"/>
        </w:rPr>
      </w:pPr>
      <w:r>
        <w:rPr>
          <w:rFonts w:ascii="Arial" w:cs="Arial" w:eastAsia="Arial" w:hAnsi="Arial"/>
          <w:sz w:val="17"/>
          <w:szCs w:val="17"/>
          <w:color w:val="auto"/>
        </w:rPr>
        <w:t>As of September 30, 2021, the Company has $2.1 million in letter of credit agreements with a financial institution that are used as collateral for the Company’s corporate headquarters’ operating lease and the additional facility in South San Francisco that the Company plans to use for corporate offices, laboratories and manufacturing. The letters of credit automatically renew annually without amendment unless cancelled by the financial institutions within 30 to 60 days of the annual expiration date.</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CRISPR Collaboration Agreement</w:t>
      </w:r>
    </w:p>
    <w:p>
      <w:pPr>
        <w:spacing w:after="0" w:line="230" w:lineRule="exact"/>
        <w:rPr>
          <w:sz w:val="20"/>
          <w:szCs w:val="20"/>
          <w:color w:val="auto"/>
        </w:rPr>
      </w:pPr>
    </w:p>
    <w:p>
      <w:pPr>
        <w:jc w:val="both"/>
        <w:ind w:right="500" w:firstLine="511"/>
        <w:spacing w:after="0" w:line="292" w:lineRule="auto"/>
        <w:rPr>
          <w:sz w:val="20"/>
          <w:szCs w:val="20"/>
          <w:color w:val="auto"/>
        </w:rPr>
      </w:pPr>
      <w:r>
        <w:rPr>
          <w:rFonts w:ascii="Arial" w:cs="Arial" w:eastAsia="Arial" w:hAnsi="Arial"/>
          <w:sz w:val="15"/>
          <w:szCs w:val="15"/>
          <w:color w:val="auto"/>
        </w:rPr>
        <w:t>On May 5, 2021, the Company entered into a research collaboration agreement (the “CRISPR Agreement”) with CRISPR Therapeutics (“CRISPR”) to co-develop and co-commercialize an engineered CAR-NK product candidate targeting the CD70 tumor antigen and a second novel NK plus T cell (“NK+T”) product candidate. In addition, the Company will receive a license from CRISPR for up to five CRISPR-Cas9 gene editing targets that can be engineered into an unlimited number of its own NK cell products. CRISPR also has an option to co-develop and co-commercialize a future CAR-NK program.</w:t>
      </w:r>
    </w:p>
    <w:p>
      <w:pPr>
        <w:spacing w:after="0" w:line="152" w:lineRule="exact"/>
        <w:rPr>
          <w:sz w:val="20"/>
          <w:szCs w:val="20"/>
          <w:color w:val="auto"/>
        </w:rPr>
      </w:pPr>
    </w:p>
    <w:p>
      <w:pPr>
        <w:ind w:right="40" w:firstLine="511"/>
        <w:spacing w:after="0" w:line="284" w:lineRule="auto"/>
        <w:rPr>
          <w:sz w:val="20"/>
          <w:szCs w:val="20"/>
          <w:color w:val="auto"/>
        </w:rPr>
      </w:pPr>
      <w:r>
        <w:rPr>
          <w:rFonts w:ascii="Arial" w:cs="Arial" w:eastAsia="Arial" w:hAnsi="Arial"/>
          <w:sz w:val="15"/>
          <w:szCs w:val="15"/>
          <w:color w:val="auto"/>
        </w:rPr>
        <w:t>Under the terms of the CRISPR Agreement, the Company and CRISPR share equally in all research and development costs and potential profits worldwide related to the CD70 CAR-NK product candidate, NK+T product candidate, and the potential future CAR-NK program (collectively, “Collaboration Products”). For the NK+T program, CRISPR is responsible for gene-editing activities and T cell related activities, and Nkarta is responsible for NK cell related activities. The related impact of the cost sharing associated with the research and development activities is included in research and development expense on the condensed statements of operations. Expenses related to services performed by the Company are classified as research and development expense. Payments received from CRISPR for partial reimbursement of expenses are recorded as a reduction of research and development expense. As of September 30, 2021, the Company had a $1.2 million receivable under the research cost sharing provision, which is included as part of prepaid expenses and other current assets in the condensed balance sheet.</w:t>
      </w:r>
    </w:p>
    <w:p>
      <w:pPr>
        <w:spacing w:after="0" w:line="157" w:lineRule="exact"/>
        <w:rPr>
          <w:sz w:val="20"/>
          <w:szCs w:val="20"/>
          <w:color w:val="auto"/>
        </w:rPr>
      </w:pPr>
    </w:p>
    <w:p>
      <w:pPr>
        <w:jc w:val="both"/>
        <w:ind w:firstLine="511"/>
        <w:spacing w:after="0" w:line="251" w:lineRule="auto"/>
        <w:rPr>
          <w:sz w:val="20"/>
          <w:szCs w:val="20"/>
          <w:color w:val="auto"/>
        </w:rPr>
      </w:pPr>
      <w:r>
        <w:rPr>
          <w:rFonts w:ascii="Arial" w:cs="Arial" w:eastAsia="Arial" w:hAnsi="Arial"/>
          <w:sz w:val="17"/>
          <w:szCs w:val="17"/>
          <w:color w:val="auto"/>
        </w:rPr>
        <w:t>For each non-collaboration product candidate incorporating a gene editing target licensed from CRISPR, the Company would retain worldwide rights and may be required to make potential future payments based on the achievement of development and regulatory approval milestones totaling less than mid-twenty million dollars for each non-collaboration product, as well as tiered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7" w:name="page18"/>
    <w:bookmarkEnd w:id="17"/>
    <w:p>
      <w:pPr>
        <w:ind w:right="180"/>
        <w:spacing w:after="0" w:line="260" w:lineRule="auto"/>
        <w:rPr>
          <w:sz w:val="20"/>
          <w:szCs w:val="20"/>
          <w:color w:val="auto"/>
        </w:rPr>
      </w:pPr>
      <w:r>
        <w:rPr>
          <w:rFonts w:ascii="Arial" w:cs="Arial" w:eastAsia="Arial" w:hAnsi="Arial"/>
          <w:sz w:val="17"/>
          <w:szCs w:val="17"/>
          <w:color w:val="auto"/>
        </w:rPr>
        <w:t>royalties up to the mid-single digits on net product sales of such product. As of September 30, 2021, the Company has not paid any amounts nor are any amounts owed by the Company under the CRISPR Agreement, and no milestones have been achieved.</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Share-Based Compensation</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Incentive Plan</w:t>
      </w:r>
    </w:p>
    <w:p>
      <w:pPr>
        <w:spacing w:after="0" w:line="102" w:lineRule="exact"/>
        <w:rPr>
          <w:sz w:val="20"/>
          <w:szCs w:val="20"/>
          <w:color w:val="auto"/>
        </w:rPr>
      </w:pPr>
    </w:p>
    <w:p>
      <w:pPr>
        <w:ind w:right="160" w:firstLine="511"/>
        <w:spacing w:after="0" w:line="288" w:lineRule="auto"/>
        <w:rPr>
          <w:sz w:val="20"/>
          <w:szCs w:val="20"/>
          <w:color w:val="auto"/>
        </w:rPr>
      </w:pPr>
      <w:r>
        <w:rPr>
          <w:rFonts w:ascii="Arial" w:cs="Arial" w:eastAsia="Arial" w:hAnsi="Arial"/>
          <w:sz w:val="15"/>
          <w:szCs w:val="15"/>
          <w:color w:val="auto"/>
        </w:rPr>
        <w:t>The Company’s 2020 Performance Incentive Plan (the “2020 Plan”), which was adopted by the Company’s board of directors in June 2020 and approved by the Company’s stockholders in July 2020, became effective upon the consummation of the Company’s initial public offering (“IPO”). Upon the effectiveness of the 2020 Plan, no further grants may be made under the Company’s 2015 Equity Incentive Plan (the “2015 Plan”). The Company’s 2020 Plan allows for the grant of incentive stock options, non-qualified stock options, stock appreciation rights, stock bonuses, restricted stock, stock units and other forms of awards including cash awards to its officers, directors, employees, consultants and advisors.</w:t>
      </w:r>
    </w:p>
    <w:p>
      <w:pPr>
        <w:spacing w:after="0" w:line="55" w:lineRule="exact"/>
        <w:rPr>
          <w:sz w:val="20"/>
          <w:szCs w:val="20"/>
          <w:color w:val="auto"/>
        </w:rPr>
      </w:pPr>
    </w:p>
    <w:p>
      <w:pPr>
        <w:ind w:right="100" w:firstLine="511"/>
        <w:spacing w:after="0" w:line="246" w:lineRule="auto"/>
        <w:rPr>
          <w:sz w:val="20"/>
          <w:szCs w:val="20"/>
          <w:color w:val="auto"/>
        </w:rPr>
      </w:pPr>
      <w:r>
        <w:rPr>
          <w:rFonts w:ascii="Arial" w:cs="Arial" w:eastAsia="Arial" w:hAnsi="Arial"/>
          <w:sz w:val="17"/>
          <w:szCs w:val="17"/>
          <w:color w:val="auto"/>
        </w:rPr>
        <w:t>A total of 4,295,638 shares of the Company’s common stock is authorized for issuance with respect to awards granted under the 2020 Plan. The share limit will automatically increase on the first trading day in January of each year (commencing in 2021) by an amount equal to the lesser of (1) 5% of the total number of outstanding shares of the Company’s common stock on the last trading day in December in the prior year, or (2) such lesser number as determined by the Company’s board of directors. Any shares subject to awards granted under the 2020 Plan or the 2015 Plan that are not paid, delivered or exercised before they expire or are canceled or terminated, or otherwise fail to vest, as well as shares used to pay the purchase or exercise price of such awards or related tax withholding obligations, will become available for new award grants under the 2020 Plan.</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summarizes the option activity under the 2020 Plan and 2015 Plan during the nine months ended September 30, 2021:</w:t>
      </w:r>
    </w:p>
    <w:tbl>
      <w:tblPr>
        <w:tblLayout w:type="fixed"/>
        <w:tblInd w:w="0" w:type="dxa"/>
        <w:tblCellMar>
          <w:top w:w="0" w:type="dxa"/>
          <w:left w:w="0" w:type="dxa"/>
          <w:bottom w:w="0" w:type="dxa"/>
          <w:right w:w="0" w:type="dxa"/>
        </w:tblCellMar>
      </w:tblPr>
      <w:tr>
        <w:trPr>
          <w:trHeight w:val="144"/>
        </w:trPr>
        <w:tc>
          <w:tcPr>
            <w:tcW w:w="66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jc w:val="center"/>
              <w:ind w:right="47"/>
              <w:spacing w:after="0" w:line="144" w:lineRule="exact"/>
              <w:rPr>
                <w:sz w:val="20"/>
                <w:szCs w:val="20"/>
                <w:color w:val="auto"/>
              </w:rPr>
            </w:pPr>
            <w:r>
              <w:rPr>
                <w:rFonts w:ascii="Arial" w:cs="Arial" w:eastAsia="Arial" w:hAnsi="Arial"/>
                <w:sz w:val="13"/>
                <w:szCs w:val="13"/>
                <w:b w:val="1"/>
                <w:bCs w:val="1"/>
                <w:color w:val="auto"/>
                <w:w w:val="92"/>
              </w:rPr>
              <w:t>Weighted-</w:t>
            </w:r>
          </w:p>
        </w:tc>
        <w:tc>
          <w:tcPr>
            <w:tcW w:w="0" w:type="dxa"/>
            <w:vAlign w:val="bottom"/>
          </w:tcPr>
          <w:p>
            <w:pPr>
              <w:spacing w:after="0"/>
              <w:rPr>
                <w:sz w:val="1"/>
                <w:szCs w:val="1"/>
                <w:color w:val="auto"/>
              </w:rPr>
            </w:pPr>
          </w:p>
        </w:tc>
      </w:tr>
      <w:tr>
        <w:trPr>
          <w:trHeight w:val="136"/>
        </w:trPr>
        <w:tc>
          <w:tcPr>
            <w:tcW w:w="66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tcPr>
          <w:p>
            <w:pPr>
              <w:jc w:val="center"/>
              <w:ind w:right="67"/>
              <w:spacing w:after="0" w:line="136" w:lineRule="exact"/>
              <w:rPr>
                <w:sz w:val="20"/>
                <w:szCs w:val="20"/>
                <w:color w:val="auto"/>
              </w:rPr>
            </w:pPr>
            <w:r>
              <w:rPr>
                <w:rFonts w:ascii="Arial" w:cs="Arial" w:eastAsia="Arial" w:hAnsi="Arial"/>
                <w:sz w:val="13"/>
                <w:szCs w:val="13"/>
                <w:b w:val="1"/>
                <w:bCs w:val="1"/>
                <w:color w:val="auto"/>
                <w:w w:val="89"/>
              </w:rPr>
              <w:t>average</w:t>
            </w:r>
          </w:p>
        </w:tc>
        <w:tc>
          <w:tcPr>
            <w:tcW w:w="0" w:type="dxa"/>
            <w:vAlign w:val="bottom"/>
          </w:tcPr>
          <w:p>
            <w:pPr>
              <w:spacing w:after="0"/>
              <w:rPr>
                <w:sz w:val="1"/>
                <w:szCs w:val="1"/>
                <w:color w:val="auto"/>
              </w:rPr>
            </w:pPr>
          </w:p>
        </w:tc>
      </w:tr>
      <w:tr>
        <w:trPr>
          <w:trHeight w:val="136"/>
        </w:trPr>
        <w:tc>
          <w:tcPr>
            <w:tcW w:w="66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3"/>
          </w:tcPr>
          <w:p>
            <w:pPr>
              <w:jc w:val="center"/>
              <w:ind w:right="260"/>
              <w:spacing w:after="0" w:line="136" w:lineRule="exact"/>
              <w:rPr>
                <w:sz w:val="20"/>
                <w:szCs w:val="20"/>
                <w:color w:val="auto"/>
              </w:rPr>
            </w:pPr>
            <w:r>
              <w:rPr>
                <w:rFonts w:ascii="Arial" w:cs="Arial" w:eastAsia="Arial" w:hAnsi="Arial"/>
                <w:sz w:val="13"/>
                <w:szCs w:val="13"/>
                <w:b w:val="1"/>
                <w:bCs w:val="1"/>
                <w:color w:val="auto"/>
                <w:w w:val="92"/>
              </w:rPr>
              <w:t>Weighted-</w:t>
            </w:r>
          </w:p>
        </w:tc>
        <w:tc>
          <w:tcPr>
            <w:tcW w:w="1420" w:type="dxa"/>
            <w:vAlign w:val="bottom"/>
          </w:tcPr>
          <w:p>
            <w:pPr>
              <w:jc w:val="center"/>
              <w:ind w:right="47"/>
              <w:spacing w:after="0" w:line="136" w:lineRule="exact"/>
              <w:rPr>
                <w:sz w:val="20"/>
                <w:szCs w:val="20"/>
                <w:color w:val="auto"/>
              </w:rPr>
            </w:pPr>
            <w:r>
              <w:rPr>
                <w:rFonts w:ascii="Arial" w:cs="Arial" w:eastAsia="Arial" w:hAnsi="Arial"/>
                <w:sz w:val="13"/>
                <w:szCs w:val="13"/>
                <w:b w:val="1"/>
                <w:bCs w:val="1"/>
                <w:color w:val="auto"/>
                <w:w w:val="93"/>
              </w:rPr>
              <w:t>remaining</w:t>
            </w:r>
          </w:p>
        </w:tc>
        <w:tc>
          <w:tcPr>
            <w:tcW w:w="0" w:type="dxa"/>
            <w:vAlign w:val="bottom"/>
          </w:tcPr>
          <w:p>
            <w:pPr>
              <w:spacing w:after="0"/>
              <w:rPr>
                <w:sz w:val="1"/>
                <w:szCs w:val="1"/>
                <w:color w:val="auto"/>
              </w:rPr>
            </w:pPr>
          </w:p>
        </w:tc>
      </w:tr>
      <w:tr>
        <w:trPr>
          <w:trHeight w:val="136"/>
        </w:trPr>
        <w:tc>
          <w:tcPr>
            <w:tcW w:w="66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left="328"/>
              <w:spacing w:after="0" w:line="136" w:lineRule="exact"/>
              <w:rPr>
                <w:sz w:val="20"/>
                <w:szCs w:val="20"/>
                <w:color w:val="auto"/>
              </w:rPr>
            </w:pPr>
            <w:r>
              <w:rPr>
                <w:rFonts w:ascii="Arial" w:cs="Arial" w:eastAsia="Arial" w:hAnsi="Arial"/>
                <w:sz w:val="13"/>
                <w:szCs w:val="13"/>
                <w:b w:val="1"/>
                <w:bCs w:val="1"/>
                <w:color w:val="auto"/>
                <w:w w:val="89"/>
              </w:rPr>
              <w:t>average</w:t>
            </w: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tcPr>
          <w:p>
            <w:pPr>
              <w:jc w:val="center"/>
              <w:ind w:right="47"/>
              <w:spacing w:after="0" w:line="136" w:lineRule="exact"/>
              <w:rPr>
                <w:sz w:val="20"/>
                <w:szCs w:val="20"/>
                <w:color w:val="auto"/>
              </w:rPr>
            </w:pPr>
            <w:r>
              <w:rPr>
                <w:rFonts w:ascii="Arial" w:cs="Arial" w:eastAsia="Arial" w:hAnsi="Arial"/>
                <w:sz w:val="13"/>
                <w:szCs w:val="13"/>
                <w:b w:val="1"/>
                <w:bCs w:val="1"/>
                <w:color w:val="auto"/>
                <w:w w:val="94"/>
              </w:rPr>
              <w:t>contractual</w:t>
            </w:r>
          </w:p>
        </w:tc>
        <w:tc>
          <w:tcPr>
            <w:tcW w:w="0" w:type="dxa"/>
            <w:vAlign w:val="bottom"/>
          </w:tcPr>
          <w:p>
            <w:pPr>
              <w:spacing w:after="0"/>
              <w:rPr>
                <w:sz w:val="1"/>
                <w:szCs w:val="1"/>
                <w:color w:val="auto"/>
              </w:rPr>
            </w:pPr>
          </w:p>
        </w:tc>
      </w:tr>
      <w:tr>
        <w:trPr>
          <w:trHeight w:val="136"/>
        </w:trPr>
        <w:tc>
          <w:tcPr>
            <w:tcW w:w="66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left="328"/>
              <w:spacing w:after="0" w:line="136" w:lineRule="exact"/>
              <w:rPr>
                <w:sz w:val="20"/>
                <w:szCs w:val="20"/>
                <w:color w:val="auto"/>
              </w:rPr>
            </w:pPr>
            <w:r>
              <w:rPr>
                <w:rFonts w:ascii="Arial" w:cs="Arial" w:eastAsia="Arial" w:hAnsi="Arial"/>
                <w:sz w:val="13"/>
                <w:szCs w:val="13"/>
                <w:b w:val="1"/>
                <w:bCs w:val="1"/>
                <w:color w:val="auto"/>
                <w:w w:val="84"/>
              </w:rPr>
              <w:t>exercise</w:t>
            </w: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tcPr>
          <w:p>
            <w:pPr>
              <w:jc w:val="center"/>
              <w:ind w:right="47"/>
              <w:spacing w:after="0" w:line="136" w:lineRule="exact"/>
              <w:rPr>
                <w:sz w:val="20"/>
                <w:szCs w:val="20"/>
                <w:color w:val="auto"/>
              </w:rPr>
            </w:pPr>
            <w:r>
              <w:rPr>
                <w:rFonts w:ascii="Arial" w:cs="Arial" w:eastAsia="Arial" w:hAnsi="Arial"/>
                <w:sz w:val="13"/>
                <w:szCs w:val="13"/>
                <w:b w:val="1"/>
                <w:bCs w:val="1"/>
                <w:color w:val="auto"/>
                <w:w w:val="92"/>
              </w:rPr>
              <w:t>term</w:t>
            </w:r>
          </w:p>
        </w:tc>
        <w:tc>
          <w:tcPr>
            <w:tcW w:w="0" w:type="dxa"/>
            <w:vAlign w:val="bottom"/>
          </w:tcPr>
          <w:p>
            <w:pPr>
              <w:spacing w:after="0"/>
              <w:rPr>
                <w:sz w:val="1"/>
                <w:szCs w:val="1"/>
                <w:color w:val="auto"/>
              </w:rPr>
            </w:pPr>
          </w:p>
        </w:tc>
      </w:tr>
      <w:tr>
        <w:trPr>
          <w:trHeight w:val="156"/>
        </w:trPr>
        <w:tc>
          <w:tcPr>
            <w:tcW w:w="6660" w:type="dxa"/>
            <w:vAlign w:val="bottom"/>
          </w:tcPr>
          <w:p>
            <w:pPr>
              <w:spacing w:after="0"/>
              <w:rPr>
                <w:sz w:val="13"/>
                <w:szCs w:val="13"/>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Number of shares</w:t>
            </w:r>
          </w:p>
        </w:tc>
        <w:tc>
          <w:tcPr>
            <w:tcW w:w="100" w:type="dxa"/>
            <w:vAlign w:val="bottom"/>
          </w:tcPr>
          <w:p>
            <w:pPr>
              <w:spacing w:after="0"/>
              <w:rPr>
                <w:sz w:val="13"/>
                <w:szCs w:val="13"/>
                <w:color w:val="auto"/>
              </w:rPr>
            </w:pPr>
          </w:p>
        </w:tc>
        <w:tc>
          <w:tcPr>
            <w:tcW w:w="920" w:type="dxa"/>
            <w:vAlign w:val="bottom"/>
          </w:tcPr>
          <w:p>
            <w:pPr>
              <w:jc w:val="center"/>
              <w:ind w:left="328"/>
              <w:spacing w:after="0"/>
              <w:rPr>
                <w:sz w:val="20"/>
                <w:szCs w:val="20"/>
                <w:color w:val="auto"/>
              </w:rPr>
            </w:pPr>
            <w:r>
              <w:rPr>
                <w:rFonts w:ascii="Arial" w:cs="Arial" w:eastAsia="Arial" w:hAnsi="Arial"/>
                <w:sz w:val="13"/>
                <w:szCs w:val="13"/>
                <w:b w:val="1"/>
                <w:bCs w:val="1"/>
                <w:color w:val="auto"/>
                <w:w w:val="89"/>
              </w:rPr>
              <w:t>price</w:t>
            </w: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jc w:val="center"/>
              <w:ind w:right="47"/>
              <w:spacing w:after="0"/>
              <w:rPr>
                <w:sz w:val="20"/>
                <w:szCs w:val="20"/>
                <w:color w:val="auto"/>
              </w:rPr>
            </w:pPr>
            <w:r>
              <w:rPr>
                <w:rFonts w:ascii="Arial" w:cs="Arial" w:eastAsia="Arial" w:hAnsi="Arial"/>
                <w:sz w:val="13"/>
                <w:szCs w:val="13"/>
                <w:b w:val="1"/>
                <w:bCs w:val="1"/>
                <w:color w:val="auto"/>
                <w:w w:val="93"/>
              </w:rPr>
              <w:t>(in years)</w:t>
            </w:r>
          </w:p>
        </w:tc>
        <w:tc>
          <w:tcPr>
            <w:tcW w:w="0" w:type="dxa"/>
            <w:vAlign w:val="bottom"/>
          </w:tcPr>
          <w:p>
            <w:pPr>
              <w:spacing w:after="0"/>
              <w:rPr>
                <w:sz w:val="1"/>
                <w:szCs w:val="1"/>
                <w:color w:val="auto"/>
              </w:rPr>
            </w:pPr>
          </w:p>
        </w:tc>
      </w:tr>
      <w:tr>
        <w:trPr>
          <w:trHeight w:val="203"/>
        </w:trPr>
        <w:tc>
          <w:tcPr>
            <w:tcW w:w="6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Outstanding at December 31, 2020</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3,640,715</w:t>
            </w: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right"/>
              <w:ind w:right="768"/>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9"/>
              </w:rPr>
              <w:t>11.00</w:t>
            </w:r>
          </w:p>
        </w:tc>
        <w:tc>
          <w:tcPr>
            <w:tcW w:w="260" w:type="dxa"/>
            <w:vAlign w:val="bottom"/>
            <w:tcBorders>
              <w:top w:val="single" w:sz="8" w:color="CFF0FC"/>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10"/>
        </w:trPr>
        <w:tc>
          <w:tcPr>
            <w:tcW w:w="6660" w:type="dxa"/>
            <w:vAlign w:val="bottom"/>
          </w:tcPr>
          <w:p>
            <w:pPr>
              <w:spacing w:after="0"/>
              <w:rPr>
                <w:sz w:val="20"/>
                <w:szCs w:val="20"/>
                <w:color w:val="auto"/>
              </w:rPr>
            </w:pPr>
            <w:r>
              <w:rPr>
                <w:rFonts w:ascii="Arial" w:cs="Arial" w:eastAsia="Arial" w:hAnsi="Arial"/>
                <w:sz w:val="17"/>
                <w:szCs w:val="17"/>
                <w:color w:val="auto"/>
              </w:rPr>
              <w:t>Granted</w:t>
            </w:r>
          </w:p>
        </w:tc>
        <w:tc>
          <w:tcPr>
            <w:tcW w:w="1300" w:type="dxa"/>
            <w:vAlign w:val="bottom"/>
          </w:tcPr>
          <w:p>
            <w:pPr>
              <w:jc w:val="right"/>
              <w:spacing w:after="0"/>
              <w:rPr>
                <w:sz w:val="20"/>
                <w:szCs w:val="20"/>
                <w:color w:val="auto"/>
              </w:rPr>
            </w:pPr>
            <w:r>
              <w:rPr>
                <w:rFonts w:ascii="Arial" w:cs="Arial" w:eastAsia="Arial" w:hAnsi="Arial"/>
                <w:sz w:val="17"/>
                <w:szCs w:val="17"/>
                <w:color w:val="auto"/>
              </w:rPr>
              <w:t>925,477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9"/>
              </w:rPr>
              <w:t>47.60</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60" w:type="dxa"/>
            <w:vAlign w:val="bottom"/>
            <w:shd w:val="clear" w:color="auto" w:fill="CFF0FC"/>
          </w:tcPr>
          <w:p>
            <w:pPr>
              <w:spacing w:after="0"/>
              <w:rPr>
                <w:sz w:val="20"/>
                <w:szCs w:val="20"/>
                <w:color w:val="auto"/>
              </w:rPr>
            </w:pPr>
            <w:r>
              <w:rPr>
                <w:rFonts w:ascii="Arial" w:cs="Arial" w:eastAsia="Arial" w:hAnsi="Arial"/>
                <w:sz w:val="17"/>
                <w:szCs w:val="17"/>
                <w:color w:val="auto"/>
              </w:rPr>
              <w:t>Exercised</w:t>
            </w: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(257,579)</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5.17</w:t>
            </w: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tcPr>
          <w:p>
            <w:pPr>
              <w:spacing w:after="0"/>
              <w:rPr>
                <w:sz w:val="20"/>
                <w:szCs w:val="20"/>
                <w:color w:val="auto"/>
              </w:rPr>
            </w:pPr>
            <w:r>
              <w:rPr>
                <w:rFonts w:ascii="Arial" w:cs="Arial" w:eastAsia="Arial" w:hAnsi="Arial"/>
                <w:sz w:val="17"/>
                <w:szCs w:val="17"/>
                <w:color w:val="auto"/>
              </w:rPr>
              <w:t>Forfeited</w:t>
            </w:r>
          </w:p>
        </w:tc>
        <w:tc>
          <w:tcPr>
            <w:tcW w:w="1460" w:type="dxa"/>
            <w:vAlign w:val="bottom"/>
            <w:gridSpan w:val="2"/>
          </w:tcPr>
          <w:p>
            <w:pPr>
              <w:jc w:val="right"/>
              <w:ind w:right="100"/>
              <w:spacing w:after="0"/>
              <w:rPr>
                <w:sz w:val="20"/>
                <w:szCs w:val="20"/>
                <w:color w:val="auto"/>
              </w:rPr>
            </w:pPr>
            <w:r>
              <w:rPr>
                <w:rFonts w:ascii="Arial" w:cs="Arial" w:eastAsia="Arial" w:hAnsi="Arial"/>
                <w:sz w:val="17"/>
                <w:szCs w:val="17"/>
                <w:color w:val="auto"/>
              </w:rPr>
              <w:t>(119,125)</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9"/>
              </w:rPr>
              <w:t>20.85</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Outstanding at September 30, 2021</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4,189,488</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jc w:val="right"/>
              <w:ind w:right="768"/>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9"/>
              </w:rPr>
              <w:t>19.16</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142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7"/>
                <w:szCs w:val="17"/>
                <w:color w:val="auto"/>
              </w:rPr>
              <w:t>Exercisable at September 30, 2021</w:t>
            </w: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660" w:type="dxa"/>
            <w:vAlign w:val="bottom"/>
            <w:tcBorders>
              <w:bottom w:val="single" w:sz="8" w:color="CFF0FC"/>
            </w:tcBorders>
            <w:vMerge w:val="continue"/>
          </w:tcPr>
          <w:p>
            <w:pPr>
              <w:spacing w:after="0"/>
              <w:rPr>
                <w:sz w:val="19"/>
                <w:szCs w:val="19"/>
                <w:color w:val="auto"/>
              </w:rPr>
            </w:pPr>
          </w:p>
        </w:tc>
        <w:tc>
          <w:tcPr>
            <w:tcW w:w="1300" w:type="dxa"/>
            <w:vAlign w:val="bottom"/>
            <w:tcBorders>
              <w:top w:val="single" w:sz="8" w:color="auto"/>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1,256,881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768"/>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line="188" w:lineRule="exact"/>
              <w:rPr>
                <w:sz w:val="20"/>
                <w:szCs w:val="20"/>
                <w:color w:val="auto"/>
              </w:rPr>
            </w:pPr>
            <w:r>
              <w:rPr>
                <w:rFonts w:ascii="Arial" w:cs="Arial" w:eastAsia="Arial" w:hAnsi="Arial"/>
                <w:sz w:val="17"/>
                <w:szCs w:val="17"/>
                <w:color w:val="auto"/>
                <w:w w:val="89"/>
              </w:rPr>
              <w:t>12.83</w:t>
            </w:r>
          </w:p>
        </w:tc>
        <w:tc>
          <w:tcPr>
            <w:tcW w:w="260" w:type="dxa"/>
            <w:vAlign w:val="bottom"/>
            <w:tcBorders>
              <w:bottom w:val="single" w:sz="8" w:color="CFF0FC"/>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47"/>
              <w:spacing w:after="0" w:line="188" w:lineRule="exact"/>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188"/>
        </w:trPr>
        <w:tc>
          <w:tcPr>
            <w:tcW w:w="6660" w:type="dxa"/>
            <w:vAlign w:val="bottom"/>
            <w:tcBorders>
              <w:bottom w:val="single" w:sz="8" w:color="CFF0FC"/>
            </w:tcBorders>
            <w:shd w:val="clear" w:color="auto" w:fill="CFF0FC"/>
          </w:tcPr>
          <w:p>
            <w:pPr>
              <w:spacing w:after="0" w:line="187" w:lineRule="exact"/>
              <w:rPr>
                <w:sz w:val="20"/>
                <w:szCs w:val="20"/>
                <w:color w:val="auto"/>
              </w:rPr>
            </w:pPr>
            <w:r>
              <w:rPr>
                <w:rFonts w:ascii="Arial" w:cs="Arial" w:eastAsia="Arial" w:hAnsi="Arial"/>
                <w:sz w:val="17"/>
                <w:szCs w:val="17"/>
                <w:color w:val="auto"/>
              </w:rPr>
              <w:t>Vested and expected to vest at September 30, 2021</w:t>
            </w:r>
          </w:p>
        </w:tc>
        <w:tc>
          <w:tcPr>
            <w:tcW w:w="1300" w:type="dxa"/>
            <w:vAlign w:val="bottom"/>
            <w:tcBorders>
              <w:bottom w:val="single" w:sz="8" w:color="auto"/>
            </w:tcBorders>
            <w:shd w:val="clear" w:color="auto" w:fill="CFF0FC"/>
          </w:tcPr>
          <w:p>
            <w:pPr>
              <w:jc w:val="right"/>
              <w:spacing w:after="0" w:line="188" w:lineRule="exact"/>
              <w:rPr>
                <w:sz w:val="20"/>
                <w:szCs w:val="20"/>
                <w:color w:val="auto"/>
              </w:rPr>
            </w:pPr>
            <w:r>
              <w:rPr>
                <w:rFonts w:ascii="Arial" w:cs="Arial" w:eastAsia="Arial" w:hAnsi="Arial"/>
                <w:sz w:val="17"/>
                <w:szCs w:val="17"/>
                <w:color w:val="auto"/>
              </w:rPr>
              <w:t>4,189,488</w:t>
            </w:r>
          </w:p>
        </w:tc>
        <w:tc>
          <w:tcPr>
            <w:tcW w:w="1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ind w:right="768"/>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line="188" w:lineRule="exact"/>
              <w:rPr>
                <w:sz w:val="20"/>
                <w:szCs w:val="20"/>
                <w:color w:val="auto"/>
              </w:rPr>
            </w:pPr>
            <w:r>
              <w:rPr>
                <w:rFonts w:ascii="Arial" w:cs="Arial" w:eastAsia="Arial" w:hAnsi="Arial"/>
                <w:sz w:val="17"/>
                <w:szCs w:val="17"/>
                <w:color w:val="auto"/>
                <w:w w:val="89"/>
              </w:rPr>
              <w:t>19.16</w:t>
            </w:r>
          </w:p>
        </w:tc>
        <w:tc>
          <w:tcPr>
            <w:tcW w:w="260" w:type="dxa"/>
            <w:vAlign w:val="bottom"/>
            <w:tcBorders>
              <w:bottom w:val="single" w:sz="8" w:color="CFF0FC"/>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ind w:right="47"/>
              <w:spacing w:after="0" w:line="188" w:lineRule="exact"/>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weighted-average grant date fair value of stock option grants was $32.26 per share for the nine months ended September 30, 2021.</w:t>
      </w: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Stock Purchase Plan</w:t>
      </w:r>
    </w:p>
    <w:p>
      <w:pPr>
        <w:spacing w:after="0" w:line="102" w:lineRule="exact"/>
        <w:rPr>
          <w:sz w:val="20"/>
          <w:szCs w:val="20"/>
          <w:color w:val="auto"/>
        </w:rPr>
      </w:pPr>
    </w:p>
    <w:p>
      <w:pPr>
        <w:ind w:right="40" w:firstLine="511"/>
        <w:spacing w:after="0" w:line="284" w:lineRule="auto"/>
        <w:rPr>
          <w:sz w:val="20"/>
          <w:szCs w:val="20"/>
          <w:color w:val="auto"/>
        </w:rPr>
      </w:pPr>
      <w:r>
        <w:rPr>
          <w:rFonts w:ascii="Arial" w:cs="Arial" w:eastAsia="Arial" w:hAnsi="Arial"/>
          <w:sz w:val="15"/>
          <w:szCs w:val="15"/>
          <w:color w:val="auto"/>
        </w:rPr>
        <w:t>The Company’s 2020 Employee Stock Purchase Plan (the “ESPP”), which was adopted by the Company’s board of directors in June 2020 and approved by the Company’s stockholders in July 2020, became effective upon the consummation of the IPO. A total of 622,652 shares of the Company’s common stock is initially available for issuance under the ESPP. The ESPP allows eligible employees to purchase shares of the Company’s common stock at a discount through payroll deductions of up to 15% of their eligible compensation, subject to any plan limitations. The ESPP provides for six-month offering periods, and at the end of each offering period, employees are able to purchase shares at 85% of the lower of the fair market value of the Company’s common stock on the first trading day of the offering period or on the last trading day of the offering period. As of September 30, 2021, no shares had been issued under the ESPP, and the full number of shares authorized under the ESPP Plan was available for issuance purposes.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i w:val="1"/>
          <w:iCs w:val="1"/>
          <w:color w:val="auto"/>
        </w:rPr>
        <w:t>Liability for Early Exercise of Restricted Stock Options</w:t>
      </w:r>
    </w:p>
    <w:p>
      <w:pPr>
        <w:spacing w:after="0" w:line="102" w:lineRule="exact"/>
        <w:rPr>
          <w:sz w:val="20"/>
          <w:szCs w:val="20"/>
          <w:color w:val="auto"/>
        </w:rPr>
      </w:pPr>
    </w:p>
    <w:p>
      <w:pPr>
        <w:ind w:right="400" w:firstLine="511"/>
        <w:spacing w:after="0" w:line="326" w:lineRule="auto"/>
        <w:rPr>
          <w:sz w:val="20"/>
          <w:szCs w:val="20"/>
          <w:color w:val="auto"/>
        </w:rPr>
      </w:pPr>
      <w:r>
        <w:rPr>
          <w:rFonts w:ascii="Arial" w:cs="Arial" w:eastAsia="Arial" w:hAnsi="Arial"/>
          <w:sz w:val="15"/>
          <w:szCs w:val="15"/>
          <w:color w:val="auto"/>
        </w:rPr>
        <w:t>Shares subject to repurchase by the Company were 31,355 shares and 77,393 shares, and the related liability recorded under other long-term liabilities in the condensed balance sheets was insignificant and $0.1 million as of September 30, 2021 and December 31, 2020,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Share-Based Compensation Expense</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Share-based compensation expense for the three and nine months ended September 30, 2021 and 2020 was as follows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20" w:type="dxa"/>
            <w:vAlign w:val="bottom"/>
          </w:tcPr>
          <w:p>
            <w:pPr>
              <w:spacing w:after="0"/>
              <w:rPr>
                <w:sz w:val="13"/>
                <w:szCs w:val="13"/>
                <w:color w:val="auto"/>
              </w:rPr>
            </w:pPr>
          </w:p>
        </w:tc>
        <w:tc>
          <w:tcPr>
            <w:tcW w:w="2100" w:type="dxa"/>
            <w:vAlign w:val="bottom"/>
            <w:gridSpan w:val="4"/>
          </w:tcPr>
          <w:p>
            <w:pPr>
              <w:jc w:val="right"/>
              <w:ind w:right="166"/>
              <w:spacing w:after="0"/>
              <w:rPr>
                <w:sz w:val="20"/>
                <w:szCs w:val="20"/>
                <w:color w:val="auto"/>
              </w:rPr>
            </w:pPr>
            <w:r>
              <w:rPr>
                <w:rFonts w:ascii="Arial" w:cs="Arial" w:eastAsia="Arial" w:hAnsi="Arial"/>
                <w:sz w:val="13"/>
                <w:szCs w:val="13"/>
                <w:b w:val="1"/>
                <w:bCs w:val="1"/>
                <w:color w:val="auto"/>
              </w:rPr>
              <w:t>Three Months Ended</w:t>
            </w: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20" w:type="dxa"/>
            <w:vAlign w:val="bottom"/>
            <w:gridSpan w:val="3"/>
          </w:tcPr>
          <w:p>
            <w:pPr>
              <w:jc w:val="right"/>
              <w:spacing w:after="0"/>
              <w:rPr>
                <w:sz w:val="20"/>
                <w:szCs w:val="20"/>
                <w:color w:val="auto"/>
              </w:rPr>
            </w:pPr>
            <w:r>
              <w:rPr>
                <w:rFonts w:ascii="Arial" w:cs="Arial" w:eastAsia="Arial" w:hAnsi="Arial"/>
                <w:sz w:val="13"/>
                <w:szCs w:val="13"/>
                <w:b w:val="1"/>
                <w:bCs w:val="1"/>
                <w:color w:val="auto"/>
              </w:rPr>
              <w:t>Nine Months Ended</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6"/>
        </w:trPr>
        <w:tc>
          <w:tcPr>
            <w:tcW w:w="572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ind w:right="366"/>
              <w:spacing w:after="0"/>
              <w:rPr>
                <w:sz w:val="20"/>
                <w:szCs w:val="20"/>
                <w:color w:val="auto"/>
              </w:rPr>
            </w:pPr>
            <w:r>
              <w:rPr>
                <w:rFonts w:ascii="Arial" w:cs="Arial" w:eastAsia="Arial" w:hAnsi="Arial"/>
                <w:sz w:val="13"/>
                <w:szCs w:val="13"/>
                <w:b w:val="1"/>
                <w:bCs w:val="1"/>
                <w:color w:val="auto"/>
              </w:rPr>
              <w:t>September 30,</w:t>
            </w:r>
          </w:p>
        </w:tc>
        <w:tc>
          <w:tcPr>
            <w:tcW w:w="5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ind w:right="103"/>
              <w:spacing w:after="0"/>
              <w:rPr>
                <w:sz w:val="20"/>
                <w:szCs w:val="20"/>
                <w:color w:val="auto"/>
              </w:rPr>
            </w:pPr>
            <w:r>
              <w:rPr>
                <w:rFonts w:ascii="Arial" w:cs="Arial" w:eastAsia="Arial" w:hAnsi="Arial"/>
                <w:sz w:val="13"/>
                <w:szCs w:val="13"/>
                <w:b w:val="1"/>
                <w:bCs w:val="1"/>
                <w:color w:val="auto"/>
              </w:rPr>
              <w:t>September 30,</w:t>
            </w:r>
          </w:p>
        </w:tc>
        <w:tc>
          <w:tcPr>
            <w:tcW w:w="7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1"/>
        </w:trPr>
        <w:tc>
          <w:tcPr>
            <w:tcW w:w="5720" w:type="dxa"/>
            <w:vAlign w:val="bottom"/>
            <w:tcBorders>
              <w:bottom w:val="single" w:sz="8" w:color="CFF0FC"/>
            </w:tcBorders>
          </w:tcPr>
          <w:p>
            <w:pPr>
              <w:spacing w:after="0"/>
              <w:rPr>
                <w:sz w:val="12"/>
                <w:szCs w:val="12"/>
                <w:color w:val="auto"/>
              </w:rPr>
            </w:pPr>
          </w:p>
        </w:tc>
        <w:tc>
          <w:tcPr>
            <w:tcW w:w="7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b w:val="1"/>
                <w:bCs w:val="1"/>
                <w:color w:val="auto"/>
              </w:rPr>
              <w:t>2021</w:t>
            </w:r>
          </w:p>
        </w:tc>
        <w:tc>
          <w:tcPr>
            <w:tcW w:w="400" w:type="dxa"/>
            <w:vAlign w:val="bottom"/>
            <w:tcBorders>
              <w:bottom w:val="single" w:sz="8" w:color="auto"/>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b w:val="1"/>
                <w:bCs w:val="1"/>
                <w:color w:val="auto"/>
              </w:rPr>
              <w:t>2020</w:t>
            </w:r>
          </w:p>
        </w:tc>
        <w:tc>
          <w:tcPr>
            <w:tcW w:w="54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86"/>
              <w:spacing w:after="0" w:line="141" w:lineRule="exact"/>
              <w:rPr>
                <w:sz w:val="20"/>
                <w:szCs w:val="20"/>
                <w:color w:val="auto"/>
              </w:rPr>
            </w:pPr>
            <w:r>
              <w:rPr>
                <w:rFonts w:ascii="Arial" w:cs="Arial" w:eastAsia="Arial" w:hAnsi="Arial"/>
                <w:sz w:val="13"/>
                <w:szCs w:val="13"/>
                <w:b w:val="1"/>
                <w:bCs w:val="1"/>
                <w:color w:val="auto"/>
              </w:rPr>
              <w:t>2021</w:t>
            </w:r>
          </w:p>
        </w:tc>
        <w:tc>
          <w:tcPr>
            <w:tcW w:w="260" w:type="dxa"/>
            <w:vAlign w:val="bottom"/>
            <w:tcBorders>
              <w:bottom w:val="single" w:sz="8" w:color="CFF0FC"/>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82"/>
              <w:spacing w:after="0" w:line="141" w:lineRule="exact"/>
              <w:rPr>
                <w:sz w:val="20"/>
                <w:szCs w:val="20"/>
                <w:color w:val="auto"/>
              </w:rPr>
            </w:pPr>
            <w:r>
              <w:rPr>
                <w:rFonts w:ascii="Arial" w:cs="Arial" w:eastAsia="Arial" w:hAnsi="Arial"/>
                <w:sz w:val="13"/>
                <w:szCs w:val="13"/>
                <w:b w:val="1"/>
                <w:bCs w:val="1"/>
                <w:color w:val="auto"/>
                <w:w w:val="89"/>
              </w:rPr>
              <w:t>2020</w:t>
            </w:r>
          </w:p>
        </w:tc>
        <w:tc>
          <w:tcPr>
            <w:tcW w:w="120" w:type="dxa"/>
            <w:vAlign w:val="bottom"/>
            <w:tcBorders>
              <w:bottom w:val="single" w:sz="8" w:color="CFF0FC"/>
            </w:tcBorders>
          </w:tcPr>
          <w:p>
            <w:pPr>
              <w:spacing w:after="0"/>
              <w:rPr>
                <w:sz w:val="12"/>
                <w:szCs w:val="12"/>
                <w:color w:val="auto"/>
              </w:rPr>
            </w:pPr>
          </w:p>
        </w:tc>
      </w:tr>
      <w:tr>
        <w:trPr>
          <w:trHeight w:val="203"/>
        </w:trPr>
        <w:tc>
          <w:tcPr>
            <w:tcW w:w="5720" w:type="dxa"/>
            <w:vAlign w:val="bottom"/>
            <w:shd w:val="clear" w:color="auto" w:fill="CFF0FC"/>
          </w:tcPr>
          <w:p>
            <w:pPr>
              <w:spacing w:after="0"/>
              <w:rPr>
                <w:sz w:val="20"/>
                <w:szCs w:val="20"/>
                <w:color w:val="auto"/>
              </w:rPr>
            </w:pPr>
            <w:r>
              <w:rPr>
                <w:rFonts w:ascii="Arial" w:cs="Arial" w:eastAsia="Arial" w:hAnsi="Arial"/>
                <w:sz w:val="17"/>
                <w:szCs w:val="17"/>
                <w:color w:val="auto"/>
              </w:rPr>
              <w:t>Research and development</w:t>
            </w:r>
          </w:p>
        </w:tc>
        <w:tc>
          <w:tcPr>
            <w:tcW w:w="700" w:type="dxa"/>
            <w:vAlign w:val="bottom"/>
            <w:shd w:val="clear" w:color="auto" w:fill="CFF0FC"/>
          </w:tcPr>
          <w:p>
            <w:pPr>
              <w:jc w:val="right"/>
              <w:ind w:right="548"/>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9"/>
              </w:rPr>
              <w:t>1,680</w:t>
            </w: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606"/>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ind w:right="37"/>
              <w:spacing w:after="0"/>
              <w:rPr>
                <w:sz w:val="20"/>
                <w:szCs w:val="20"/>
                <w:color w:val="auto"/>
              </w:rPr>
            </w:pPr>
            <w:r>
              <w:rPr>
                <w:rFonts w:ascii="Arial" w:cs="Arial" w:eastAsia="Arial" w:hAnsi="Arial"/>
                <w:sz w:val="17"/>
                <w:szCs w:val="17"/>
                <w:color w:val="auto"/>
              </w:rPr>
              <w:t>672</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4,995</w:t>
            </w:r>
          </w:p>
        </w:tc>
        <w:tc>
          <w:tcPr>
            <w:tcW w:w="26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28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1,096</w:t>
            </w:r>
          </w:p>
        </w:tc>
        <w:tc>
          <w:tcPr>
            <w:tcW w:w="120" w:type="dxa"/>
            <w:vAlign w:val="bottom"/>
            <w:shd w:val="clear" w:color="auto" w:fill="CFF0FC"/>
          </w:tcPr>
          <w:p>
            <w:pPr>
              <w:spacing w:after="0"/>
              <w:rPr>
                <w:sz w:val="17"/>
                <w:szCs w:val="17"/>
                <w:color w:val="auto"/>
              </w:rPr>
            </w:pPr>
          </w:p>
        </w:tc>
      </w:tr>
      <w:tr>
        <w:trPr>
          <w:trHeight w:val="210"/>
        </w:trPr>
        <w:tc>
          <w:tcPr>
            <w:tcW w:w="57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General and administrative</w:t>
            </w:r>
          </w:p>
        </w:tc>
        <w:tc>
          <w:tcPr>
            <w:tcW w:w="7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2,012</w:t>
            </w:r>
          </w:p>
        </w:tc>
        <w:tc>
          <w:tcPr>
            <w:tcW w:w="24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937</w:t>
            </w: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5,734</w:t>
            </w:r>
          </w:p>
        </w:tc>
        <w:tc>
          <w:tcPr>
            <w:tcW w:w="26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1,561</w:t>
            </w:r>
          </w:p>
        </w:tc>
        <w:tc>
          <w:tcPr>
            <w:tcW w:w="120" w:type="dxa"/>
            <w:vAlign w:val="bottom"/>
            <w:tcBorders>
              <w:bottom w:val="single" w:sz="8" w:color="CFF0FC"/>
            </w:tcBorders>
          </w:tcPr>
          <w:p>
            <w:pPr>
              <w:spacing w:after="0"/>
              <w:rPr>
                <w:sz w:val="18"/>
                <w:szCs w:val="18"/>
                <w:color w:val="auto"/>
              </w:rPr>
            </w:pPr>
          </w:p>
        </w:tc>
      </w:tr>
      <w:tr>
        <w:trPr>
          <w:trHeight w:val="203"/>
        </w:trPr>
        <w:tc>
          <w:tcPr>
            <w:tcW w:w="57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7"/>
                <w:szCs w:val="17"/>
                <w:color w:val="auto"/>
              </w:rPr>
              <w:t>Total share-based compensation</w:t>
            </w:r>
          </w:p>
        </w:tc>
        <w:tc>
          <w:tcPr>
            <w:tcW w:w="700" w:type="dxa"/>
            <w:vAlign w:val="bottom"/>
            <w:tcBorders>
              <w:bottom w:val="single" w:sz="8" w:color="auto"/>
            </w:tcBorders>
            <w:shd w:val="clear" w:color="auto" w:fill="CFF0FC"/>
          </w:tcPr>
          <w:p>
            <w:pPr>
              <w:jc w:val="right"/>
              <w:ind w:right="548"/>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9"/>
              </w:rPr>
              <w:t>3,692</w:t>
            </w:r>
          </w:p>
        </w:tc>
        <w:tc>
          <w:tcPr>
            <w:tcW w:w="24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ind w:right="606"/>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7"/>
                <w:szCs w:val="17"/>
                <w:color w:val="auto"/>
                <w:w w:val="93"/>
              </w:rPr>
              <w:t>1,609</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10,729</w:t>
            </w:r>
          </w:p>
        </w:tc>
        <w:tc>
          <w:tcPr>
            <w:tcW w:w="26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ind w:right="283"/>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2,657</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20"/>
        </w:trPr>
        <w:tc>
          <w:tcPr>
            <w:tcW w:w="57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7" w:lineRule="exact"/>
        <w:rPr>
          <w:sz w:val="20"/>
          <w:szCs w:val="20"/>
          <w:color w:val="auto"/>
        </w:rPr>
      </w:pPr>
    </w:p>
    <w:p>
      <w:pPr>
        <w:ind w:right="40" w:firstLine="511"/>
        <w:spacing w:after="0" w:line="260" w:lineRule="auto"/>
        <w:rPr>
          <w:sz w:val="20"/>
          <w:szCs w:val="20"/>
          <w:color w:val="auto"/>
        </w:rPr>
      </w:pPr>
      <w:r>
        <w:rPr>
          <w:rFonts w:ascii="Arial" w:cs="Arial" w:eastAsia="Arial" w:hAnsi="Arial"/>
          <w:sz w:val="17"/>
          <w:szCs w:val="17"/>
          <w:color w:val="auto"/>
        </w:rPr>
        <w:t>The total unrecognized compensation cost related to unvested share-based awards was $39.7 million, which is expected to be recognized over a weighted-average remaining service period of 3.02 years as of September 30, 2021.</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Income Taxes</w:t>
      </w:r>
    </w:p>
    <w:p>
      <w:pPr>
        <w:spacing w:after="0" w:line="106" w:lineRule="exact"/>
        <w:rPr>
          <w:sz w:val="20"/>
          <w:szCs w:val="20"/>
          <w:color w:val="auto"/>
        </w:rPr>
      </w:pPr>
    </w:p>
    <w:p>
      <w:pPr>
        <w:ind w:right="340" w:firstLine="511"/>
        <w:spacing w:after="0" w:line="260" w:lineRule="auto"/>
        <w:rPr>
          <w:sz w:val="20"/>
          <w:szCs w:val="20"/>
          <w:color w:val="auto"/>
        </w:rPr>
      </w:pPr>
      <w:r>
        <w:rPr>
          <w:rFonts w:ascii="Arial" w:cs="Arial" w:eastAsia="Arial" w:hAnsi="Arial"/>
          <w:sz w:val="17"/>
          <w:szCs w:val="17"/>
          <w:color w:val="auto"/>
        </w:rPr>
        <w:t>There was no provision for income taxes recorded during the three and nine months ended September 30, 2021 and 2020. The Company’s deferred tax assets continue to be fully offset by a valuation allowance</w:t>
      </w:r>
      <w:r>
        <w:rPr>
          <w:rFonts w:ascii="Arial" w:cs="Arial" w:eastAsia="Arial" w:hAnsi="Arial"/>
          <w:sz w:val="17"/>
          <w:szCs w:val="17"/>
          <w:color w:val="212529"/>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424"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106" w:lineRule="exact"/>
        <w:rPr>
          <w:sz w:val="20"/>
          <w:szCs w:val="20"/>
          <w:color w:val="auto"/>
        </w:rPr>
      </w:pPr>
    </w:p>
    <w:p>
      <w:pPr>
        <w:ind w:firstLine="511"/>
        <w:spacing w:after="0" w:line="283" w:lineRule="auto"/>
        <w:rPr>
          <w:sz w:val="20"/>
          <w:szCs w:val="20"/>
          <w:color w:val="auto"/>
        </w:rPr>
      </w:pPr>
      <w:r>
        <w:rPr>
          <w:rFonts w:ascii="Arial" w:cs="Arial" w:eastAsia="Arial" w:hAnsi="Arial"/>
          <w:sz w:val="15"/>
          <w:szCs w:val="15"/>
          <w:i w:val="1"/>
          <w:iCs w:val="1"/>
          <w:color w:val="auto"/>
        </w:rPr>
        <w:t>You should read the following discussion and analysis of our financial condition and results of operations together with our financial statements and related notes included in Item 1 of Part I of this Quarterly Report on Form 10-Q and with the audited financial statements and the related notes included in our Annual Report on Form 10-K filed with the Securities and Exchange Commission (the “SEC”), on March 25, 2021 for the fiscal year ended December 31, 2020, including information with respect to our plans and strategy for our business and related financing. The discussion and analysis below includes forward-looking statements that involve risks and uncertainties, including those risks and uncertainties set forth in the sections titled “Risk Factors” of this Quarterly Report on Form 10-Q, which may cause our actual results to differ materially from the results described in or implied by the forward-looking statements contained in the following discussion and analysis. See “Cautionary Note Regarding Forward-Looking Statements” above. Unless the context otherwise requires, the terms “Company,” “Nkarta, Inc.,” “we,” “us” or “our” refer to Nkarta, Inc. We do not have any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05" w:lineRule="exact"/>
        <w:rPr>
          <w:sz w:val="20"/>
          <w:szCs w:val="20"/>
          <w:color w:val="auto"/>
        </w:rPr>
      </w:pPr>
    </w:p>
    <w:p>
      <w:pPr>
        <w:ind w:right="40" w:firstLine="511"/>
        <w:spacing w:after="0" w:line="282" w:lineRule="auto"/>
        <w:rPr>
          <w:sz w:val="20"/>
          <w:szCs w:val="20"/>
          <w:color w:val="auto"/>
        </w:rPr>
      </w:pPr>
      <w:r>
        <w:rPr>
          <w:rFonts w:ascii="Arial" w:cs="Arial" w:eastAsia="Arial" w:hAnsi="Arial"/>
          <w:sz w:val="15"/>
          <w:szCs w:val="15"/>
          <w:color w:val="auto"/>
        </w:rPr>
        <w:t>We are a biopharmaceutical company focused on the discovery, development and commercialization of allogeneic, off-the-shelf engineered natural killer (“NK”), cell therapies to treat cancer. Our NK cell engineering platform builds on prior experience and success with engineering T cells and includes proprietary technologies that enable us to generate an abundant supply of NK cells, improve the persistence of these cells for sustained activity in the body, engineer enhanced NK cell recognition of tumor targets and to freeze, store and thaw our engineered NK cells for off-the-shelf use for the treatment of cancer. All of our product candidates are designed to be allogeneic, meaning they are produced using cells from a different person than the patient treated, as well as off-the-shelf, meaning they are produced in quantity, then frozen and therefore available for treating patients without delay, unlike existing autologous cell therapies, or cell therapies derived from a patient’s own cells. Based on recently published data and data presented at medical conferences from a number of clinical trials of certain NK cell therapies, we believe that engineered NK cells have the potential to be an effective cancer therapy, be well tolerated, and avoid some of the toxicities observed with other cell therapies. Our two co-lead product candidates are NKX101 and NKX019.</w:t>
      </w:r>
    </w:p>
    <w:p>
      <w:pPr>
        <w:spacing w:after="0" w:line="158" w:lineRule="exact"/>
        <w:rPr>
          <w:sz w:val="20"/>
          <w:szCs w:val="20"/>
          <w:color w:val="auto"/>
        </w:rPr>
      </w:pPr>
    </w:p>
    <w:p>
      <w:pPr>
        <w:ind w:right="40" w:firstLine="511"/>
        <w:spacing w:after="0" w:line="248" w:lineRule="auto"/>
        <w:rPr>
          <w:sz w:val="20"/>
          <w:szCs w:val="20"/>
          <w:color w:val="auto"/>
        </w:rPr>
      </w:pPr>
      <w:r>
        <w:rPr>
          <w:rFonts w:ascii="Arial" w:cs="Arial" w:eastAsia="Arial" w:hAnsi="Arial"/>
          <w:sz w:val="17"/>
          <w:szCs w:val="17"/>
          <w:color w:val="auto"/>
        </w:rPr>
        <w:t>Our NK cell engineering platform is designed to address the limitations and challenges of current technologies for engineering T cells and NK cells and is a result of our internal expertise and deep understanding of NK cell biology. Our platform includes proprietary technologies for NK cell expansion, persistence, targeting and cryopreservation. All of our product candidates incorporate each of the four components of our technology platform, which we believe provides the best opportunity for achieving clinically meaningful results in our development program.</w:t>
      </w:r>
    </w:p>
    <w:p>
      <w:pPr>
        <w:spacing w:after="0" w:line="183" w:lineRule="exact"/>
        <w:rPr>
          <w:sz w:val="20"/>
          <w:szCs w:val="20"/>
          <w:color w:val="auto"/>
        </w:rPr>
      </w:pPr>
    </w:p>
    <w:p>
      <w:pPr>
        <w:ind w:right="20" w:firstLine="511"/>
        <w:spacing w:after="0" w:line="283" w:lineRule="auto"/>
        <w:rPr>
          <w:sz w:val="20"/>
          <w:szCs w:val="20"/>
          <w:color w:val="auto"/>
        </w:rPr>
      </w:pPr>
      <w:r>
        <w:rPr>
          <w:rFonts w:ascii="Arial" w:cs="Arial" w:eastAsia="Arial" w:hAnsi="Arial"/>
          <w:sz w:val="15"/>
          <w:szCs w:val="15"/>
          <w:color w:val="auto"/>
        </w:rPr>
        <w:t>Our Investigational New Drug Application (“IND”) for NKX101 for the treatment of relapsed/refractory acute myeloid leukemia (“AML”) and higher-risk myelodysplastic syndromes (“MDS”) was accepted by the U.S. Food and Drug Administration (the “FDA”) in July 2020. In November 2020, we announced that the first patient was treated in the multi-center Phase 1 clinical trial of NKX101 for the treatment of relapsed/refractory AML or higher risk MDS. In the first quarter of 2021, the FDA approved a protocol amendment to the clinical trial of NKX101, which includes an overall shorter waiting period between enrollment of patients, an additional two-dose regimen which increases patient convenience and delivers more CAR NK cells earlier in each treatment cycle, and the earlier introduction of non haplo-related, off-the-shelf NKX101 in the ongoing dose finding cohort. This first-in-human study evaluates the safety, pharmacokinetics, and preliminary anti-tumor activity of NKX101, administered in a cycle of either three weekly infusions (Regimen A) or two weekly infusions (Regimen B) following lymphodepletion in multiple centers in the US. The clinical trial consists of parallel dose-finding in both Regimens followed by dose-expansion and is designed to identify the recommended Phase 2 dose.</w:t>
      </w:r>
    </w:p>
    <w:p>
      <w:pPr>
        <w:spacing w:after="0" w:line="157" w:lineRule="exact"/>
        <w:rPr>
          <w:sz w:val="20"/>
          <w:szCs w:val="20"/>
          <w:color w:val="auto"/>
        </w:rPr>
      </w:pPr>
    </w:p>
    <w:p>
      <w:pPr>
        <w:ind w:firstLine="511"/>
        <w:spacing w:after="0" w:line="288" w:lineRule="auto"/>
        <w:rPr>
          <w:sz w:val="20"/>
          <w:szCs w:val="20"/>
          <w:color w:val="auto"/>
        </w:rPr>
      </w:pPr>
      <w:r>
        <w:rPr>
          <w:rFonts w:ascii="Arial" w:cs="Arial" w:eastAsia="Arial" w:hAnsi="Arial"/>
          <w:sz w:val="15"/>
          <w:szCs w:val="15"/>
          <w:color w:val="auto"/>
        </w:rPr>
        <w:t>Our IND for NKX019 for the treatment of B-cell malignancies was accepted by the FDA in April 2021, and the clinical trial notification was filed with Therapeutic Goods Administration - Australia (“TGA”) following appropriate Human Research Ethics Committees (“HREC”) approval in Australia in May 2021. In October 2021, we announced that we had dosed the first patients with NKX019 in the Phase1 clinical trial. This first-in-human study evaluates the safety, pharmacokinetics, and preliminary anti-tumor activity of NKX019, administered in a cycle of three weekly infusions following lymphodepletion in multiple centers in the U.S. and Australia. The clinical trial consists of dose-finding followed by dose-expansion and is designed to identify the recommended Phase 2 dose.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20" w:name="page21"/>
    <w:bookmarkEnd w:id="20"/>
    <w:p>
      <w:pPr>
        <w:ind w:right="40" w:firstLine="511"/>
        <w:spacing w:after="0" w:line="313" w:lineRule="auto"/>
        <w:rPr>
          <w:sz w:val="20"/>
          <w:szCs w:val="20"/>
          <w:color w:val="auto"/>
        </w:rPr>
      </w:pPr>
      <w:r>
        <w:rPr>
          <w:rFonts w:ascii="Arial" w:cs="Arial" w:eastAsia="Arial" w:hAnsi="Arial"/>
          <w:sz w:val="14"/>
          <w:szCs w:val="14"/>
          <w:color w:val="auto"/>
        </w:rPr>
        <w:t>On May 5, 2021, we entered into a Research Collaboration Agreement (the “Agreement”) with CRISPR Therapeutics AG (“CRISPR”). Pursuant to the Agreement, CRISPR and the Company will establish research plans for the purpose of collaboratively designing and advancing up to two (2) allogeneic, gene-edited NK cell therapies and one (1) allogeneic, gene-edited NK+T cell therapy for use in the treatment of oncology, autoimmune disease, and infectious disease up to the filing of an application to a regulatory authority to request the ability to start a clinical trial. Additionally, CRISPR will also grant non-exclusive licenses to us on up to five gene-editing targets to enable us to independently research, develop and commercialize NK cell therapies that have been gene-edited using CRISPR’s gene-editing technology.</w:t>
      </w:r>
    </w:p>
    <w:p>
      <w:pPr>
        <w:spacing w:after="0" w:line="40" w:lineRule="exact"/>
        <w:rPr>
          <w:sz w:val="20"/>
          <w:szCs w:val="20"/>
          <w:color w:val="auto"/>
        </w:rPr>
      </w:pPr>
    </w:p>
    <w:p>
      <w:pPr>
        <w:ind w:firstLine="511"/>
        <w:spacing w:after="0" w:line="284" w:lineRule="auto"/>
        <w:rPr>
          <w:sz w:val="20"/>
          <w:szCs w:val="20"/>
          <w:color w:val="auto"/>
        </w:rPr>
      </w:pPr>
      <w:r>
        <w:rPr>
          <w:rFonts w:ascii="Arial" w:cs="Arial" w:eastAsia="Arial" w:hAnsi="Arial"/>
          <w:sz w:val="15"/>
          <w:szCs w:val="15"/>
          <w:color w:val="auto"/>
        </w:rPr>
        <w:t>Since the commencement of our operations in 2015, we have devoted substantially all of our resources in support of our product development efforts, hiring personnel, raising capital to support and expand such activities and providing general and administrative support for these operations. We have not generated any revenue from product sales and have funded our operations primarily from our initial public offering (“IPO”) completed in July 2020, the issuance of convertible promissory notes, private placements of our preferred stock and with proceeds from our previous collaboration. We incurred a net loss of $91.4 million and $21.1 million during the years ended December 31, 2020 and 2019, respectively, and $63.3 million and $73.5 million during the nine months ended September 30, 2021 and 2020, respectively, and we expect to continue to incur significant losses for the foreseeable future. As of September 30, 2021, we had an accumulated deficit of $181.3 million. At September 30, 2021, we had cash, cash equivalents, restricted cash and short-term investments of $259.8 million.</w:t>
      </w:r>
    </w:p>
    <w:p>
      <w:pPr>
        <w:spacing w:after="0" w:line="157" w:lineRule="exact"/>
        <w:rPr>
          <w:sz w:val="20"/>
          <w:szCs w:val="20"/>
          <w:color w:val="auto"/>
        </w:rPr>
      </w:pPr>
    </w:p>
    <w:p>
      <w:pPr>
        <w:ind w:right="160" w:firstLine="511"/>
        <w:spacing w:after="0" w:line="286" w:lineRule="auto"/>
        <w:rPr>
          <w:sz w:val="20"/>
          <w:szCs w:val="20"/>
          <w:color w:val="auto"/>
        </w:rPr>
      </w:pPr>
      <w:r>
        <w:rPr>
          <w:rFonts w:ascii="Arial" w:cs="Arial" w:eastAsia="Arial" w:hAnsi="Arial"/>
          <w:sz w:val="15"/>
          <w:szCs w:val="15"/>
          <w:color w:val="auto"/>
        </w:rPr>
        <w:t>We expect our operating expenses to significantly increase as we continue to develop and seek regulatory approvals for our product candidates, engage in other research and development activities to expand our pipeline of product candidates, maintain and expand our intellectual property portfolio, and ultimately establish a commercial organization. We have also incurred increased operating expenses since becoming a public company, which we expect will further increase when we are no longer able to rely on certain “emerging growth company” exemptions we are afforded under the Jumpstart Our Business Startups Act (the “Jobs Act”) as further described under “—Jobs Act” below. Our net losses may fluctuate significantly from quarter-to-quarter and year-to-year, depending on the timing of our clinical trials, and our expenditures on other research and development activities.</w:t>
      </w:r>
    </w:p>
    <w:p>
      <w:pPr>
        <w:spacing w:after="0" w:line="154" w:lineRule="exact"/>
        <w:rPr>
          <w:sz w:val="20"/>
          <w:szCs w:val="20"/>
          <w:color w:val="auto"/>
        </w:rPr>
      </w:pPr>
    </w:p>
    <w:p>
      <w:pPr>
        <w:ind w:firstLine="511"/>
        <w:spacing w:after="0" w:line="286" w:lineRule="auto"/>
        <w:rPr>
          <w:sz w:val="20"/>
          <w:szCs w:val="20"/>
          <w:color w:val="auto"/>
        </w:rPr>
      </w:pPr>
      <w:r>
        <w:rPr>
          <w:rFonts w:ascii="Arial" w:cs="Arial" w:eastAsia="Arial" w:hAnsi="Arial"/>
          <w:sz w:val="15"/>
          <w:szCs w:val="15"/>
          <w:color w:val="auto"/>
        </w:rPr>
        <w:t>We will need substantial additional funding to support our continuing operations and pursue our long-term development strategy. We may seek additional funding through the issuance of our common stock, including through our ATM Offering Program (as defined below), other equity or debt financing or collaborations or partnerships with other companies. The amount and timing of our future funding requirements will depend on many factors, including the pace and results of our clinical development efforts for our product candidates and other research, development and manufacturing activities. We may not be able to raise additional capital on terms acceptable to us, or at all. Any failure to raise capital as and when needed would compromise our ability to execute on our business plan and may cause us to significantly delay, scale back or discontinue the development of some of our programs or curtail any efforts to expand our product pipeline.</w:t>
      </w:r>
    </w:p>
    <w:p>
      <w:pPr>
        <w:spacing w:after="0" w:line="154" w:lineRule="exact"/>
        <w:rPr>
          <w:sz w:val="20"/>
          <w:szCs w:val="20"/>
          <w:color w:val="auto"/>
        </w:rPr>
      </w:pPr>
    </w:p>
    <w:p>
      <w:pPr>
        <w:ind w:right="80" w:firstLine="511"/>
        <w:spacing w:after="0" w:line="309" w:lineRule="auto"/>
        <w:rPr>
          <w:sz w:val="20"/>
          <w:szCs w:val="20"/>
          <w:color w:val="auto"/>
        </w:rPr>
      </w:pPr>
      <w:r>
        <w:rPr>
          <w:rFonts w:ascii="Arial" w:cs="Arial" w:eastAsia="Arial" w:hAnsi="Arial"/>
          <w:sz w:val="14"/>
          <w:szCs w:val="14"/>
          <w:color w:val="auto"/>
        </w:rPr>
        <w:t>We issued shares of our Series B convertible preferred stock for aggregate gross proceeds of $64.4 million on July 1, 2020 in connection with the exercise by the holders of at least one-third of our Series B convertible preferred stock prior to the completion of our IPO (the “Series B Milestone Closing”). On July 14, 2020, we completed our IPO. In connection with the IPO, we issued and sold 16,100,000 shares of our common stock, including 2,100,000 shares associated with the full exercise of the underwriters’ option to purchase additional shares, at a price to the public of $18.00 per share. We received approximately $265.1 million in net proceeds, after deducting underwriting discounts and commissions and other offering costs of $24.7 million. The shares began trading on the Nasdaq Global Select Market on July 10, 2020. Upon completion of the IPO, all of our outstanding shares of convertible preferred stock converted into 14,689,215 shares of our common stock.</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21" w:name="page22"/>
    <w:bookmarkEnd w:id="21"/>
    <w:p>
      <w:pPr>
        <w:ind w:firstLine="511"/>
        <w:spacing w:after="0" w:line="278" w:lineRule="auto"/>
        <w:rPr>
          <w:sz w:val="20"/>
          <w:szCs w:val="20"/>
          <w:color w:val="auto"/>
        </w:rPr>
      </w:pPr>
      <w:r>
        <w:rPr>
          <w:rFonts w:ascii="Arial" w:cs="Arial" w:eastAsia="Arial" w:hAnsi="Arial"/>
          <w:sz w:val="15"/>
          <w:szCs w:val="15"/>
          <w:color w:val="auto"/>
        </w:rPr>
        <w:t>The COVID-19 pandemic has affected and may continue to affect our business and operations and those of third parties on which we rely, including by causing disruptions in the supply of our product candidates and the conduct and enrollment of current and future clinical trials. We have taken certain precautionary measures to minimize exposure of our employees to the virus and to comply with directives from public health officials. This includes work from home policies for our employees as well as enhanced safety measures for our employees and other personnel working in our offices, labs and manufacturing facility. We have mandated vaccination for our employees working on site and have encouraged vaccination of our employees working remotely. Some of the third-party vendors that we use, including some of our contract manufacturing sites, and our contract research organizations (“CROs”), have experienced employee turnover/attrition, delays or other disruptions during this pandemic and the accompanying flexible work options and, in some instances, costs have increased. We have incorporated remote monitoring of clinical trial sites, where feasible, for our ongoing NKX101 Phase 1 trial in the U.S. and ongoing NKX019 Phase 1 trial with sites in both the U.S. and Australia. In addition, we have experienced some internal delays due to COVID-19, including some delays in construction of our current good manufacturing practices (“cGMP”) manufacturing facility and in our internal research efforts. COVID-19 has also caused global supply shortages of certain materials that we and our contract development and manufacturing organization (“CDMO”) partners use for research and cGMP manufacturing, such as certain raw materials, cell culture media, and disposable plastics. Supply chain and operational disruptions due to COVID-19 have contributed to certain enrollment delays in our NKX101 clinical trial. In addition, we have had minor delays in setting up clinical sites in our NKX019 clinical trial due to repurposing of healthcare personnel and facilities to support local pandemic efforts. We will continue to monitor the impact of COVID-19 and any additional waves of the pandemic on the Company’s operations including continued enrollment in the NKX101 and NKX019 clinical trials, as well as on our CROs, CDMOs, and clinical trial sites with respect to COVID-19 related shutdowns, restrictions on travel, and restrictions on hospital visits for clinical trial participants or clinical research staff. Our clinical programs may also be impacted by delays at the FDA or other regulatory authorities due to COVID-19. In response to the pandemic, the Coronavirus Aid, Relief and Economic Security Act (the “CARES Act”) was signed into law on March 27, 2020. The CARES Act, among other things, includes provisions relating to refundable payroll tax credits, deferment of employer’s social security payments, net operating loss utilization and carryback periods, modifications to the net interest deduction limitations and technical corrections to tax depreciation methods for qualified improvement property. We continue to evaluate the impact of the CARES Act on our financial position, results of operations and cash flows. We currently do not believe the CARES Act will have a material impact on our financial condition, results of operations, or liquidity. A discussion of the risks and uncertainties that we face as a result of the COVID-19 pandemic can be found under Part II, Item 1A, “Risk Factors” in this Quarterly Report on Form 10-Q.</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Financial Operations Overview</w:t>
      </w:r>
    </w:p>
    <w:p>
      <w:pPr>
        <w:spacing w:after="0" w:line="106"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02" w:lineRule="exact"/>
        <w:rPr>
          <w:sz w:val="20"/>
          <w:szCs w:val="20"/>
          <w:color w:val="auto"/>
        </w:rPr>
      </w:pPr>
    </w:p>
    <w:p>
      <w:pPr>
        <w:ind w:left="1020"/>
        <w:spacing w:after="0"/>
        <w:rPr>
          <w:sz w:val="20"/>
          <w:szCs w:val="20"/>
          <w:color w:val="auto"/>
        </w:rPr>
      </w:pPr>
      <w:r>
        <w:rPr>
          <w:rFonts w:ascii="Arial" w:cs="Arial" w:eastAsia="Arial" w:hAnsi="Arial"/>
          <w:sz w:val="17"/>
          <w:szCs w:val="17"/>
          <w:i w:val="1"/>
          <w:iCs w:val="1"/>
          <w:color w:val="auto"/>
        </w:rPr>
        <w:t>Research and Development</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5"/>
          <w:szCs w:val="15"/>
          <w:color w:val="auto"/>
        </w:rPr>
        <w:t>Research and development costs consist primarily of costs incurred for the discovery and clinical development of our drug candidates, which include:</w:t>
      </w:r>
    </w:p>
    <w:p>
      <w:pPr>
        <w:spacing w:after="0" w:line="125" w:lineRule="exact"/>
        <w:rPr>
          <w:sz w:val="20"/>
          <w:szCs w:val="20"/>
          <w:color w:val="auto"/>
        </w:rPr>
      </w:pPr>
    </w:p>
    <w:p>
      <w:pPr>
        <w:ind w:left="1020" w:right="340" w:hanging="513"/>
        <w:spacing w:after="0" w:line="260"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employee-related expenses, including salaries, related benefits, travel and share-based compensation expenses for employees engaged in research and development functions;</w:t>
      </w:r>
    </w:p>
    <w:p>
      <w:pPr>
        <w:spacing w:after="0" w:line="72" w:lineRule="exact"/>
        <w:rPr>
          <w:rFonts w:ascii="Arial" w:cs="Arial" w:eastAsia="Arial" w:hAnsi="Arial"/>
          <w:sz w:val="17"/>
          <w:szCs w:val="17"/>
          <w:color w:val="auto"/>
        </w:rPr>
      </w:pPr>
    </w:p>
    <w:p>
      <w:pPr>
        <w:ind w:left="1020" w:hanging="513"/>
        <w:spacing w:after="0"/>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expenses incurred in connection with research, laboratory consumables, sponsored research, and preclinical studies;</w:t>
      </w:r>
    </w:p>
    <w:p>
      <w:pPr>
        <w:spacing w:after="0" w:line="126" w:lineRule="exact"/>
        <w:rPr>
          <w:rFonts w:ascii="Arial" w:cs="Arial" w:eastAsia="Arial" w:hAnsi="Arial"/>
          <w:sz w:val="17"/>
          <w:szCs w:val="17"/>
          <w:color w:val="auto"/>
        </w:rPr>
      </w:pPr>
    </w:p>
    <w:p>
      <w:pPr>
        <w:ind w:left="1020" w:right="280" w:hanging="513"/>
        <w:spacing w:after="0" w:line="326" w:lineRule="auto"/>
        <w:tabs>
          <w:tab w:leader="none" w:pos="1020" w:val="left"/>
        </w:tabs>
        <w:numPr>
          <w:ilvl w:val="0"/>
          <w:numId w:val="5"/>
        </w:numPr>
        <w:rPr>
          <w:rFonts w:ascii="Arial" w:cs="Arial" w:eastAsia="Arial" w:hAnsi="Arial"/>
          <w:sz w:val="15"/>
          <w:szCs w:val="15"/>
          <w:color w:val="auto"/>
        </w:rPr>
      </w:pPr>
      <w:r>
        <w:rPr>
          <w:rFonts w:ascii="Arial" w:cs="Arial" w:eastAsia="Arial" w:hAnsi="Arial"/>
          <w:sz w:val="15"/>
          <w:szCs w:val="15"/>
          <w:color w:val="auto"/>
        </w:rPr>
        <w:t>expenses incurred in connection with conducting clinical trials including investigator grants and site payments for time and pass-through expenses and expenses incurred under agreements with CROs, other vendors or central laboratories and service providers engaged to conduct our trials;</w:t>
      </w:r>
    </w:p>
    <w:p>
      <w:pPr>
        <w:spacing w:after="0" w:line="27" w:lineRule="exact"/>
        <w:rPr>
          <w:rFonts w:ascii="Arial" w:cs="Arial" w:eastAsia="Arial" w:hAnsi="Arial"/>
          <w:sz w:val="15"/>
          <w:szCs w:val="15"/>
          <w:color w:val="auto"/>
        </w:rPr>
      </w:pPr>
    </w:p>
    <w:p>
      <w:pPr>
        <w:ind w:left="1020" w:right="180" w:hanging="513"/>
        <w:spacing w:after="0" w:line="260"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cost of consultants engaged in research and development related services and the cost to manufacture drug products for use in our preclinical studies and clinical trials;</w:t>
      </w:r>
    </w:p>
    <w:p>
      <w:pPr>
        <w:spacing w:after="0" w:line="72" w:lineRule="exact"/>
        <w:rPr>
          <w:rFonts w:ascii="Arial" w:cs="Arial" w:eastAsia="Arial" w:hAnsi="Arial"/>
          <w:sz w:val="17"/>
          <w:szCs w:val="17"/>
          <w:color w:val="auto"/>
        </w:rPr>
      </w:pPr>
    </w:p>
    <w:p>
      <w:pPr>
        <w:ind w:left="1020" w:hanging="513"/>
        <w:spacing w:after="0"/>
        <w:tabs>
          <w:tab w:leader="none" w:pos="1020" w:val="left"/>
        </w:tabs>
        <w:numPr>
          <w:ilvl w:val="0"/>
          <w:numId w:val="5"/>
        </w:numPr>
        <w:rPr>
          <w:rFonts w:ascii="Arial" w:cs="Arial" w:eastAsia="Arial" w:hAnsi="Arial"/>
          <w:sz w:val="15"/>
          <w:szCs w:val="15"/>
          <w:color w:val="auto"/>
        </w:rPr>
      </w:pPr>
      <w:r>
        <w:rPr>
          <w:rFonts w:ascii="Arial" w:cs="Arial" w:eastAsia="Arial" w:hAnsi="Arial"/>
          <w:sz w:val="15"/>
          <w:szCs w:val="15"/>
          <w:color w:val="auto"/>
        </w:rPr>
        <w:t>facilities, depreciation and other expenses, which include allocated expenses for rent and maintenance of facilities, insurance and supplies;</w:t>
      </w:r>
    </w:p>
    <w:p>
      <w:pPr>
        <w:spacing w:after="0" w:line="149" w:lineRule="exact"/>
        <w:rPr>
          <w:rFonts w:ascii="Arial" w:cs="Arial" w:eastAsia="Arial" w:hAnsi="Arial"/>
          <w:sz w:val="15"/>
          <w:szCs w:val="15"/>
          <w:color w:val="auto"/>
        </w:rPr>
      </w:pPr>
    </w:p>
    <w:p>
      <w:pPr>
        <w:ind w:left="1020" w:hanging="513"/>
        <w:spacing w:after="0"/>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costs related to regulatory compliance; and</w:t>
      </w:r>
    </w:p>
    <w:p>
      <w:pPr>
        <w:spacing w:after="0" w:line="126" w:lineRule="exact"/>
        <w:rPr>
          <w:rFonts w:ascii="Arial" w:cs="Arial" w:eastAsia="Arial" w:hAnsi="Arial"/>
          <w:sz w:val="17"/>
          <w:szCs w:val="17"/>
          <w:color w:val="auto"/>
        </w:rPr>
      </w:pPr>
    </w:p>
    <w:p>
      <w:pPr>
        <w:ind w:left="1020" w:hanging="513"/>
        <w:spacing w:after="0"/>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cost of annual license fees.</w:t>
      </w:r>
    </w:p>
    <w:p>
      <w:pPr>
        <w:spacing w:after="0" w:line="127" w:lineRule="exact"/>
        <w:rPr>
          <w:sz w:val="20"/>
          <w:szCs w:val="20"/>
          <w:color w:val="auto"/>
        </w:rPr>
      </w:pPr>
    </w:p>
    <w:p>
      <w:pPr>
        <w:ind w:right="20" w:firstLine="511"/>
        <w:spacing w:after="0" w:line="301" w:lineRule="auto"/>
        <w:rPr>
          <w:sz w:val="20"/>
          <w:szCs w:val="20"/>
          <w:color w:val="auto"/>
        </w:rPr>
      </w:pPr>
      <w:r>
        <w:rPr>
          <w:rFonts w:ascii="Arial" w:cs="Arial" w:eastAsia="Arial" w:hAnsi="Arial"/>
          <w:sz w:val="15"/>
          <w:szCs w:val="15"/>
          <w:color w:val="auto"/>
        </w:rPr>
        <w:t>We typically have various early-stage research and drug discovery projects as well as various product candidates undergoing clinical trials. Our internal resources, employees and infrastructure are not directly tied to any one research or drug discovery project and are typically deployed across multiple projects. As such, we do not maintain information regarding the costs incurred for these early-stage research and drug discovery programs on a project-specific basis.</w:t>
      </w:r>
    </w:p>
    <w:p>
      <w:pPr>
        <w:spacing w:after="0" w:line="45" w:lineRule="exact"/>
        <w:rPr>
          <w:sz w:val="20"/>
          <w:szCs w:val="20"/>
          <w:color w:val="auto"/>
        </w:rPr>
      </w:pPr>
    </w:p>
    <w:p>
      <w:pPr>
        <w:ind w:right="40" w:firstLine="511"/>
        <w:spacing w:after="0" w:line="367" w:lineRule="auto"/>
        <w:rPr>
          <w:sz w:val="20"/>
          <w:szCs w:val="20"/>
          <w:color w:val="auto"/>
        </w:rPr>
      </w:pPr>
      <w:r>
        <w:rPr>
          <w:rFonts w:ascii="Arial" w:cs="Arial" w:eastAsia="Arial" w:hAnsi="Arial"/>
          <w:sz w:val="14"/>
          <w:szCs w:val="14"/>
          <w:color w:val="auto"/>
        </w:rPr>
        <w:t>We expense research and development costs as they are incurred. Nonrefundable advance payments for goods or services to be received in the future for use in research and development activities are recorded as prepaid expenses. The prepaid amounts are expensed as the related goods are delivered or the services are performed.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22" w:name="page23"/>
    <w:bookmarkEnd w:id="22"/>
    <w:p>
      <w:pPr>
        <w:ind w:firstLine="511"/>
        <w:spacing w:after="0" w:line="288" w:lineRule="auto"/>
        <w:rPr>
          <w:sz w:val="20"/>
          <w:szCs w:val="20"/>
          <w:color w:val="auto"/>
        </w:rPr>
      </w:pPr>
      <w:r>
        <w:rPr>
          <w:rFonts w:ascii="Arial" w:cs="Arial" w:eastAsia="Arial" w:hAnsi="Arial"/>
          <w:sz w:val="15"/>
          <w:szCs w:val="15"/>
          <w:color w:val="auto"/>
        </w:rPr>
        <w:t>The following table summarizes our research and development expenses for the three and nine months ended September 30, 2021 and 2020. The direct external development program expenses reflect external costs attributable to our clinical development candidates and preclinical candidates selected for further development. Such expenses include third-party contract costs relating to manufacturing, clinical trial activities, translational medicine and toxicology activities. The partner cost sharing represents reimbursable research and development expenses. The unallocated internal research and development costs include personnel, facility costs, laboratory consumables and discovery and research related activities associated with our pipeline.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520" w:type="dxa"/>
            <w:vAlign w:val="bottom"/>
            <w:gridSpan w:val="4"/>
          </w:tcPr>
          <w:p>
            <w:pPr>
              <w:jc w:val="right"/>
              <w:ind w:right="223"/>
              <w:spacing w:after="0"/>
              <w:rPr>
                <w:sz w:val="20"/>
                <w:szCs w:val="20"/>
                <w:color w:val="auto"/>
              </w:rPr>
            </w:pPr>
            <w:r>
              <w:rPr>
                <w:rFonts w:ascii="Arial" w:cs="Arial" w:eastAsia="Arial" w:hAnsi="Arial"/>
                <w:sz w:val="13"/>
                <w:szCs w:val="13"/>
                <w:b w:val="1"/>
                <w:bCs w:val="1"/>
                <w:color w:val="auto"/>
                <w:w w:val="93"/>
              </w:rPr>
              <w:t>Three Months Ended</w:t>
            </w: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40" w:type="dxa"/>
            <w:vAlign w:val="bottom"/>
            <w:gridSpan w:val="3"/>
          </w:tcPr>
          <w:p>
            <w:pPr>
              <w:jc w:val="right"/>
              <w:spacing w:after="0"/>
              <w:rPr>
                <w:sz w:val="20"/>
                <w:szCs w:val="20"/>
                <w:color w:val="auto"/>
              </w:rPr>
            </w:pPr>
            <w:r>
              <w:rPr>
                <w:rFonts w:ascii="Arial" w:cs="Arial" w:eastAsia="Arial" w:hAnsi="Arial"/>
                <w:sz w:val="13"/>
                <w:szCs w:val="13"/>
                <w:b w:val="1"/>
                <w:bCs w:val="1"/>
                <w:color w:val="auto"/>
              </w:rPr>
              <w:t>Nine Months Ended</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4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4"/>
          </w:tcPr>
          <w:p>
            <w:pPr>
              <w:jc w:val="right"/>
              <w:ind w:right="423"/>
              <w:spacing w:after="0"/>
              <w:rPr>
                <w:sz w:val="20"/>
                <w:szCs w:val="20"/>
                <w:color w:val="auto"/>
              </w:rPr>
            </w:pPr>
            <w:r>
              <w:rPr>
                <w:rFonts w:ascii="Arial" w:cs="Arial" w:eastAsia="Arial" w:hAnsi="Arial"/>
                <w:sz w:val="13"/>
                <w:szCs w:val="13"/>
                <w:b w:val="1"/>
                <w:bCs w:val="1"/>
                <w:color w:val="auto"/>
              </w:rPr>
              <w:t>September 30,</w:t>
            </w:r>
          </w:p>
        </w:tc>
        <w:tc>
          <w:tcPr>
            <w:tcW w:w="44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ind w:right="97"/>
              <w:spacing w:after="0"/>
              <w:rPr>
                <w:sz w:val="20"/>
                <w:szCs w:val="20"/>
                <w:color w:val="auto"/>
              </w:rPr>
            </w:pPr>
            <w:r>
              <w:rPr>
                <w:rFonts w:ascii="Arial" w:cs="Arial" w:eastAsia="Arial" w:hAnsi="Arial"/>
                <w:sz w:val="13"/>
                <w:szCs w:val="13"/>
                <w:b w:val="1"/>
                <w:bCs w:val="1"/>
                <w:color w:val="auto"/>
              </w:rPr>
              <w:t>September 30,</w:t>
            </w: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1"/>
        </w:trPr>
        <w:tc>
          <w:tcPr>
            <w:tcW w:w="4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b w:val="1"/>
                <w:bCs w:val="1"/>
                <w:color w:val="auto"/>
              </w:rPr>
              <w:t>2021</w:t>
            </w:r>
          </w:p>
        </w:tc>
        <w:tc>
          <w:tcPr>
            <w:tcW w:w="4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spacing w:after="0" w:line="141" w:lineRule="exact"/>
              <w:rPr>
                <w:sz w:val="20"/>
                <w:szCs w:val="20"/>
                <w:color w:val="auto"/>
              </w:rPr>
            </w:pPr>
            <w:r>
              <w:rPr>
                <w:rFonts w:ascii="Arial" w:cs="Arial" w:eastAsia="Arial" w:hAnsi="Arial"/>
                <w:sz w:val="13"/>
                <w:szCs w:val="13"/>
                <w:b w:val="1"/>
                <w:bCs w:val="1"/>
                <w:color w:val="auto"/>
              </w:rPr>
              <w:t>2020</w:t>
            </w:r>
          </w:p>
        </w:tc>
        <w:tc>
          <w:tcPr>
            <w:tcW w:w="4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82"/>
              <w:spacing w:after="0" w:line="141" w:lineRule="exact"/>
              <w:rPr>
                <w:sz w:val="20"/>
                <w:szCs w:val="20"/>
                <w:color w:val="auto"/>
              </w:rPr>
            </w:pPr>
            <w:r>
              <w:rPr>
                <w:rFonts w:ascii="Arial" w:cs="Arial" w:eastAsia="Arial" w:hAnsi="Arial"/>
                <w:sz w:val="13"/>
                <w:szCs w:val="13"/>
                <w:b w:val="1"/>
                <w:bCs w:val="1"/>
                <w:color w:val="auto"/>
              </w:rPr>
              <w:t>2021</w:t>
            </w:r>
          </w:p>
        </w:tc>
        <w:tc>
          <w:tcPr>
            <w:tcW w:w="2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99"/>
              <w:spacing w:after="0" w:line="141" w:lineRule="exact"/>
              <w:rPr>
                <w:sz w:val="20"/>
                <w:szCs w:val="20"/>
                <w:color w:val="auto"/>
              </w:rPr>
            </w:pPr>
            <w:r>
              <w:rPr>
                <w:rFonts w:ascii="Arial" w:cs="Arial" w:eastAsia="Arial" w:hAnsi="Arial"/>
                <w:sz w:val="13"/>
                <w:szCs w:val="13"/>
                <w:b w:val="1"/>
                <w:bCs w:val="1"/>
                <w:color w:val="auto"/>
                <w:w w:val="82"/>
              </w:rPr>
              <w:t>2020</w:t>
            </w:r>
          </w:p>
        </w:tc>
        <w:tc>
          <w:tcPr>
            <w:tcW w:w="100" w:type="dxa"/>
            <w:vAlign w:val="bottom"/>
          </w:tcPr>
          <w:p>
            <w:pPr>
              <w:spacing w:after="0"/>
              <w:rPr>
                <w:sz w:val="12"/>
                <w:szCs w:val="12"/>
                <w:color w:val="auto"/>
              </w:rPr>
            </w:pPr>
          </w:p>
        </w:tc>
      </w:tr>
      <w:tr>
        <w:trPr>
          <w:trHeight w:val="141"/>
        </w:trPr>
        <w:tc>
          <w:tcPr>
            <w:tcW w:w="4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gridSpan w:val="3"/>
          </w:tcPr>
          <w:p>
            <w:pPr>
              <w:jc w:val="right"/>
              <w:ind w:right="23"/>
              <w:spacing w:after="0" w:line="141" w:lineRule="exact"/>
              <w:rPr>
                <w:sz w:val="20"/>
                <w:szCs w:val="20"/>
                <w:color w:val="auto"/>
              </w:rPr>
            </w:pPr>
            <w:r>
              <w:rPr>
                <w:rFonts w:ascii="Arial" w:cs="Arial" w:eastAsia="Arial" w:hAnsi="Arial"/>
                <w:sz w:val="13"/>
                <w:szCs w:val="13"/>
                <w:b w:val="1"/>
                <w:bCs w:val="1"/>
                <w:color w:val="auto"/>
              </w:rPr>
              <w:t>(in thousands)</w:t>
            </w: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1"/>
        </w:trPr>
        <w:tc>
          <w:tcPr>
            <w:tcW w:w="4740" w:type="dxa"/>
            <w:vAlign w:val="bottom"/>
            <w:shd w:val="clear" w:color="auto" w:fill="CFF0FC"/>
          </w:tcPr>
          <w:p>
            <w:pPr>
              <w:spacing w:after="0"/>
              <w:rPr>
                <w:sz w:val="20"/>
                <w:szCs w:val="20"/>
                <w:color w:val="auto"/>
              </w:rPr>
            </w:pPr>
            <w:r>
              <w:rPr>
                <w:rFonts w:ascii="Arial" w:cs="Arial" w:eastAsia="Arial" w:hAnsi="Arial"/>
                <w:sz w:val="17"/>
                <w:szCs w:val="17"/>
                <w:color w:val="auto"/>
              </w:rPr>
              <w:t>Direct external development program expenses:</w:t>
            </w:r>
          </w:p>
        </w:tc>
        <w:tc>
          <w:tcPr>
            <w:tcW w:w="8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0"/>
        </w:trPr>
        <w:tc>
          <w:tcPr>
            <w:tcW w:w="4740" w:type="dxa"/>
            <w:vAlign w:val="bottom"/>
          </w:tcPr>
          <w:p>
            <w:pPr>
              <w:ind w:left="220"/>
              <w:spacing w:after="0"/>
              <w:rPr>
                <w:sz w:val="20"/>
                <w:szCs w:val="20"/>
                <w:color w:val="auto"/>
              </w:rPr>
            </w:pPr>
            <w:r>
              <w:rPr>
                <w:rFonts w:ascii="Arial" w:cs="Arial" w:eastAsia="Arial" w:hAnsi="Arial"/>
                <w:sz w:val="17"/>
                <w:szCs w:val="17"/>
                <w:color w:val="auto"/>
              </w:rPr>
              <w:t>NKX101</w:t>
            </w:r>
          </w:p>
        </w:tc>
        <w:tc>
          <w:tcPr>
            <w:tcW w:w="1560" w:type="dxa"/>
            <w:vAlign w:val="bottom"/>
            <w:gridSpan w:val="2"/>
          </w:tcPr>
          <w:p>
            <w:pPr>
              <w:jc w:val="right"/>
              <w:ind w:right="568"/>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3,525</w:t>
            </w:r>
          </w:p>
        </w:tc>
        <w:tc>
          <w:tcPr>
            <w:tcW w:w="160" w:type="dxa"/>
            <w:vAlign w:val="bottom"/>
          </w:tcPr>
          <w:p>
            <w:pPr>
              <w:spacing w:after="0"/>
              <w:rPr>
                <w:sz w:val="18"/>
                <w:szCs w:val="18"/>
                <w:color w:val="auto"/>
              </w:rPr>
            </w:pPr>
          </w:p>
        </w:tc>
        <w:tc>
          <w:tcPr>
            <w:tcW w:w="880" w:type="dxa"/>
            <w:vAlign w:val="bottom"/>
            <w:gridSpan w:val="2"/>
          </w:tcPr>
          <w:p>
            <w:pPr>
              <w:jc w:val="right"/>
              <w:ind w:right="623"/>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98"/>
              </w:rPr>
              <w:t>1,930</w:t>
            </w:r>
          </w:p>
        </w:tc>
        <w:tc>
          <w:tcPr>
            <w:tcW w:w="260" w:type="dxa"/>
            <w:vAlign w:val="bottom"/>
          </w:tcPr>
          <w:p>
            <w:pPr>
              <w:spacing w:after="0"/>
              <w:rPr>
                <w:sz w:val="18"/>
                <w:szCs w:val="18"/>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8,600</w:t>
            </w:r>
          </w:p>
        </w:tc>
        <w:tc>
          <w:tcPr>
            <w:tcW w:w="240" w:type="dxa"/>
            <w:vAlign w:val="bottom"/>
          </w:tcPr>
          <w:p>
            <w:pPr>
              <w:spacing w:after="0"/>
              <w:rPr>
                <w:sz w:val="18"/>
                <w:szCs w:val="18"/>
                <w:color w:val="auto"/>
              </w:rPr>
            </w:pPr>
          </w:p>
        </w:tc>
        <w:tc>
          <w:tcPr>
            <w:tcW w:w="460" w:type="dxa"/>
            <w:vAlign w:val="bottom"/>
          </w:tcPr>
          <w:p>
            <w:pPr>
              <w:jc w:val="right"/>
              <w:ind w:right="277"/>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5,737</w:t>
            </w:r>
          </w:p>
        </w:tc>
        <w:tc>
          <w:tcPr>
            <w:tcW w:w="100" w:type="dxa"/>
            <w:vAlign w:val="bottom"/>
          </w:tcPr>
          <w:p>
            <w:pPr>
              <w:spacing w:after="0"/>
              <w:rPr>
                <w:sz w:val="18"/>
                <w:szCs w:val="18"/>
                <w:color w:val="auto"/>
              </w:rPr>
            </w:pPr>
          </w:p>
        </w:tc>
      </w:tr>
      <w:tr>
        <w:trPr>
          <w:trHeight w:val="211"/>
        </w:trPr>
        <w:tc>
          <w:tcPr>
            <w:tcW w:w="47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NKX019</w:t>
            </w:r>
          </w:p>
        </w:tc>
        <w:tc>
          <w:tcPr>
            <w:tcW w:w="8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2,828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356</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5,302</w:t>
            </w: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443</w:t>
            </w:r>
          </w:p>
        </w:tc>
        <w:tc>
          <w:tcPr>
            <w:tcW w:w="100" w:type="dxa"/>
            <w:vAlign w:val="bottom"/>
            <w:shd w:val="clear" w:color="auto" w:fill="CFF0FC"/>
          </w:tcPr>
          <w:p>
            <w:pPr>
              <w:spacing w:after="0"/>
              <w:rPr>
                <w:sz w:val="18"/>
                <w:szCs w:val="18"/>
                <w:color w:val="auto"/>
              </w:rPr>
            </w:pPr>
          </w:p>
        </w:tc>
      </w:tr>
      <w:tr>
        <w:trPr>
          <w:trHeight w:val="210"/>
        </w:trPr>
        <w:tc>
          <w:tcPr>
            <w:tcW w:w="4740" w:type="dxa"/>
            <w:vAlign w:val="bottom"/>
          </w:tcPr>
          <w:p>
            <w:pPr>
              <w:ind w:left="220"/>
              <w:spacing w:after="0"/>
              <w:rPr>
                <w:sz w:val="20"/>
                <w:szCs w:val="20"/>
                <w:color w:val="auto"/>
              </w:rPr>
            </w:pPr>
            <w:r>
              <w:rPr>
                <w:rFonts w:ascii="Arial" w:cs="Arial" w:eastAsia="Arial" w:hAnsi="Arial"/>
                <w:sz w:val="17"/>
                <w:szCs w:val="17"/>
                <w:color w:val="auto"/>
              </w:rPr>
              <w:t>Program 3</w:t>
            </w: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349</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427</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406</w:t>
            </w:r>
          </w:p>
        </w:tc>
        <w:tc>
          <w:tcPr>
            <w:tcW w:w="100" w:type="dxa"/>
            <w:vAlign w:val="bottom"/>
          </w:tcPr>
          <w:p>
            <w:pPr>
              <w:spacing w:after="0"/>
              <w:rPr>
                <w:sz w:val="18"/>
                <w:szCs w:val="18"/>
                <w:color w:val="auto"/>
              </w:rPr>
            </w:pPr>
          </w:p>
        </w:tc>
      </w:tr>
      <w:tr>
        <w:trPr>
          <w:trHeight w:val="211"/>
        </w:trPr>
        <w:tc>
          <w:tcPr>
            <w:tcW w:w="47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Program 4</w:t>
            </w:r>
          </w:p>
        </w:tc>
        <w:tc>
          <w:tcPr>
            <w:tcW w:w="8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499</w:t>
            </w: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10"/>
        </w:trPr>
        <w:tc>
          <w:tcPr>
            <w:tcW w:w="4740" w:type="dxa"/>
            <w:vAlign w:val="bottom"/>
          </w:tcPr>
          <w:p>
            <w:pPr>
              <w:spacing w:after="0"/>
              <w:rPr>
                <w:sz w:val="20"/>
                <w:szCs w:val="20"/>
                <w:color w:val="auto"/>
              </w:rPr>
            </w:pPr>
            <w:r>
              <w:rPr>
                <w:rFonts w:ascii="Arial" w:cs="Arial" w:eastAsia="Arial" w:hAnsi="Arial"/>
                <w:sz w:val="17"/>
                <w:szCs w:val="17"/>
                <w:color w:val="auto"/>
              </w:rPr>
              <w:t>Partner cost sharing</w:t>
            </w: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(852)</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(1,210)</w:t>
            </w:r>
          </w:p>
        </w:tc>
        <w:tc>
          <w:tcPr>
            <w:tcW w:w="4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11"/>
        </w:trPr>
        <w:tc>
          <w:tcPr>
            <w:tcW w:w="4740" w:type="dxa"/>
            <w:vAlign w:val="bottom"/>
            <w:shd w:val="clear" w:color="auto" w:fill="CFF0FC"/>
          </w:tcPr>
          <w:p>
            <w:pPr>
              <w:spacing w:after="0"/>
              <w:rPr>
                <w:sz w:val="20"/>
                <w:szCs w:val="20"/>
                <w:color w:val="auto"/>
              </w:rPr>
            </w:pPr>
            <w:r>
              <w:rPr>
                <w:rFonts w:ascii="Arial" w:cs="Arial" w:eastAsia="Arial" w:hAnsi="Arial"/>
                <w:sz w:val="17"/>
                <w:szCs w:val="17"/>
                <w:color w:val="auto"/>
              </w:rPr>
              <w:t>Unallocated internal research and development costs:</w:t>
            </w:r>
          </w:p>
        </w:tc>
        <w:tc>
          <w:tcPr>
            <w:tcW w:w="8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0"/>
        </w:trPr>
        <w:tc>
          <w:tcPr>
            <w:tcW w:w="4740" w:type="dxa"/>
            <w:vAlign w:val="bottom"/>
          </w:tcPr>
          <w:p>
            <w:pPr>
              <w:ind w:left="220"/>
              <w:spacing w:after="0"/>
              <w:rPr>
                <w:sz w:val="20"/>
                <w:szCs w:val="20"/>
                <w:color w:val="auto"/>
              </w:rPr>
            </w:pPr>
            <w:r>
              <w:rPr>
                <w:rFonts w:ascii="Arial" w:cs="Arial" w:eastAsia="Arial" w:hAnsi="Arial"/>
                <w:sz w:val="17"/>
                <w:szCs w:val="17"/>
                <w:color w:val="auto"/>
              </w:rPr>
              <w:t>Personnel related (including share-based compensation)</w:t>
            </w: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7,584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4,587</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21,829</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11,681</w:t>
            </w:r>
          </w:p>
        </w:tc>
        <w:tc>
          <w:tcPr>
            <w:tcW w:w="100" w:type="dxa"/>
            <w:vAlign w:val="bottom"/>
          </w:tcPr>
          <w:p>
            <w:pPr>
              <w:spacing w:after="0"/>
              <w:rPr>
                <w:sz w:val="18"/>
                <w:szCs w:val="18"/>
                <w:color w:val="auto"/>
              </w:rPr>
            </w:pPr>
          </w:p>
        </w:tc>
      </w:tr>
      <w:tr>
        <w:trPr>
          <w:trHeight w:val="211"/>
        </w:trPr>
        <w:tc>
          <w:tcPr>
            <w:tcW w:w="47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Others</w:t>
            </w:r>
          </w:p>
        </w:tc>
        <w:tc>
          <w:tcPr>
            <w:tcW w:w="84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3,321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8"/>
              </w:rPr>
              <w:t>2,606</w:t>
            </w:r>
          </w:p>
        </w:tc>
        <w:tc>
          <w:tcPr>
            <w:tcW w:w="26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10,664</w:t>
            </w:r>
          </w:p>
        </w:tc>
        <w:tc>
          <w:tcPr>
            <w:tcW w:w="24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6,683</w:t>
            </w:r>
          </w:p>
        </w:tc>
        <w:tc>
          <w:tcPr>
            <w:tcW w:w="100" w:type="dxa"/>
            <w:vAlign w:val="bottom"/>
            <w:shd w:val="clear" w:color="auto" w:fill="CFF0FC"/>
          </w:tcPr>
          <w:p>
            <w:pPr>
              <w:spacing w:after="0"/>
              <w:rPr>
                <w:sz w:val="18"/>
                <w:szCs w:val="18"/>
                <w:color w:val="auto"/>
              </w:rPr>
            </w:pPr>
          </w:p>
        </w:tc>
      </w:tr>
      <w:tr>
        <w:trPr>
          <w:trHeight w:val="202"/>
        </w:trPr>
        <w:tc>
          <w:tcPr>
            <w:tcW w:w="4740" w:type="dxa"/>
            <w:vAlign w:val="bottom"/>
          </w:tcPr>
          <w:p>
            <w:pPr>
              <w:ind w:left="460"/>
              <w:spacing w:after="0"/>
              <w:rPr>
                <w:sz w:val="20"/>
                <w:szCs w:val="20"/>
                <w:color w:val="auto"/>
              </w:rPr>
            </w:pPr>
            <w:r>
              <w:rPr>
                <w:rFonts w:ascii="Arial" w:cs="Arial" w:eastAsia="Arial" w:hAnsi="Arial"/>
                <w:sz w:val="17"/>
                <w:szCs w:val="17"/>
                <w:color w:val="auto"/>
              </w:rPr>
              <w:t>Total research and development costs</w:t>
            </w:r>
          </w:p>
        </w:tc>
        <w:tc>
          <w:tcPr>
            <w:tcW w:w="840" w:type="dxa"/>
            <w:vAlign w:val="bottom"/>
          </w:tcPr>
          <w:p>
            <w:pPr>
              <w:spacing w:after="0"/>
              <w:rPr>
                <w:sz w:val="17"/>
                <w:szCs w:val="17"/>
                <w:color w:val="auto"/>
              </w:rPr>
            </w:pPr>
          </w:p>
        </w:tc>
        <w:tc>
          <w:tcPr>
            <w:tcW w:w="720" w:type="dxa"/>
            <w:vAlign w:val="bottom"/>
            <w:tcBorders>
              <w:bottom w:val="single" w:sz="8" w:color="auto"/>
            </w:tcBorders>
          </w:tcPr>
          <w:p>
            <w:pPr>
              <w:jc w:val="right"/>
              <w:ind w:right="568"/>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16,616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bottom w:val="single" w:sz="8" w:color="auto"/>
            </w:tcBorders>
          </w:tcPr>
          <w:p>
            <w:pPr>
              <w:jc w:val="right"/>
              <w:ind w:right="623"/>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9,828</w:t>
            </w:r>
          </w:p>
        </w:tc>
        <w:tc>
          <w:tcPr>
            <w:tcW w:w="260" w:type="dxa"/>
            <w:vAlign w:val="bottom"/>
          </w:tcPr>
          <w:p>
            <w:pPr>
              <w:spacing w:after="0"/>
              <w:rPr>
                <w:sz w:val="17"/>
                <w:szCs w:val="17"/>
                <w:color w:val="auto"/>
              </w:rPr>
            </w:pPr>
          </w:p>
        </w:tc>
        <w:tc>
          <w:tcPr>
            <w:tcW w:w="3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46,111</w:t>
            </w:r>
          </w:p>
        </w:tc>
        <w:tc>
          <w:tcPr>
            <w:tcW w:w="240" w:type="dxa"/>
            <w:vAlign w:val="bottom"/>
          </w:tcPr>
          <w:p>
            <w:pPr>
              <w:spacing w:after="0"/>
              <w:rPr>
                <w:sz w:val="17"/>
                <w:szCs w:val="17"/>
                <w:color w:val="auto"/>
              </w:rPr>
            </w:pPr>
          </w:p>
        </w:tc>
        <w:tc>
          <w:tcPr>
            <w:tcW w:w="460" w:type="dxa"/>
            <w:vAlign w:val="bottom"/>
            <w:tcBorders>
              <w:bottom w:val="single" w:sz="8" w:color="auto"/>
            </w:tcBorders>
          </w:tcPr>
          <w:p>
            <w:pPr>
              <w:jc w:val="right"/>
              <w:ind w:right="277"/>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24,950</w:t>
            </w:r>
          </w:p>
        </w:tc>
        <w:tc>
          <w:tcPr>
            <w:tcW w:w="100" w:type="dxa"/>
            <w:vAlign w:val="bottom"/>
          </w:tcPr>
          <w:p>
            <w:pPr>
              <w:spacing w:after="0"/>
              <w:rPr>
                <w:sz w:val="17"/>
                <w:szCs w:val="17"/>
                <w:color w:val="auto"/>
              </w:rPr>
            </w:pPr>
          </w:p>
        </w:tc>
      </w:tr>
      <w:tr>
        <w:trPr>
          <w:trHeight w:val="20"/>
        </w:trPr>
        <w:tc>
          <w:tcPr>
            <w:tcW w:w="4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3" w:lineRule="exact"/>
        <w:rPr>
          <w:sz w:val="20"/>
          <w:szCs w:val="20"/>
          <w:color w:val="auto"/>
        </w:rPr>
      </w:pPr>
    </w:p>
    <w:p>
      <w:pPr>
        <w:ind w:firstLine="511"/>
        <w:spacing w:after="0" w:line="284" w:lineRule="auto"/>
        <w:rPr>
          <w:sz w:val="20"/>
          <w:szCs w:val="20"/>
          <w:color w:val="auto"/>
        </w:rPr>
      </w:pPr>
      <w:r>
        <w:rPr>
          <w:rFonts w:ascii="Arial" w:cs="Arial" w:eastAsia="Arial" w:hAnsi="Arial"/>
          <w:sz w:val="15"/>
          <w:szCs w:val="15"/>
          <w:color w:val="auto"/>
        </w:rPr>
        <w:t>Research and development activities are central to our business model. There are numerous factors associated with the successful commercialization of any of our drug candidates, including future trial design and various regulatory requirements, many of which cannot be determined with accuracy at this time based on our stage of development. In addition, future regulatory factors beyond our control may impact our clinical development programs. Drug candidates in later stages of clinical development generally have higher development costs than those in earlier stages of clinical development, primarily due to the increased size and duration of later-stage clinical trials. At this time, we cannot reasonably estimate or know the nature, timing and costs of the efforts that will be necessary to complete the preclinical and clinical development of any of our drug candidates. However, we expect that our research and development expenses will increase substantially in connection with our planned preclinical and clinical development activities in the near term and in the future.</w:t>
      </w:r>
    </w:p>
    <w:p>
      <w:pPr>
        <w:spacing w:after="0" w:line="157" w:lineRule="exact"/>
        <w:rPr>
          <w:sz w:val="20"/>
          <w:szCs w:val="20"/>
          <w:color w:val="auto"/>
        </w:rPr>
      </w:pPr>
    </w:p>
    <w:p>
      <w:pPr>
        <w:jc w:val="both"/>
        <w:ind w:right="60" w:firstLine="511"/>
        <w:spacing w:after="0" w:line="292" w:lineRule="auto"/>
        <w:rPr>
          <w:sz w:val="20"/>
          <w:szCs w:val="20"/>
          <w:color w:val="auto"/>
        </w:rPr>
      </w:pPr>
      <w:r>
        <w:rPr>
          <w:rFonts w:ascii="Arial" w:cs="Arial" w:eastAsia="Arial" w:hAnsi="Arial"/>
          <w:sz w:val="15"/>
          <w:szCs w:val="15"/>
          <w:color w:val="auto"/>
        </w:rPr>
        <w:t>The successful development of our drug candidates is highly uncertain. A change in the outcome of any of a number of variables with respect to the development of our drug candidates may significantly impact the costs and timing associated with the development of our drug candidates. A discussion of the risks and uncertainties that we face in the development and commercialization of our drug candidates can be found under Part II, Item 1A, “Risk Factors” in this Quarterly Report on Form 10-Q. We may never succeed in obtaining regulatory approval for any of our drug candidates.</w:t>
      </w:r>
    </w:p>
    <w:p>
      <w:pPr>
        <w:spacing w:after="0" w:line="251" w:lineRule="exact"/>
        <w:rPr>
          <w:sz w:val="20"/>
          <w:szCs w:val="20"/>
          <w:color w:val="auto"/>
        </w:rPr>
      </w:pPr>
    </w:p>
    <w:p>
      <w:pPr>
        <w:ind w:left="1020"/>
        <w:spacing w:after="0"/>
        <w:rPr>
          <w:sz w:val="20"/>
          <w:szCs w:val="20"/>
          <w:color w:val="auto"/>
        </w:rPr>
      </w:pPr>
      <w:r>
        <w:rPr>
          <w:rFonts w:ascii="Arial" w:cs="Arial" w:eastAsia="Arial" w:hAnsi="Arial"/>
          <w:sz w:val="17"/>
          <w:szCs w:val="17"/>
          <w:i w:val="1"/>
          <w:iCs w:val="1"/>
          <w:color w:val="auto"/>
        </w:rPr>
        <w:t>General and Administrative</w:t>
      </w:r>
    </w:p>
    <w:p>
      <w:pPr>
        <w:spacing w:after="0" w:line="102" w:lineRule="exact"/>
        <w:rPr>
          <w:sz w:val="20"/>
          <w:szCs w:val="20"/>
          <w:color w:val="auto"/>
        </w:rPr>
      </w:pPr>
    </w:p>
    <w:p>
      <w:pPr>
        <w:ind w:right="260" w:firstLine="511"/>
        <w:spacing w:after="0" w:line="251" w:lineRule="auto"/>
        <w:rPr>
          <w:sz w:val="20"/>
          <w:szCs w:val="20"/>
          <w:color w:val="auto"/>
        </w:rPr>
      </w:pPr>
      <w:r>
        <w:rPr>
          <w:rFonts w:ascii="Arial" w:cs="Arial" w:eastAsia="Arial" w:hAnsi="Arial"/>
          <w:sz w:val="17"/>
          <w:szCs w:val="17"/>
          <w:color w:val="auto"/>
        </w:rPr>
        <w:t>General and administrative expenses consist primarily of salaries and employee-related costs, including share-based compensation, for personnel in executive, finance and other administrative functions. Other significant costs include legal fees relating to intellectual property and corporate matters, professional fees for accounting and consulting services and facility-related costs.</w:t>
      </w:r>
    </w:p>
    <w:p>
      <w:pPr>
        <w:spacing w:after="0" w:line="81" w:lineRule="exact"/>
        <w:rPr>
          <w:sz w:val="20"/>
          <w:szCs w:val="20"/>
          <w:color w:val="auto"/>
        </w:rPr>
      </w:pPr>
    </w:p>
    <w:p>
      <w:pPr>
        <w:ind w:right="100" w:firstLine="511"/>
        <w:spacing w:after="0" w:line="248" w:lineRule="auto"/>
        <w:rPr>
          <w:sz w:val="20"/>
          <w:szCs w:val="20"/>
          <w:color w:val="auto"/>
        </w:rPr>
      </w:pPr>
      <w:r>
        <w:rPr>
          <w:rFonts w:ascii="Arial" w:cs="Arial" w:eastAsia="Arial" w:hAnsi="Arial"/>
          <w:sz w:val="17"/>
          <w:szCs w:val="17"/>
          <w:color w:val="auto"/>
        </w:rPr>
        <w:t>We expect our general and administrative expenses will increase for the foreseeable future to support our increased research and development activities and to reflect increased costs associated with operating as a public company. These increased costs will likely include increased expenses related to audit, legal, regulatory and tax-related services associated with maintaining compliance with exchange listing and SEC requirements, director and officer insurance premiums and investor relations costs.</w:t>
      </w:r>
    </w:p>
    <w:p>
      <w:pPr>
        <w:spacing w:after="0" w:line="282"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Other Income (Expense)</w:t>
      </w:r>
    </w:p>
    <w:p>
      <w:pPr>
        <w:spacing w:after="0" w:line="102" w:lineRule="exact"/>
        <w:rPr>
          <w:sz w:val="20"/>
          <w:szCs w:val="20"/>
          <w:color w:val="auto"/>
        </w:rPr>
      </w:pPr>
    </w:p>
    <w:p>
      <w:pPr>
        <w:ind w:left="1020"/>
        <w:spacing w:after="0"/>
        <w:rPr>
          <w:sz w:val="20"/>
          <w:szCs w:val="20"/>
          <w:color w:val="auto"/>
        </w:rPr>
      </w:pPr>
      <w:r>
        <w:rPr>
          <w:rFonts w:ascii="Arial" w:cs="Arial" w:eastAsia="Arial" w:hAnsi="Arial"/>
          <w:sz w:val="17"/>
          <w:szCs w:val="17"/>
          <w:i w:val="1"/>
          <w:iCs w:val="1"/>
          <w:color w:val="auto"/>
        </w:rPr>
        <w:t>Change in Fair Value of Preferred Stock Purchase Right Liability</w:t>
      </w:r>
    </w:p>
    <w:p>
      <w:pPr>
        <w:spacing w:after="0" w:line="102" w:lineRule="exact"/>
        <w:rPr>
          <w:sz w:val="20"/>
          <w:szCs w:val="20"/>
          <w:color w:val="auto"/>
        </w:rPr>
      </w:pPr>
    </w:p>
    <w:p>
      <w:pPr>
        <w:ind w:firstLine="511"/>
        <w:spacing w:after="0" w:line="292" w:lineRule="auto"/>
        <w:rPr>
          <w:sz w:val="20"/>
          <w:szCs w:val="20"/>
          <w:color w:val="auto"/>
        </w:rPr>
      </w:pPr>
      <w:r>
        <w:rPr>
          <w:rFonts w:ascii="Arial" w:cs="Arial" w:eastAsia="Arial" w:hAnsi="Arial"/>
          <w:sz w:val="15"/>
          <w:szCs w:val="15"/>
          <w:color w:val="auto"/>
        </w:rPr>
        <w:t>In August 2019, we entered into a Series B Preferred Stock Purchase Agreement that contained future purchase rights that were required to be accounted for as liabilities and remeasured to fair value at each reporting date, with any change in the fair value reported as a component of other expense, net. We recorded adjustments to the estimated fair value of the preferred stock purchase rights until they were exercised in July 2020 in connection with our IPO. At that time, the convertible preferred stock purchase right liability was reclassified to additional paid-in capital and we will no longer record any related periodic fair value adjustments.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424" w:right="339" w:bottom="1440" w:gutter="0" w:footer="0" w:header="0"/>
        </w:sectPr>
      </w:pPr>
    </w:p>
    <w:bookmarkStart w:id="23" w:name="page24"/>
    <w:bookmarkEnd w:id="23"/>
    <w:p>
      <w:pPr>
        <w:ind w:left="1020"/>
        <w:spacing w:after="0"/>
        <w:rPr>
          <w:sz w:val="20"/>
          <w:szCs w:val="20"/>
          <w:color w:val="auto"/>
        </w:rPr>
      </w:pPr>
      <w:r>
        <w:rPr>
          <w:rFonts w:ascii="Arial" w:cs="Arial" w:eastAsia="Arial" w:hAnsi="Arial"/>
          <w:sz w:val="17"/>
          <w:szCs w:val="17"/>
          <w:i w:val="1"/>
          <w:iCs w:val="1"/>
          <w:color w:val="auto"/>
        </w:rPr>
        <w:t>Interest Income</w:t>
      </w:r>
    </w:p>
    <w:p>
      <w:pPr>
        <w:spacing w:after="0" w:line="102" w:lineRule="exact"/>
        <w:rPr>
          <w:sz w:val="20"/>
          <w:szCs w:val="20"/>
          <w:color w:val="auto"/>
        </w:rPr>
      </w:pPr>
    </w:p>
    <w:p>
      <w:pPr>
        <w:ind w:right="700" w:firstLine="511"/>
        <w:spacing w:after="0" w:line="260" w:lineRule="auto"/>
        <w:rPr>
          <w:sz w:val="20"/>
          <w:szCs w:val="20"/>
          <w:color w:val="auto"/>
        </w:rPr>
      </w:pPr>
      <w:r>
        <w:rPr>
          <w:rFonts w:ascii="Arial" w:cs="Arial" w:eastAsia="Arial" w:hAnsi="Arial"/>
          <w:sz w:val="17"/>
          <w:szCs w:val="17"/>
          <w:color w:val="auto"/>
        </w:rPr>
        <w:t>Interest income consists of interest earned on our cash, cash equivalents and short-term investments and adjustments related to amortization of purchase premiums and accretion of discounts of short-term investments.</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0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summarizes our results of operations for the periods indicated (in thousands):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820" w:type="dxa"/>
            <w:vAlign w:val="bottom"/>
            <w:tcBorders>
              <w:bottom w:val="single" w:sz="8" w:color="auto"/>
            </w:tcBorders>
            <w:gridSpan w:val="7"/>
          </w:tcPr>
          <w:p>
            <w:pPr>
              <w:jc w:val="right"/>
              <w:ind w:right="3"/>
              <w:spacing w:after="0"/>
              <w:rPr>
                <w:sz w:val="20"/>
                <w:szCs w:val="20"/>
                <w:color w:val="auto"/>
              </w:rPr>
            </w:pPr>
            <w:r>
              <w:rPr>
                <w:rFonts w:ascii="Arial" w:cs="Arial" w:eastAsia="Arial" w:hAnsi="Arial"/>
                <w:sz w:val="13"/>
                <w:szCs w:val="13"/>
                <w:b w:val="1"/>
                <w:bCs w:val="1"/>
                <w:color w:val="auto"/>
              </w:rPr>
              <w:t>Three Months Ended September 30,</w:t>
            </w:r>
          </w:p>
        </w:tc>
        <w:tc>
          <w:tcPr>
            <w:tcW w:w="8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820" w:type="dxa"/>
            <w:vAlign w:val="bottom"/>
            <w:tcBorders>
              <w:bottom w:val="single" w:sz="8" w:color="auto"/>
            </w:tcBorders>
            <w:gridSpan w:val="7"/>
          </w:tcPr>
          <w:p>
            <w:pPr>
              <w:jc w:val="right"/>
              <w:ind w:right="23"/>
              <w:spacing w:after="0"/>
              <w:rPr>
                <w:sz w:val="20"/>
                <w:szCs w:val="20"/>
                <w:color w:val="auto"/>
              </w:rPr>
            </w:pPr>
            <w:r>
              <w:rPr>
                <w:rFonts w:ascii="Arial" w:cs="Arial" w:eastAsia="Arial" w:hAnsi="Arial"/>
                <w:sz w:val="13"/>
                <w:szCs w:val="13"/>
                <w:b w:val="1"/>
                <w:bCs w:val="1"/>
                <w:color w:val="auto"/>
              </w:rPr>
              <w:t>Nine Months Ended September 30,</w:t>
            </w: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1"/>
        </w:trPr>
        <w:tc>
          <w:tcPr>
            <w:tcW w:w="2460" w:type="dxa"/>
            <w:vAlign w:val="bottom"/>
            <w:tcBorders>
              <w:bottom w:val="single" w:sz="8" w:color="CFF0FC"/>
            </w:tcBorders>
          </w:tcPr>
          <w:p>
            <w:pPr>
              <w:spacing w:after="0"/>
              <w:rPr>
                <w:sz w:val="12"/>
                <w:szCs w:val="12"/>
                <w:color w:val="auto"/>
              </w:rPr>
            </w:pPr>
          </w:p>
        </w:tc>
        <w:tc>
          <w:tcPr>
            <w:tcW w:w="46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60"/>
              <w:spacing w:after="0" w:line="141" w:lineRule="exact"/>
              <w:rPr>
                <w:sz w:val="20"/>
                <w:szCs w:val="20"/>
                <w:color w:val="auto"/>
              </w:rPr>
            </w:pPr>
            <w:r>
              <w:rPr>
                <w:rFonts w:ascii="Arial" w:cs="Arial" w:eastAsia="Arial" w:hAnsi="Arial"/>
                <w:sz w:val="13"/>
                <w:szCs w:val="13"/>
                <w:b w:val="1"/>
                <w:bCs w:val="1"/>
                <w:color w:val="auto"/>
              </w:rPr>
              <w:t>2021</w:t>
            </w:r>
          </w:p>
        </w:tc>
        <w:tc>
          <w:tcPr>
            <w:tcW w:w="26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79"/>
              <w:spacing w:after="0" w:line="141" w:lineRule="exact"/>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9"/>
              <w:spacing w:after="0" w:line="141" w:lineRule="exact"/>
              <w:rPr>
                <w:sz w:val="20"/>
                <w:szCs w:val="20"/>
                <w:color w:val="auto"/>
              </w:rPr>
            </w:pPr>
            <w:r>
              <w:rPr>
                <w:rFonts w:ascii="Arial" w:cs="Arial" w:eastAsia="Arial" w:hAnsi="Arial"/>
                <w:sz w:val="13"/>
                <w:szCs w:val="13"/>
                <w:b w:val="1"/>
                <w:bCs w:val="1"/>
                <w:color w:val="auto"/>
              </w:rPr>
              <w:t>Change</w:t>
            </w:r>
          </w:p>
        </w:tc>
        <w:tc>
          <w:tcPr>
            <w:tcW w:w="26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80"/>
              <w:spacing w:after="0" w:line="141" w:lineRule="exact"/>
              <w:rPr>
                <w:sz w:val="20"/>
                <w:szCs w:val="20"/>
                <w:color w:val="auto"/>
              </w:rPr>
            </w:pPr>
            <w:r>
              <w:rPr>
                <w:rFonts w:ascii="Arial" w:cs="Arial" w:eastAsia="Arial" w:hAnsi="Arial"/>
                <w:sz w:val="13"/>
                <w:szCs w:val="13"/>
                <w:b w:val="1"/>
                <w:bCs w:val="1"/>
                <w:color w:val="auto"/>
              </w:rPr>
              <w:t>2021</w:t>
            </w:r>
          </w:p>
        </w:tc>
        <w:tc>
          <w:tcPr>
            <w:tcW w:w="24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79"/>
              <w:spacing w:after="0" w:line="141" w:lineRule="exact"/>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9"/>
              <w:spacing w:after="0" w:line="141" w:lineRule="exact"/>
              <w:rPr>
                <w:sz w:val="20"/>
                <w:szCs w:val="20"/>
                <w:color w:val="auto"/>
              </w:rPr>
            </w:pPr>
            <w:r>
              <w:rPr>
                <w:rFonts w:ascii="Arial" w:cs="Arial" w:eastAsia="Arial" w:hAnsi="Arial"/>
                <w:sz w:val="13"/>
                <w:szCs w:val="13"/>
                <w:b w:val="1"/>
                <w:bCs w:val="1"/>
                <w:color w:val="auto"/>
              </w:rPr>
              <w:t>Change</w:t>
            </w:r>
          </w:p>
        </w:tc>
        <w:tc>
          <w:tcPr>
            <w:tcW w:w="100" w:type="dxa"/>
            <w:vAlign w:val="bottom"/>
            <w:tcBorders>
              <w:bottom w:val="single" w:sz="8" w:color="CFF0FC"/>
            </w:tcBorders>
          </w:tcPr>
          <w:p>
            <w:pPr>
              <w:spacing w:after="0"/>
              <w:rPr>
                <w:sz w:val="12"/>
                <w:szCs w:val="12"/>
                <w:color w:val="auto"/>
              </w:rPr>
            </w:pPr>
          </w:p>
        </w:tc>
      </w:tr>
      <w:tr>
        <w:trPr>
          <w:trHeight w:val="203"/>
        </w:trPr>
        <w:tc>
          <w:tcPr>
            <w:tcW w:w="2460" w:type="dxa"/>
            <w:vAlign w:val="bottom"/>
            <w:shd w:val="clear" w:color="auto" w:fill="CFF0FC"/>
          </w:tcPr>
          <w:p>
            <w:pPr>
              <w:spacing w:after="0"/>
              <w:rPr>
                <w:sz w:val="20"/>
                <w:szCs w:val="20"/>
                <w:color w:val="auto"/>
              </w:rPr>
            </w:pPr>
            <w:r>
              <w:rPr>
                <w:rFonts w:ascii="Arial" w:cs="Arial" w:eastAsia="Arial" w:hAnsi="Arial"/>
                <w:sz w:val="17"/>
                <w:szCs w:val="17"/>
                <w:color w:val="auto"/>
              </w:rPr>
              <w:t>Operating expenses:</w:t>
            </w:r>
          </w:p>
        </w:tc>
        <w:tc>
          <w:tcPr>
            <w:tcW w:w="4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0"/>
        </w:trPr>
        <w:tc>
          <w:tcPr>
            <w:tcW w:w="2460" w:type="dxa"/>
            <w:vAlign w:val="bottom"/>
          </w:tcPr>
          <w:p>
            <w:pPr>
              <w:ind w:left="220"/>
              <w:spacing w:after="0"/>
              <w:rPr>
                <w:sz w:val="20"/>
                <w:szCs w:val="20"/>
                <w:color w:val="auto"/>
              </w:rPr>
            </w:pPr>
            <w:r>
              <w:rPr>
                <w:rFonts w:ascii="Arial" w:cs="Arial" w:eastAsia="Arial" w:hAnsi="Arial"/>
                <w:sz w:val="17"/>
                <w:szCs w:val="17"/>
                <w:color w:val="auto"/>
              </w:rPr>
              <w:t>Research and development</w:t>
            </w:r>
          </w:p>
        </w:tc>
        <w:tc>
          <w:tcPr>
            <w:tcW w:w="720" w:type="dxa"/>
            <w:vAlign w:val="bottom"/>
            <w:gridSpan w:val="2"/>
          </w:tcPr>
          <w:p>
            <w:pPr>
              <w:jc w:val="right"/>
              <w:ind w:right="103"/>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16,616</w:t>
            </w:r>
          </w:p>
        </w:tc>
        <w:tc>
          <w:tcPr>
            <w:tcW w:w="26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9,828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6,788</w:t>
            </w:r>
          </w:p>
        </w:tc>
        <w:tc>
          <w:tcPr>
            <w:tcW w:w="26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46,111</w:t>
            </w:r>
          </w:p>
        </w:tc>
        <w:tc>
          <w:tcPr>
            <w:tcW w:w="240" w:type="dxa"/>
            <w:vAlign w:val="bottom"/>
          </w:tcPr>
          <w:p>
            <w:pPr>
              <w:spacing w:after="0"/>
              <w:rPr>
                <w:sz w:val="18"/>
                <w:szCs w:val="18"/>
                <w:color w:val="auto"/>
              </w:rPr>
            </w:pPr>
          </w:p>
        </w:tc>
        <w:tc>
          <w:tcPr>
            <w:tcW w:w="280" w:type="dxa"/>
            <w:vAlign w:val="bottom"/>
          </w:tcPr>
          <w:p>
            <w:pPr>
              <w:jc w:val="right"/>
              <w:ind w:right="97"/>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24,950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21,161</w:t>
            </w:r>
          </w:p>
        </w:tc>
        <w:tc>
          <w:tcPr>
            <w:tcW w:w="100" w:type="dxa"/>
            <w:vAlign w:val="bottom"/>
          </w:tcPr>
          <w:p>
            <w:pPr>
              <w:spacing w:after="0"/>
              <w:rPr>
                <w:sz w:val="18"/>
                <w:szCs w:val="18"/>
                <w:color w:val="auto"/>
              </w:rPr>
            </w:pPr>
          </w:p>
        </w:tc>
      </w:tr>
      <w:tr>
        <w:trPr>
          <w:trHeight w:val="211"/>
        </w:trPr>
        <w:tc>
          <w:tcPr>
            <w:tcW w:w="24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General and administrative</w:t>
            </w:r>
          </w:p>
        </w:tc>
        <w:tc>
          <w:tcPr>
            <w:tcW w:w="46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5,812</w:t>
            </w:r>
          </w:p>
        </w:tc>
        <w:tc>
          <w:tcPr>
            <w:tcW w:w="26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3,918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1,894</w:t>
            </w:r>
          </w:p>
        </w:tc>
        <w:tc>
          <w:tcPr>
            <w:tcW w:w="26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17,431</w:t>
            </w:r>
          </w:p>
        </w:tc>
        <w:tc>
          <w:tcPr>
            <w:tcW w:w="2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8,560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8,871</w:t>
            </w:r>
          </w:p>
        </w:tc>
        <w:tc>
          <w:tcPr>
            <w:tcW w:w="100" w:type="dxa"/>
            <w:vAlign w:val="bottom"/>
            <w:shd w:val="clear" w:color="auto" w:fill="CFF0FC"/>
          </w:tcPr>
          <w:p>
            <w:pPr>
              <w:spacing w:after="0"/>
              <w:rPr>
                <w:sz w:val="18"/>
                <w:szCs w:val="18"/>
                <w:color w:val="auto"/>
              </w:rPr>
            </w:pPr>
          </w:p>
        </w:tc>
      </w:tr>
      <w:tr>
        <w:trPr>
          <w:trHeight w:val="202"/>
        </w:trPr>
        <w:tc>
          <w:tcPr>
            <w:tcW w:w="24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Total operating expenses</w:t>
            </w:r>
          </w:p>
        </w:tc>
        <w:tc>
          <w:tcPr>
            <w:tcW w:w="46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22,428</w:t>
            </w:r>
          </w:p>
        </w:tc>
        <w:tc>
          <w:tcPr>
            <w:tcW w:w="26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13,746</w:t>
            </w:r>
          </w:p>
        </w:tc>
        <w:tc>
          <w:tcPr>
            <w:tcW w:w="10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8,682</w:t>
            </w:r>
          </w:p>
        </w:tc>
        <w:tc>
          <w:tcPr>
            <w:tcW w:w="26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63,542</w:t>
            </w:r>
          </w:p>
        </w:tc>
        <w:tc>
          <w:tcPr>
            <w:tcW w:w="24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33,510</w:t>
            </w:r>
          </w:p>
        </w:tc>
        <w:tc>
          <w:tcPr>
            <w:tcW w:w="10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30,032</w:t>
            </w:r>
          </w:p>
        </w:tc>
        <w:tc>
          <w:tcPr>
            <w:tcW w:w="100" w:type="dxa"/>
            <w:vAlign w:val="bottom"/>
            <w:tcBorders>
              <w:bottom w:val="single" w:sz="8" w:color="CFF0FC"/>
            </w:tcBorders>
          </w:tcPr>
          <w:p>
            <w:pPr>
              <w:spacing w:after="0"/>
              <w:rPr>
                <w:sz w:val="17"/>
                <w:szCs w:val="17"/>
                <w:color w:val="auto"/>
              </w:rPr>
            </w:pPr>
          </w:p>
        </w:tc>
      </w:tr>
      <w:tr>
        <w:trPr>
          <w:trHeight w:val="204"/>
        </w:trPr>
        <w:tc>
          <w:tcPr>
            <w:tcW w:w="2460" w:type="dxa"/>
            <w:vAlign w:val="bottom"/>
            <w:shd w:val="clear" w:color="auto" w:fill="CFF0FC"/>
          </w:tcPr>
          <w:p>
            <w:pPr>
              <w:spacing w:after="0"/>
              <w:rPr>
                <w:sz w:val="20"/>
                <w:szCs w:val="20"/>
                <w:color w:val="auto"/>
              </w:rPr>
            </w:pPr>
            <w:r>
              <w:rPr>
                <w:rFonts w:ascii="Arial" w:cs="Arial" w:eastAsia="Arial" w:hAnsi="Arial"/>
                <w:sz w:val="17"/>
                <w:szCs w:val="17"/>
                <w:color w:val="auto"/>
              </w:rPr>
              <w:t>Loss from operations</w:t>
            </w:r>
          </w:p>
        </w:tc>
        <w:tc>
          <w:tcPr>
            <w:tcW w:w="4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(22,428)</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(13,746)</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(8,682)</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(63,542)</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(33,510)</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(30,032)</w:t>
            </w:r>
          </w:p>
        </w:tc>
        <w:tc>
          <w:tcPr>
            <w:tcW w:w="100" w:type="dxa"/>
            <w:vAlign w:val="bottom"/>
            <w:shd w:val="clear" w:color="auto" w:fill="CFF0FC"/>
          </w:tcPr>
          <w:p>
            <w:pPr>
              <w:spacing w:after="0"/>
              <w:rPr>
                <w:sz w:val="17"/>
                <w:szCs w:val="17"/>
                <w:color w:val="auto"/>
              </w:rPr>
            </w:pPr>
          </w:p>
        </w:tc>
      </w:tr>
      <w:tr>
        <w:trPr>
          <w:trHeight w:val="210"/>
        </w:trPr>
        <w:tc>
          <w:tcPr>
            <w:tcW w:w="246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24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Change in fair value of</w:t>
            </w:r>
          </w:p>
        </w:tc>
        <w:tc>
          <w:tcPr>
            <w:tcW w:w="4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98"/>
        </w:trPr>
        <w:tc>
          <w:tcPr>
            <w:tcW w:w="2460" w:type="dxa"/>
            <w:vAlign w:val="bottom"/>
            <w:shd w:val="clear" w:color="auto" w:fill="CFF0FC"/>
          </w:tcPr>
          <w:p>
            <w:pPr>
              <w:ind w:left="340"/>
              <w:spacing w:after="0"/>
              <w:rPr>
                <w:sz w:val="20"/>
                <w:szCs w:val="20"/>
                <w:color w:val="auto"/>
              </w:rPr>
            </w:pPr>
            <w:r>
              <w:rPr>
                <w:rFonts w:ascii="Arial" w:cs="Arial" w:eastAsia="Arial" w:hAnsi="Arial"/>
                <w:sz w:val="17"/>
                <w:szCs w:val="17"/>
                <w:color w:val="auto"/>
              </w:rPr>
              <w:t>preferred stock purchase</w:t>
            </w:r>
          </w:p>
        </w:tc>
        <w:tc>
          <w:tcPr>
            <w:tcW w:w="4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1"/>
        </w:trPr>
        <w:tc>
          <w:tcPr>
            <w:tcW w:w="2460" w:type="dxa"/>
            <w:vAlign w:val="bottom"/>
            <w:shd w:val="clear" w:color="auto" w:fill="CFF0FC"/>
          </w:tcPr>
          <w:p>
            <w:pPr>
              <w:ind w:left="340"/>
              <w:spacing w:after="0"/>
              <w:rPr>
                <w:sz w:val="20"/>
                <w:szCs w:val="20"/>
                <w:color w:val="auto"/>
              </w:rPr>
            </w:pPr>
            <w:r>
              <w:rPr>
                <w:rFonts w:ascii="Arial" w:cs="Arial" w:eastAsia="Arial" w:hAnsi="Arial"/>
                <w:sz w:val="17"/>
                <w:szCs w:val="17"/>
                <w:color w:val="auto"/>
              </w:rPr>
              <w:t>right liability</w:t>
            </w:r>
          </w:p>
        </w:tc>
        <w:tc>
          <w:tcPr>
            <w:tcW w:w="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(40,163)</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40,163</w:t>
            </w:r>
          </w:p>
        </w:tc>
        <w:tc>
          <w:tcPr>
            <w:tcW w:w="100" w:type="dxa"/>
            <w:vAlign w:val="bottom"/>
            <w:shd w:val="clear" w:color="auto" w:fill="CFF0FC"/>
          </w:tcPr>
          <w:p>
            <w:pPr>
              <w:spacing w:after="0"/>
              <w:rPr>
                <w:sz w:val="18"/>
                <w:szCs w:val="18"/>
                <w:color w:val="auto"/>
              </w:rPr>
            </w:pPr>
          </w:p>
        </w:tc>
      </w:tr>
      <w:tr>
        <w:trPr>
          <w:trHeight w:val="210"/>
        </w:trPr>
        <w:tc>
          <w:tcPr>
            <w:tcW w:w="2460" w:type="dxa"/>
            <w:vAlign w:val="bottom"/>
          </w:tcPr>
          <w:p>
            <w:pPr>
              <w:ind w:left="220"/>
              <w:spacing w:after="0"/>
              <w:rPr>
                <w:sz w:val="20"/>
                <w:szCs w:val="20"/>
                <w:color w:val="auto"/>
              </w:rPr>
            </w:pPr>
            <w:r>
              <w:rPr>
                <w:rFonts w:ascii="Arial" w:cs="Arial" w:eastAsia="Arial" w:hAnsi="Arial"/>
                <w:sz w:val="17"/>
                <w:szCs w:val="17"/>
                <w:color w:val="auto"/>
              </w:rPr>
              <w:t>Interest income</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(125)</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295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(63)</w:t>
            </w:r>
          </w:p>
        </w:tc>
      </w:tr>
      <w:tr>
        <w:trPr>
          <w:trHeight w:val="211"/>
        </w:trPr>
        <w:tc>
          <w:tcPr>
            <w:tcW w:w="24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Other expense, net</w:t>
            </w:r>
          </w:p>
        </w:tc>
        <w:tc>
          <w:tcPr>
            <w:tcW w:w="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(6)</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(153)</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147</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(14)</w:t>
            </w:r>
          </w:p>
        </w:tc>
        <w:tc>
          <w:tcPr>
            <w:tcW w:w="2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(149)</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135</w:t>
            </w:r>
          </w:p>
        </w:tc>
        <w:tc>
          <w:tcPr>
            <w:tcW w:w="100" w:type="dxa"/>
            <w:vAlign w:val="bottom"/>
            <w:shd w:val="clear" w:color="auto" w:fill="CFF0FC"/>
          </w:tcPr>
          <w:p>
            <w:pPr>
              <w:spacing w:after="0"/>
              <w:rPr>
                <w:sz w:val="18"/>
                <w:szCs w:val="18"/>
                <w:color w:val="auto"/>
              </w:rPr>
            </w:pPr>
          </w:p>
        </w:tc>
      </w:tr>
      <w:tr>
        <w:trPr>
          <w:trHeight w:val="191"/>
        </w:trPr>
        <w:tc>
          <w:tcPr>
            <w:tcW w:w="2460" w:type="dxa"/>
            <w:vAlign w:val="bottom"/>
          </w:tcPr>
          <w:p>
            <w:pPr>
              <w:spacing w:after="0" w:line="190" w:lineRule="exact"/>
              <w:rPr>
                <w:sz w:val="20"/>
                <w:szCs w:val="20"/>
                <w:color w:val="auto"/>
              </w:rPr>
            </w:pPr>
            <w:r>
              <w:rPr>
                <w:rFonts w:ascii="Arial" w:cs="Arial" w:eastAsia="Arial" w:hAnsi="Arial"/>
                <w:sz w:val="17"/>
                <w:szCs w:val="17"/>
                <w:color w:val="auto"/>
              </w:rPr>
              <w:t>Total other income</w:t>
            </w:r>
          </w:p>
        </w:tc>
        <w:tc>
          <w:tcPr>
            <w:tcW w:w="4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2460" w:type="dxa"/>
            <w:vAlign w:val="bottom"/>
          </w:tcPr>
          <w:p>
            <w:pPr>
              <w:ind w:left="120"/>
              <w:spacing w:after="0"/>
              <w:rPr>
                <w:sz w:val="20"/>
                <w:szCs w:val="20"/>
                <w:color w:val="auto"/>
              </w:rPr>
            </w:pPr>
            <w:r>
              <w:rPr>
                <w:rFonts w:ascii="Arial" w:cs="Arial" w:eastAsia="Arial" w:hAnsi="Arial"/>
                <w:sz w:val="17"/>
                <w:szCs w:val="17"/>
                <w:color w:val="auto"/>
              </w:rPr>
              <w:t>(expense), net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281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(39,954)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40,235</w:t>
            </w:r>
          </w:p>
        </w:tc>
        <w:tc>
          <w:tcPr>
            <w:tcW w:w="100" w:type="dxa"/>
            <w:vAlign w:val="bottom"/>
          </w:tcPr>
          <w:p>
            <w:pPr>
              <w:spacing w:after="0"/>
              <w:rPr>
                <w:sz w:val="18"/>
                <w:szCs w:val="18"/>
                <w:color w:val="auto"/>
              </w:rPr>
            </w:pPr>
          </w:p>
        </w:tc>
      </w:tr>
      <w:tr>
        <w:trPr>
          <w:trHeight w:val="203"/>
        </w:trPr>
        <w:tc>
          <w:tcPr>
            <w:tcW w:w="2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loss</w:t>
            </w:r>
          </w:p>
        </w:tc>
        <w:tc>
          <w:tcPr>
            <w:tcW w:w="460" w:type="dxa"/>
            <w:vAlign w:val="bottom"/>
            <w:tcBorders>
              <w:top w:val="single" w:sz="8" w:color="CFF0FC"/>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(22,353)</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(13,693)</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(8,660)</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(63,261)</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97"/>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(73,464)</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10,203</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2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Comparison of the Three and Nine Months Ended September 30, 2021 and 2020</w:t>
      </w:r>
    </w:p>
    <w:p>
      <w:pPr>
        <w:spacing w:after="0" w:line="197" w:lineRule="exact"/>
        <w:rPr>
          <w:sz w:val="20"/>
          <w:szCs w:val="20"/>
          <w:color w:val="auto"/>
        </w:rPr>
      </w:pPr>
    </w:p>
    <w:p>
      <w:pPr>
        <w:ind w:right="20" w:firstLine="511"/>
        <w:spacing w:after="0" w:line="247" w:lineRule="auto"/>
        <w:rPr>
          <w:sz w:val="20"/>
          <w:szCs w:val="20"/>
          <w:color w:val="auto"/>
        </w:rPr>
      </w:pPr>
      <w:r>
        <w:rPr>
          <w:rFonts w:ascii="Arial" w:cs="Arial" w:eastAsia="Arial" w:hAnsi="Arial"/>
          <w:sz w:val="17"/>
          <w:szCs w:val="17"/>
          <w:b w:val="1"/>
          <w:bCs w:val="1"/>
          <w:color w:val="auto"/>
        </w:rPr>
        <w:t>Research and development expenses</w:t>
      </w:r>
      <w:r>
        <w:rPr>
          <w:rFonts w:ascii="Arial" w:cs="Arial" w:eastAsia="Arial" w:hAnsi="Arial"/>
          <w:sz w:val="17"/>
          <w:szCs w:val="17"/>
          <w:color w:val="auto"/>
        </w:rPr>
        <w:t>. Research and development expenses were $16.6 million and $9.8 million for the three months ended September 30, 2021</w:t>
      </w:r>
      <w:r>
        <w:rPr>
          <w:rFonts w:ascii="Arial" w:cs="Arial" w:eastAsia="Arial" w:hAnsi="Arial"/>
          <w:sz w:val="17"/>
          <w:szCs w:val="17"/>
          <w:b w:val="1"/>
          <w:bCs w:val="1"/>
          <w:color w:val="auto"/>
        </w:rPr>
        <w:t xml:space="preserve"> </w:t>
      </w:r>
      <w:r>
        <w:rPr>
          <w:rFonts w:ascii="Arial" w:cs="Arial" w:eastAsia="Arial" w:hAnsi="Arial"/>
          <w:sz w:val="17"/>
          <w:szCs w:val="17"/>
          <w:color w:val="auto"/>
        </w:rPr>
        <w:t>and 2020, respectively. The increase of $6.8 million was primarily due to an increase in personnel costs of $3.0 million, including an increase in share-based compensation expense of $1.0 million as a result of continued growth in headcount, an increase of $3.9 million in program costs primarily relating to NKX101 and NKX019 and $0.7 million in other internal research costs, primarily consisting of research and laboratory supplies and facilities expenses, offset by $0.9 million in partner cost sharing reimbursable expenses. The increase in program costs relating to NKX101 and NKX019 is primarily due to additional clinical development activities compared to the prior year period.</w:t>
      </w:r>
    </w:p>
    <w:p>
      <w:pPr>
        <w:spacing w:after="0" w:line="185" w:lineRule="exact"/>
        <w:rPr>
          <w:sz w:val="20"/>
          <w:szCs w:val="20"/>
          <w:color w:val="auto"/>
        </w:rPr>
      </w:pPr>
    </w:p>
    <w:p>
      <w:pPr>
        <w:ind w:right="60" w:firstLine="511"/>
        <w:spacing w:after="0" w:line="246" w:lineRule="auto"/>
        <w:rPr>
          <w:sz w:val="20"/>
          <w:szCs w:val="20"/>
          <w:color w:val="auto"/>
        </w:rPr>
      </w:pPr>
      <w:r>
        <w:rPr>
          <w:rFonts w:ascii="Arial" w:cs="Arial" w:eastAsia="Arial" w:hAnsi="Arial"/>
          <w:sz w:val="17"/>
          <w:szCs w:val="17"/>
          <w:color w:val="auto"/>
        </w:rPr>
        <w:t>Research and development expenses were $46.1 million and $25.0 million for the nine months ended September 30, 2021 and 2020, respectively. The increase of $21.1 million was primarily due to an increase in personnel costs of $10.1 million, including an increase in share-based compensation expense of $3.9 million as a result of continued growth in headcount, an increase of $8.2 million in program costs primarily relating to NKX101 and NKX019 and $4.0 million in other internal research costs, primarily consisting of research and laboratory supplies and facilities expenses, offset by $1.2 million in partner cost sharing reimbursable expenses. The increase in program costs relating to NKX101 and NKX019 is primarily due to additional clinical development activities compared to the prior year period. We expect our research and development expenses will continue to increase in future periods as we progress our product candidates and conduct our clinical trials and development activities.</w:t>
      </w:r>
    </w:p>
    <w:p>
      <w:pPr>
        <w:spacing w:after="0" w:line="179" w:lineRule="exact"/>
        <w:rPr>
          <w:sz w:val="20"/>
          <w:szCs w:val="20"/>
          <w:color w:val="auto"/>
        </w:rPr>
      </w:pPr>
    </w:p>
    <w:p>
      <w:pPr>
        <w:ind w:right="100" w:firstLine="511"/>
        <w:spacing w:after="0" w:line="250" w:lineRule="auto"/>
        <w:rPr>
          <w:sz w:val="20"/>
          <w:szCs w:val="20"/>
          <w:color w:val="auto"/>
        </w:rPr>
      </w:pPr>
      <w:r>
        <w:rPr>
          <w:rFonts w:ascii="Arial" w:cs="Arial" w:eastAsia="Arial" w:hAnsi="Arial"/>
          <w:sz w:val="17"/>
          <w:szCs w:val="17"/>
          <w:b w:val="1"/>
          <w:bCs w:val="1"/>
          <w:color w:val="auto"/>
        </w:rPr>
        <w:t>General and administrative expenses</w:t>
      </w:r>
      <w:r>
        <w:rPr>
          <w:rFonts w:ascii="Arial" w:cs="Arial" w:eastAsia="Arial" w:hAnsi="Arial"/>
          <w:sz w:val="17"/>
          <w:szCs w:val="17"/>
          <w:color w:val="auto"/>
        </w:rPr>
        <w:t>. General and administrative expenses were $5.8 million and $3.9 million for the three months ended September 30, 2021</w:t>
      </w:r>
      <w:r>
        <w:rPr>
          <w:rFonts w:ascii="Arial" w:cs="Arial" w:eastAsia="Arial" w:hAnsi="Arial"/>
          <w:sz w:val="17"/>
          <w:szCs w:val="17"/>
          <w:b w:val="1"/>
          <w:bCs w:val="1"/>
          <w:color w:val="auto"/>
        </w:rPr>
        <w:t xml:space="preserve"> </w:t>
      </w:r>
      <w:r>
        <w:rPr>
          <w:rFonts w:ascii="Arial" w:cs="Arial" w:eastAsia="Arial" w:hAnsi="Arial"/>
          <w:sz w:val="17"/>
          <w:szCs w:val="17"/>
          <w:color w:val="auto"/>
        </w:rPr>
        <w:t>and 2020, respectively. The increase of $1.9 million was primarily due to an increase in personnel costs of $1.8 million, including an increase of $1.1 million in share-based compensation expense as a result of continued growth in headcount, and a $0.1 million increase in other general and administrative expenses that included insurance, rent, depreciation expense and other facilities expense.</w:t>
      </w:r>
    </w:p>
    <w:p>
      <w:pPr>
        <w:spacing w:after="0" w:line="181" w:lineRule="exact"/>
        <w:rPr>
          <w:sz w:val="20"/>
          <w:szCs w:val="20"/>
          <w:color w:val="auto"/>
        </w:rPr>
      </w:pPr>
    </w:p>
    <w:p>
      <w:pPr>
        <w:ind w:right="60" w:firstLine="511"/>
        <w:spacing w:after="0" w:line="288" w:lineRule="auto"/>
        <w:rPr>
          <w:sz w:val="20"/>
          <w:szCs w:val="20"/>
          <w:color w:val="auto"/>
        </w:rPr>
      </w:pPr>
      <w:r>
        <w:rPr>
          <w:rFonts w:ascii="Arial" w:cs="Arial" w:eastAsia="Arial" w:hAnsi="Arial"/>
          <w:sz w:val="15"/>
          <w:szCs w:val="15"/>
          <w:color w:val="auto"/>
        </w:rPr>
        <w:t>General and administrative expenses were $17.4 million and $8.6 million for the nine months ended September 30, 2021 and 2020, respectively. The increase of $8.9 million was primarily due to an increase in personnel costs of $5.9 million, including an increase of $4.2 million in share-based compensation expense as a result of continued growth in headcount, a $1.1 million increase in professional services related to accounting services, corporate legal fees, other consulting and patent legal fees, and a $1.9 million increase in other general and administrative expenses that included insurance, rent, depreciation expense and other facilities expense. We expect to incur additional expenses as a result of being a public company following the completion of our IPO in July 2020, which</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4" w:name="page25"/>
    <w:bookmarkEnd w:id="24"/>
    <w:p>
      <w:pPr>
        <w:spacing w:after="0" w:line="251" w:lineRule="auto"/>
        <w:rPr>
          <w:sz w:val="20"/>
          <w:szCs w:val="20"/>
          <w:color w:val="auto"/>
        </w:rPr>
      </w:pPr>
      <w:r>
        <w:rPr>
          <w:rFonts w:ascii="Arial" w:cs="Arial" w:eastAsia="Arial" w:hAnsi="Arial"/>
          <w:sz w:val="17"/>
          <w:szCs w:val="17"/>
          <w:color w:val="auto"/>
        </w:rPr>
        <w:t>we expect will further increase when we no longer qualify as an “emerging growth company” under the JOBS Act. In addition, we have incurred and expect to continue to incur increased expenses related to additional insurance, investor relations and other increases related to needs for additional human resources and professional services associated with being a public company.</w:t>
      </w:r>
    </w:p>
    <w:p>
      <w:pPr>
        <w:spacing w:after="0" w:line="176" w:lineRule="exact"/>
        <w:rPr>
          <w:sz w:val="20"/>
          <w:szCs w:val="20"/>
          <w:color w:val="auto"/>
        </w:rPr>
      </w:pPr>
    </w:p>
    <w:p>
      <w:pPr>
        <w:ind w:right="20" w:firstLine="511"/>
        <w:spacing w:after="0" w:line="285" w:lineRule="auto"/>
        <w:rPr>
          <w:sz w:val="20"/>
          <w:szCs w:val="20"/>
          <w:color w:val="auto"/>
        </w:rPr>
      </w:pPr>
      <w:r>
        <w:rPr>
          <w:rFonts w:ascii="Arial" w:cs="Arial" w:eastAsia="Arial" w:hAnsi="Arial"/>
          <w:sz w:val="15"/>
          <w:szCs w:val="15"/>
          <w:b w:val="1"/>
          <w:bCs w:val="1"/>
          <w:color w:val="auto"/>
        </w:rPr>
        <w:t>Change in fair value of preferred stock purchase right liability</w:t>
      </w:r>
      <w:r>
        <w:rPr>
          <w:rFonts w:ascii="Arial" w:cs="Arial" w:eastAsia="Arial" w:hAnsi="Arial"/>
          <w:sz w:val="15"/>
          <w:szCs w:val="15"/>
          <w:color w:val="auto"/>
        </w:rPr>
        <w:t>. We recognized a remeasurement adjustment for the change in fair value of preferred stock</w:t>
      </w:r>
      <w:r>
        <w:rPr>
          <w:rFonts w:ascii="Arial" w:cs="Arial" w:eastAsia="Arial" w:hAnsi="Arial"/>
          <w:sz w:val="15"/>
          <w:szCs w:val="15"/>
          <w:b w:val="1"/>
          <w:bCs w:val="1"/>
          <w:color w:val="auto"/>
        </w:rPr>
        <w:t xml:space="preserve"> </w:t>
      </w:r>
      <w:r>
        <w:rPr>
          <w:rFonts w:ascii="Arial" w:cs="Arial" w:eastAsia="Arial" w:hAnsi="Arial"/>
          <w:sz w:val="15"/>
          <w:szCs w:val="15"/>
          <w:color w:val="auto"/>
        </w:rPr>
        <w:t>purchase right liability of nil and $40.2 million in other expense for the three and nine months ended September 30, 2020, respectively. This remeasurement adjustment was related to the Series B Preferred Stock Purchase Agreement entered into in August 2019, which contained future purchase rights that were required to be accounted for as liabilities and remeasured to fair value at each reporting date, with any change in the fair value reported as a component of other expense, net. Upon the completion of the Series B Milestone Closing in July 2020, which resulted in the issuance of 27,066,206 shares of our Series B convertible preferred stock for an aggregate gross proceeds of $64.4 million, the final remeasurement adjustment of the preferred stock purchase right liability was recorded and reclassified to additional paid-in capital on the balance sheet upon the exercise of the preferred stock purchase right.</w:t>
      </w:r>
    </w:p>
    <w:p>
      <w:pPr>
        <w:spacing w:after="0" w:line="152" w:lineRule="exact"/>
        <w:rPr>
          <w:sz w:val="20"/>
          <w:szCs w:val="20"/>
          <w:color w:val="auto"/>
        </w:rPr>
      </w:pPr>
    </w:p>
    <w:p>
      <w:pPr>
        <w:jc w:val="both"/>
        <w:ind w:right="400" w:firstLine="511"/>
        <w:spacing w:after="0" w:line="254" w:lineRule="auto"/>
        <w:rPr>
          <w:sz w:val="20"/>
          <w:szCs w:val="20"/>
          <w:color w:val="auto"/>
        </w:rPr>
      </w:pPr>
      <w:r>
        <w:rPr>
          <w:rFonts w:ascii="Arial" w:cs="Arial" w:eastAsia="Arial" w:hAnsi="Arial"/>
          <w:sz w:val="17"/>
          <w:szCs w:val="17"/>
          <w:b w:val="1"/>
          <w:bCs w:val="1"/>
          <w:color w:val="auto"/>
        </w:rPr>
        <w:t>Interest income</w:t>
      </w:r>
      <w:r>
        <w:rPr>
          <w:rFonts w:ascii="Arial" w:cs="Arial" w:eastAsia="Arial" w:hAnsi="Arial"/>
          <w:sz w:val="17"/>
          <w:szCs w:val="17"/>
          <w:color w:val="auto"/>
        </w:rPr>
        <w:t>. Interest income was $0.1 million and $0.2 million for the three months ended September 30, 2021 and 2020, respectively. The decrease in</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 income was due amortization of purchase premiums and accretion of discounts of short-term investments, partially offset by interest earned from short-term investments.</w:t>
      </w:r>
    </w:p>
    <w:p>
      <w:pPr>
        <w:spacing w:after="0" w:line="176" w:lineRule="exact"/>
        <w:rPr>
          <w:sz w:val="20"/>
          <w:szCs w:val="20"/>
          <w:color w:val="auto"/>
        </w:rPr>
      </w:pPr>
    </w:p>
    <w:p>
      <w:pPr>
        <w:ind w:right="260" w:firstLine="511"/>
        <w:spacing w:after="0" w:line="326" w:lineRule="auto"/>
        <w:rPr>
          <w:sz w:val="20"/>
          <w:szCs w:val="20"/>
          <w:color w:val="auto"/>
        </w:rPr>
      </w:pPr>
      <w:r>
        <w:rPr>
          <w:rFonts w:ascii="Arial" w:cs="Arial" w:eastAsia="Arial" w:hAnsi="Arial"/>
          <w:sz w:val="15"/>
          <w:szCs w:val="15"/>
          <w:color w:val="auto"/>
        </w:rPr>
        <w:t>Interest income was $0.3 million and $0.4 million for the nine months ended September 30, 2021 and 2020, respectively. The decrease in interest income was due to amortization of purchase premiums and accretion of discounts of short-term investments, partially offset by interest earned from short-term investments.</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Liquidity and Capital Resources</w:t>
      </w:r>
    </w:p>
    <w:p>
      <w:pPr>
        <w:spacing w:after="0" w:line="106"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201" w:lineRule="exact"/>
        <w:rPr>
          <w:sz w:val="20"/>
          <w:szCs w:val="20"/>
          <w:color w:val="auto"/>
        </w:rPr>
      </w:pPr>
    </w:p>
    <w:p>
      <w:pPr>
        <w:ind w:right="80" w:firstLine="511"/>
        <w:spacing w:after="0" w:line="288" w:lineRule="auto"/>
        <w:rPr>
          <w:sz w:val="20"/>
          <w:szCs w:val="20"/>
          <w:color w:val="auto"/>
        </w:rPr>
      </w:pPr>
      <w:r>
        <w:rPr>
          <w:rFonts w:ascii="Arial" w:cs="Arial" w:eastAsia="Arial" w:hAnsi="Arial"/>
          <w:sz w:val="15"/>
          <w:szCs w:val="15"/>
          <w:color w:val="auto"/>
        </w:rPr>
        <w:t>As of September 30, 2021, we had cash, cash equivalents, restricted cash and short-term investments of $259.8 million. In connection with our IPO which closed on July 14, 2020, we received $265.1 million in net proceeds, after deducting underwriting discounts and commissions and other offering expenses. We issued and sold 16,100,000 shares of our common stock, including 2,100,000 shares associated with the full exercise of the underwriters’ option to purchase additional shares, at a price to the public of $18.00 per share. On July 1, 2020, we issued 27,066,206 shares of our Series B convertible preferred stock at a price of $2.37935 per share for gross proceeds of $64.4 million in connection with the Series B Milestone Closing.</w:t>
      </w:r>
    </w:p>
    <w:p>
      <w:pPr>
        <w:spacing w:after="0" w:line="155" w:lineRule="exact"/>
        <w:rPr>
          <w:sz w:val="20"/>
          <w:szCs w:val="20"/>
          <w:color w:val="auto"/>
        </w:rPr>
      </w:pPr>
    </w:p>
    <w:p>
      <w:pPr>
        <w:ind w:right="280" w:firstLine="511"/>
        <w:spacing w:after="0" w:line="251" w:lineRule="auto"/>
        <w:rPr>
          <w:sz w:val="20"/>
          <w:szCs w:val="20"/>
          <w:color w:val="auto"/>
        </w:rPr>
      </w:pPr>
      <w:r>
        <w:rPr>
          <w:rFonts w:ascii="Arial" w:cs="Arial" w:eastAsia="Arial" w:hAnsi="Arial"/>
          <w:sz w:val="17"/>
          <w:szCs w:val="17"/>
          <w:color w:val="auto"/>
        </w:rPr>
        <w:t>Prior to our IPO, we funded our operations primarily through the issuance of convertible promissory notes and private placements of our convertible preferred stock with a total gross proceeds of $126.0 million, and from our previous collaboration agreement with GlaxoSmithKline, which terminated in December 2018 of $7.9 million.</w:t>
      </w:r>
    </w:p>
    <w:p>
      <w:pPr>
        <w:spacing w:after="0" w:line="180" w:lineRule="exact"/>
        <w:rPr>
          <w:sz w:val="20"/>
          <w:szCs w:val="20"/>
          <w:color w:val="auto"/>
        </w:rPr>
      </w:pPr>
    </w:p>
    <w:p>
      <w:pPr>
        <w:ind w:firstLine="511"/>
        <w:spacing w:after="0" w:line="286" w:lineRule="auto"/>
        <w:rPr>
          <w:sz w:val="20"/>
          <w:szCs w:val="20"/>
          <w:color w:val="auto"/>
        </w:rPr>
      </w:pPr>
      <w:r>
        <w:rPr>
          <w:rFonts w:ascii="Arial" w:cs="Arial" w:eastAsia="Arial" w:hAnsi="Arial"/>
          <w:sz w:val="15"/>
          <w:szCs w:val="15"/>
          <w:color w:val="auto"/>
        </w:rPr>
        <w:t>On August 12, 2021, we filed a Registration Statement on Form S-3 (the “Shelf Registration Statement”), covering the offer and sale from time to time, pursuant to Rule 415 of the Securities Act of 1933, as amended (the “Securities Act”), of up to $500.0 million in aggregate offering price of shares of our common stock, shares of our preferred stock, debt securities, warrants, and rights and units. The Shelf Registration Statement was declared effective by the SEC on September 2, 2021. The Shelf Registration Statement included a prospectus covering the offer and sale from time to time of up to $150.0 million in aggregate offering price of shares of the Company’s common stock through an “at-the-market” equity offering program under the Securities Act (the “ATM Offering Program”) with Cowen and Company, LLC, as sales agent. As of September 30, 2021, no sales of our common stock had been made pursuant to the ATM Offering Program.</w:t>
      </w:r>
    </w:p>
    <w:p>
      <w:pPr>
        <w:spacing w:after="0" w:line="55" w:lineRule="exact"/>
        <w:rPr>
          <w:sz w:val="20"/>
          <w:szCs w:val="20"/>
          <w:color w:val="auto"/>
        </w:rPr>
      </w:pPr>
    </w:p>
    <w:p>
      <w:pPr>
        <w:ind w:firstLine="511"/>
        <w:spacing w:after="0" w:line="246" w:lineRule="auto"/>
        <w:rPr>
          <w:sz w:val="20"/>
          <w:szCs w:val="20"/>
          <w:color w:val="auto"/>
        </w:rPr>
      </w:pPr>
      <w:r>
        <w:rPr>
          <w:rFonts w:ascii="Arial" w:cs="Arial" w:eastAsia="Arial" w:hAnsi="Arial"/>
          <w:sz w:val="17"/>
          <w:szCs w:val="17"/>
          <w:color w:val="auto"/>
        </w:rPr>
        <w:t>We have incurred net losses and negative cash flows from operations since our inception and anticipate that we will continue to incur net losses for the foreseeable future. We expect to incur substantial expenditures as we develop our product pipeline and advance our drug candidates through clinical development, undergo the regulatory approval process and, if approved, launch commercial activities. Specifically, in the near term we expect to incur substantial expenses relating to initiating and completing our clinical trials, the development and validation of our manufacturing processes, and other development activities. Furthermore, we expect to incur additional costs associated with operating as a public company, including significant legal, accounting, investor relations and other expenses that we did not incur as a private company.</w:t>
      </w:r>
    </w:p>
    <w:p>
      <w:pPr>
        <w:spacing w:after="0" w:line="185" w:lineRule="exact"/>
        <w:rPr>
          <w:sz w:val="20"/>
          <w:szCs w:val="20"/>
          <w:color w:val="auto"/>
        </w:rPr>
      </w:pPr>
    </w:p>
    <w:p>
      <w:pPr>
        <w:ind w:right="40" w:firstLine="511"/>
        <w:spacing w:after="0" w:line="288" w:lineRule="auto"/>
        <w:rPr>
          <w:sz w:val="20"/>
          <w:szCs w:val="20"/>
          <w:color w:val="auto"/>
        </w:rPr>
      </w:pPr>
      <w:r>
        <w:rPr>
          <w:rFonts w:ascii="Arial" w:cs="Arial" w:eastAsia="Arial" w:hAnsi="Arial"/>
          <w:sz w:val="15"/>
          <w:szCs w:val="15"/>
          <w:color w:val="auto"/>
        </w:rPr>
        <w:t>We will need substantial additional funding to support our continuing operations and pursue our development strategy. Until such time as we can generate significant revenue from sales of our drug candidates, if ever, we expect to finance our operations through the sale of equity, including pursuant to our ATM Offering Program, debt financings or other capital sources, including potential collaborations with other companies or other strategic transactions. Adequate funding may not be available to us on acceptable terms, or at all. If we fail to raise capital or enter into such agreements as, and when, needed, we may have to significantly delay, scale back, or discontinue the development and commercialization of our drug candidates or delay our efforts to expand our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25" w:name="page26"/>
    <w:bookmarkEnd w:id="25"/>
    <w:p>
      <w:pPr>
        <w:spacing w:after="0"/>
        <w:rPr>
          <w:sz w:val="20"/>
          <w:szCs w:val="20"/>
          <w:color w:val="auto"/>
        </w:rPr>
      </w:pPr>
      <w:r>
        <w:rPr>
          <w:rFonts w:ascii="Arial" w:cs="Arial" w:eastAsia="Arial" w:hAnsi="Arial"/>
          <w:sz w:val="15"/>
          <w:szCs w:val="15"/>
          <w:color w:val="auto"/>
        </w:rPr>
        <w:t>product pipeline. We may also be required to sell or license to other parties’ rights to develop or commercialize our drug candidates that we would prefer to retain.</w:t>
      </w:r>
    </w:p>
    <w:p>
      <w:pPr>
        <w:spacing w:after="0" w:line="224" w:lineRule="exact"/>
        <w:rPr>
          <w:sz w:val="20"/>
          <w:szCs w:val="20"/>
          <w:color w:val="auto"/>
        </w:rPr>
      </w:pPr>
    </w:p>
    <w:p>
      <w:pPr>
        <w:ind w:right="140" w:firstLine="511"/>
        <w:spacing w:after="0" w:line="260" w:lineRule="auto"/>
        <w:rPr>
          <w:sz w:val="20"/>
          <w:szCs w:val="20"/>
          <w:color w:val="auto"/>
        </w:rPr>
      </w:pPr>
      <w:r>
        <w:rPr>
          <w:rFonts w:ascii="Arial" w:cs="Arial" w:eastAsia="Arial" w:hAnsi="Arial"/>
          <w:sz w:val="17"/>
          <w:szCs w:val="17"/>
          <w:color w:val="auto"/>
        </w:rPr>
        <w:t>We believe that our current cash, cash equivalents, restricted cash and short-term investments as of September 30, 2021 will be sufficient to meet our cash needs for at least 12 months following the issuance date of this Quarterly Report on Form 10-Q.</w:t>
      </w:r>
    </w:p>
    <w:p>
      <w:pPr>
        <w:spacing w:after="0" w:line="270"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Cash Flows</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sets forth a summary of our cash flows for the periods indicated (in thousands):</w:t>
      </w:r>
    </w:p>
    <w:p>
      <w:pPr>
        <w:spacing w:after="0" w:line="206" w:lineRule="exact"/>
        <w:rPr>
          <w:sz w:val="20"/>
          <w:szCs w:val="20"/>
          <w:color w:val="auto"/>
        </w:rPr>
      </w:pPr>
    </w:p>
    <w:p>
      <w:pPr>
        <w:jc w:val="center"/>
        <w:ind w:left="7580"/>
        <w:spacing w:after="0"/>
        <w:rPr>
          <w:sz w:val="20"/>
          <w:szCs w:val="20"/>
          <w:color w:val="auto"/>
        </w:rPr>
      </w:pPr>
      <w:r>
        <w:rPr>
          <w:rFonts w:ascii="Arial" w:cs="Arial" w:eastAsia="Arial" w:hAnsi="Arial"/>
          <w:sz w:val="13"/>
          <w:szCs w:val="13"/>
          <w:b w:val="1"/>
          <w:bCs w:val="1"/>
          <w:color w:val="auto"/>
        </w:rPr>
        <w:t>Nine Months Ended</w:t>
      </w:r>
    </w:p>
    <w:p>
      <w:pPr>
        <w:jc w:val="center"/>
        <w:ind w:left="7580"/>
        <w:spacing w:after="0" w:line="229" w:lineRule="auto"/>
        <w:rPr>
          <w:sz w:val="20"/>
          <w:szCs w:val="20"/>
          <w:color w:val="auto"/>
        </w:rPr>
      </w:pPr>
      <w:r>
        <w:rPr>
          <w:rFonts w:ascii="Arial" w:cs="Arial" w:eastAsia="Arial" w:hAnsi="Arial"/>
          <w:sz w:val="13"/>
          <w:szCs w:val="13"/>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5520" w:type="dxa"/>
            <w:vAlign w:val="bottom"/>
            <w:tcBorders>
              <w:bottom w:val="single" w:sz="8" w:color="CFF0FC"/>
            </w:tcBorders>
          </w:tcPr>
          <w:p>
            <w:pPr>
              <w:spacing w:after="0"/>
              <w:rPr>
                <w:sz w:val="12"/>
                <w:szCs w:val="12"/>
                <w:color w:val="auto"/>
              </w:rPr>
            </w:pPr>
          </w:p>
        </w:tc>
        <w:tc>
          <w:tcPr>
            <w:tcW w:w="2220" w:type="dxa"/>
            <w:vAlign w:val="bottom"/>
            <w:tcBorders>
              <w:bottom w:val="single" w:sz="8" w:color="CFF0FC"/>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3"/>
                <w:szCs w:val="13"/>
                <w:b w:val="1"/>
                <w:bCs w:val="1"/>
                <w:color w:val="auto"/>
              </w:rPr>
              <w:t>2021</w:t>
            </w:r>
          </w:p>
        </w:tc>
        <w:tc>
          <w:tcPr>
            <w:tcW w:w="5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FF0FC"/>
            </w:tcBorders>
          </w:tcPr>
          <w:p>
            <w:pPr>
              <w:spacing w:after="0"/>
              <w:rPr>
                <w:sz w:val="12"/>
                <w:szCs w:val="12"/>
                <w:color w:val="auto"/>
              </w:rPr>
            </w:pPr>
          </w:p>
        </w:tc>
        <w:tc>
          <w:tcPr>
            <w:tcW w:w="20" w:type="dxa"/>
            <w:vAlign w:val="bottom"/>
            <w:tcBorders>
              <w:top w:val="single" w:sz="8" w:color="auto"/>
              <w:bottom w:val="single" w:sz="8" w:color="CFF0FC"/>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61"/>
              <w:spacing w:after="0" w:line="141"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2"/>
                <w:szCs w:val="12"/>
                <w:color w:val="auto"/>
              </w:rPr>
            </w:pPr>
          </w:p>
        </w:tc>
      </w:tr>
      <w:tr>
        <w:trPr>
          <w:trHeight w:val="203"/>
        </w:trPr>
        <w:tc>
          <w:tcPr>
            <w:tcW w:w="5520" w:type="dxa"/>
            <w:vAlign w:val="bottom"/>
            <w:shd w:val="clear" w:color="auto" w:fill="CFF0FC"/>
          </w:tcPr>
          <w:p>
            <w:pPr>
              <w:spacing w:after="0"/>
              <w:rPr>
                <w:sz w:val="20"/>
                <w:szCs w:val="20"/>
                <w:color w:val="auto"/>
              </w:rPr>
            </w:pPr>
            <w:r>
              <w:rPr>
                <w:rFonts w:ascii="Arial" w:cs="Arial" w:eastAsia="Arial" w:hAnsi="Arial"/>
                <w:sz w:val="17"/>
                <w:szCs w:val="17"/>
                <w:color w:val="auto"/>
              </w:rPr>
              <w:t>Net cash used in operating activities</w:t>
            </w:r>
          </w:p>
        </w:tc>
        <w:tc>
          <w:tcPr>
            <w:tcW w:w="22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80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8"/>
              </w:rPr>
              <w:t>(50,355)</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228"/>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(30,652)</w:t>
            </w:r>
          </w:p>
        </w:tc>
        <w:tc>
          <w:tcPr>
            <w:tcW w:w="120" w:type="dxa"/>
            <w:vAlign w:val="bottom"/>
            <w:shd w:val="clear" w:color="auto" w:fill="CFF0FC"/>
          </w:tcPr>
          <w:p>
            <w:pPr>
              <w:spacing w:after="0"/>
              <w:rPr>
                <w:sz w:val="17"/>
                <w:szCs w:val="17"/>
                <w:color w:val="auto"/>
              </w:rPr>
            </w:pPr>
          </w:p>
        </w:tc>
      </w:tr>
      <w:tr>
        <w:trPr>
          <w:trHeight w:val="210"/>
        </w:trPr>
        <w:tc>
          <w:tcPr>
            <w:tcW w:w="5520" w:type="dxa"/>
            <w:vAlign w:val="bottom"/>
          </w:tcPr>
          <w:p>
            <w:pPr>
              <w:spacing w:after="0"/>
              <w:rPr>
                <w:sz w:val="20"/>
                <w:szCs w:val="20"/>
                <w:color w:val="auto"/>
              </w:rPr>
            </w:pPr>
            <w:r>
              <w:rPr>
                <w:rFonts w:ascii="Arial" w:cs="Arial" w:eastAsia="Arial" w:hAnsi="Arial"/>
                <w:sz w:val="17"/>
                <w:szCs w:val="17"/>
                <w:color w:val="auto"/>
              </w:rPr>
              <w:t>Net cash provided by (used in) investing activities</w:t>
            </w:r>
          </w:p>
        </w:tc>
        <w:tc>
          <w:tcPr>
            <w:tcW w:w="2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50,369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(131,358)</w:t>
            </w:r>
          </w:p>
        </w:tc>
      </w:tr>
      <w:tr>
        <w:trPr>
          <w:trHeight w:val="211"/>
        </w:trPr>
        <w:tc>
          <w:tcPr>
            <w:tcW w:w="5520" w:type="dxa"/>
            <w:vAlign w:val="bottom"/>
            <w:shd w:val="clear" w:color="auto" w:fill="CFF0FC"/>
          </w:tcPr>
          <w:p>
            <w:pPr>
              <w:spacing w:after="0"/>
              <w:rPr>
                <w:sz w:val="20"/>
                <w:szCs w:val="20"/>
                <w:color w:val="auto"/>
              </w:rPr>
            </w:pPr>
            <w:r>
              <w:rPr>
                <w:rFonts w:ascii="Arial" w:cs="Arial" w:eastAsia="Arial" w:hAnsi="Arial"/>
                <w:sz w:val="17"/>
                <w:szCs w:val="17"/>
                <w:color w:val="auto"/>
              </w:rPr>
              <w:t>Net cash provided by financing activities</w:t>
            </w:r>
          </w:p>
        </w:tc>
        <w:tc>
          <w:tcPr>
            <w:tcW w:w="2220" w:type="dxa"/>
            <w:vAlign w:val="bottom"/>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1,200</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330,116</w:t>
            </w:r>
          </w:p>
        </w:tc>
        <w:tc>
          <w:tcPr>
            <w:tcW w:w="120" w:type="dxa"/>
            <w:vAlign w:val="bottom"/>
            <w:shd w:val="clear" w:color="auto" w:fill="CFF0FC"/>
          </w:tcPr>
          <w:p>
            <w:pPr>
              <w:spacing w:after="0"/>
              <w:rPr>
                <w:sz w:val="18"/>
                <w:szCs w:val="18"/>
                <w:color w:val="auto"/>
              </w:rPr>
            </w:pPr>
          </w:p>
        </w:tc>
      </w:tr>
      <w:tr>
        <w:trPr>
          <w:trHeight w:val="202"/>
        </w:trPr>
        <w:tc>
          <w:tcPr>
            <w:tcW w:w="5520" w:type="dxa"/>
            <w:vAlign w:val="bottom"/>
          </w:tcPr>
          <w:p>
            <w:pPr>
              <w:ind w:left="220"/>
              <w:spacing w:after="0"/>
              <w:rPr>
                <w:sz w:val="20"/>
                <w:szCs w:val="20"/>
                <w:color w:val="auto"/>
              </w:rPr>
            </w:pPr>
            <w:r>
              <w:rPr>
                <w:rFonts w:ascii="Arial" w:cs="Arial" w:eastAsia="Arial" w:hAnsi="Arial"/>
                <w:sz w:val="17"/>
                <w:szCs w:val="17"/>
                <w:color w:val="auto"/>
              </w:rPr>
              <w:t>Net increase in cash and cash equivalents</w:t>
            </w:r>
          </w:p>
        </w:tc>
        <w:tc>
          <w:tcPr>
            <w:tcW w:w="2220" w:type="dxa"/>
            <w:vAlign w:val="bottom"/>
          </w:tcPr>
          <w:p>
            <w:pPr>
              <w:spacing w:after="0"/>
              <w:rPr>
                <w:sz w:val="17"/>
                <w:szCs w:val="17"/>
                <w:color w:val="auto"/>
              </w:rPr>
            </w:pPr>
          </w:p>
        </w:tc>
        <w:tc>
          <w:tcPr>
            <w:tcW w:w="960" w:type="dxa"/>
            <w:vAlign w:val="bottom"/>
            <w:tcBorders>
              <w:bottom w:val="single" w:sz="8" w:color="auto"/>
            </w:tcBorders>
          </w:tcPr>
          <w:p>
            <w:pPr>
              <w:jc w:val="right"/>
              <w:ind w:right="806"/>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1,214</w:t>
            </w:r>
          </w:p>
        </w:tc>
        <w:tc>
          <w:tcPr>
            <w:tcW w:w="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228"/>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168,106</w:t>
            </w:r>
          </w:p>
        </w:tc>
        <w:tc>
          <w:tcPr>
            <w:tcW w:w="120" w:type="dxa"/>
            <w:vAlign w:val="bottom"/>
          </w:tcPr>
          <w:p>
            <w:pPr>
              <w:spacing w:after="0"/>
              <w:rPr>
                <w:sz w:val="17"/>
                <w:szCs w:val="17"/>
                <w:color w:val="auto"/>
              </w:rPr>
            </w:pPr>
          </w:p>
        </w:tc>
      </w:tr>
      <w:tr>
        <w:trPr>
          <w:trHeight w:val="20"/>
        </w:trPr>
        <w:tc>
          <w:tcPr>
            <w:tcW w:w="55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2" w:lineRule="exact"/>
        <w:rPr>
          <w:sz w:val="20"/>
          <w:szCs w:val="20"/>
          <w:color w:val="auto"/>
        </w:rPr>
      </w:pPr>
    </w:p>
    <w:p>
      <w:pPr>
        <w:ind w:left="1020"/>
        <w:spacing w:after="0"/>
        <w:rPr>
          <w:sz w:val="20"/>
          <w:szCs w:val="20"/>
          <w:color w:val="auto"/>
        </w:rPr>
      </w:pPr>
      <w:r>
        <w:rPr>
          <w:rFonts w:ascii="Arial" w:cs="Arial" w:eastAsia="Arial" w:hAnsi="Arial"/>
          <w:sz w:val="17"/>
          <w:szCs w:val="17"/>
          <w:i w:val="1"/>
          <w:iCs w:val="1"/>
          <w:color w:val="auto"/>
        </w:rPr>
        <w:t>Operating Activities</w:t>
      </w:r>
    </w:p>
    <w:p>
      <w:pPr>
        <w:spacing w:after="0" w:line="102" w:lineRule="exact"/>
        <w:rPr>
          <w:sz w:val="20"/>
          <w:szCs w:val="20"/>
          <w:color w:val="auto"/>
        </w:rPr>
      </w:pPr>
    </w:p>
    <w:p>
      <w:pPr>
        <w:ind w:right="80" w:firstLine="511"/>
        <w:spacing w:after="0" w:line="251" w:lineRule="auto"/>
        <w:rPr>
          <w:sz w:val="20"/>
          <w:szCs w:val="20"/>
          <w:color w:val="auto"/>
        </w:rPr>
      </w:pPr>
      <w:r>
        <w:rPr>
          <w:rFonts w:ascii="Arial" w:cs="Arial" w:eastAsia="Arial" w:hAnsi="Arial"/>
          <w:sz w:val="17"/>
          <w:szCs w:val="17"/>
          <w:color w:val="auto"/>
        </w:rPr>
        <w:t>Net cash used in operating activities was $50.4 million and $30.7 million for the nine months ended September 30, 2021 and 2020, respectively. The net cash used in operating activities for the nine months ended September 30, 2021 was primarily due to our net loss of $63.3 million, adjusted for $12.9 million of net non-cash charges consisting primarily of share-based compensation of $10.7 million, depreciation and amortization of $1.2 million, investment accretion and amortization of $2.4 million, and a $1.8 million net change in operating assets and liabilities. The net cash used in operating activities for the nine months ended September 30, 2020 was primarily due to our net loss of $73.5 million, adjusted for $43.6 million of net non-cash charges for share-based compensation of $2.7 million, depreciation and amortization of $0.5 million, change in fair value of our preferred stock purchase right liability of $40.2 million, and a $0.8 million net change in operating assets and liabilities.</w:t>
      </w:r>
    </w:p>
    <w:p>
      <w:pPr>
        <w:spacing w:after="0" w:line="279" w:lineRule="exact"/>
        <w:rPr>
          <w:sz w:val="20"/>
          <w:szCs w:val="20"/>
          <w:color w:val="auto"/>
        </w:rPr>
      </w:pPr>
    </w:p>
    <w:p>
      <w:pPr>
        <w:ind w:left="1020"/>
        <w:spacing w:after="0"/>
        <w:rPr>
          <w:sz w:val="20"/>
          <w:szCs w:val="20"/>
          <w:color w:val="auto"/>
        </w:rPr>
      </w:pPr>
      <w:r>
        <w:rPr>
          <w:rFonts w:ascii="Arial" w:cs="Arial" w:eastAsia="Arial" w:hAnsi="Arial"/>
          <w:sz w:val="17"/>
          <w:szCs w:val="17"/>
          <w:i w:val="1"/>
          <w:iCs w:val="1"/>
          <w:color w:val="auto"/>
        </w:rPr>
        <w:t>Investing Activities</w:t>
      </w:r>
    </w:p>
    <w:p>
      <w:pPr>
        <w:spacing w:after="0" w:line="201" w:lineRule="exact"/>
        <w:rPr>
          <w:sz w:val="20"/>
          <w:szCs w:val="20"/>
          <w:color w:val="auto"/>
        </w:rPr>
      </w:pPr>
    </w:p>
    <w:p>
      <w:pPr>
        <w:ind w:right="80" w:firstLine="511"/>
        <w:spacing w:after="0" w:line="286" w:lineRule="auto"/>
        <w:rPr>
          <w:sz w:val="20"/>
          <w:szCs w:val="20"/>
          <w:color w:val="auto"/>
        </w:rPr>
      </w:pPr>
      <w:r>
        <w:rPr>
          <w:rFonts w:ascii="Arial" w:cs="Arial" w:eastAsia="Arial" w:hAnsi="Arial"/>
          <w:sz w:val="15"/>
          <w:szCs w:val="15"/>
          <w:color w:val="auto"/>
        </w:rPr>
        <w:t>Net cash provided by investing activities was $50.4 million and net cash used in investing activities was $131.4 million for the nine months ended September 30, 2021 and 2020, respectively. The net cash provided by investing activities for the nine months ended September 30, 2021 was primarily due to proceeds from maturities of short-term investments of $185.4 million, partially offset by purchases of short-term investments of $131.1 million and purchases of property and equipment of $3.9 million primarily related to the construction of our manufacturing facility. The net cash used in investing activities for the nine months ended September 30, 2020 was primarily due to purchases of property and equipment of $6.4 million primarily related to the construction of our manufacturing facility and purchases of short-term investments of $144.9 million, partially offset by proceeds from maturities of short-term investments of $20.0 million.</w:t>
      </w:r>
    </w:p>
    <w:p>
      <w:pPr>
        <w:spacing w:after="0" w:line="253" w:lineRule="exact"/>
        <w:rPr>
          <w:sz w:val="20"/>
          <w:szCs w:val="20"/>
          <w:color w:val="auto"/>
        </w:rPr>
      </w:pPr>
    </w:p>
    <w:p>
      <w:pPr>
        <w:ind w:left="1020"/>
        <w:spacing w:after="0"/>
        <w:rPr>
          <w:sz w:val="20"/>
          <w:szCs w:val="20"/>
          <w:color w:val="auto"/>
        </w:rPr>
      </w:pPr>
      <w:r>
        <w:rPr>
          <w:rFonts w:ascii="Arial" w:cs="Arial" w:eastAsia="Arial" w:hAnsi="Arial"/>
          <w:sz w:val="17"/>
          <w:szCs w:val="17"/>
          <w:i w:val="1"/>
          <w:iCs w:val="1"/>
          <w:color w:val="auto"/>
        </w:rPr>
        <w:t>Financing Activities</w:t>
      </w:r>
    </w:p>
    <w:p>
      <w:pPr>
        <w:spacing w:after="0" w:line="201" w:lineRule="exact"/>
        <w:rPr>
          <w:sz w:val="20"/>
          <w:szCs w:val="20"/>
          <w:color w:val="auto"/>
        </w:rPr>
      </w:pPr>
    </w:p>
    <w:p>
      <w:pPr>
        <w:ind w:right="160" w:firstLine="511"/>
        <w:spacing w:after="0" w:line="247" w:lineRule="auto"/>
        <w:rPr>
          <w:sz w:val="20"/>
          <w:szCs w:val="20"/>
          <w:color w:val="auto"/>
        </w:rPr>
      </w:pPr>
      <w:r>
        <w:rPr>
          <w:rFonts w:ascii="Arial" w:cs="Arial" w:eastAsia="Arial" w:hAnsi="Arial"/>
          <w:sz w:val="17"/>
          <w:szCs w:val="17"/>
          <w:color w:val="auto"/>
        </w:rPr>
        <w:t>Net cash provided by financing activities was $1.2 million for the nine months ended September 30, 2021, primarily due to proceeds from the exercise of stock options, partially offset by payment of deferred offering costs of $0.1 million associated with the filing of our Shelf Registration Statement and the establishment of our ATM Offering Program. Net cash provided by financing activities was $330.1 million for the nine months ended September 30, 2020, primarily due to the proceeds of $265.5 million from our IPO, net of issuance costs, proceeds of $64.3 million from the issuance of our Series B convertible preferred stock, net of issuance costs, and proceeds of $0.3 million from the exercise of stock options.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26" w:name="page27"/>
    <w:bookmarkEnd w:id="26"/>
    <w:p>
      <w:pPr>
        <w:ind w:left="500"/>
        <w:spacing w:after="0"/>
        <w:rPr>
          <w:sz w:val="20"/>
          <w:szCs w:val="20"/>
          <w:color w:val="auto"/>
        </w:rPr>
      </w:pPr>
      <w:r>
        <w:rPr>
          <w:rFonts w:ascii="Arial" w:cs="Arial" w:eastAsia="Arial" w:hAnsi="Arial"/>
          <w:sz w:val="17"/>
          <w:szCs w:val="17"/>
          <w:b w:val="1"/>
          <w:bCs w:val="1"/>
          <w:i w:val="1"/>
          <w:iCs w:val="1"/>
          <w:color w:val="auto"/>
        </w:rPr>
        <w:t>Funding Requirements</w:t>
      </w:r>
    </w:p>
    <w:p>
      <w:pPr>
        <w:spacing w:after="0" w:line="102" w:lineRule="exact"/>
        <w:rPr>
          <w:sz w:val="20"/>
          <w:szCs w:val="20"/>
          <w:color w:val="auto"/>
        </w:rPr>
      </w:pPr>
    </w:p>
    <w:p>
      <w:pPr>
        <w:ind w:firstLine="511"/>
        <w:spacing w:after="0" w:line="288" w:lineRule="auto"/>
        <w:rPr>
          <w:sz w:val="20"/>
          <w:szCs w:val="20"/>
          <w:color w:val="auto"/>
        </w:rPr>
      </w:pPr>
      <w:r>
        <w:rPr>
          <w:rFonts w:ascii="Arial" w:cs="Arial" w:eastAsia="Arial" w:hAnsi="Arial"/>
          <w:sz w:val="15"/>
          <w:szCs w:val="15"/>
          <w:color w:val="auto"/>
        </w:rPr>
        <w:t>Based upon our current operating plans, we believe that our existing cash, cash equivalents, restricted cash and short-term investments will be sufficient to fund our operations for at least the next 12 months from the date of this Quarterly Report on Form 10-Q.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testing therapeutic product candidates in clinical trials is costly, and the timing of progress and expenses in these trials is uncertain.</w:t>
      </w:r>
    </w:p>
    <w:p>
      <w:pPr>
        <w:spacing w:after="0" w:line="15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Our future capital requirements will depend on many factors, including:</w:t>
      </w:r>
    </w:p>
    <w:p>
      <w:pPr>
        <w:spacing w:after="0" w:line="102" w:lineRule="exact"/>
        <w:rPr>
          <w:sz w:val="20"/>
          <w:szCs w:val="20"/>
          <w:color w:val="auto"/>
        </w:rPr>
      </w:pPr>
    </w:p>
    <w:p>
      <w:pPr>
        <w:ind w:left="1020" w:right="320" w:hanging="513"/>
        <w:spacing w:after="0" w:line="260"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type, number, scope, progress, expansions, results, costs and timing of our clinical trials and preclinical studies for our product candidates or other potential product candidates or indications which we are pursuing or may choose to pursue in the future;</w:t>
      </w:r>
    </w:p>
    <w:p>
      <w:pPr>
        <w:spacing w:after="0" w:line="72" w:lineRule="exact"/>
        <w:rPr>
          <w:rFonts w:ascii="Arial" w:cs="Arial" w:eastAsia="Arial" w:hAnsi="Arial"/>
          <w:sz w:val="17"/>
          <w:szCs w:val="17"/>
          <w:color w:val="auto"/>
        </w:rPr>
      </w:pPr>
    </w:p>
    <w:p>
      <w:pPr>
        <w:ind w:left="1020" w:hanging="513"/>
        <w:spacing w:after="0"/>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outcome, timing and costs of regulatory review of our product candidates;</w:t>
      </w:r>
    </w:p>
    <w:p>
      <w:pPr>
        <w:spacing w:after="0" w:line="126" w:lineRule="exact"/>
        <w:rPr>
          <w:rFonts w:ascii="Arial" w:cs="Arial" w:eastAsia="Arial" w:hAnsi="Arial"/>
          <w:sz w:val="17"/>
          <w:szCs w:val="17"/>
          <w:color w:val="auto"/>
        </w:rPr>
      </w:pPr>
    </w:p>
    <w:p>
      <w:pPr>
        <w:ind w:left="1020" w:right="600" w:hanging="513"/>
        <w:spacing w:after="0" w:line="260"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costs and timing of manufacturing for our product candidates, including commercial manufacturing and the costs associated with building our manufacturing facility;</w:t>
      </w:r>
    </w:p>
    <w:p>
      <w:pPr>
        <w:spacing w:after="0" w:line="72" w:lineRule="exact"/>
        <w:rPr>
          <w:rFonts w:ascii="Arial" w:cs="Arial" w:eastAsia="Arial" w:hAnsi="Arial"/>
          <w:sz w:val="17"/>
          <w:szCs w:val="17"/>
          <w:color w:val="auto"/>
        </w:rPr>
      </w:pPr>
    </w:p>
    <w:p>
      <w:pPr>
        <w:ind w:left="1020" w:right="500" w:hanging="513"/>
        <w:spacing w:after="0" w:line="260"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efforts to enhance operational systems and hire additional personnel to satisfy our obligations as a public company, including enhanced internal controls over financial reporting;</w:t>
      </w:r>
    </w:p>
    <w:p>
      <w:pPr>
        <w:spacing w:after="0" w:line="72" w:lineRule="exact"/>
        <w:rPr>
          <w:rFonts w:ascii="Arial" w:cs="Arial" w:eastAsia="Arial" w:hAnsi="Arial"/>
          <w:sz w:val="17"/>
          <w:szCs w:val="17"/>
          <w:color w:val="auto"/>
        </w:rPr>
      </w:pPr>
    </w:p>
    <w:p>
      <w:pPr>
        <w:ind w:left="1020" w:hanging="513"/>
        <w:spacing w:after="0"/>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costs associated with hiring additional personnel and consultants as our preclinical and clinical activities increase;</w:t>
      </w:r>
    </w:p>
    <w:p>
      <w:pPr>
        <w:spacing w:after="0" w:line="126" w:lineRule="exact"/>
        <w:rPr>
          <w:rFonts w:ascii="Arial" w:cs="Arial" w:eastAsia="Arial" w:hAnsi="Arial"/>
          <w:sz w:val="17"/>
          <w:szCs w:val="17"/>
          <w:color w:val="auto"/>
        </w:rPr>
      </w:pPr>
    </w:p>
    <w:p>
      <w:pPr>
        <w:ind w:left="1020" w:hanging="513"/>
        <w:spacing w:after="0"/>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costs and timing of establishing or securing sales and marketing capabilities if any product candidate is approved;</w:t>
      </w:r>
    </w:p>
    <w:p>
      <w:pPr>
        <w:spacing w:after="0" w:line="126" w:lineRule="exact"/>
        <w:rPr>
          <w:rFonts w:ascii="Arial" w:cs="Arial" w:eastAsia="Arial" w:hAnsi="Arial"/>
          <w:sz w:val="17"/>
          <w:szCs w:val="17"/>
          <w:color w:val="auto"/>
        </w:rPr>
      </w:pPr>
    </w:p>
    <w:p>
      <w:pPr>
        <w:ind w:left="1020" w:right="40" w:hanging="513"/>
        <w:spacing w:after="0" w:line="260"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achieve sufficient market acceptance, coverage and adequate reimbursement from third-party payors and adequate market share and revenue for any approved products;</w:t>
      </w:r>
    </w:p>
    <w:p>
      <w:pPr>
        <w:spacing w:after="0" w:line="72" w:lineRule="exact"/>
        <w:rPr>
          <w:rFonts w:ascii="Arial" w:cs="Arial" w:eastAsia="Arial" w:hAnsi="Arial"/>
          <w:sz w:val="17"/>
          <w:szCs w:val="17"/>
          <w:color w:val="auto"/>
        </w:rPr>
      </w:pPr>
    </w:p>
    <w:p>
      <w:pPr>
        <w:ind w:left="1020" w:right="20" w:hanging="513"/>
        <w:spacing w:after="0" w:line="260"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patients’ willingness or ability to pay out-of-pocket for any approved products in the absence of coverage and/or adequate reimbursement from third-party payors;</w:t>
      </w:r>
    </w:p>
    <w:p>
      <w:pPr>
        <w:spacing w:after="0" w:line="72" w:lineRule="exact"/>
        <w:rPr>
          <w:rFonts w:ascii="Arial" w:cs="Arial" w:eastAsia="Arial" w:hAnsi="Arial"/>
          <w:sz w:val="17"/>
          <w:szCs w:val="17"/>
          <w:color w:val="auto"/>
        </w:rPr>
      </w:pPr>
    </w:p>
    <w:p>
      <w:pPr>
        <w:ind w:left="1020" w:right="300" w:hanging="513"/>
        <w:spacing w:after="0" w:line="260"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terms and timing of establishing and maintaining collaborations, licenses and other similar arrangements, including payments required for meeting regulatory and commercial milestones or sales based royalties;</w:t>
      </w:r>
    </w:p>
    <w:p>
      <w:pPr>
        <w:spacing w:after="0" w:line="72" w:lineRule="exact"/>
        <w:rPr>
          <w:rFonts w:ascii="Arial" w:cs="Arial" w:eastAsia="Arial" w:hAnsi="Arial"/>
          <w:sz w:val="17"/>
          <w:szCs w:val="17"/>
          <w:color w:val="auto"/>
        </w:rPr>
      </w:pPr>
    </w:p>
    <w:p>
      <w:pPr>
        <w:ind w:left="1020" w:hanging="513"/>
        <w:spacing w:after="0"/>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costs of obtaining, maintaining and enforcing our patent and other intellectual property rights; and</w:t>
      </w:r>
    </w:p>
    <w:p>
      <w:pPr>
        <w:spacing w:after="0" w:line="126" w:lineRule="exact"/>
        <w:rPr>
          <w:rFonts w:ascii="Arial" w:cs="Arial" w:eastAsia="Arial" w:hAnsi="Arial"/>
          <w:sz w:val="17"/>
          <w:szCs w:val="17"/>
          <w:color w:val="auto"/>
        </w:rPr>
      </w:pPr>
    </w:p>
    <w:p>
      <w:pPr>
        <w:ind w:left="1020" w:hanging="513"/>
        <w:spacing w:after="0"/>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costs associated with any product candidates, products or technologies that we may in-license or acquire.</w:t>
      </w:r>
    </w:p>
    <w:p>
      <w:pPr>
        <w:spacing w:after="0" w:line="226" w:lineRule="exact"/>
        <w:rPr>
          <w:sz w:val="20"/>
          <w:szCs w:val="20"/>
          <w:color w:val="auto"/>
        </w:rPr>
      </w:pPr>
    </w:p>
    <w:p>
      <w:pPr>
        <w:ind w:right="40" w:firstLine="511"/>
        <w:spacing w:after="0" w:line="280" w:lineRule="auto"/>
        <w:rPr>
          <w:sz w:val="20"/>
          <w:szCs w:val="20"/>
          <w:color w:val="auto"/>
        </w:rPr>
      </w:pPr>
      <w:r>
        <w:rPr>
          <w:rFonts w:ascii="Arial" w:cs="Arial" w:eastAsia="Arial" w:hAnsi="Arial"/>
          <w:sz w:val="15"/>
          <w:szCs w:val="15"/>
          <w:color w:val="auto"/>
        </w:rPr>
        <w:t>Until such time as we can generate significant revenue from sales of our therapeutic product candidates, if ever, we expect to finance our cash needs through public or private equity, including pursuant to our ATM Offering Program, or debt financings or other capital sources, including potential collaborations, licenses and other similar arrangements. We may be unable to raise additional funds or enter into such other arrangements when needed on favorable terms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product candidates, future revenue streams or research programs or may have to grant licenses on terms that may not be favorable to us and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69" w:lineRule="exact"/>
        <w:rPr>
          <w:sz w:val="20"/>
          <w:szCs w:val="20"/>
          <w:color w:val="auto"/>
        </w:rPr>
      </w:pPr>
    </w:p>
    <w:p>
      <w:pPr>
        <w:ind w:firstLine="511"/>
        <w:spacing w:after="0" w:line="247" w:lineRule="auto"/>
        <w:rPr>
          <w:sz w:val="20"/>
          <w:szCs w:val="20"/>
          <w:color w:val="auto"/>
        </w:rPr>
      </w:pPr>
      <w:r>
        <w:rPr>
          <w:rFonts w:ascii="Arial" w:cs="Arial" w:eastAsia="Arial" w:hAnsi="Arial"/>
          <w:sz w:val="17"/>
          <w:szCs w:val="17"/>
          <w:color w:val="auto"/>
        </w:rPr>
        <w:t>In May 2018, we entered into a lease agreement for our corporate office and laboratory space located in South San Francisco, California with an expiration date in May 2025 (the “Initial Lease Agreement”). In April 2019, we executed the first amendment to the Initial Lease Agreement for additional corporate space, laboratory space and manufacturing capabilities and an extension to the lease term through April 2026. The terms of the lease amendment contain a rent abatement for the first month and rent escalation provisions. In addition to the base rent payments, we will be obligated to pay certain customary amounts for our share of operating expenses and tax obligations related to the facilities.</w:t>
      </w:r>
    </w:p>
    <w:p>
      <w:pPr>
        <w:spacing w:after="0" w:line="84" w:lineRule="exact"/>
        <w:rPr>
          <w:sz w:val="20"/>
          <w:szCs w:val="20"/>
          <w:color w:val="auto"/>
        </w:rPr>
      </w:pPr>
    </w:p>
    <w:p>
      <w:pPr>
        <w:ind w:right="60" w:firstLine="511"/>
        <w:spacing w:after="0" w:line="247" w:lineRule="auto"/>
        <w:rPr>
          <w:sz w:val="20"/>
          <w:szCs w:val="20"/>
          <w:color w:val="auto"/>
        </w:rPr>
      </w:pPr>
      <w:r>
        <w:rPr>
          <w:rFonts w:ascii="Arial" w:cs="Arial" w:eastAsia="Arial" w:hAnsi="Arial"/>
          <w:sz w:val="17"/>
          <w:szCs w:val="17"/>
          <w:color w:val="auto"/>
        </w:rPr>
        <w:t>In May 2020, we executed the second amendment to the Initial Lease Agreement for an eight-year non-cancelable lease for additional office and laboratory space in the same building. The lease amendment for the additional space provided for abatement of rent during the first three months of the lease and contained rent escalations during the term of the lease. The lease amendment for this additional space commenced in January 2021 and expires in January 2029. The lease amendment also included an extension of the lease term of our existing office and laboratory space through January 2029, with an option to extend the lease for an additional seven-year term.</w:t>
      </w:r>
    </w:p>
    <w:p>
      <w:pPr>
        <w:spacing w:after="0" w:line="84" w:lineRule="exact"/>
        <w:rPr>
          <w:sz w:val="20"/>
          <w:szCs w:val="20"/>
          <w:color w:val="auto"/>
        </w:rPr>
      </w:pPr>
    </w:p>
    <w:p>
      <w:pPr>
        <w:ind w:right="280" w:firstLine="511"/>
        <w:spacing w:after="0" w:line="326" w:lineRule="auto"/>
        <w:rPr>
          <w:sz w:val="20"/>
          <w:szCs w:val="20"/>
          <w:color w:val="auto"/>
        </w:rPr>
      </w:pPr>
      <w:r>
        <w:rPr>
          <w:rFonts w:ascii="Arial" w:cs="Arial" w:eastAsia="Arial" w:hAnsi="Arial"/>
          <w:sz w:val="15"/>
          <w:szCs w:val="15"/>
          <w:color w:val="auto"/>
        </w:rPr>
        <w:t>In January 2021, we executed the third amendment to the Initial Lease Agreement for a three-year non-cancelable lease for additional office space in the same building. The lease amendment for this additional space commenced in the second quarter of 2021 and expires in March 2024.</w:t>
      </w:r>
    </w:p>
    <w:p>
      <w:pPr>
        <w:spacing w:after="0" w:line="27" w:lineRule="exact"/>
        <w:rPr>
          <w:sz w:val="20"/>
          <w:szCs w:val="20"/>
          <w:color w:val="auto"/>
        </w:rPr>
      </w:pPr>
    </w:p>
    <w:p>
      <w:pPr>
        <w:ind w:right="60" w:firstLine="511"/>
        <w:spacing w:after="0" w:line="288" w:lineRule="auto"/>
        <w:rPr>
          <w:sz w:val="20"/>
          <w:szCs w:val="20"/>
          <w:color w:val="auto"/>
        </w:rPr>
      </w:pPr>
      <w:r>
        <w:rPr>
          <w:rFonts w:ascii="Arial" w:cs="Arial" w:eastAsia="Arial" w:hAnsi="Arial"/>
          <w:sz w:val="15"/>
          <w:szCs w:val="15"/>
          <w:color w:val="auto"/>
        </w:rPr>
        <w:t>In October 2021, we executed the fourth amendment to the Initial Lease Agreement for a seven-year non-cancelable lease for additional office and laboratory space in the same building. The lease amendment for additional space provided for abatement of rent during the first two months of the lease and contained rent escalations during the term of the lease. The lease amendment for this additional space is anticipated to commence in April 2022 and expires in January 2029. The Company expects to pay base rent of approximately $4.6 million over the lease term. The lease amendment also includes this additional space in our option to extend the lease for an additional seven-year term. The other terms of the Initial Lease Agreement, as amended, remain unchanged.</w:t>
      </w:r>
    </w:p>
    <w:p>
      <w:pPr>
        <w:spacing w:after="0" w:line="55" w:lineRule="exact"/>
        <w:rPr>
          <w:sz w:val="20"/>
          <w:szCs w:val="20"/>
          <w:color w:val="auto"/>
        </w:rPr>
      </w:pPr>
    </w:p>
    <w:p>
      <w:pPr>
        <w:ind w:right="60" w:firstLine="511"/>
        <w:spacing w:after="0" w:line="286" w:lineRule="auto"/>
        <w:rPr>
          <w:sz w:val="20"/>
          <w:szCs w:val="20"/>
          <w:color w:val="auto"/>
        </w:rPr>
      </w:pPr>
      <w:r>
        <w:rPr>
          <w:rFonts w:ascii="Arial" w:cs="Arial" w:eastAsia="Arial" w:hAnsi="Arial"/>
          <w:sz w:val="15"/>
          <w:szCs w:val="15"/>
          <w:color w:val="auto"/>
        </w:rPr>
        <w:t xml:space="preserve">In July 2021, we entered into a lease agreement for corporate office, manufacturing and laboratory space located in South San Francisco, California with an expiration date approximately twelve years after the lease commencement date (the “Additional Lease Agreement”). </w:t>
      </w:r>
      <w:r>
        <w:rPr>
          <w:rFonts w:ascii="Arial" w:cs="Arial" w:eastAsia="Arial" w:hAnsi="Arial"/>
          <w:sz w:val="15"/>
          <w:szCs w:val="15"/>
          <w:color w:val="212529"/>
        </w:rPr>
        <w:t>We will become responsible for paying rent on the</w:t>
      </w:r>
      <w:r>
        <w:rPr>
          <w:rFonts w:ascii="Arial" w:cs="Arial" w:eastAsia="Arial" w:hAnsi="Arial"/>
          <w:sz w:val="15"/>
          <w:szCs w:val="15"/>
          <w:color w:val="auto"/>
        </w:rPr>
        <w:t xml:space="preserve"> </w:t>
      </w:r>
      <w:r>
        <w:rPr>
          <w:rFonts w:ascii="Arial" w:cs="Arial" w:eastAsia="Arial" w:hAnsi="Arial"/>
          <w:sz w:val="15"/>
          <w:szCs w:val="15"/>
          <w:color w:val="212529"/>
        </w:rPr>
        <w:t>lease commencement date. The Company expects to pay base rent of approximately $98.8 million over the lease term. In addition to the base rent payments, we will be obligated to pay certain customary amounts for our share of operating expenses and tax obligations related to the facilities. The Additional Lease Agreement also provides for certain tenant improvement allowances for tenant improvements and certain infrastructure upgrades in connection with the initial buildout of the premises, a portion of which, if utilized, would need to be repaid by us over the lease term.</w:t>
      </w:r>
    </w:p>
    <w:p>
      <w:pPr>
        <w:spacing w:after="0" w:line="55" w:lineRule="exact"/>
        <w:rPr>
          <w:sz w:val="20"/>
          <w:szCs w:val="20"/>
          <w:color w:val="auto"/>
        </w:rPr>
      </w:pPr>
    </w:p>
    <w:p>
      <w:pPr>
        <w:ind w:right="20" w:firstLine="511"/>
        <w:spacing w:after="0" w:line="248" w:lineRule="auto"/>
        <w:rPr>
          <w:sz w:val="20"/>
          <w:szCs w:val="20"/>
          <w:color w:val="auto"/>
        </w:rPr>
      </w:pPr>
      <w:r>
        <w:rPr>
          <w:rFonts w:ascii="Arial" w:cs="Arial" w:eastAsia="Arial" w:hAnsi="Arial"/>
          <w:sz w:val="17"/>
          <w:szCs w:val="17"/>
          <w:color w:val="212529"/>
        </w:rPr>
        <w:t xml:space="preserve">In November 2021, we </w:t>
      </w:r>
      <w:r>
        <w:rPr>
          <w:rFonts w:ascii="Arial" w:cs="Arial" w:eastAsia="Arial" w:hAnsi="Arial"/>
          <w:sz w:val="17"/>
          <w:szCs w:val="17"/>
          <w:color w:val="000000"/>
        </w:rPr>
        <w:t>executed an amendment to the Additional Lease Agreement for our corporate office, manufacturing and laboratory space. The amendment</w:t>
      </w:r>
      <w:r>
        <w:rPr>
          <w:rFonts w:ascii="Arial" w:cs="Arial" w:eastAsia="Arial" w:hAnsi="Arial"/>
          <w:sz w:val="17"/>
          <w:szCs w:val="17"/>
          <w:color w:val="212529"/>
        </w:rPr>
        <w:t xml:space="preserve"> </w:t>
      </w:r>
      <w:r>
        <w:rPr>
          <w:rFonts w:ascii="Arial" w:cs="Arial" w:eastAsia="Arial" w:hAnsi="Arial"/>
          <w:sz w:val="17"/>
          <w:szCs w:val="17"/>
          <w:color w:val="000000"/>
        </w:rPr>
        <w:t>expressly includes manufacturing as a permitted use at the facility, clarifies that Silicon Valley Bank is an acceptable bank for purposes of issuing a letter of credit under the lease, revises the letter of credit transferability terms and replaces the form of letter of credit attached to the lease. The other terms of the Additional Lease Agreement remain unchanged.</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5"/>
          <w:szCs w:val="15"/>
          <w:color w:val="auto"/>
        </w:rPr>
        <w:t>See Note 6 to our financial statements included elsewhere in this Quarterly Report on Form 10-Q for additional information regarding our lease liability.</w:t>
      </w: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06" w:lineRule="exact"/>
        <w:rPr>
          <w:sz w:val="20"/>
          <w:szCs w:val="20"/>
          <w:color w:val="auto"/>
        </w:rPr>
      </w:pPr>
    </w:p>
    <w:p>
      <w:pPr>
        <w:ind w:left="500"/>
        <w:spacing w:after="0"/>
        <w:rPr>
          <w:sz w:val="20"/>
          <w:szCs w:val="20"/>
          <w:color w:val="auto"/>
        </w:rPr>
      </w:pPr>
      <w:r>
        <w:rPr>
          <w:rFonts w:ascii="Arial" w:cs="Arial" w:eastAsia="Arial" w:hAnsi="Arial"/>
          <w:sz w:val="15"/>
          <w:szCs w:val="15"/>
          <w:color w:val="auto"/>
        </w:rPr>
        <w:t>During the periods presented, we did not have, nor do we currently have, any off-balance sheet arrangements as defined under the rules and regulations of the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SEC.</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Significant Judgments and Estimates</w:t>
      </w:r>
    </w:p>
    <w:p>
      <w:pPr>
        <w:spacing w:after="0" w:line="106" w:lineRule="exact"/>
        <w:rPr>
          <w:sz w:val="20"/>
          <w:szCs w:val="20"/>
          <w:color w:val="auto"/>
        </w:rPr>
      </w:pPr>
    </w:p>
    <w:p>
      <w:pPr>
        <w:ind w:firstLine="511"/>
        <w:spacing w:after="0" w:line="284" w:lineRule="auto"/>
        <w:rPr>
          <w:sz w:val="20"/>
          <w:szCs w:val="20"/>
          <w:color w:val="auto"/>
        </w:rPr>
      </w:pPr>
      <w:r>
        <w:rPr>
          <w:rFonts w:ascii="Arial" w:cs="Arial" w:eastAsia="Arial" w:hAnsi="Arial"/>
          <w:sz w:val="15"/>
          <w:szCs w:val="15"/>
          <w:color w:val="auto"/>
        </w:rPr>
        <w:t>Our management’s discussion and analysis of our financial condition and results of operations are based on our financial statements, which have been prepared in accordance with U.S. generally accepted accounting principles (“U.S. GAAP”). The preparation of these financial statements requires us to make estimates and judgments that affect the reported amounts of assets, liabilities and expenses and the disclosure of contingent assets and liabilities in our financial statements and accompanying notes. On an ongoing basis, we evaluate our estimates and judgments, including those related to accrued expenses, preferred stock purchase right liability, and share-based compensation. We base our estimates and assumptions on historical experience, known trends and events, and various other factors that are believed to be reasonable and appropriate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58" w:lineRule="exact"/>
        <w:rPr>
          <w:sz w:val="20"/>
          <w:szCs w:val="20"/>
          <w:color w:val="auto"/>
        </w:rPr>
      </w:pPr>
    </w:p>
    <w:p>
      <w:pPr>
        <w:ind w:right="20" w:firstLine="511"/>
        <w:spacing w:after="0" w:line="251" w:lineRule="auto"/>
        <w:rPr>
          <w:sz w:val="20"/>
          <w:szCs w:val="20"/>
          <w:color w:val="auto"/>
        </w:rPr>
      </w:pPr>
      <w:r>
        <w:rPr>
          <w:rFonts w:ascii="Arial" w:cs="Arial" w:eastAsia="Arial" w:hAnsi="Arial"/>
          <w:sz w:val="17"/>
          <w:szCs w:val="17"/>
          <w:color w:val="auto"/>
        </w:rPr>
        <w:t>There have been no significant changes in our critical accounting policies and estimates during the nine months ended September 30, 2021, as compared to the critical accounting policies and estimates disclosed in “Management’s Discussion and Analysis of Financial Condition and Results of Operations” included in our Annual Report on Form 10-K.</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619" w:right="339" w:bottom="1440" w:gutter="0" w:footer="0" w:header="0"/>
        </w:sectPr>
      </w:pPr>
    </w:p>
    <w:bookmarkStart w:id="28" w:name="page29"/>
    <w:bookmarkEnd w:id="28"/>
    <w:p>
      <w:pPr>
        <w:ind w:left="1"/>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106" w:lineRule="exact"/>
        <w:rPr>
          <w:sz w:val="20"/>
          <w:szCs w:val="20"/>
          <w:color w:val="auto"/>
        </w:rPr>
      </w:pPr>
    </w:p>
    <w:p>
      <w:pPr>
        <w:ind w:left="501"/>
        <w:spacing w:after="0"/>
        <w:rPr>
          <w:sz w:val="20"/>
          <w:szCs w:val="20"/>
          <w:color w:val="auto"/>
        </w:rPr>
      </w:pPr>
      <w:r>
        <w:rPr>
          <w:rFonts w:ascii="Arial" w:cs="Arial" w:eastAsia="Arial" w:hAnsi="Arial"/>
          <w:sz w:val="15"/>
          <w:szCs w:val="15"/>
          <w:color w:val="auto"/>
        </w:rPr>
        <w:t>See Note 2 to our financial statements included elsewhere in this Quarterly Report on Form 10-Q for recently issued accounting pronouncements.</w:t>
      </w:r>
    </w:p>
    <w:p>
      <w:pPr>
        <w:spacing w:after="0" w:line="319"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Indemnification</w:t>
      </w:r>
    </w:p>
    <w:p>
      <w:pPr>
        <w:spacing w:after="0" w:line="106" w:lineRule="exact"/>
        <w:rPr>
          <w:sz w:val="20"/>
          <w:szCs w:val="20"/>
          <w:color w:val="auto"/>
        </w:rPr>
      </w:pPr>
    </w:p>
    <w:p>
      <w:pPr>
        <w:ind w:left="1" w:right="80" w:firstLine="511"/>
        <w:spacing w:after="0" w:line="248" w:lineRule="auto"/>
        <w:rPr>
          <w:sz w:val="20"/>
          <w:szCs w:val="20"/>
          <w:color w:val="auto"/>
        </w:rPr>
      </w:pPr>
      <w:r>
        <w:rPr>
          <w:rFonts w:ascii="Arial" w:cs="Arial" w:eastAsia="Arial" w:hAnsi="Arial"/>
          <w:sz w:val="17"/>
          <w:szCs w:val="17"/>
          <w:color w:val="auto"/>
        </w:rPr>
        <w:t>As permitted under Delaware law and in accordance with our bylaws, we indemnify our officers and directors for certain events or occurrences while the officer or director is or was serving in such capacity. We are also party to indemnification agreements with our officers and directors. We believe the fair value of the indemnification rights and agreements is minimal. Accordingly, we have not recorded any liabilities for these indemnification rights and agreements as of September 30, 2021 and December 31, 2020.</w:t>
      </w:r>
    </w:p>
    <w:p>
      <w:pPr>
        <w:spacing w:after="0" w:line="278"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Segment Information</w:t>
      </w:r>
    </w:p>
    <w:p>
      <w:pPr>
        <w:spacing w:after="0" w:line="106" w:lineRule="exact"/>
        <w:rPr>
          <w:sz w:val="20"/>
          <w:szCs w:val="20"/>
          <w:color w:val="auto"/>
        </w:rPr>
      </w:pPr>
    </w:p>
    <w:p>
      <w:pPr>
        <w:ind w:left="501"/>
        <w:spacing w:after="0"/>
        <w:rPr>
          <w:sz w:val="20"/>
          <w:szCs w:val="20"/>
          <w:color w:val="auto"/>
        </w:rPr>
      </w:pPr>
      <w:r>
        <w:rPr>
          <w:rFonts w:ascii="Arial" w:cs="Arial" w:eastAsia="Arial" w:hAnsi="Arial"/>
          <w:sz w:val="17"/>
          <w:szCs w:val="17"/>
          <w:color w:val="auto"/>
        </w:rPr>
        <w:t>We have one business activity and operate in one reportable segment.</w:t>
      </w:r>
    </w:p>
    <w:p>
      <w:pPr>
        <w:spacing w:after="0" w:line="296"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JOBS Act</w:t>
      </w:r>
    </w:p>
    <w:p>
      <w:pPr>
        <w:spacing w:after="0" w:line="106" w:lineRule="exact"/>
        <w:rPr>
          <w:sz w:val="20"/>
          <w:szCs w:val="20"/>
          <w:color w:val="auto"/>
        </w:rPr>
      </w:pPr>
    </w:p>
    <w:p>
      <w:pPr>
        <w:ind w:left="1" w:firstLine="511"/>
        <w:spacing w:after="0" w:line="246" w:lineRule="auto"/>
        <w:rPr>
          <w:sz w:val="20"/>
          <w:szCs w:val="20"/>
          <w:color w:val="auto"/>
        </w:rPr>
      </w:pPr>
      <w:r>
        <w:rPr>
          <w:rFonts w:ascii="Arial" w:cs="Arial" w:eastAsia="Arial" w:hAnsi="Arial"/>
          <w:sz w:val="17"/>
          <w:szCs w:val="17"/>
          <w:color w:val="auto"/>
        </w:rPr>
        <w:t>We are an “emerging growth company” as described under the JOBS Act, and we could have taken advantage of an extended transition period for complying with new or revised accounting standards. This would have allowed us to delay the adoption of certain accounting standards until those standards would otherwise apply to private companies. We have chosen irrevocably to “opt out” of such extended transition period, and as a result, we will comply with new or revised accounting standards on the relevant dates on which adoption of such standards is required for non-emerging growth companies. We intend to rely on other exemptions provided by the JOBS Act, including without limitation, not being required to comply with the auditor attestation requirements of Section 404(b) of The Sarbanes-Oxley Act of 2002 (the “Sarbanes-Oxley Act”).</w:t>
      </w:r>
    </w:p>
    <w:p>
      <w:pPr>
        <w:spacing w:after="0" w:line="185" w:lineRule="exact"/>
        <w:rPr>
          <w:sz w:val="20"/>
          <w:szCs w:val="20"/>
          <w:color w:val="auto"/>
        </w:rPr>
      </w:pPr>
    </w:p>
    <w:p>
      <w:pPr>
        <w:ind w:left="501"/>
        <w:spacing w:after="0"/>
        <w:rPr>
          <w:sz w:val="20"/>
          <w:szCs w:val="20"/>
          <w:color w:val="auto"/>
        </w:rPr>
      </w:pPr>
      <w:r>
        <w:rPr>
          <w:rFonts w:ascii="Arial" w:cs="Arial" w:eastAsia="Arial" w:hAnsi="Arial"/>
          <w:sz w:val="15"/>
          <w:szCs w:val="15"/>
          <w:color w:val="auto"/>
        </w:rPr>
        <w:t>We will remain an emerging growth company until the earliest of (i) the last day of the fiscal year following the fifth anniversary of the consummation of our IPO,</w:t>
      </w:r>
    </w:p>
    <w:p>
      <w:pPr>
        <w:spacing w:after="0" w:line="37" w:lineRule="exact"/>
        <w:rPr>
          <w:sz w:val="20"/>
          <w:szCs w:val="20"/>
          <w:color w:val="auto"/>
        </w:rPr>
      </w:pPr>
    </w:p>
    <w:p>
      <w:pPr>
        <w:ind w:left="1" w:hanging="1"/>
        <w:spacing w:after="0" w:line="281" w:lineRule="auto"/>
        <w:tabs>
          <w:tab w:leader="none" w:pos="244"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last day of the fiscal year in which we have total annual gross revenue of at least $1.07 billion, (iii) the last day of the fiscal year in which we are deemed to be a “large accelerated filer” as defined in Rule 12b-2 under the Securities Exchange Act of 1934, as amended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 Even after we no longer qualify as an emerging growth company, we may still qualify as a smaller reporting company or a non-accelerated filer, which would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our prospectuses and in our periodic reports and proxy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59690</wp:posOffset>
            </wp:positionV>
            <wp:extent cx="7169150"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1"/>
          </w:cols>
          <w:pgMar w:left="319" w:top="619"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69" w:lineRule="exact"/>
        <w:rPr>
          <w:sz w:val="20"/>
          <w:szCs w:val="20"/>
          <w:color w:val="auto"/>
        </w:rPr>
      </w:pPr>
    </w:p>
    <w:p>
      <w:pPr>
        <w:ind w:firstLine="511"/>
        <w:spacing w:after="0" w:line="282" w:lineRule="auto"/>
        <w:rPr>
          <w:sz w:val="20"/>
          <w:szCs w:val="20"/>
          <w:color w:val="auto"/>
        </w:rPr>
      </w:pPr>
      <w:r>
        <w:rPr>
          <w:rFonts w:ascii="Arial" w:cs="Arial" w:eastAsia="Arial" w:hAnsi="Arial"/>
          <w:sz w:val="15"/>
          <w:szCs w:val="15"/>
          <w:color w:val="auto"/>
        </w:rPr>
        <w:t>We hold certain financial instruments for which a change in prevailing interest rates may cause the principal amount of the marketable securities to fluctuate. Financial instruments that potentially subject us to significant concentrations of credit risk consist primarily of cash, cash equivalents, restricted cash and short-term investments. We invest our excess cash primarily in money market funds, commercial paper and debt instruments of financial institutions, corporations, U.S. government-sponsored agencies and the U.S. Treasury. The primary objectives of our investment activities are to ensure liquidity and to preserve principal while at the same time maximizing the income we receive from our marketable securities without significantly increasing risk. Additionally, we established guidelines regarding approved investments and maturities of investments, which are designed to maintain safety and liquidity. For marketable investment securities with short-term maturities, we do not believe that an increase or decrease in market rates would have a significant impact on the realized values or the statements of operations and comprehensive loss. As such, we believe that if a 10.0% change in interest rates were to have occurred on September 30, 2021, this change would not have had a material effect on the fair value of our investment portfolio as of that date.</w:t>
      </w:r>
    </w:p>
    <w:p>
      <w:pPr>
        <w:spacing w:after="0" w:line="158" w:lineRule="exact"/>
        <w:rPr>
          <w:sz w:val="20"/>
          <w:szCs w:val="20"/>
          <w:color w:val="auto"/>
        </w:rPr>
      </w:pPr>
    </w:p>
    <w:p>
      <w:pPr>
        <w:ind w:right="20" w:firstLine="511"/>
        <w:spacing w:after="0" w:line="251" w:lineRule="auto"/>
        <w:rPr>
          <w:sz w:val="20"/>
          <w:szCs w:val="20"/>
          <w:color w:val="auto"/>
        </w:rPr>
      </w:pPr>
      <w:r>
        <w:rPr>
          <w:rFonts w:ascii="Arial" w:cs="Arial" w:eastAsia="Arial" w:hAnsi="Arial"/>
          <w:sz w:val="17"/>
          <w:szCs w:val="17"/>
          <w:color w:val="auto"/>
        </w:rPr>
        <w:t>We are exposed to market risk related to changes in foreign currency exchange rates. We contract with vendors that are located outside the United States and certain invoices are denominated in foreign currencies. We are subject to fluctuations in foreign currency rates in connection with such arrangements. We do not currently hedge our foreign currency exchange risk.</w:t>
      </w:r>
    </w:p>
    <w:p>
      <w:pPr>
        <w:spacing w:after="0" w:line="180" w:lineRule="exact"/>
        <w:rPr>
          <w:sz w:val="20"/>
          <w:szCs w:val="20"/>
          <w:color w:val="auto"/>
        </w:rPr>
      </w:pPr>
    </w:p>
    <w:p>
      <w:pPr>
        <w:ind w:right="60" w:firstLine="511"/>
        <w:spacing w:after="0" w:line="260" w:lineRule="auto"/>
        <w:rPr>
          <w:sz w:val="20"/>
          <w:szCs w:val="20"/>
          <w:color w:val="auto"/>
        </w:rPr>
      </w:pPr>
      <w:r>
        <w:rPr>
          <w:rFonts w:ascii="Arial" w:cs="Arial" w:eastAsia="Arial" w:hAnsi="Arial"/>
          <w:sz w:val="17"/>
          <w:szCs w:val="17"/>
          <w:color w:val="auto"/>
        </w:rPr>
        <w:t>Inflation generally affects us by increasing our cost of labor and research and development contract costs. We do not believe inflation has had a material effect on our results of operations during the periods presented.</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We do not believe that inflation, interest rate changes, or exchange rate fluctuations had a significant impact on our results of operations for any periods presented</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herein.</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Controls and Procedures</w:t>
      </w:r>
    </w:p>
    <w:p>
      <w:pPr>
        <w:spacing w:after="0" w:line="106" w:lineRule="exact"/>
        <w:rPr>
          <w:sz w:val="20"/>
          <w:szCs w:val="20"/>
          <w:color w:val="auto"/>
        </w:rPr>
      </w:pPr>
    </w:p>
    <w:p>
      <w:pPr>
        <w:ind w:right="60" w:firstLine="511"/>
        <w:spacing w:after="0" w:line="280" w:lineRule="auto"/>
        <w:rPr>
          <w:sz w:val="20"/>
          <w:szCs w:val="20"/>
          <w:color w:val="auto"/>
        </w:rPr>
      </w:pPr>
      <w:r>
        <w:rPr>
          <w:rFonts w:ascii="Arial" w:cs="Arial" w:eastAsia="Arial" w:hAnsi="Arial"/>
          <w:sz w:val="15"/>
          <w:szCs w:val="15"/>
          <w:color w:val="auto"/>
        </w:rPr>
        <w:t>Our management, with the participation of our chief executive officer and chief financial and business officer, evaluated the effectiveness of our disclosures controls and procedures, as defined in Rules 13a-15(e) and 15d-15(e) under the Exchange Act, as of September 30, 2021.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2021, our chief executive officer and chief financial and business officer concluded that, as of such date, our disclosure controls and procedures were effective at a reasonable assurance level.</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06" w:lineRule="exact"/>
        <w:rPr>
          <w:sz w:val="20"/>
          <w:szCs w:val="20"/>
          <w:color w:val="auto"/>
        </w:rPr>
      </w:pPr>
    </w:p>
    <w:p>
      <w:pPr>
        <w:ind w:right="360" w:firstLine="511"/>
        <w:spacing w:after="0" w:line="326" w:lineRule="auto"/>
        <w:rPr>
          <w:sz w:val="20"/>
          <w:szCs w:val="20"/>
          <w:color w:val="auto"/>
        </w:rPr>
      </w:pPr>
      <w:r>
        <w:rPr>
          <w:rFonts w:ascii="Arial" w:cs="Arial" w:eastAsia="Arial" w:hAnsi="Arial"/>
          <w:sz w:val="15"/>
          <w:szCs w:val="15"/>
          <w:color w:val="auto"/>
        </w:rPr>
        <w:t>Management determined that, as of September 30, 2021, there were no changes in our internal control over financial reporting that occurred during the fiscal quarter then ended that have materially affected, or are reasonably likely to materially affect, our internal control over financial reporting.</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7"/>
          <w:szCs w:val="17"/>
          <w:b w:val="1"/>
          <w:bCs w:val="1"/>
          <w:color w:val="auto"/>
        </w:rPr>
        <w:t>PART II—OTHER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06" w:lineRule="exact"/>
        <w:rPr>
          <w:sz w:val="20"/>
          <w:szCs w:val="20"/>
          <w:color w:val="auto"/>
        </w:rPr>
      </w:pPr>
    </w:p>
    <w:p>
      <w:pPr>
        <w:ind w:right="320" w:firstLine="511"/>
        <w:spacing w:after="0" w:line="251" w:lineRule="auto"/>
        <w:rPr>
          <w:sz w:val="20"/>
          <w:szCs w:val="20"/>
          <w:color w:val="auto"/>
        </w:rPr>
      </w:pPr>
      <w:r>
        <w:rPr>
          <w:rFonts w:ascii="Arial" w:cs="Arial" w:eastAsia="Arial" w:hAnsi="Arial"/>
          <w:sz w:val="17"/>
          <w:szCs w:val="17"/>
          <w:color w:val="auto"/>
        </w:rPr>
        <w:t>From time to time, we may become involved in litigation or other legal proceedings relating to claims arising from the ordinary course of business. There are currently no claims or actions pending against us that, in the opinion of our management, are likely to have a material adverse effect on our business, results of operations, financial condition or growth prospects.</w:t>
      </w:r>
    </w:p>
    <w:p>
      <w:pPr>
        <w:spacing w:after="0" w:line="180" w:lineRule="exact"/>
        <w:rPr>
          <w:sz w:val="20"/>
          <w:szCs w:val="20"/>
          <w:color w:val="auto"/>
        </w:rPr>
      </w:pPr>
    </w:p>
    <w:p>
      <w:pPr>
        <w:ind w:right="80" w:firstLine="511"/>
        <w:spacing w:after="0" w:line="246" w:lineRule="auto"/>
        <w:rPr>
          <w:sz w:val="20"/>
          <w:szCs w:val="20"/>
          <w:color w:val="auto"/>
        </w:rPr>
      </w:pPr>
      <w:r>
        <w:rPr>
          <w:rFonts w:ascii="Arial" w:cs="Arial" w:eastAsia="Arial" w:hAnsi="Arial"/>
          <w:sz w:val="17"/>
          <w:szCs w:val="17"/>
          <w:color w:val="auto"/>
        </w:rPr>
        <w:t>Ex parte reexaminations have been filed by one or more third parties against certain licensed patents in our portfolio. Third party requests for ex parte reexamination of U.S. Patent Nos. 10,774,309 and 10,829,737, which relate to our NKX101 product candidate, were recently filed. Also, one ex parte reexamination of U.S. Patent No. 9,511,092, which does not relate to any of our current product candidates, is pending and another is on appeal. Although we plan to vigorously protect our intellectual property rights, as with all legal proceedings, there can be no guarantee as to the outcome, and, regardless of the merits of third-party challenges, such proceedings are time-consuming and costly. As a result of such reexaminations, our rights under the relevant patents could be narrowed or lost, and in the course of such proceedings, we may incur substantial costs and the time and attention of our management may be diverted from the development and commercialization of our product candidates.</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06" w:lineRule="exact"/>
        <w:rPr>
          <w:sz w:val="20"/>
          <w:szCs w:val="20"/>
          <w:color w:val="auto"/>
        </w:rPr>
      </w:pPr>
    </w:p>
    <w:p>
      <w:pPr>
        <w:ind w:right="20" w:firstLine="511"/>
        <w:spacing w:after="0" w:line="281" w:lineRule="auto"/>
        <w:rPr>
          <w:sz w:val="20"/>
          <w:szCs w:val="20"/>
          <w:color w:val="auto"/>
        </w:rPr>
      </w:pPr>
      <w:r>
        <w:rPr>
          <w:rFonts w:ascii="Arial" w:cs="Arial" w:eastAsia="Arial" w:hAnsi="Arial"/>
          <w:sz w:val="15"/>
          <w:szCs w:val="15"/>
          <w:color w:val="auto"/>
        </w:rPr>
        <w:t>An investment in shares of our common stock involves a high degree of risk. You should carefully consider the following risk factors, as well as all of the other information contained in this Quarterly Report on Form 10-Q, before making an investment decision. The risks described below are not the only ones facing us. The occurrence of any of the following risks, or of additional risks and uncertainties not presently known to us or that we currently believe to be immaterial, could significantly harm our business, financial condition, results of operations and growth prospects. In such case, the trading price of shares of our common stock could decline, and you may lose part or all of your investment. This Quarterly Report on Form 10-Q also contains forward-looking statements and estimates that involve risks and uncertainties. Our actual results could differ materially from those anticipated in the forward-looking statements as a result of specific factors, including the risks and uncertainties described below. The risks relating to our business set forth in our Annual Report on Form 10-K for the year ended December 31, 2020 and filed with the SEC on March 25, 2021, in our Quarterly Report on Form 10-Q for the quarter ended March 31, 2021 and filed with the SEC on May 13, 2021 and in our Quarterly Report on Form 10-Q for the quarter ended June 30, 2021 and filed with the SEC on August 12, 2021, are set forth below and are unchanged substantively as of the date of this Quarterly Report on Form 10-Q, except for those risks designated by an asterisk (*).</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may disclose further changes to the factors below or disclose additional factors from time to time in our future filings with the SEC.</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Financial Position</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limited operating history and do not have any products approved for sale.</w:t>
      </w:r>
    </w:p>
    <w:p>
      <w:pPr>
        <w:spacing w:after="0" w:line="201" w:lineRule="exact"/>
        <w:rPr>
          <w:sz w:val="20"/>
          <w:szCs w:val="20"/>
          <w:color w:val="auto"/>
        </w:rPr>
      </w:pPr>
    </w:p>
    <w:p>
      <w:pPr>
        <w:ind w:right="60" w:firstLine="511"/>
        <w:spacing w:after="0" w:line="283" w:lineRule="auto"/>
        <w:rPr>
          <w:sz w:val="20"/>
          <w:szCs w:val="20"/>
          <w:color w:val="auto"/>
        </w:rPr>
      </w:pPr>
      <w:r>
        <w:rPr>
          <w:rFonts w:ascii="Arial" w:cs="Arial" w:eastAsia="Arial" w:hAnsi="Arial"/>
          <w:sz w:val="15"/>
          <w:szCs w:val="15"/>
          <w:color w:val="auto"/>
        </w:rPr>
        <w:t>We are a development-stage biopharmaceutical company without any products approved for commercial sale, and have not generated any revenue from product sales. We are focused on developing genetically-engineered human cells as therapeutics and our technologies are new and largely unproven. Since our inception in 2015, we have invested most of our resources in developing our product candidates, building our intellectual property portfolio, developing our supply chain and in-house manufacturing capability, conducting business planning, raising capital and providing general and administrative support for these operations. Consequently, we have no meaningful operations upon which to evaluate our business, and predictions about our future success or viability may not be as accurate as they could be if we had a longer operating history or a history of successfully developing and commercializing drug products. We have not yet demonstrated an ability to overcome many of the risks and uncertainties frequently encountered by companies in the rapidly evolving biotechnology industry. If we do not address these risks, our business, financial condition, results of operations and growth prospects will be materially adversely affected.</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incurred significant losses since our inception, and we expect to continue to incur significant losses for the foreseeable future.*</w:t>
      </w:r>
    </w:p>
    <w:p>
      <w:pPr>
        <w:spacing w:after="0" w:line="201" w:lineRule="exact"/>
        <w:rPr>
          <w:sz w:val="20"/>
          <w:szCs w:val="20"/>
          <w:color w:val="auto"/>
        </w:rPr>
      </w:pPr>
    </w:p>
    <w:p>
      <w:pPr>
        <w:ind w:firstLine="511"/>
        <w:spacing w:after="0" w:line="248" w:lineRule="auto"/>
        <w:rPr>
          <w:sz w:val="20"/>
          <w:szCs w:val="20"/>
          <w:color w:val="auto"/>
        </w:rPr>
      </w:pPr>
      <w:r>
        <w:rPr>
          <w:rFonts w:ascii="Arial" w:cs="Arial" w:eastAsia="Arial" w:hAnsi="Arial"/>
          <w:sz w:val="17"/>
          <w:szCs w:val="17"/>
          <w:color w:val="auto"/>
        </w:rPr>
        <w:t>Since our inception in 2015, we have incurred significant operating losses. Our net losses were $63.3 million, $91.4 million and $21.1 million for the nine months ended September 30, 2021 and the years ended December 31, 2020 and 2019, respectively. Our accumulated deficit was $181.3 million as of September 30, 2021. We expect to continue to incur increasing operating losses for the foreseeable future as we continue to develop our product candidates. In addition, we anticipate that our expenses will increase substantially if, and as, we: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20"/>
          </w:cols>
          <w:pgMar w:left="320" w:top="619" w:right="359" w:bottom="1440" w:gutter="0" w:footer="0" w:header="0"/>
        </w:sectPr>
      </w:pPr>
    </w:p>
    <w:bookmarkStart w:id="31" w:name="page32"/>
    <w:bookmarkEnd w:id="31"/>
    <w:p>
      <w:pPr>
        <w:ind w:left="1020" w:hanging="513"/>
        <w:spacing w:after="0"/>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continue the clinical development of NKX101 and NKX019;</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advance additional product candidates to clinical trials, including product candidates under the collaboration with CRISPR;</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develop our current product candidates for additional disease indications;</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seek to discover and develop additional product candidates;</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establish and qualify our own clinical- and commercial-scale cGMP facilities;</w:t>
      </w:r>
    </w:p>
    <w:p>
      <w:pPr>
        <w:spacing w:after="0" w:line="101" w:lineRule="exact"/>
        <w:rPr>
          <w:rFonts w:ascii="Arial" w:cs="Arial" w:eastAsia="Arial" w:hAnsi="Arial"/>
          <w:sz w:val="17"/>
          <w:szCs w:val="17"/>
          <w:color w:val="auto"/>
        </w:rPr>
      </w:pPr>
    </w:p>
    <w:p>
      <w:pPr>
        <w:ind w:left="1020" w:right="220" w:hanging="513"/>
        <w:spacing w:after="0" w:line="260" w:lineRule="auto"/>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submit a biologics license application (“BLA”), or marketing authorization application, (“MAA”), for NKX101 and/or NKX019 and/or seek marketing approvals for any of our other product candidates that successfully complete clinical trials;</w:t>
      </w:r>
    </w:p>
    <w:p>
      <w:pPr>
        <w:spacing w:after="0" w:line="72" w:lineRule="exact"/>
        <w:rPr>
          <w:rFonts w:ascii="Arial" w:cs="Arial" w:eastAsia="Arial" w:hAnsi="Arial"/>
          <w:sz w:val="17"/>
          <w:szCs w:val="17"/>
          <w:color w:val="auto"/>
        </w:rPr>
      </w:pPr>
    </w:p>
    <w:p>
      <w:pPr>
        <w:ind w:left="1020" w:hanging="513"/>
        <w:spacing w:after="0"/>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seek regulatory approval of our product candidates in various jurisdictions for commercial sale;</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maintain, expand and protect our intellectual property portfolio;</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acquire or in-license other product candidates and technologies;</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incur additional costs associated with operating as a public company;</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increase our employee headcount and related expenses to support these activities; and</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develop or secure marketing, sales and distribution capabilities, either internally or with third parties, to support commercialization.</w:t>
      </w:r>
    </w:p>
    <w:p>
      <w:pPr>
        <w:spacing w:after="0" w:line="201" w:lineRule="exact"/>
        <w:rPr>
          <w:sz w:val="20"/>
          <w:szCs w:val="20"/>
          <w:color w:val="auto"/>
        </w:rPr>
      </w:pPr>
    </w:p>
    <w:p>
      <w:pPr>
        <w:ind w:right="640" w:firstLine="511"/>
        <w:spacing w:after="0" w:line="260" w:lineRule="auto"/>
        <w:rPr>
          <w:sz w:val="20"/>
          <w:szCs w:val="20"/>
          <w:color w:val="auto"/>
        </w:rPr>
      </w:pPr>
      <w:r>
        <w:rPr>
          <w:rFonts w:ascii="Arial" w:cs="Arial" w:eastAsia="Arial" w:hAnsi="Arial"/>
          <w:sz w:val="17"/>
          <w:szCs w:val="17"/>
          <w:color w:val="auto"/>
        </w:rPr>
        <w:t>We may never succeed in any or all of these activities and, even if we do, we may never generate revenues that are significant or large enough to achieve profitability.</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never generated revenue from product sales and may never achieve or maintain profitability.</w:t>
      </w:r>
    </w:p>
    <w:p>
      <w:pPr>
        <w:spacing w:after="0" w:line="201" w:lineRule="exact"/>
        <w:rPr>
          <w:sz w:val="20"/>
          <w:szCs w:val="20"/>
          <w:color w:val="auto"/>
        </w:rPr>
      </w:pPr>
    </w:p>
    <w:p>
      <w:pPr>
        <w:ind w:firstLine="511"/>
        <w:spacing w:after="0" w:line="286" w:lineRule="auto"/>
        <w:rPr>
          <w:sz w:val="20"/>
          <w:szCs w:val="20"/>
          <w:color w:val="auto"/>
        </w:rPr>
      </w:pPr>
      <w:r>
        <w:rPr>
          <w:rFonts w:ascii="Arial" w:cs="Arial" w:eastAsia="Arial" w:hAnsi="Arial"/>
          <w:sz w:val="15"/>
          <w:szCs w:val="15"/>
          <w:color w:val="auto"/>
        </w:rPr>
        <w:t>We continue to incur significant research and development and other expenses related to ongoing operations and the development of our co-lead product candidates, NKX101 and NKX019. All of our product candidates will require substantial additional development time and resources before we would be able to apply for or receive regulatory approvals and begin generating revenue from product sales. Neither the FDA nor any other regulatory authority has approved NKX101, NKX019 or any of our other product candidates, and we do not anticipate generating revenues from product sales unless and until such time as NKX101, NKX019 or another of our product candidates has been approved by the FDA or another regulatory authority, if ever, and we are able to successfully market and sell a product candidate. Our ability to generate revenues from product sales depends on our, or potential future collaborators’, success in:</w:t>
      </w:r>
    </w:p>
    <w:p>
      <w:pPr>
        <w:spacing w:after="0" w:line="55" w:lineRule="exact"/>
        <w:rPr>
          <w:sz w:val="20"/>
          <w:szCs w:val="20"/>
          <w:color w:val="auto"/>
        </w:rPr>
      </w:pPr>
    </w:p>
    <w:p>
      <w:pPr>
        <w:ind w:left="1020" w:hanging="513"/>
        <w:spacing w:after="0"/>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completing clinical development of our product candidates;</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seeking and obtaining regulatory approvals for product candidates for which we successfully complete positive clinical trials, if any;</w:t>
      </w:r>
    </w:p>
    <w:p>
      <w:pPr>
        <w:spacing w:after="0" w:line="101" w:lineRule="exact"/>
        <w:rPr>
          <w:rFonts w:ascii="Arial" w:cs="Arial" w:eastAsia="Arial" w:hAnsi="Arial"/>
          <w:sz w:val="17"/>
          <w:szCs w:val="17"/>
          <w:color w:val="auto"/>
        </w:rPr>
      </w:pPr>
    </w:p>
    <w:p>
      <w:pPr>
        <w:ind w:left="1020" w:right="180" w:hanging="513"/>
        <w:spacing w:after="0" w:line="260"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launching and commercializing product candidates, by establishing a commercial infrastructure or, alternatively, collaborating with a commercialization partner;</w:t>
      </w:r>
    </w:p>
    <w:p>
      <w:pPr>
        <w:spacing w:after="0" w:line="72" w:lineRule="exact"/>
        <w:rPr>
          <w:rFonts w:ascii="Arial" w:cs="Arial" w:eastAsia="Arial" w:hAnsi="Arial"/>
          <w:sz w:val="17"/>
          <w:szCs w:val="17"/>
          <w:color w:val="auto"/>
        </w:rPr>
      </w:pPr>
    </w:p>
    <w:p>
      <w:pPr>
        <w:ind w:left="1020" w:hanging="513"/>
        <w:spacing w:after="0"/>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qualifying for adequate coverage and reimbursement by government and third-party payors for our product candidates;</w:t>
      </w:r>
    </w:p>
    <w:p>
      <w:pPr>
        <w:spacing w:after="0" w:line="101" w:lineRule="exact"/>
        <w:rPr>
          <w:rFonts w:ascii="Arial" w:cs="Arial" w:eastAsia="Arial" w:hAnsi="Arial"/>
          <w:sz w:val="17"/>
          <w:szCs w:val="17"/>
          <w:color w:val="auto"/>
        </w:rPr>
      </w:pPr>
    </w:p>
    <w:p>
      <w:pPr>
        <w:ind w:left="1020" w:right="120" w:hanging="513"/>
        <w:spacing w:after="0" w:line="260"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establishing, maintaining and enhancing a sustainable, scalable, reproducible and transferable manufacturing process for each of our cell therapy product candidates;</w:t>
      </w:r>
    </w:p>
    <w:p>
      <w:pPr>
        <w:spacing w:after="0" w:line="72" w:lineRule="exact"/>
        <w:rPr>
          <w:rFonts w:ascii="Arial" w:cs="Arial" w:eastAsia="Arial" w:hAnsi="Arial"/>
          <w:sz w:val="17"/>
          <w:szCs w:val="17"/>
          <w:color w:val="auto"/>
        </w:rPr>
      </w:pPr>
    </w:p>
    <w:p>
      <w:pPr>
        <w:ind w:left="1020" w:right="220" w:hanging="513"/>
        <w:spacing w:after="0" w:line="260"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establishing and maintaining supply and manufacturing relationships with third parties that can provide adequate products and services, in both amount and quality, to support clinical development and the market demand for our product candidates, if approved;</w:t>
      </w:r>
    </w:p>
    <w:p>
      <w:pPr>
        <w:spacing w:after="0" w:line="72" w:lineRule="exact"/>
        <w:rPr>
          <w:rFonts w:ascii="Arial" w:cs="Arial" w:eastAsia="Arial" w:hAnsi="Arial"/>
          <w:sz w:val="17"/>
          <w:szCs w:val="17"/>
          <w:color w:val="auto"/>
        </w:rPr>
      </w:pPr>
    </w:p>
    <w:p>
      <w:pPr>
        <w:ind w:left="1020" w:hanging="513"/>
        <w:spacing w:after="0"/>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obtaining market acceptance of our product candidates as a viable treatment option;</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addressing any competing technological and market developments;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424" w:right="339" w:bottom="1440" w:gutter="0" w:footer="0" w:header="0"/>
        </w:sectPr>
      </w:pPr>
    </w:p>
    <w:bookmarkStart w:id="32" w:name="page33"/>
    <w:bookmarkEnd w:id="32"/>
    <w:p>
      <w:pPr>
        <w:ind w:left="1020" w:hanging="513"/>
        <w:spacing w:after="0"/>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implementing additional internal systems and infrastructure, as needed;</w:t>
      </w:r>
    </w:p>
    <w:p>
      <w:pPr>
        <w:spacing w:after="0" w:line="101" w:lineRule="exact"/>
        <w:rPr>
          <w:rFonts w:ascii="Arial" w:cs="Arial" w:eastAsia="Arial" w:hAnsi="Arial"/>
          <w:sz w:val="17"/>
          <w:szCs w:val="17"/>
          <w:color w:val="auto"/>
        </w:rPr>
      </w:pPr>
    </w:p>
    <w:p>
      <w:pPr>
        <w:ind w:left="1020" w:right="560" w:hanging="513"/>
        <w:spacing w:after="0" w:line="260" w:lineRule="auto"/>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negotiating favorable terms in any collaboration, licensing or other arrangements into which we may enter and performing our obligations in such collaborations;</w:t>
      </w:r>
    </w:p>
    <w:p>
      <w:pPr>
        <w:spacing w:after="0" w:line="72" w:lineRule="exact"/>
        <w:rPr>
          <w:rFonts w:ascii="Arial" w:cs="Arial" w:eastAsia="Arial" w:hAnsi="Arial"/>
          <w:sz w:val="17"/>
          <w:szCs w:val="17"/>
          <w:color w:val="auto"/>
        </w:rPr>
      </w:pPr>
    </w:p>
    <w:p>
      <w:pPr>
        <w:ind w:left="1020" w:hanging="513"/>
        <w:spacing w:after="0"/>
        <w:tabs>
          <w:tab w:leader="none" w:pos="10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maintaining, protecting and expanding our portfolio of intellectual property rights, including patents, trade secrets, know-how, and trademarks;</w:t>
      </w:r>
    </w:p>
    <w:p>
      <w:pPr>
        <w:spacing w:after="0" w:line="124" w:lineRule="exact"/>
        <w:rPr>
          <w:rFonts w:ascii="Arial" w:cs="Arial" w:eastAsia="Arial" w:hAnsi="Arial"/>
          <w:sz w:val="15"/>
          <w:szCs w:val="15"/>
          <w:color w:val="auto"/>
        </w:rPr>
      </w:pPr>
    </w:p>
    <w:p>
      <w:pPr>
        <w:ind w:left="1020" w:hanging="513"/>
        <w:spacing w:after="0"/>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avoiding and defending against third-party interference or infringement claims; and</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attracting, hiring and retaining qualified personnel.</w:t>
      </w:r>
    </w:p>
    <w:p>
      <w:pPr>
        <w:spacing w:after="0" w:line="201" w:lineRule="exact"/>
        <w:rPr>
          <w:sz w:val="20"/>
          <w:szCs w:val="20"/>
          <w:color w:val="auto"/>
        </w:rPr>
      </w:pPr>
    </w:p>
    <w:p>
      <w:pPr>
        <w:ind w:right="400" w:firstLine="511"/>
        <w:spacing w:after="0" w:line="251" w:lineRule="auto"/>
        <w:rPr>
          <w:sz w:val="20"/>
          <w:szCs w:val="20"/>
          <w:color w:val="auto"/>
        </w:rPr>
      </w:pPr>
      <w:r>
        <w:rPr>
          <w:rFonts w:ascii="Arial" w:cs="Arial" w:eastAsia="Arial" w:hAnsi="Arial"/>
          <w:sz w:val="17"/>
          <w:szCs w:val="17"/>
          <w:color w:val="auto"/>
        </w:rPr>
        <w:t>We anticipate incurring significant costs associated with commercializing any approved product candidate. Our expenses could increase beyond our current expectations if we are required by the FDA or other global regulatory authorities to perform clinical trials and other preclinical studies in addition to those that we currently anticipate.</w:t>
      </w:r>
    </w:p>
    <w:p>
      <w:pPr>
        <w:spacing w:after="0" w:line="180" w:lineRule="exact"/>
        <w:rPr>
          <w:sz w:val="20"/>
          <w:szCs w:val="20"/>
          <w:color w:val="auto"/>
        </w:rPr>
      </w:pPr>
    </w:p>
    <w:p>
      <w:pPr>
        <w:ind w:right="20" w:firstLine="511"/>
        <w:spacing w:after="0" w:line="251" w:lineRule="auto"/>
        <w:rPr>
          <w:sz w:val="20"/>
          <w:szCs w:val="20"/>
          <w:color w:val="auto"/>
        </w:rPr>
      </w:pPr>
      <w:r>
        <w:rPr>
          <w:rFonts w:ascii="Arial" w:cs="Arial" w:eastAsia="Arial" w:hAnsi="Arial"/>
          <w:sz w:val="17"/>
          <w:szCs w:val="17"/>
          <w:color w:val="auto"/>
        </w:rPr>
        <w:t>Even if we are able to generate revenues from the sale of any approved products, we may not become profitable or be able to sustain or increase profitability on a quarterly or annual basis. Our failure to become and remain profitable could decrease the value of our company and impair our ability to raise capital, thereby limiting our research and development programs and efforts to expand our business or continue our operations.</w:t>
      </w:r>
    </w:p>
    <w:p>
      <w:pPr>
        <w:spacing w:after="0" w:line="279"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b w:val="1"/>
          <w:bCs w:val="1"/>
          <w:i w:val="1"/>
          <w:iCs w:val="1"/>
          <w:color w:val="auto"/>
        </w:rPr>
        <w:t>We will require additional capital, which, if available, may cause dilution to our stockholders, restrict our operations or require us to relinquish rights to our product candidates.*</w:t>
      </w:r>
    </w:p>
    <w:p>
      <w:pPr>
        <w:spacing w:after="0" w:line="171" w:lineRule="exact"/>
        <w:rPr>
          <w:sz w:val="20"/>
          <w:szCs w:val="20"/>
          <w:color w:val="auto"/>
        </w:rPr>
      </w:pPr>
    </w:p>
    <w:p>
      <w:pPr>
        <w:ind w:right="200" w:firstLine="511"/>
        <w:spacing w:after="0" w:line="286" w:lineRule="auto"/>
        <w:rPr>
          <w:sz w:val="20"/>
          <w:szCs w:val="20"/>
          <w:color w:val="auto"/>
        </w:rPr>
      </w:pPr>
      <w:r>
        <w:rPr>
          <w:rFonts w:ascii="Arial" w:cs="Arial" w:eastAsia="Arial" w:hAnsi="Arial"/>
          <w:sz w:val="15"/>
          <w:szCs w:val="15"/>
          <w:color w:val="auto"/>
        </w:rPr>
        <w:t>We have financed our operations primarily through private placements of our preferred stock, proceeds from our previous collaboration with GlaxoSmithKline and from our IPO in July 2020. We intend to use the proceeds from our IPO to, among other uses, advance NKX101 and NKX019 through clinical development. Developing pharmaceutical products and conducting preclinical studies and clinical trials is expensive. As of September 30, 2021, we had cash, cash equivalents, restricted cash and short-term investments of $259.8 million. Our research and development expenses increased from $17.2 million for the year ended December 31, 2019 to $36.2 million for the year ended December 31, 2020 and increased from $25.0 million for the nine months ended September 30, 2020 to $46.1 million for the nine months ended September 30, 2021.</w:t>
      </w:r>
    </w:p>
    <w:p>
      <w:pPr>
        <w:spacing w:after="0" w:line="154" w:lineRule="exact"/>
        <w:rPr>
          <w:sz w:val="20"/>
          <w:szCs w:val="20"/>
          <w:color w:val="auto"/>
        </w:rPr>
      </w:pPr>
    </w:p>
    <w:p>
      <w:pPr>
        <w:ind w:firstLine="511"/>
        <w:spacing w:after="0" w:line="281" w:lineRule="auto"/>
        <w:rPr>
          <w:sz w:val="20"/>
          <w:szCs w:val="20"/>
          <w:color w:val="auto"/>
        </w:rPr>
      </w:pPr>
      <w:r>
        <w:rPr>
          <w:rFonts w:ascii="Arial" w:cs="Arial" w:eastAsia="Arial" w:hAnsi="Arial"/>
          <w:sz w:val="15"/>
          <w:szCs w:val="15"/>
          <w:color w:val="auto"/>
        </w:rPr>
        <w:t>Until and unless we can generate substantial product revenue, we expect to finance our cash needs through the proceeds from our IPO, a combination of equity offerings and debt financings, including pursuant to our ATM Offering Program, and potentially through additional license and development agreements or strategic partnerships with third parties. Financing may not be available in sufficient amounts or on reasonable terms. In addition, market volatility resulting from the COVID-19 pandemic or other factors could adversely impact our ability to access capital as and when needed. We have no commitments for any additional financing and will likely be required to raise such financing through the sale of additional securities. If we sell equity or equity-linked securities, our current stockholders may be diluted, and the terms may include liquidation or other preferences that are senior to or otherwise adversely affect the rights of our stockholders. 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which could impede our ability to conduct our business. Furthermore, the issuance of additional securities, whether equity or debt, by us, or the possibility of such issuance, may cause the market price of our common stock to decline.</w:t>
      </w:r>
    </w:p>
    <w:p>
      <w:pPr>
        <w:spacing w:after="0" w:line="161" w:lineRule="exact"/>
        <w:rPr>
          <w:sz w:val="20"/>
          <w:szCs w:val="20"/>
          <w:color w:val="auto"/>
        </w:rPr>
      </w:pPr>
    </w:p>
    <w:p>
      <w:pPr>
        <w:ind w:right="680" w:firstLine="511"/>
        <w:spacing w:after="0" w:line="251" w:lineRule="auto"/>
        <w:rPr>
          <w:sz w:val="20"/>
          <w:szCs w:val="20"/>
          <w:color w:val="auto"/>
        </w:rPr>
      </w:pPr>
      <w:r>
        <w:rPr>
          <w:rFonts w:ascii="Arial" w:cs="Arial" w:eastAsia="Arial" w:hAnsi="Arial"/>
          <w:sz w:val="17"/>
          <w:szCs w:val="17"/>
          <w:color w:val="auto"/>
        </w:rPr>
        <w:t>If we raise additional funds through licensing or collaboration arrangements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180" w:lineRule="exact"/>
        <w:rPr>
          <w:sz w:val="20"/>
          <w:szCs w:val="20"/>
          <w:color w:val="auto"/>
        </w:rPr>
      </w:pPr>
    </w:p>
    <w:p>
      <w:pPr>
        <w:ind w:firstLine="511"/>
        <w:spacing w:after="0" w:line="247" w:lineRule="auto"/>
        <w:rPr>
          <w:sz w:val="20"/>
          <w:szCs w:val="20"/>
          <w:color w:val="auto"/>
        </w:rPr>
      </w:pPr>
      <w:r>
        <w:rPr>
          <w:rFonts w:ascii="Arial" w:cs="Arial" w:eastAsia="Arial" w:hAnsi="Arial"/>
          <w:sz w:val="17"/>
          <w:szCs w:val="17"/>
          <w:color w:val="auto"/>
        </w:rPr>
        <w:t>Attempting to secure additional financing may also divert our management from our day-to-day activities, which may impair or delay our ability to develop our product candidates. In addition, demands on our cash resources may change as a result of many factors currently unknown to us including, but not limited to, any unforeseen costs we may incur as a result of preclinical study or clinical trial delays due to the COVID-19 pandemic or other causes, and we may need to seek additional funds sooner than planned. If we are unable to obtain funding on a timely basis or at all, we may be required to significantly curtail or stop one or more of our research or development programs.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00"/>
          </w:cols>
          <w:pgMar w:left="320" w:top="623" w:right="379" w:bottom="1440" w:gutter="0" w:footer="0" w:header="0"/>
        </w:sectPr>
      </w:pPr>
    </w:p>
    <w:bookmarkStart w:id="33" w:name="page34"/>
    <w:bookmarkEnd w:id="33"/>
    <w:p>
      <w:pPr>
        <w:ind w:right="40"/>
        <w:spacing w:after="0" w:line="367" w:lineRule="auto"/>
        <w:rPr>
          <w:sz w:val="20"/>
          <w:szCs w:val="20"/>
          <w:color w:val="auto"/>
        </w:rPr>
      </w:pPr>
      <w:r>
        <w:rPr>
          <w:rFonts w:ascii="Arial" w:cs="Arial" w:eastAsia="Arial" w:hAnsi="Arial"/>
          <w:sz w:val="14"/>
          <w:szCs w:val="14"/>
          <w:b w:val="1"/>
          <w:bCs w:val="1"/>
          <w:i w:val="1"/>
          <w:iCs w:val="1"/>
          <w:color w:val="auto"/>
        </w:rPr>
        <w:t>Our business and the business or operations of our research partners, including CRISPR, and other third parties with whom we conduct business could be adversely affected by the effects of health epidemics, including the COVID-19 pandemic, in regions where we or third parties on which we rely have business operations.*</w:t>
      </w:r>
    </w:p>
    <w:p>
      <w:pPr>
        <w:spacing w:after="0" w:line="102" w:lineRule="exact"/>
        <w:rPr>
          <w:sz w:val="20"/>
          <w:szCs w:val="20"/>
          <w:color w:val="auto"/>
        </w:rPr>
      </w:pPr>
    </w:p>
    <w:p>
      <w:pPr>
        <w:ind w:right="100" w:firstLine="511"/>
        <w:spacing w:after="0" w:line="288" w:lineRule="auto"/>
        <w:rPr>
          <w:sz w:val="20"/>
          <w:szCs w:val="20"/>
          <w:color w:val="auto"/>
        </w:rPr>
      </w:pPr>
      <w:r>
        <w:rPr>
          <w:rFonts w:ascii="Arial" w:cs="Arial" w:eastAsia="Arial" w:hAnsi="Arial"/>
          <w:sz w:val="15"/>
          <w:szCs w:val="15"/>
          <w:color w:val="auto"/>
        </w:rPr>
        <w:t>The COVID-19 pandemic has disrupted economic activity and business operations worldwide, including the San Francisco Bay Area, where our primary operations are located. The coronavirus pandemic is evolving, and multiple variants of the virus that causes COVID-19 are circulating globally, including the more virulent and contagious Delta variant. To date the pandemic has led to the implementation of various responses, including government-imposed stay-at-home orders and quarantines, travel restrictions and other public health safety measures to mitigate the impact of the pandemic. We continue to monitor these changes and update our operations as necessary to comply with any state, county or local health orders.</w:t>
      </w:r>
    </w:p>
    <w:p>
      <w:pPr>
        <w:spacing w:after="0" w:line="254" w:lineRule="exact"/>
        <w:rPr>
          <w:sz w:val="20"/>
          <w:szCs w:val="20"/>
          <w:color w:val="auto"/>
        </w:rPr>
      </w:pPr>
    </w:p>
    <w:p>
      <w:pPr>
        <w:ind w:right="20" w:firstLine="511"/>
        <w:spacing w:after="0" w:line="279" w:lineRule="auto"/>
        <w:rPr>
          <w:sz w:val="20"/>
          <w:szCs w:val="20"/>
          <w:color w:val="auto"/>
        </w:rPr>
      </w:pPr>
      <w:r>
        <w:rPr>
          <w:rFonts w:ascii="Arial" w:cs="Arial" w:eastAsia="Arial" w:hAnsi="Arial"/>
          <w:sz w:val="15"/>
          <w:szCs w:val="15"/>
          <w:color w:val="auto"/>
        </w:rPr>
        <w:t>In response to previous government-imposed stay-at-home orders and quarantines, we implemented work-from-home policies for employees and adjusted our operations to maximize employee safety and to comply with directives from health authorities. The effects of quarantines, stay-at-home, executive and similar government orders, or the perception that such orders, shutdowns or other restrictions on the conduct of business operations could occur, in the United States and other countries, could negatively impact our operations and the operations of third parties we rely on, such as our contract manufacturing sites in Colorado, Ohio, and Ontario, and disrupt or delay the enrollment of patients at our clinical sites. For example, at some of our contract manufacturing sites, COVID-19-related restrictions, including temporary shutdowns, and instances of COVID-19 cases impacting personnel have resulted in some delays. Some of our CROs have also experienced employee turnover/attrition, delays, or disruptions during the pandemic. In addition, we experienced some delays in construction of our cGMP manufacturing facility and in our internal research efforts. COVID-19 has also caused global supply shortages of certain materials, such as certain raw materials, cell culture media, and disposable plastics, that we and our CDMOs use for research and GMP manufacturing. If we are not able to obtain sufficient quantities of cell culture media for our purposes due to the shortage, we may need to reduce the number of manufacturing runs we have planned. Supply chain and operational disruptions due to COVID-19 have contributed to certain enrollment delays in our NKX101 clinical trial. In addition, we have had minor delays in setting up clinical sites in our NKX019 clinical trial due to COVID-19 restrictions due to repurposing of healthcare personnel and facilities to support local pandemic efforts. We will continue to monitor the impact of COVID-19 and any additional waves of the pandemic on our operations, including continued enrollment in the NKX101 and NKX019 clinical trials, as well as on our collaboration partners, CROs, CDMOs, and clinical trial sites with respect to COVID-19 related shutdowns, restrictions on travel, and restrictions on hospital visits for clinical trial participants or clinical research staff. Although most COVID-19 restrictions have been lifted in the State of California and the County of San Mateo, restrictions similar to those previously imposed or new restrictions could be imposed again later.</w:t>
      </w:r>
    </w:p>
    <w:p>
      <w:pPr>
        <w:spacing w:after="0" w:line="162" w:lineRule="exact"/>
        <w:rPr>
          <w:sz w:val="20"/>
          <w:szCs w:val="20"/>
          <w:color w:val="auto"/>
        </w:rPr>
      </w:pPr>
    </w:p>
    <w:p>
      <w:pPr>
        <w:ind w:right="20" w:firstLine="511"/>
        <w:spacing w:after="0" w:line="251" w:lineRule="auto"/>
        <w:rPr>
          <w:sz w:val="20"/>
          <w:szCs w:val="20"/>
          <w:color w:val="auto"/>
        </w:rPr>
      </w:pPr>
      <w:r>
        <w:rPr>
          <w:rFonts w:ascii="Arial" w:cs="Arial" w:eastAsia="Arial" w:hAnsi="Arial"/>
          <w:sz w:val="17"/>
          <w:szCs w:val="17"/>
          <w:color w:val="auto"/>
        </w:rPr>
        <w:t>In addition, the COVID-19 pandemic has significantly disrupted global financial markets and could continue to restrict the level of economic activity, and may limit our ability to access capital, which could in the future negatively affect our liquidity now or in the future. A recession or market correction resulting from the spread of COVID-19 could materially affect our business and the value of our common stock.</w:t>
      </w:r>
    </w:p>
    <w:p>
      <w:pPr>
        <w:spacing w:after="0" w:line="180" w:lineRule="exact"/>
        <w:rPr>
          <w:sz w:val="20"/>
          <w:szCs w:val="20"/>
          <w:color w:val="auto"/>
        </w:rPr>
      </w:pPr>
    </w:p>
    <w:p>
      <w:pPr>
        <w:ind w:right="80" w:firstLine="511"/>
        <w:spacing w:after="0" w:line="292" w:lineRule="auto"/>
        <w:rPr>
          <w:sz w:val="20"/>
          <w:szCs w:val="20"/>
          <w:color w:val="auto"/>
        </w:rPr>
      </w:pPr>
      <w:r>
        <w:rPr>
          <w:rFonts w:ascii="Arial" w:cs="Arial" w:eastAsia="Arial" w:hAnsi="Arial"/>
          <w:sz w:val="15"/>
          <w:szCs w:val="15"/>
          <w:color w:val="auto"/>
        </w:rPr>
        <w:t>The COVID-19 pandemic has also impacted, and may impact in the future, the regulatory authorities to which we are subject in our industry, which may, in turn, hamper or delay our clinical development efforts. We periodically interact with health authorities such as the FDA to obtain advice, or reach consensus, on our ongoing clinical trials, product development, and manufacturing activities. As FDA personnel prioritize pandemic related efforts, we may experience delays in obtaining periodic advice which may affect our ability to move our clinical programs forward into the next phase of development.</w:t>
      </w:r>
    </w:p>
    <w:p>
      <w:pPr>
        <w:spacing w:after="0" w:line="152" w:lineRule="exact"/>
        <w:rPr>
          <w:sz w:val="20"/>
          <w:szCs w:val="20"/>
          <w:color w:val="auto"/>
        </w:rPr>
      </w:pPr>
    </w:p>
    <w:p>
      <w:pPr>
        <w:ind w:firstLine="511"/>
        <w:spacing w:after="0" w:line="286" w:lineRule="auto"/>
        <w:rPr>
          <w:sz w:val="20"/>
          <w:szCs w:val="20"/>
          <w:color w:val="auto"/>
        </w:rPr>
      </w:pPr>
      <w:r>
        <w:rPr>
          <w:rFonts w:ascii="Arial" w:cs="Arial" w:eastAsia="Arial" w:hAnsi="Arial"/>
          <w:sz w:val="15"/>
          <w:szCs w:val="15"/>
          <w:color w:val="auto"/>
        </w:rPr>
        <w:t>We cannot predict the potential future impacts of COVID-19, including its variants, on us and third parties with whom we conduct business. The extent of the impact of the COVID-19 pandemic on our operational and financial performance will depend on certain developments, including the duration and spread of the outbreak, the development and spread of more contagious and/or vaccine-resistant variants, the effectiveness of actions taken in the U.S. and other countries to contain, vaccinate against, and treat the disease, and its impact on our current and planned preclinical studies and clinical trials, employees and vendors, all of which are uncertain. As a result of the COVID-19 pandemic or other pandemic, epidemic or outbreak of an infectious disease, we have experienced and/or may experience disruptions that could severely impact our business, preclinical studies and clinical trials, including:</w:t>
      </w:r>
    </w:p>
    <w:p>
      <w:pPr>
        <w:spacing w:after="0" w:line="55" w:lineRule="exact"/>
        <w:rPr>
          <w:sz w:val="20"/>
          <w:szCs w:val="20"/>
          <w:color w:val="auto"/>
        </w:rPr>
      </w:pPr>
    </w:p>
    <w:p>
      <w:pPr>
        <w:ind w:left="1020" w:hanging="513"/>
        <w:spacing w:after="0"/>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delays or difficulties in enrolling patients in our clinical trials, including our ongoing NKX101 and NKX019 clinical trials;</w:t>
      </w:r>
    </w:p>
    <w:p>
      <w:pPr>
        <w:spacing w:after="0" w:line="101" w:lineRule="exact"/>
        <w:rPr>
          <w:rFonts w:ascii="Arial" w:cs="Arial" w:eastAsia="Arial" w:hAnsi="Arial"/>
          <w:sz w:val="17"/>
          <w:szCs w:val="17"/>
          <w:color w:val="auto"/>
        </w:rPr>
      </w:pPr>
    </w:p>
    <w:p>
      <w:pPr>
        <w:ind w:left="1020" w:right="280" w:hanging="513"/>
        <w:spacing w:after="0" w:line="260" w:lineRule="auto"/>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delays or difficulties in clinical site initiation, including difficulties in recruiting clinical site investigators and clinical site staff and in training medical personnel on how to properly thaw and administer our product candidates;</w:t>
      </w:r>
    </w:p>
    <w:p>
      <w:pPr>
        <w:spacing w:after="0" w:line="72" w:lineRule="exact"/>
        <w:rPr>
          <w:rFonts w:ascii="Arial" w:cs="Arial" w:eastAsia="Arial" w:hAnsi="Arial"/>
          <w:sz w:val="17"/>
          <w:szCs w:val="17"/>
          <w:color w:val="auto"/>
        </w:rPr>
      </w:pPr>
    </w:p>
    <w:p>
      <w:pPr>
        <w:ind w:left="1020" w:hanging="513"/>
        <w:spacing w:after="0"/>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delays or difficulties in recruitment of key personnel;</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20"/>
          </w:cols>
          <w:pgMar w:left="320" w:top="623" w:right="359" w:bottom="1440" w:gutter="0" w:footer="0" w:header="0"/>
        </w:sectPr>
      </w:pPr>
    </w:p>
    <w:bookmarkStart w:id="34" w:name="page35"/>
    <w:bookmarkEnd w:id="34"/>
    <w:p>
      <w:pPr>
        <w:ind w:left="1020" w:hanging="513"/>
        <w:spacing w:after="0" w:line="260" w:lineRule="auto"/>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diversion of healthcare resources away from the conduct of clinical trials, including the diversion of hospitals serving as our clinical trial sites and hospital staff supporting the conduct of our clinical trials;</w:t>
      </w:r>
    </w:p>
    <w:p>
      <w:pPr>
        <w:spacing w:after="0" w:line="72" w:lineRule="exact"/>
        <w:rPr>
          <w:rFonts w:ascii="Arial" w:cs="Arial" w:eastAsia="Arial" w:hAnsi="Arial"/>
          <w:sz w:val="17"/>
          <w:szCs w:val="17"/>
          <w:color w:val="auto"/>
        </w:rPr>
      </w:pPr>
    </w:p>
    <w:p>
      <w:pPr>
        <w:ind w:left="1020" w:hanging="513"/>
        <w:spacing w:after="0" w:line="251" w:lineRule="auto"/>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which may impact the integrity of subject data and clinical study endpoints;</w:t>
      </w:r>
    </w:p>
    <w:p>
      <w:pPr>
        <w:spacing w:after="0" w:line="80" w:lineRule="exact"/>
        <w:rPr>
          <w:rFonts w:ascii="Arial" w:cs="Arial" w:eastAsia="Arial" w:hAnsi="Arial"/>
          <w:sz w:val="17"/>
          <w:szCs w:val="17"/>
          <w:color w:val="auto"/>
        </w:rPr>
      </w:pPr>
    </w:p>
    <w:p>
      <w:pPr>
        <w:ind w:left="1020" w:right="60" w:hanging="513"/>
        <w:spacing w:after="0" w:line="260" w:lineRule="auto"/>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interruption or delays in the operations of the FDA or other regulatory authorities, which may impact review and approval timelines, including the review of IND or other regulatory submissions for our product candidates;</w:t>
      </w:r>
    </w:p>
    <w:p>
      <w:pPr>
        <w:spacing w:after="0" w:line="72" w:lineRule="exact"/>
        <w:rPr>
          <w:rFonts w:ascii="Arial" w:cs="Arial" w:eastAsia="Arial" w:hAnsi="Arial"/>
          <w:sz w:val="17"/>
          <w:szCs w:val="17"/>
          <w:color w:val="auto"/>
        </w:rPr>
      </w:pPr>
    </w:p>
    <w:p>
      <w:pPr>
        <w:jc w:val="both"/>
        <w:ind w:left="1020" w:right="420" w:hanging="513"/>
        <w:spacing w:after="0" w:line="251" w:lineRule="auto"/>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interruption of, or delays in receiving, supplies of our product candidates, or materials necessary for production of our product candidates, from our vendors or contract manufacturing organizations due to staffing shortages, production slowdowns or stoppages and disruptions in delivery or supply systems;</w:t>
      </w:r>
    </w:p>
    <w:p>
      <w:pPr>
        <w:spacing w:after="0" w:line="80" w:lineRule="exact"/>
        <w:rPr>
          <w:rFonts w:ascii="Arial" w:cs="Arial" w:eastAsia="Arial" w:hAnsi="Arial"/>
          <w:sz w:val="17"/>
          <w:szCs w:val="17"/>
          <w:color w:val="auto"/>
        </w:rPr>
      </w:pPr>
    </w:p>
    <w:p>
      <w:pPr>
        <w:ind w:left="1020" w:right="640" w:hanging="513"/>
        <w:spacing w:after="0" w:line="326" w:lineRule="auto"/>
        <w:tabs>
          <w:tab w:leader="none" w:pos="10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interruption of, or delays in manufacture of our product candidates, including at our in-house manufacturing facility and CDMOs, due to staffing shortages, production slowdowns and disruptions or inability to procure critical raw materials or other supplies in a timely fashion;</w:t>
      </w:r>
    </w:p>
    <w:p>
      <w:pPr>
        <w:spacing w:after="0" w:line="27" w:lineRule="exact"/>
        <w:rPr>
          <w:rFonts w:ascii="Arial" w:cs="Arial" w:eastAsia="Arial" w:hAnsi="Arial"/>
          <w:sz w:val="15"/>
          <w:szCs w:val="15"/>
          <w:color w:val="auto"/>
        </w:rPr>
      </w:pPr>
    </w:p>
    <w:p>
      <w:pPr>
        <w:ind w:left="1020" w:hanging="513"/>
        <w:spacing w:after="0"/>
        <w:tabs>
          <w:tab w:leader="none" w:pos="10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delays or disruptions in the planning, construction or qualification of our cGMP facility for commercial-scale manufacture of our product candidates;</w:t>
      </w:r>
    </w:p>
    <w:p>
      <w:pPr>
        <w:spacing w:after="0" w:line="124" w:lineRule="exact"/>
        <w:rPr>
          <w:rFonts w:ascii="Arial" w:cs="Arial" w:eastAsia="Arial" w:hAnsi="Arial"/>
          <w:sz w:val="15"/>
          <w:szCs w:val="15"/>
          <w:color w:val="auto"/>
        </w:rPr>
      </w:pPr>
    </w:p>
    <w:p>
      <w:pPr>
        <w:ind w:left="1020" w:hanging="513"/>
        <w:spacing w:after="0"/>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interruptions in preclinical studies due to restricted or limited operations at our laboratory facility;</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interruptions, or delays in receiving supplies and materials necessary for our business operations, and research and development activities;</w:t>
      </w:r>
    </w:p>
    <w:p>
      <w:pPr>
        <w:spacing w:after="0" w:line="124" w:lineRule="exact"/>
        <w:rPr>
          <w:rFonts w:ascii="Arial" w:cs="Arial" w:eastAsia="Arial" w:hAnsi="Arial"/>
          <w:sz w:val="15"/>
          <w:szCs w:val="15"/>
          <w:color w:val="auto"/>
        </w:rPr>
      </w:pPr>
    </w:p>
    <w:p>
      <w:pPr>
        <w:ind w:left="1020" w:hanging="513"/>
        <w:spacing w:after="0"/>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increases in the cost of services or supplies necessary for our research and development activities;</w:t>
      </w:r>
    </w:p>
    <w:p>
      <w:pPr>
        <w:spacing w:after="0" w:line="101" w:lineRule="exact"/>
        <w:rPr>
          <w:rFonts w:ascii="Arial" w:cs="Arial" w:eastAsia="Arial" w:hAnsi="Arial"/>
          <w:sz w:val="17"/>
          <w:szCs w:val="17"/>
          <w:color w:val="auto"/>
        </w:rPr>
      </w:pPr>
    </w:p>
    <w:p>
      <w:pPr>
        <w:ind w:left="1020" w:right="440" w:hanging="513"/>
        <w:spacing w:after="0" w:line="326" w:lineRule="auto"/>
        <w:tabs>
          <w:tab w:leader="none" w:pos="10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 and</w:t>
      </w:r>
    </w:p>
    <w:p>
      <w:pPr>
        <w:spacing w:after="0" w:line="27" w:lineRule="exact"/>
        <w:rPr>
          <w:rFonts w:ascii="Arial" w:cs="Arial" w:eastAsia="Arial" w:hAnsi="Arial"/>
          <w:sz w:val="15"/>
          <w:szCs w:val="15"/>
          <w:color w:val="auto"/>
        </w:rPr>
      </w:pPr>
    </w:p>
    <w:p>
      <w:pPr>
        <w:ind w:left="1020" w:hanging="513"/>
        <w:spacing w:after="0"/>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interruption or delays to our discovery and clinical activities.</w:t>
      </w:r>
    </w:p>
    <w:p>
      <w:pPr>
        <w:spacing w:after="0" w:line="201" w:lineRule="exact"/>
        <w:rPr>
          <w:sz w:val="20"/>
          <w:szCs w:val="20"/>
          <w:color w:val="auto"/>
        </w:rPr>
      </w:pPr>
    </w:p>
    <w:p>
      <w:pPr>
        <w:ind w:right="300"/>
        <w:spacing w:after="0" w:line="260" w:lineRule="auto"/>
        <w:rPr>
          <w:sz w:val="20"/>
          <w:szCs w:val="20"/>
          <w:color w:val="auto"/>
        </w:rPr>
      </w:pPr>
      <w:r>
        <w:rPr>
          <w:rFonts w:ascii="Arial" w:cs="Arial" w:eastAsia="Arial" w:hAnsi="Arial"/>
          <w:sz w:val="17"/>
          <w:szCs w:val="17"/>
          <w:color w:val="auto"/>
        </w:rPr>
        <w:t>The magnitude of these disruptions will depend, in part, on the length and severity of the COVID-19 restrictions and other limitations on our ability and the ability of others to conduct business in the ordinary course.</w:t>
      </w:r>
    </w:p>
    <w:p>
      <w:pPr>
        <w:spacing w:after="0" w:line="171" w:lineRule="exact"/>
        <w:rPr>
          <w:sz w:val="20"/>
          <w:szCs w:val="20"/>
          <w:color w:val="auto"/>
        </w:rPr>
      </w:pPr>
    </w:p>
    <w:p>
      <w:pPr>
        <w:ind w:right="320" w:firstLine="511"/>
        <w:spacing w:after="0" w:line="319" w:lineRule="auto"/>
        <w:rPr>
          <w:sz w:val="20"/>
          <w:szCs w:val="20"/>
          <w:color w:val="auto"/>
        </w:rPr>
      </w:pPr>
      <w:r>
        <w:rPr>
          <w:rFonts w:ascii="Arial" w:cs="Arial" w:eastAsia="Arial" w:hAnsi="Arial"/>
          <w:sz w:val="14"/>
          <w:szCs w:val="14"/>
          <w:color w:val="auto"/>
        </w:rPr>
        <w:t>The ultimate impact of the COVID-19 outbreak or a similar health epidemic is highly uncertain. These impacts will depend on future developments that are highly uncertain and cannot be predicted with confidence, such as the duration of the outbreak and the effectiveness of actions taken in the United States and other countries to contain, vaccinate against, and treat the disease. We do not yet know the full extent of potential delays or impacts on our business, our clinical trials, healthcare systems or the global economy as a whole, but these delays could have a material impact on our business, financial condition, and/or results of operations.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depends upon the success of our CAR-NK cell technology platform.</w:t>
      </w:r>
    </w:p>
    <w:p>
      <w:pPr>
        <w:spacing w:after="0" w:line="201" w:lineRule="exact"/>
        <w:rPr>
          <w:sz w:val="20"/>
          <w:szCs w:val="20"/>
          <w:color w:val="auto"/>
        </w:rPr>
      </w:pPr>
    </w:p>
    <w:p>
      <w:pPr>
        <w:ind w:right="140" w:firstLine="511"/>
        <w:spacing w:after="0" w:line="284" w:lineRule="auto"/>
        <w:rPr>
          <w:sz w:val="20"/>
          <w:szCs w:val="20"/>
          <w:color w:val="auto"/>
        </w:rPr>
      </w:pPr>
      <w:r>
        <w:rPr>
          <w:rFonts w:ascii="Arial" w:cs="Arial" w:eastAsia="Arial" w:hAnsi="Arial"/>
          <w:sz w:val="15"/>
          <w:szCs w:val="15"/>
          <w:color w:val="auto"/>
        </w:rPr>
        <w:t>Our success depends on our ability to utilize our CAR-NK technology platform to generate product candidates, to obtain regulatory approval for product candidates derived from it, and to then commercialize our product candidates addressing one or more indications. A Phase 1 clinical trial to evaluate our first CAR NK product in humans has commenced. All of our product candidates developed from our technology platform will require significant additional clinical and non-clinical development, review and approval by the FDA or other regulatory authorities in one or more jurisdictions, substantial investment, access to sufficient commercial manufacturing capacity and significant marketing efforts before they can be successfully commercialized. If any of our product candidates encounter safety or efficacy problems, developmental delays or regulatory issues or other problems, such problems could impact the development plans for our other product candidates because all of our product candidates are based on the same core CAR-NK engineering technology.</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20"/>
          </w:cols>
          <w:pgMar w:left="320" w:top="623" w:right="359" w:bottom="1440" w:gutter="0" w:footer="0" w:header="0"/>
        </w:sectPr>
      </w:pPr>
    </w:p>
    <w:bookmarkStart w:id="35" w:name="page36"/>
    <w:bookmarkEnd w:id="35"/>
    <w:p>
      <w:pPr>
        <w:ind w:right="80"/>
        <w:spacing w:after="0" w:line="260" w:lineRule="auto"/>
        <w:rPr>
          <w:sz w:val="20"/>
          <w:szCs w:val="20"/>
          <w:color w:val="auto"/>
        </w:rPr>
      </w:pPr>
      <w:r>
        <w:rPr>
          <w:rFonts w:ascii="Arial" w:cs="Arial" w:eastAsia="Arial" w:hAnsi="Arial"/>
          <w:sz w:val="17"/>
          <w:szCs w:val="17"/>
          <w:b w:val="1"/>
          <w:bCs w:val="1"/>
          <w:i w:val="1"/>
          <w:iCs w:val="1"/>
          <w:color w:val="auto"/>
        </w:rPr>
        <w:t>Utilizing CAR-NK cells represents a novel approach to the treatment of cancer, and we must overcome significant challenges in order to develop, commercialize and manufacture our product candidates.*</w:t>
      </w:r>
    </w:p>
    <w:p>
      <w:pPr>
        <w:spacing w:after="0" w:line="171" w:lineRule="exact"/>
        <w:rPr>
          <w:sz w:val="20"/>
          <w:szCs w:val="20"/>
          <w:color w:val="auto"/>
        </w:rPr>
      </w:pPr>
    </w:p>
    <w:p>
      <w:pPr>
        <w:ind w:firstLine="511"/>
        <w:spacing w:after="0" w:line="284" w:lineRule="auto"/>
        <w:rPr>
          <w:sz w:val="20"/>
          <w:szCs w:val="20"/>
          <w:color w:val="auto"/>
        </w:rPr>
      </w:pPr>
      <w:r>
        <w:rPr>
          <w:rFonts w:ascii="Arial" w:cs="Arial" w:eastAsia="Arial" w:hAnsi="Arial"/>
          <w:sz w:val="15"/>
          <w:szCs w:val="15"/>
          <w:color w:val="auto"/>
        </w:rPr>
        <w:t>We have concentrated our research and development efforts on utilizing CAR-NK cells as an immuno-oncology therapy. To date, the FDA has approved only a few cell-based therapies for commercialization and no NK-based cell therapy has been approved for commercial use by any regulatory authority. The processes and requirements imposed by the FDA or other applicable regulatory authorities may cause delays and additional costs in obtaining approvals for marketing authorization for our product candidates. Because our CAR-NK platform product candidates are novel, and cell-based therapies are relatively new, regulatory agencies may lack precedents for evaluating product candidates like our CAR-NK product candidates. This novelty may lengthen the regulatory review process, including the time it takes for the FDA to review our IND applications if and when submitted, increase our development costs and delay or prevent approval and commercialization of our CAR-NK platform product candidates. Additionally, advancing novel immuno-oncology therapies creates significant challenges for us, including:</w:t>
      </w:r>
    </w:p>
    <w:p>
      <w:pPr>
        <w:spacing w:after="0" w:line="58" w:lineRule="exact"/>
        <w:rPr>
          <w:sz w:val="20"/>
          <w:szCs w:val="20"/>
          <w:color w:val="auto"/>
        </w:rPr>
      </w:pPr>
    </w:p>
    <w:p>
      <w:pPr>
        <w:ind w:left="1020" w:hanging="513"/>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enrolling sufficient numbers of patients in clinical trials;</w:t>
      </w:r>
    </w:p>
    <w:p>
      <w:pPr>
        <w:spacing w:after="0" w:line="101" w:lineRule="exact"/>
        <w:rPr>
          <w:rFonts w:ascii="Arial" w:cs="Arial" w:eastAsia="Arial" w:hAnsi="Arial"/>
          <w:sz w:val="17"/>
          <w:szCs w:val="17"/>
          <w:color w:val="auto"/>
        </w:rPr>
      </w:pPr>
    </w:p>
    <w:p>
      <w:pPr>
        <w:ind w:left="1020" w:right="20" w:hanging="513"/>
        <w:spacing w:after="0" w:line="260" w:lineRule="auto"/>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training a sufficient number of medical personnel on how to properly thaw and administer our cells, especially in our planned solid tumor trial wherein the cells are given through a procedure by trained medical doctors;</w:t>
      </w:r>
    </w:p>
    <w:p>
      <w:pPr>
        <w:spacing w:after="0" w:line="72" w:lineRule="exact"/>
        <w:rPr>
          <w:rFonts w:ascii="Arial" w:cs="Arial" w:eastAsia="Arial" w:hAnsi="Arial"/>
          <w:sz w:val="17"/>
          <w:szCs w:val="17"/>
          <w:color w:val="auto"/>
        </w:rPr>
      </w:pPr>
    </w:p>
    <w:p>
      <w:pPr>
        <w:ind w:left="1020" w:right="180" w:hanging="513"/>
        <w:spacing w:after="0" w:line="326" w:lineRule="auto"/>
        <w:tabs>
          <w:tab w:leader="none" w:pos="10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training a sufficient number of medical and clinical laboratory personnel in the proper collection and handling of clinical samples in our clinical trials to enable a sufficient understanding of CAR NK pharmacokinetics and pharmacodynamics for the design of an optimal dosing regimen;</w:t>
      </w:r>
    </w:p>
    <w:p>
      <w:pPr>
        <w:spacing w:after="0" w:line="27" w:lineRule="exact"/>
        <w:rPr>
          <w:rFonts w:ascii="Arial" w:cs="Arial" w:eastAsia="Arial" w:hAnsi="Arial"/>
          <w:sz w:val="15"/>
          <w:szCs w:val="15"/>
          <w:color w:val="auto"/>
        </w:rPr>
      </w:pPr>
    </w:p>
    <w:p>
      <w:pPr>
        <w:ind w:left="1020" w:right="180" w:hanging="513"/>
        <w:spacing w:after="0" w:line="260" w:lineRule="auto"/>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educating medical personnel regarding the potential side-effect profile of our cells and, as the clinical program progresses, on observed side effects with the therapy;</w:t>
      </w:r>
    </w:p>
    <w:p>
      <w:pPr>
        <w:spacing w:after="0" w:line="72" w:lineRule="exact"/>
        <w:rPr>
          <w:rFonts w:ascii="Arial" w:cs="Arial" w:eastAsia="Arial" w:hAnsi="Arial"/>
          <w:sz w:val="17"/>
          <w:szCs w:val="17"/>
          <w:color w:val="auto"/>
        </w:rPr>
      </w:pPr>
    </w:p>
    <w:p>
      <w:pPr>
        <w:ind w:left="1020" w:hanging="513"/>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developing a reliable and safe and an effective means of genetically modifying our cells;</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manufacturing and cryopreservation our cells on a large scale and in a cost-effective manner;</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sourcing starting material suitable for clinical and commercial manufacturing; and</w:t>
      </w:r>
    </w:p>
    <w:p>
      <w:pPr>
        <w:spacing w:after="0" w:line="101" w:lineRule="exact"/>
        <w:rPr>
          <w:rFonts w:ascii="Arial" w:cs="Arial" w:eastAsia="Arial" w:hAnsi="Arial"/>
          <w:sz w:val="17"/>
          <w:szCs w:val="17"/>
          <w:color w:val="auto"/>
        </w:rPr>
      </w:pPr>
    </w:p>
    <w:p>
      <w:pPr>
        <w:ind w:left="1020" w:right="80" w:hanging="513"/>
        <w:spacing w:after="0" w:line="260" w:lineRule="auto"/>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establishing sales and marketing capabilities, as well as developing a manufacturing process and distribution network to support the commercialization of any approved products.</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We must be able to overcome these challenges in order for us to develop, commercialize and manufacture our product candidates utilizing CAR-NK cells.</w:t>
      </w:r>
    </w:p>
    <w:p>
      <w:pPr>
        <w:spacing w:after="0" w:line="323" w:lineRule="exact"/>
        <w:rPr>
          <w:sz w:val="20"/>
          <w:szCs w:val="20"/>
          <w:color w:val="auto"/>
        </w:rPr>
      </w:pPr>
    </w:p>
    <w:p>
      <w:pPr>
        <w:ind w:right="640"/>
        <w:spacing w:after="0" w:line="326" w:lineRule="auto"/>
        <w:rPr>
          <w:sz w:val="20"/>
          <w:szCs w:val="20"/>
          <w:color w:val="auto"/>
        </w:rPr>
      </w:pPr>
      <w:r>
        <w:rPr>
          <w:rFonts w:ascii="Arial" w:cs="Arial" w:eastAsia="Arial" w:hAnsi="Arial"/>
          <w:sz w:val="15"/>
          <w:szCs w:val="15"/>
          <w:b w:val="1"/>
          <w:bCs w:val="1"/>
          <w:i w:val="1"/>
          <w:iCs w:val="1"/>
          <w:color w:val="auto"/>
        </w:rPr>
        <w:t>Certain aspects of the function and production of CAR-NK cells are currently unknown or poorly understood, and may only become known through further preclinical testing and clinical trials. Any potential re-engineering required may result in delays and additional expenses.</w:t>
      </w:r>
    </w:p>
    <w:p>
      <w:pPr>
        <w:spacing w:after="0" w:line="126" w:lineRule="exact"/>
        <w:rPr>
          <w:sz w:val="20"/>
          <w:szCs w:val="20"/>
          <w:color w:val="auto"/>
        </w:rPr>
      </w:pPr>
    </w:p>
    <w:p>
      <w:pPr>
        <w:ind w:right="40" w:firstLine="511"/>
        <w:spacing w:after="0" w:line="286" w:lineRule="auto"/>
        <w:rPr>
          <w:sz w:val="20"/>
          <w:szCs w:val="20"/>
          <w:color w:val="auto"/>
        </w:rPr>
      </w:pPr>
      <w:r>
        <w:rPr>
          <w:rFonts w:ascii="Arial" w:cs="Arial" w:eastAsia="Arial" w:hAnsi="Arial"/>
          <w:sz w:val="15"/>
          <w:szCs w:val="15"/>
          <w:color w:val="auto"/>
        </w:rPr>
        <w:t>Current clinical experience with NK cell therapy is predominantly based on cells from haplomatched donors, i.e., at least half of the major Human Leukocyte Antigen (“HLA”), types matched between donor and recipient. Our clinical development plan for NKX101 will seek to establish what degree of HLA matching, if any, is required for NKX101 to exhibit necessary levels of clinical activity and duration of response. While we believe that a high degree of HLA matching will not be required for clinically meaningful activity and durability of response, if it becomes apparent through preclinical testing or clinical trials that such matching is required, the production of NKX101 as standardized product for all patients will not be achievable. Instead, we would need to establish a bank of engineered CAR-NK cells for each of our product candidates where dozens of different donors will be required to achieve coverage of a large fraction of the addressable patient population.</w:t>
      </w:r>
    </w:p>
    <w:p>
      <w:pPr>
        <w:spacing w:after="0" w:line="154" w:lineRule="exact"/>
        <w:rPr>
          <w:sz w:val="20"/>
          <w:szCs w:val="20"/>
          <w:color w:val="auto"/>
        </w:rPr>
      </w:pPr>
    </w:p>
    <w:p>
      <w:pPr>
        <w:ind w:right="20" w:firstLine="511"/>
        <w:spacing w:after="0" w:line="248" w:lineRule="auto"/>
        <w:rPr>
          <w:sz w:val="20"/>
          <w:szCs w:val="20"/>
          <w:color w:val="auto"/>
        </w:rPr>
      </w:pPr>
      <w:r>
        <w:rPr>
          <w:rFonts w:ascii="Arial" w:cs="Arial" w:eastAsia="Arial" w:hAnsi="Arial"/>
          <w:sz w:val="17"/>
          <w:szCs w:val="17"/>
          <w:color w:val="auto"/>
        </w:rPr>
        <w:t>Furthermore, the killer immunoglobulin-like receptor (“KIR”), is found on the surface of NK cells and recognizes certain HLA types. If there is a match between KIR and the HLA type, KIR acts as a natural inhibitor of NK activity, thereby serving to prevent immune reactions against an individual’s own cells. If we discover that a KIR mismatch is required to achieve clinically meaningful activity and durability of response, we will need to factor KIR mismatch into the donor and product selection process for patients enrolled in our clinical trials.</w:t>
      </w:r>
    </w:p>
    <w:p>
      <w:pPr>
        <w:spacing w:after="0" w:line="183" w:lineRule="exact"/>
        <w:rPr>
          <w:sz w:val="20"/>
          <w:szCs w:val="20"/>
          <w:color w:val="auto"/>
        </w:rPr>
      </w:pPr>
    </w:p>
    <w:p>
      <w:pPr>
        <w:ind w:right="200" w:firstLine="511"/>
        <w:spacing w:after="0" w:line="247" w:lineRule="auto"/>
        <w:rPr>
          <w:sz w:val="20"/>
          <w:szCs w:val="20"/>
          <w:color w:val="auto"/>
        </w:rPr>
      </w:pPr>
      <w:r>
        <w:rPr>
          <w:rFonts w:ascii="Arial" w:cs="Arial" w:eastAsia="Arial" w:hAnsi="Arial"/>
          <w:sz w:val="17"/>
          <w:szCs w:val="17"/>
          <w:color w:val="auto"/>
        </w:rPr>
        <w:t>In addition, tumors are sometimes able to evade detection by naturally occurring NK cells by shedding the NKG2D ligands found on malignant cells. While NKX101 has been engineered to overcome this shedding mechanism, there can be no guarantee that tumor cells will not retain or regain the ability to shed NKG2D ligand completely despite the presence of NKX101, which would give such tumors a degree of resistance against NKX101. If we discover that tumors develop a resistance to NKX101 as a result of such NKG2D ligand shedding, we will need to reengineer NKX101 to counteract this effect, or we may need to change or abandon our development efforts for NKX101.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36" w:name="page37"/>
    <w:bookmarkEnd w:id="36"/>
    <w:p>
      <w:pPr>
        <w:ind w:right="60" w:firstLine="511"/>
        <w:spacing w:after="0" w:line="292" w:lineRule="auto"/>
        <w:rPr>
          <w:sz w:val="20"/>
          <w:szCs w:val="20"/>
          <w:color w:val="auto"/>
        </w:rPr>
      </w:pPr>
      <w:r>
        <w:rPr>
          <w:rFonts w:ascii="Arial" w:cs="Arial" w:eastAsia="Arial" w:hAnsi="Arial"/>
          <w:sz w:val="15"/>
          <w:szCs w:val="15"/>
          <w:color w:val="auto"/>
        </w:rPr>
        <w:t>Finally, there is limited history of CAR-NK cells manufacturing for clinical use, and our understanding of NK cell biology is continuously expanding. If we find that our current manufacturing processes are inadequate, or should we identify opportunities for material improvement, adaptation of process improvements may require significant periods of time. Process improvements might also necessitate new pre-clinical studies and clinical protocols to establish product comparability. If we are unable to show comparability after a process change, further changes to our manufacturing process and/or clinical trials will be required.</w:t>
      </w:r>
    </w:p>
    <w:p>
      <w:pPr>
        <w:spacing w:after="0" w:line="152" w:lineRule="exact"/>
        <w:rPr>
          <w:sz w:val="20"/>
          <w:szCs w:val="20"/>
          <w:color w:val="auto"/>
        </w:rPr>
      </w:pPr>
    </w:p>
    <w:p>
      <w:pPr>
        <w:ind w:right="140" w:firstLine="511"/>
        <w:spacing w:after="0" w:line="251" w:lineRule="auto"/>
        <w:rPr>
          <w:sz w:val="20"/>
          <w:szCs w:val="20"/>
          <w:color w:val="auto"/>
        </w:rPr>
      </w:pPr>
      <w:r>
        <w:rPr>
          <w:rFonts w:ascii="Arial" w:cs="Arial" w:eastAsia="Arial" w:hAnsi="Arial"/>
          <w:sz w:val="17"/>
          <w:szCs w:val="17"/>
          <w:color w:val="auto"/>
        </w:rPr>
        <w:t>The foregoing processes would require us to redesign the clinical protocols and clinical trials for our product candidates and could require significant additional time and resources to complete and the participation of a significant number of additional clinical trial participants and donors, any of which would delay the clinical development of our product candidates and their eventual commercialization.</w:t>
      </w:r>
    </w:p>
    <w:p>
      <w:pPr>
        <w:spacing w:after="0" w:line="279" w:lineRule="exact"/>
        <w:rPr>
          <w:sz w:val="20"/>
          <w:szCs w:val="20"/>
          <w:color w:val="auto"/>
        </w:rPr>
      </w:pPr>
    </w:p>
    <w:p>
      <w:pPr>
        <w:ind w:right="400"/>
        <w:spacing w:after="0" w:line="260" w:lineRule="auto"/>
        <w:rPr>
          <w:sz w:val="20"/>
          <w:szCs w:val="20"/>
          <w:color w:val="auto"/>
        </w:rPr>
      </w:pPr>
      <w:r>
        <w:rPr>
          <w:rFonts w:ascii="Arial" w:cs="Arial" w:eastAsia="Arial" w:hAnsi="Arial"/>
          <w:sz w:val="17"/>
          <w:szCs w:val="17"/>
          <w:b w:val="1"/>
          <w:bCs w:val="1"/>
          <w:i w:val="1"/>
          <w:iCs w:val="1"/>
          <w:color w:val="auto"/>
        </w:rPr>
        <w:t>Clinical development involves a lengthy and expensive process with an uncertain outcome, and we may encounter substantial delays due to a variety of reasons outside our control.*</w:t>
      </w:r>
    </w:p>
    <w:p>
      <w:pPr>
        <w:spacing w:after="0" w:line="171" w:lineRule="exact"/>
        <w:rPr>
          <w:sz w:val="20"/>
          <w:szCs w:val="20"/>
          <w:color w:val="auto"/>
        </w:rPr>
      </w:pPr>
    </w:p>
    <w:p>
      <w:pPr>
        <w:ind w:firstLine="511"/>
        <w:spacing w:after="0" w:line="281" w:lineRule="auto"/>
        <w:rPr>
          <w:sz w:val="20"/>
          <w:szCs w:val="20"/>
          <w:color w:val="auto"/>
        </w:rPr>
      </w:pPr>
      <w:r>
        <w:rPr>
          <w:rFonts w:ascii="Arial" w:cs="Arial" w:eastAsia="Arial" w:hAnsi="Arial"/>
          <w:sz w:val="15"/>
          <w:szCs w:val="15"/>
          <w:color w:val="auto"/>
        </w:rPr>
        <w:t>Clinical trials are expensive, time consuming and subject to substantial uncertainty. Failure can occur at any time during the clinical trial process,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 We, the FDA, or other applicable regulatory authorities may suspend or terminate clinical trials of a product candidate at any time for various reasons, including, but not limited to, a belief that subjects participating in such trials are being exposed to unacceptable health risks or adverse side effects, or other adverse initial experiences or findings. The FDA, or other applicable regulatory authorities may also require us to conduct additional preclinical studies or clinical trials due to negative or inconclusive results or other reasons, fail to approve the raw materials, manufacturing processes or facilities of third-party manufacturers upon which we rely, find deficiencies in the manufacturing processes or facilities upon which we rely, and change their approval policies or regulations or their prior guidance to us during clinical development in a manner rendering our clinical data insufficient for approval. In addition, data collected from clinical trials may not be sufficient to support the submission of a BLA, MAA or other applicable regulatory filings. We cannot guarantee that any clinical trials that we may plan or initiate will be conducted as planned or completed on schedule, if at all.</w:t>
      </w:r>
    </w:p>
    <w:p>
      <w:pPr>
        <w:spacing w:after="0" w:line="186" w:lineRule="exact"/>
        <w:rPr>
          <w:sz w:val="20"/>
          <w:szCs w:val="20"/>
          <w:color w:val="auto"/>
        </w:rPr>
      </w:pPr>
    </w:p>
    <w:p>
      <w:pPr>
        <w:jc w:val="both"/>
        <w:ind w:right="180" w:firstLine="511"/>
        <w:spacing w:after="0" w:line="251" w:lineRule="auto"/>
        <w:rPr>
          <w:sz w:val="20"/>
          <w:szCs w:val="20"/>
          <w:color w:val="auto"/>
        </w:rPr>
      </w:pPr>
      <w:r>
        <w:rPr>
          <w:rFonts w:ascii="Arial" w:cs="Arial" w:eastAsia="Arial" w:hAnsi="Arial"/>
          <w:sz w:val="17"/>
          <w:szCs w:val="17"/>
          <w:color w:val="auto"/>
        </w:rPr>
        <w:t>A failure of one or more of our clinical trials could occur at any stage, and any failure could prevent us from obtaining the FDA and other regulatory approvals necessary to commercialize our product candidates. Events that may prevent successful initiation, timely completion, or positive outcomes of our clinical development include, but are not limited to:</w:t>
      </w:r>
    </w:p>
    <w:p>
      <w:pPr>
        <w:spacing w:after="0" w:line="81" w:lineRule="exact"/>
        <w:rPr>
          <w:sz w:val="20"/>
          <w:szCs w:val="20"/>
          <w:color w:val="auto"/>
        </w:rPr>
      </w:pPr>
    </w:p>
    <w:p>
      <w:pPr>
        <w:ind w:left="1020" w:hanging="513"/>
        <w:spacing w:after="0"/>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delays in obtaining regulatory approval to commence a clinical trial;</w:t>
      </w:r>
    </w:p>
    <w:p>
      <w:pPr>
        <w:spacing w:after="0" w:line="101" w:lineRule="exact"/>
        <w:rPr>
          <w:rFonts w:ascii="Arial" w:cs="Arial" w:eastAsia="Arial" w:hAnsi="Arial"/>
          <w:sz w:val="17"/>
          <w:szCs w:val="17"/>
          <w:color w:val="auto"/>
        </w:rPr>
      </w:pPr>
    </w:p>
    <w:p>
      <w:pPr>
        <w:ind w:left="1020" w:right="60" w:hanging="513"/>
        <w:spacing w:after="0" w:line="260"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delays in reaching agreement on acceptable terms with prospective clinical trial sites or CROs, the terms of which can be subject to extensive negotiation and may vary significantly among different trial sites and CROs;</w:t>
      </w:r>
    </w:p>
    <w:p>
      <w:pPr>
        <w:spacing w:after="0" w:line="72" w:lineRule="exact"/>
        <w:rPr>
          <w:rFonts w:ascii="Arial" w:cs="Arial" w:eastAsia="Arial" w:hAnsi="Arial"/>
          <w:sz w:val="17"/>
          <w:szCs w:val="17"/>
          <w:color w:val="auto"/>
        </w:rPr>
      </w:pPr>
    </w:p>
    <w:p>
      <w:pPr>
        <w:ind w:left="1020" w:hanging="513"/>
        <w:spacing w:after="0"/>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inability to recruit sufficient patients for our clinical trials in a timely manner or at all;</w:t>
      </w:r>
    </w:p>
    <w:p>
      <w:pPr>
        <w:spacing w:after="0" w:line="101" w:lineRule="exact"/>
        <w:rPr>
          <w:rFonts w:ascii="Arial" w:cs="Arial" w:eastAsia="Arial" w:hAnsi="Arial"/>
          <w:sz w:val="17"/>
          <w:szCs w:val="17"/>
          <w:color w:val="auto"/>
        </w:rPr>
      </w:pPr>
    </w:p>
    <w:p>
      <w:pPr>
        <w:ind w:left="1020" w:right="260" w:hanging="513"/>
        <w:spacing w:after="0" w:line="260"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delays in achieving a sufficient number of clinical trial sites or obtaining the required institutional review board (“IRB”), approval at each clinical trial site;</w:t>
      </w:r>
    </w:p>
    <w:p>
      <w:pPr>
        <w:spacing w:after="0" w:line="72" w:lineRule="exact"/>
        <w:rPr>
          <w:rFonts w:ascii="Arial" w:cs="Arial" w:eastAsia="Arial" w:hAnsi="Arial"/>
          <w:sz w:val="17"/>
          <w:szCs w:val="17"/>
          <w:color w:val="auto"/>
        </w:rPr>
      </w:pPr>
    </w:p>
    <w:p>
      <w:pPr>
        <w:ind w:left="1020" w:hanging="513"/>
        <w:spacing w:after="0"/>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imposition of a temporary or permanent clinical hold by us or by the FDA or other regulatory agencies based on emerging data;</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clinical sites deviating from trial protocol or dropping out of a trial;</w:t>
      </w:r>
    </w:p>
    <w:p>
      <w:pPr>
        <w:spacing w:after="0" w:line="101" w:lineRule="exact"/>
        <w:rPr>
          <w:rFonts w:ascii="Arial" w:cs="Arial" w:eastAsia="Arial" w:hAnsi="Arial"/>
          <w:sz w:val="17"/>
          <w:szCs w:val="17"/>
          <w:color w:val="auto"/>
        </w:rPr>
      </w:pPr>
    </w:p>
    <w:p>
      <w:pPr>
        <w:ind w:left="1020" w:right="60" w:hanging="513"/>
        <w:spacing w:after="0" w:line="260"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inability to obtain long-term follow-up data due to patient drop out or in cases where patients elect to receive post-protocol treatment for their disease before it progresses;</w:t>
      </w:r>
    </w:p>
    <w:p>
      <w:pPr>
        <w:spacing w:after="0" w:line="72" w:lineRule="exact"/>
        <w:rPr>
          <w:rFonts w:ascii="Arial" w:cs="Arial" w:eastAsia="Arial" w:hAnsi="Arial"/>
          <w:sz w:val="17"/>
          <w:szCs w:val="17"/>
          <w:color w:val="auto"/>
        </w:rPr>
      </w:pPr>
    </w:p>
    <w:p>
      <w:pPr>
        <w:ind w:left="1020" w:hanging="513"/>
        <w:spacing w:after="0" w:line="260"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suspension or termination of a clinical trial by the IRB of the institutions in which such trials are being conducted or by the Data Safety Monitoring Board (“DSMB”) (where applicable);</w:t>
      </w:r>
    </w:p>
    <w:p>
      <w:pPr>
        <w:spacing w:after="0" w:line="72" w:lineRule="exact"/>
        <w:rPr>
          <w:rFonts w:ascii="Arial" w:cs="Arial" w:eastAsia="Arial" w:hAnsi="Arial"/>
          <w:sz w:val="17"/>
          <w:szCs w:val="17"/>
          <w:color w:val="auto"/>
        </w:rPr>
      </w:pPr>
    </w:p>
    <w:p>
      <w:pPr>
        <w:ind w:left="1020" w:right="320" w:hanging="513"/>
        <w:spacing w:after="0" w:line="260"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delays in sufficiently developing, characterizing or controlling a manufacturing process suitable for clinical trials, or production delays, shutdowns or setbacks at any of our contract manufacturers;</w:t>
      </w:r>
    </w:p>
    <w:p>
      <w:pPr>
        <w:spacing w:after="0" w:line="72" w:lineRule="exact"/>
        <w:rPr>
          <w:rFonts w:ascii="Arial" w:cs="Arial" w:eastAsia="Arial" w:hAnsi="Arial"/>
          <w:sz w:val="17"/>
          <w:szCs w:val="17"/>
          <w:color w:val="auto"/>
        </w:rPr>
      </w:pPr>
    </w:p>
    <w:p>
      <w:pPr>
        <w:ind w:left="1020" w:right="380" w:hanging="513"/>
        <w:spacing w:after="0" w:line="260"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delays due to additional regulatory, site and clinical trial participant approvals required if a product candidate, especially a product candidate custom manufactured for a specific patient, does not meet the required specifications;</w:t>
      </w:r>
    </w:p>
    <w:p>
      <w:pPr>
        <w:spacing w:after="0" w:line="72" w:lineRule="exact"/>
        <w:rPr>
          <w:rFonts w:ascii="Arial" w:cs="Arial" w:eastAsia="Arial" w:hAnsi="Arial"/>
          <w:sz w:val="17"/>
          <w:szCs w:val="17"/>
          <w:color w:val="auto"/>
        </w:rPr>
      </w:pPr>
    </w:p>
    <w:p>
      <w:pPr>
        <w:ind w:left="1020" w:hanging="513"/>
        <w:spacing w:after="0"/>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delays in reaching a consensus with regulatory agencies on the design or implementation of our clinical trials;</w:t>
      </w:r>
    </w:p>
    <w:p>
      <w:pPr>
        <w:spacing w:after="0" w:line="101" w:lineRule="exact"/>
        <w:rPr>
          <w:rFonts w:ascii="Arial" w:cs="Arial" w:eastAsia="Arial" w:hAnsi="Arial"/>
          <w:sz w:val="17"/>
          <w:szCs w:val="17"/>
          <w:color w:val="auto"/>
        </w:rPr>
      </w:pPr>
    </w:p>
    <w:p>
      <w:pPr>
        <w:ind w:left="1020" w:right="260" w:hanging="513"/>
        <w:spacing w:after="0" w:line="260"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changes in regulatory requirements or guidance that may require us to amend or submit new clinical protocols, or such requirements may not be as we anticipate;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00"/>
          </w:cols>
          <w:pgMar w:left="320" w:top="523" w:right="379" w:bottom="1440" w:gutter="0" w:footer="0" w:header="0"/>
        </w:sectPr>
      </w:pPr>
    </w:p>
    <w:bookmarkStart w:id="37" w:name="page38"/>
    <w:bookmarkEnd w:id="37"/>
    <w:p>
      <w:pPr>
        <w:ind w:left="1020" w:hanging="513"/>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changes in the standard of care on which a clinical development plan was based, which may require new or additional trials;</w:t>
      </w:r>
    </w:p>
    <w:p>
      <w:pPr>
        <w:spacing w:after="0" w:line="101" w:lineRule="exact"/>
        <w:rPr>
          <w:rFonts w:ascii="Arial" w:cs="Arial" w:eastAsia="Arial" w:hAnsi="Arial"/>
          <w:sz w:val="17"/>
          <w:szCs w:val="17"/>
          <w:color w:val="auto"/>
        </w:rPr>
      </w:pPr>
    </w:p>
    <w:p>
      <w:pPr>
        <w:ind w:left="1020" w:right="260" w:hanging="513"/>
        <w:spacing w:after="0" w:line="260"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insufficient quantities or inadequate quality of our product candidates or other materials necessary to conduct preclinical studies or clinical trials of our product candidates;</w:t>
      </w:r>
    </w:p>
    <w:p>
      <w:pPr>
        <w:spacing w:after="0" w:line="72" w:lineRule="exact"/>
        <w:rPr>
          <w:rFonts w:ascii="Arial" w:cs="Arial" w:eastAsia="Arial" w:hAnsi="Arial"/>
          <w:sz w:val="17"/>
          <w:szCs w:val="17"/>
          <w:color w:val="auto"/>
        </w:rPr>
      </w:pPr>
    </w:p>
    <w:p>
      <w:pPr>
        <w:ind w:left="1020" w:right="20" w:hanging="513"/>
        <w:spacing w:after="0" w:line="260"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clinical trials of our product candidates producing negative or inconclusive results, which may result in our deciding, or regulators requiring us, to conduct additional clinical trials or abandon product development programs;</w:t>
      </w:r>
    </w:p>
    <w:p>
      <w:pPr>
        <w:spacing w:after="0" w:line="72" w:lineRule="exact"/>
        <w:rPr>
          <w:rFonts w:ascii="Arial" w:cs="Arial" w:eastAsia="Arial" w:hAnsi="Arial"/>
          <w:sz w:val="17"/>
          <w:szCs w:val="17"/>
          <w:color w:val="auto"/>
        </w:rPr>
      </w:pPr>
    </w:p>
    <w:p>
      <w:pPr>
        <w:ind w:left="1020" w:right="560" w:hanging="513"/>
        <w:spacing w:after="0" w:line="260"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failure of enrolled patients in foreign countries to adhere to clinical protocol as a result of differences in healthcare services or cultural customs, or additional administrative burdens associated with foreign regulatory schemes; or</w:t>
      </w:r>
    </w:p>
    <w:p>
      <w:pPr>
        <w:spacing w:after="0" w:line="72" w:lineRule="exact"/>
        <w:rPr>
          <w:rFonts w:ascii="Arial" w:cs="Arial" w:eastAsia="Arial" w:hAnsi="Arial"/>
          <w:sz w:val="17"/>
          <w:szCs w:val="17"/>
          <w:color w:val="auto"/>
        </w:rPr>
      </w:pPr>
    </w:p>
    <w:p>
      <w:pPr>
        <w:ind w:left="1020" w:right="60" w:hanging="513"/>
        <w:spacing w:after="0" w:line="326" w:lineRule="auto"/>
        <w:tabs>
          <w:tab w:leader="none" w:pos="10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failure of ourselves or any third-party manufacturers, contractors or suppliers to comply with regulatory requirements, maintain adequate quality controls, or be able to provide sufficient product supply to conduct and complete preclinical studies or clinical trials of our product candidates.</w:t>
      </w:r>
    </w:p>
    <w:p>
      <w:pPr>
        <w:spacing w:after="0" w:line="126" w:lineRule="exact"/>
        <w:rPr>
          <w:sz w:val="20"/>
          <w:szCs w:val="20"/>
          <w:color w:val="auto"/>
        </w:rPr>
      </w:pPr>
    </w:p>
    <w:p>
      <w:pPr>
        <w:ind w:right="40" w:firstLine="511"/>
        <w:spacing w:after="0" w:line="280" w:lineRule="auto"/>
        <w:rPr>
          <w:sz w:val="20"/>
          <w:szCs w:val="20"/>
          <w:color w:val="auto"/>
        </w:rPr>
      </w:pPr>
      <w:r>
        <w:rPr>
          <w:rFonts w:ascii="Arial" w:cs="Arial" w:eastAsia="Arial" w:hAnsi="Arial"/>
          <w:sz w:val="15"/>
          <w:szCs w:val="15"/>
          <w:color w:val="auto"/>
        </w:rPr>
        <w:t>In addition, disruptions caused by the COVID-19 pandemic may increase the likelihood that we encounter such difficulties or delays in initiating, enrolling, conducting or completing our planned and ongoing preclinical studies and clinical trials, as applicable. For example, we periodically interact with health authorities such as the FDA to obtain advice, or reach consensus, on our ongoing clinical trials, product development, and manufacturing activities. As FDA personnel prioritize pandemic related efforts, we may experience delays in obtaining periodic advice which may affect our ability to move our clinical programs forward into the next phase of development. Also, the FDA temporarily postponed routine surveillance inspections of domestic manufacturing facilities in response to the COVID-19 pandemic, and in July 2020, it began to work toward resuming prioritized domestic inspections of mission-critical inspections on a case-by-case basis. The FDA has developed a rating system to assist in determining when and where it is safest to conduct prioritized domestic inspections. Should the FDA determine that an inspection is necessary for approval and an inspection cannot be completed during the review cycle due to restrictions on travel, the FDA has stated that it generally intends to issue a complete response letter. Further, if there is inadequate information to make a determination on the acceptability of a facility, the FDA may defer action on the application until an inspection can be completed. In 2020, several companies announced receipt of complete response letters due to the FDA's inability to complete required inspections for their applications. Regulatory authorities outside the U.S. may adopt similar restrictions or other policy measures in response to the COVID-19 pandemic and may experience delays in their regulatory activities. If global health concerns continue to prevent the FDA or other regulatory authorities from conducting their regular inspections, reviews or other regulatory activities, it could significantly impact the ability of the FDA to timely review and process our regulatory submissions.</w:t>
      </w:r>
    </w:p>
    <w:p>
      <w:pPr>
        <w:spacing w:after="0" w:line="159" w:lineRule="exact"/>
        <w:rPr>
          <w:sz w:val="20"/>
          <w:szCs w:val="20"/>
          <w:color w:val="auto"/>
        </w:rPr>
      </w:pPr>
    </w:p>
    <w:p>
      <w:pPr>
        <w:ind w:right="60" w:firstLine="511"/>
        <w:spacing w:after="0" w:line="288" w:lineRule="auto"/>
        <w:rPr>
          <w:sz w:val="20"/>
          <w:szCs w:val="20"/>
          <w:color w:val="auto"/>
        </w:rPr>
      </w:pPr>
      <w:r>
        <w:rPr>
          <w:rFonts w:ascii="Arial" w:cs="Arial" w:eastAsia="Arial" w:hAnsi="Arial"/>
          <w:sz w:val="15"/>
          <w:szCs w:val="15"/>
          <w:color w:val="auto"/>
        </w:rPr>
        <w:t>Multiple factors have impacted the rate of enrollment of patients in our ongoing Phase 1 clinical trials, including the use of haplomatched donor derived cells and requirement for a staggered enrollment of patients that was longer than originally expected in the original NKX101 study design and COVID-19 related disruptions. As previously announced, the NKX101 clinical trial protocol was later amended in consultation with the U.S. Food and Drug Administration to be able to dose patients with either off-the-shelf or haplomatched cells, shorten the stagger between certain patients, and introduce a second parallel dosing regimen. COVID-19 restrictions at certain sites have resulted in minor disruptions in enrollment in our NKX019 clinical trial.</w:t>
      </w:r>
    </w:p>
    <w:p>
      <w:pPr>
        <w:spacing w:after="0" w:line="155" w:lineRule="exact"/>
        <w:rPr>
          <w:sz w:val="20"/>
          <w:szCs w:val="20"/>
          <w:color w:val="auto"/>
        </w:rPr>
      </w:pPr>
    </w:p>
    <w:p>
      <w:pPr>
        <w:ind w:right="180" w:firstLine="511"/>
        <w:spacing w:after="0" w:line="282" w:lineRule="auto"/>
        <w:rPr>
          <w:sz w:val="20"/>
          <w:szCs w:val="20"/>
          <w:color w:val="auto"/>
        </w:rPr>
      </w:pPr>
      <w:r>
        <w:rPr>
          <w:rFonts w:ascii="Arial" w:cs="Arial" w:eastAsia="Arial" w:hAnsi="Arial"/>
          <w:sz w:val="15"/>
          <w:szCs w:val="15"/>
          <w:color w:val="auto"/>
        </w:rPr>
        <w:t>In October 2021, a company developing allogeneic CAR-T therapies (“the CAR-T Company”) reported that the FDA had placed a clinical hold on the CAR-T Company’s clinical trials following a report of a chromosomal abnormality in the gene-edited CAR-T cells recovered from a single patient in one of the CAR-T Company’s clinical trials. The technology reportedly used by the CAR-T Company to edit the CAR-T cells in which the abnormality was found is different from the gene-editing technology from CRISPR that we are using for our gene-edited product candidates, and the applicability of the CAR-T Company’s reported chromosomal abnormality issue to other gene-editing technologies or other cell types (NK) such as ours has not been established. Nevertheless, if the FDA increases its scrutiny regarding the gene editing of cellular therapies more generally as a result of current or future data regarding chromosomal abnormalities from the CAR-T Company or other sources, our pipeline programs that involve gene-edited cells, including the CD70 and NK+T programs on which we are collaborating with CRISPR, may be delayed or we may be forced to incur additional costs for those programs. For example, the FDA may require additional or new release assays for manufactured lots of any product candidates that have been gene edited, which could slow development of our gene-edited product candidates and increase expenses.</w:t>
      </w:r>
    </w:p>
    <w:p>
      <w:pPr>
        <w:spacing w:after="0" w:line="158" w:lineRule="exact"/>
        <w:rPr>
          <w:sz w:val="20"/>
          <w:szCs w:val="20"/>
          <w:color w:val="auto"/>
        </w:rPr>
      </w:pPr>
    </w:p>
    <w:p>
      <w:pPr>
        <w:ind w:firstLine="511"/>
        <w:spacing w:after="0" w:line="248" w:lineRule="auto"/>
        <w:rPr>
          <w:sz w:val="20"/>
          <w:szCs w:val="20"/>
          <w:color w:val="auto"/>
        </w:rPr>
      </w:pPr>
      <w:r>
        <w:rPr>
          <w:rFonts w:ascii="Arial" w:cs="Arial" w:eastAsia="Arial" w:hAnsi="Arial"/>
          <w:sz w:val="17"/>
          <w:szCs w:val="17"/>
          <w:color w:val="auto"/>
        </w:rPr>
        <w:t>If we experience delays in the initiation, enrollment or completion of any preclinical study or clinical trial of our product candidates, or if any preclinical studies or clinical trials of our product candidates are canceled, the commercial prospects of our product candidates may be materially adversely affected, and our ability to generate product revenues from any of these product candidates will be delayed or not realized at all. In addition, any delays in completing our clinical trials may increase our costs and slow down our product candidate development and approval process.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424" w:right="339" w:bottom="1440" w:gutter="0" w:footer="0" w:header="0"/>
        </w:sectPr>
      </w:pPr>
    </w:p>
    <w:bookmarkStart w:id="38" w:name="page39"/>
    <w:bookmarkEnd w:id="38"/>
    <w:p>
      <w:pPr>
        <w:ind w:right="320"/>
        <w:spacing w:after="0" w:line="326" w:lineRule="auto"/>
        <w:rPr>
          <w:sz w:val="20"/>
          <w:szCs w:val="20"/>
          <w:color w:val="auto"/>
        </w:rPr>
      </w:pPr>
      <w:r>
        <w:rPr>
          <w:rFonts w:ascii="Arial" w:cs="Arial" w:eastAsia="Arial" w:hAnsi="Arial"/>
          <w:sz w:val="15"/>
          <w:szCs w:val="15"/>
          <w:b w:val="1"/>
          <w:bCs w:val="1"/>
          <w:i w:val="1"/>
          <w:iCs w:val="1"/>
          <w:color w:val="auto"/>
        </w:rPr>
        <w:t>Our business is highly dependent on the success of our product candidates, and on the success of NKX101 and NKX019 in particular, and we may fail to develop NKX101, NKX019 and/or our other product candidates successfully or be unable to obtain regulatory approval for them.*</w:t>
      </w:r>
    </w:p>
    <w:p>
      <w:pPr>
        <w:spacing w:after="0" w:line="126" w:lineRule="exact"/>
        <w:rPr>
          <w:sz w:val="20"/>
          <w:szCs w:val="20"/>
          <w:color w:val="auto"/>
        </w:rPr>
      </w:pPr>
    </w:p>
    <w:p>
      <w:pPr>
        <w:ind w:right="20" w:firstLine="511"/>
        <w:spacing w:after="0" w:line="283" w:lineRule="auto"/>
        <w:rPr>
          <w:sz w:val="20"/>
          <w:szCs w:val="20"/>
          <w:color w:val="auto"/>
        </w:rPr>
      </w:pPr>
      <w:r>
        <w:rPr>
          <w:rFonts w:ascii="Arial" w:cs="Arial" w:eastAsia="Arial" w:hAnsi="Arial"/>
          <w:sz w:val="15"/>
          <w:szCs w:val="15"/>
          <w:color w:val="auto"/>
        </w:rPr>
        <w:t>We cannot guarantee that NKX101 and NKX019, or any of our other product candidates, will be safe and effective, or will be approved for commercialization, on a timely basis or at all. Although certain of our employees have prior experience with clinical trials, regulatory approvals, and cGMP manufacturing, we have not previously completed any clinical trials or submitted a BLA to the FDA, or similar regulatory approval filings to comparable foreign authorities, for any product candidate, and we cannot be certain that NKX101 and NKX019 will be successful in clinical trials or receive regulatory approval. The FDA, and other comparable global regulatory authorities can delay, limit or deny approval of a product candidate for many reasons. For further details about such reasons, see “—Clinical development involves a lengthy and expensive process with an uncertain outcome, and we may encounter substantial delays due to a variety of reasons outside our control.” Any delay in obtaining, or inability to obtain, applicable regulatory approval will delay or harm our ability to successfully commercialize NKX101 and NKX019 and materially adversely affect our business, financial condition, results of operations and growth prospects.</w:t>
      </w:r>
    </w:p>
    <w:p>
      <w:pPr>
        <w:spacing w:after="0" w:line="157" w:lineRule="exact"/>
        <w:rPr>
          <w:sz w:val="20"/>
          <w:szCs w:val="20"/>
          <w:color w:val="auto"/>
        </w:rPr>
      </w:pPr>
    </w:p>
    <w:p>
      <w:pPr>
        <w:ind w:right="60" w:firstLine="511"/>
        <w:spacing w:after="0" w:line="292" w:lineRule="auto"/>
        <w:rPr>
          <w:sz w:val="20"/>
          <w:szCs w:val="20"/>
          <w:color w:val="auto"/>
        </w:rPr>
      </w:pPr>
      <w:r>
        <w:rPr>
          <w:rFonts w:ascii="Arial" w:cs="Arial" w:eastAsia="Arial" w:hAnsi="Arial"/>
          <w:sz w:val="15"/>
          <w:szCs w:val="15"/>
          <w:color w:val="auto"/>
        </w:rPr>
        <w:t>NKX101 is in an early-stage clinical trial and is subject to the risks inherent in drug development. In November 2020, the first patient in the first-in-human Phase 1 clinical trial of NKX101 for the treatment of relapsed/refractory AML or higher risk MDS was treated. If our Phase 1 or our later clinical trials of NKX101 encounter safety, efficacy, manufacturing problems, enrollment issues, development delays, regulatory issues, or other problems, our development plans for NKX101 could be significantly impaired, which could materially adversely affect our business, financial condition, results of operations and growth prospects.</w:t>
      </w:r>
    </w:p>
    <w:p>
      <w:pPr>
        <w:spacing w:after="0" w:line="152" w:lineRule="exact"/>
        <w:rPr>
          <w:sz w:val="20"/>
          <w:szCs w:val="20"/>
          <w:color w:val="auto"/>
        </w:rPr>
      </w:pPr>
    </w:p>
    <w:p>
      <w:pPr>
        <w:ind w:firstLine="511"/>
        <w:spacing w:after="0" w:line="248" w:lineRule="auto"/>
        <w:rPr>
          <w:sz w:val="20"/>
          <w:szCs w:val="20"/>
          <w:color w:val="auto"/>
        </w:rPr>
      </w:pPr>
      <w:r>
        <w:rPr>
          <w:rFonts w:ascii="Arial" w:cs="Arial" w:eastAsia="Arial" w:hAnsi="Arial"/>
          <w:sz w:val="17"/>
          <w:szCs w:val="17"/>
          <w:color w:val="auto"/>
        </w:rPr>
        <w:t>Furthermore, because NKX101 is our most advanced product candidate, and because our other product candidates are based on similar technology, if our clinical trials of NKX101 encounter safety, efficacy, manufacturing problems, enrollment issues, development delays, regulatory issues, or other problems, our development plans for our other product candidates in our pipeline could also be significantly impaired, which could materially adversely affect our business, financial condition, results of operations and growth prospects.</w:t>
      </w:r>
    </w:p>
    <w:p>
      <w:pPr>
        <w:spacing w:after="0" w:line="183" w:lineRule="exact"/>
        <w:rPr>
          <w:sz w:val="20"/>
          <w:szCs w:val="20"/>
          <w:color w:val="auto"/>
        </w:rPr>
      </w:pPr>
    </w:p>
    <w:p>
      <w:pPr>
        <w:ind w:right="160" w:firstLine="511"/>
        <w:spacing w:after="0" w:line="288" w:lineRule="auto"/>
        <w:rPr>
          <w:sz w:val="20"/>
          <w:szCs w:val="20"/>
          <w:color w:val="auto"/>
        </w:rPr>
      </w:pPr>
      <w:r>
        <w:rPr>
          <w:rFonts w:ascii="Arial" w:cs="Arial" w:eastAsia="Arial" w:hAnsi="Arial"/>
          <w:sz w:val="15"/>
          <w:szCs w:val="15"/>
          <w:color w:val="auto"/>
        </w:rPr>
        <w:t>We also plan to develop NKX101 for additional indications if we are able to obtain clinical proof-of-concept from our NKX101 Phase 1 trials for blood cancers including AML and MDS, as well as hepatocellular carcinomas and other cancers localized to the liver. We may not be able to advance any of these indications through the development process. Even if we receive regulatory approval to market NKX101 for the treatment of any of these additional indications, any such additional indications may not be successfully commercialized, widely accepted in the marketplace or more effective than other commercially available alternatives. If we are unable to successfully develop and commercialize NKX101 for these additional indications, our commercial opportunity will be limited.</w:t>
      </w:r>
    </w:p>
    <w:p>
      <w:pPr>
        <w:spacing w:after="0" w:line="155" w:lineRule="exact"/>
        <w:rPr>
          <w:sz w:val="20"/>
          <w:szCs w:val="20"/>
          <w:color w:val="auto"/>
        </w:rPr>
      </w:pPr>
    </w:p>
    <w:p>
      <w:pPr>
        <w:ind w:right="120" w:firstLine="511"/>
        <w:spacing w:after="0" w:line="247" w:lineRule="auto"/>
        <w:rPr>
          <w:sz w:val="20"/>
          <w:szCs w:val="20"/>
          <w:color w:val="auto"/>
        </w:rPr>
      </w:pPr>
      <w:r>
        <w:rPr>
          <w:rFonts w:ascii="Arial" w:cs="Arial" w:eastAsia="Arial" w:hAnsi="Arial"/>
          <w:sz w:val="17"/>
          <w:szCs w:val="17"/>
          <w:color w:val="auto"/>
        </w:rPr>
        <w:t>Furthermore, the development of NKX101 for treating solid tumors is subject to a number of risks related to use of cell therapies in general including a hostile tumor micro-environment and trafficking to tumor site. Additional risks from direct liver delivery using a catheter through the hepatic artery generally include potential damage to arteries from the catheter placement itself, from use of imaging contrast, radiation exposure, and differences between catheter models potentially introducing variability into the observed clinical effects. The development of treatments to treat solid tumors often requires larger and more expensive clinical trials than for treating blood cancers.</w:t>
      </w:r>
    </w:p>
    <w:p>
      <w:pPr>
        <w:spacing w:after="0" w:line="184" w:lineRule="exact"/>
        <w:rPr>
          <w:sz w:val="20"/>
          <w:szCs w:val="20"/>
          <w:color w:val="auto"/>
        </w:rPr>
      </w:pPr>
    </w:p>
    <w:p>
      <w:pPr>
        <w:ind w:right="40" w:firstLine="511"/>
        <w:spacing w:after="0" w:line="283" w:lineRule="auto"/>
        <w:rPr>
          <w:sz w:val="20"/>
          <w:szCs w:val="20"/>
          <w:color w:val="auto"/>
        </w:rPr>
      </w:pPr>
      <w:r>
        <w:rPr>
          <w:rFonts w:ascii="Arial" w:cs="Arial" w:eastAsia="Arial" w:hAnsi="Arial"/>
          <w:sz w:val="15"/>
          <w:szCs w:val="15"/>
          <w:color w:val="auto"/>
        </w:rPr>
        <w:t>Our IND for NKX019 for the treatment of B-cell malignancies was accepted by the FDA in April 2021, and the clinical trial notification was filed with TGA in Australia following appropriate HREC approval in May 2021. In October 2021, we announced that we had dosed the first patients with NKX019 in the Phase 1 clinical trial. Due to the availability of at least seven commercially available agents that target CD19 including four autologous CAR-T products, two monoclonal antibody products, and one antibody-drug conjugate, we may have difficulty enrolling subjects into trials with NKX019 who have not previously been exposed to a CD19 directed agent. This could impact the ability to obtain data about NKX019 activity and slow enrollment. For these reasons, the Phase 1 clinical trial of NKX019 includes clinical trial sites outside the United States. If our Phase 1 or later clinical trials of NKX019 encounter safety, efficacy, manufacturing problems, enrollment issues, development delays, regulatory issues, or other problems, our development plans for NKX019 could be significantly impaired, which could materially adversely affect our business, financial condition, results of operations and growth prospects.</w:t>
      </w:r>
    </w:p>
    <w:p>
      <w:pPr>
        <w:spacing w:after="0" w:line="157" w:lineRule="exact"/>
        <w:rPr>
          <w:sz w:val="20"/>
          <w:szCs w:val="20"/>
          <w:color w:val="auto"/>
        </w:rPr>
      </w:pPr>
    </w:p>
    <w:p>
      <w:pPr>
        <w:ind w:right="80" w:firstLine="511"/>
        <w:spacing w:after="0" w:line="288" w:lineRule="auto"/>
        <w:rPr>
          <w:sz w:val="20"/>
          <w:szCs w:val="20"/>
          <w:color w:val="auto"/>
        </w:rPr>
      </w:pPr>
      <w:r>
        <w:rPr>
          <w:rFonts w:ascii="Arial" w:cs="Arial" w:eastAsia="Arial" w:hAnsi="Arial"/>
          <w:sz w:val="15"/>
          <w:szCs w:val="15"/>
          <w:color w:val="auto"/>
        </w:rPr>
        <w:t>We intend to develop our product candidates both as monotherapy and potentially as combination therapy, a common form of cancer treatment, with one or more currently approved cancer therapies. Even if any product candidate we develop were to receive marketing approval or be commercialized for use in combination with other existing therapies, we would continue to be subject to the risks that the FDA or similar regulatory authorities outside of the United States could revoke approval of the combination therapy used with our product candidate or that safety, efficacy, manufacturing or supply issues could arise with these existing therapies. This could result in our own products being removed from the market or being less successful commercially.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39" w:name="page40"/>
    <w:bookmarkEnd w:id="39"/>
    <w:p>
      <w:pPr>
        <w:jc w:val="both"/>
        <w:ind w:right="40" w:firstLine="511"/>
        <w:spacing w:after="0" w:line="292" w:lineRule="auto"/>
        <w:rPr>
          <w:sz w:val="20"/>
          <w:szCs w:val="20"/>
          <w:color w:val="auto"/>
        </w:rPr>
      </w:pPr>
      <w:r>
        <w:rPr>
          <w:rFonts w:ascii="Arial" w:cs="Arial" w:eastAsia="Arial" w:hAnsi="Arial"/>
          <w:sz w:val="15"/>
          <w:szCs w:val="15"/>
          <w:color w:val="auto"/>
        </w:rPr>
        <w:t>We may also evaluate our product candidates in combination with one or more other cancer therapies that have not yet been approved for marketing by the FDA or similar regulatory authorities outside of the United States. If the FDA or similar regulatory authorities outside of the United States do not approve these other drugs or revoke their approval of, or if safety, efficacy, manufacturing, or supply issues arise with, the drugs we choose to evaluate in combination with any product candidate we develop or combination therapy, we may be unable to obtain approval of or market our product candidates.</w:t>
      </w:r>
    </w:p>
    <w:p>
      <w:pPr>
        <w:spacing w:after="0" w:line="251" w:lineRule="exact"/>
        <w:rPr>
          <w:sz w:val="20"/>
          <w:szCs w:val="20"/>
          <w:color w:val="auto"/>
        </w:rPr>
      </w:pPr>
    </w:p>
    <w:p>
      <w:pPr>
        <w:jc w:val="both"/>
        <w:ind w:right="60"/>
        <w:spacing w:after="0" w:line="260" w:lineRule="auto"/>
        <w:rPr>
          <w:sz w:val="20"/>
          <w:szCs w:val="20"/>
          <w:color w:val="auto"/>
        </w:rPr>
      </w:pPr>
      <w:r>
        <w:rPr>
          <w:rFonts w:ascii="Arial" w:cs="Arial" w:eastAsia="Arial" w:hAnsi="Arial"/>
          <w:sz w:val="17"/>
          <w:szCs w:val="17"/>
          <w:b w:val="1"/>
          <w:bCs w:val="1"/>
          <w:i w:val="1"/>
          <w:iCs w:val="1"/>
          <w:color w:val="auto"/>
        </w:rPr>
        <w:t>Enrollment and retention of patients in clinical trials is an expensive and time-consuming process and could be delayed, made more difficult or rendered impossible by multiple factors outside our control.</w:t>
      </w:r>
    </w:p>
    <w:p>
      <w:pPr>
        <w:spacing w:after="0" w:line="171" w:lineRule="exact"/>
        <w:rPr>
          <w:sz w:val="20"/>
          <w:szCs w:val="20"/>
          <w:color w:val="auto"/>
        </w:rPr>
      </w:pPr>
    </w:p>
    <w:p>
      <w:pPr>
        <w:jc w:val="both"/>
        <w:ind w:firstLine="511"/>
        <w:spacing w:after="0" w:line="301" w:lineRule="auto"/>
        <w:rPr>
          <w:sz w:val="20"/>
          <w:szCs w:val="20"/>
          <w:color w:val="auto"/>
        </w:rPr>
      </w:pPr>
      <w:r>
        <w:rPr>
          <w:rFonts w:ascii="Arial" w:cs="Arial" w:eastAsia="Arial" w:hAnsi="Arial"/>
          <w:sz w:val="15"/>
          <w:szCs w:val="15"/>
          <w:color w:val="auto"/>
        </w:rPr>
        <w:t>Identifying and qualifying patients to participate in our clinical trials is critical to our success. Clinical trials of a new product candidate require the enrollment of a sufficient number of patients, including patients who are suffering from the disease that the product candidate is intended to treat and who meet other eligibility criteria. The rates of patient enrollment, a significant component in the timing of clinical trials, are affected by many factors, including:</w:t>
      </w:r>
    </w:p>
    <w:p>
      <w:pPr>
        <w:spacing w:after="0" w:line="45" w:lineRule="exact"/>
        <w:rPr>
          <w:sz w:val="20"/>
          <w:szCs w:val="20"/>
          <w:color w:val="auto"/>
        </w:rPr>
      </w:pPr>
    </w:p>
    <w:p>
      <w:pPr>
        <w:ind w:left="1020" w:hanging="513"/>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open clinical trial sites;</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size and nature of the patient population;</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design and eligibility criteria of the clinical trial;</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proximity of subjects to clinical sites;</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patient referral practices of physicians;</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changing medical practice patterns or guidelines related to the indications we are investigating;</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competing clinical trials or approved therapies which present an attractive alternative to patients and their physicians;</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perceived risks and benefits of the product candidate under study, including as a result of adverse effects observed in similar or competing therapies;</w:t>
      </w:r>
    </w:p>
    <w:p>
      <w:pPr>
        <w:spacing w:after="0" w:line="124" w:lineRule="exact"/>
        <w:rPr>
          <w:rFonts w:ascii="Arial" w:cs="Arial" w:eastAsia="Arial" w:hAnsi="Arial"/>
          <w:sz w:val="15"/>
          <w:szCs w:val="15"/>
          <w:color w:val="auto"/>
        </w:rPr>
      </w:pPr>
    </w:p>
    <w:p>
      <w:pPr>
        <w:ind w:left="1020" w:right="260" w:hanging="513"/>
        <w:spacing w:after="0" w:line="260"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obtain and maintain patient consents due to various reasons, including but not limited to, patients’ unwillingness to participate due to the ongoing COVID-19 pandemic;</w:t>
      </w:r>
    </w:p>
    <w:p>
      <w:pPr>
        <w:spacing w:after="0" w:line="72" w:lineRule="exact"/>
        <w:rPr>
          <w:rFonts w:ascii="Arial" w:cs="Arial" w:eastAsia="Arial" w:hAnsi="Arial"/>
          <w:sz w:val="17"/>
          <w:szCs w:val="17"/>
          <w:color w:val="auto"/>
        </w:rPr>
      </w:pPr>
    </w:p>
    <w:p>
      <w:pPr>
        <w:ind w:left="1020" w:hanging="513"/>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risk that enrolled subjects will drop out or die before completion of the trial;</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patients failing to complete a clinical trial or returning for post-treatment follow-up; and</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ability to manufacture the requisite materials for a patient and clinical trial, including to custom manufacture haplomatched clinical trial material.</w:t>
      </w:r>
    </w:p>
    <w:p>
      <w:pPr>
        <w:spacing w:after="0" w:line="224" w:lineRule="exact"/>
        <w:rPr>
          <w:sz w:val="20"/>
          <w:szCs w:val="20"/>
          <w:color w:val="auto"/>
        </w:rPr>
      </w:pPr>
    </w:p>
    <w:p>
      <w:pPr>
        <w:ind w:right="100" w:firstLine="511"/>
        <w:spacing w:after="0" w:line="284" w:lineRule="auto"/>
        <w:rPr>
          <w:sz w:val="20"/>
          <w:szCs w:val="20"/>
          <w:color w:val="auto"/>
        </w:rPr>
      </w:pPr>
      <w:r>
        <w:rPr>
          <w:rFonts w:ascii="Arial" w:cs="Arial" w:eastAsia="Arial" w:hAnsi="Arial"/>
          <w:sz w:val="15"/>
          <w:szCs w:val="15"/>
          <w:color w:val="auto"/>
        </w:rPr>
        <w:t>In addition, we need to compete with many ongoing clinical trials to recruit patients into our expected clinical trials. Our clinical trials may also compete with other clinical trials of product candidates that are in a similar cellular immunotherapy area as our product candidates, and this competition could reduce the number and types of patients available to us, because some patients who might have opted to enroll in our trials may instead opt to enroll in a trial being conducted by one of our competitors. Since the number of qualified clinical investigators is limited, we may conduct some of our clinical trials at the same clinical trial sites that some of our competitors use, which will reduce the number of patients who are available for our clinical trials at such clinical trial site. If we are unable to enroll a sufficient number of patients in our clinical trials in a timely manner, our completion of clinical trials may be delayed or may not be achieved, which would prevent us from commercializing our product candidates.</w:t>
      </w:r>
    </w:p>
    <w:p>
      <w:pPr>
        <w:spacing w:after="0" w:line="256" w:lineRule="exact"/>
        <w:rPr>
          <w:sz w:val="20"/>
          <w:szCs w:val="20"/>
          <w:color w:val="auto"/>
        </w:rPr>
      </w:pPr>
    </w:p>
    <w:p>
      <w:pPr>
        <w:ind w:right="500"/>
        <w:spacing w:after="0" w:line="260" w:lineRule="auto"/>
        <w:rPr>
          <w:sz w:val="20"/>
          <w:szCs w:val="20"/>
          <w:color w:val="auto"/>
        </w:rPr>
      </w:pPr>
      <w:r>
        <w:rPr>
          <w:rFonts w:ascii="Arial" w:cs="Arial" w:eastAsia="Arial" w:hAnsi="Arial"/>
          <w:sz w:val="17"/>
          <w:szCs w:val="17"/>
          <w:b w:val="1"/>
          <w:bCs w:val="1"/>
          <w:i w:val="1"/>
          <w:iCs w:val="1"/>
          <w:color w:val="auto"/>
        </w:rPr>
        <w:t>Our preclinical pipeline programs may experience delays or may never advance to clinical trials, which would adversely affect our ability to obtain regulatory approvals or commercialize these programs on a timely basis or at all.*</w:t>
      </w:r>
    </w:p>
    <w:p>
      <w:pPr>
        <w:spacing w:after="0" w:line="171" w:lineRule="exact"/>
        <w:rPr>
          <w:sz w:val="20"/>
          <w:szCs w:val="20"/>
          <w:color w:val="auto"/>
        </w:rPr>
      </w:pPr>
    </w:p>
    <w:p>
      <w:pPr>
        <w:ind w:right="40" w:firstLine="511"/>
        <w:spacing w:after="0" w:line="283" w:lineRule="auto"/>
        <w:rPr>
          <w:sz w:val="20"/>
          <w:szCs w:val="20"/>
          <w:color w:val="auto"/>
        </w:rPr>
      </w:pPr>
      <w:r>
        <w:rPr>
          <w:rFonts w:ascii="Arial" w:cs="Arial" w:eastAsia="Arial" w:hAnsi="Arial"/>
          <w:sz w:val="15"/>
          <w:szCs w:val="15"/>
          <w:color w:val="auto"/>
        </w:rPr>
        <w:t>In order to obtain FDA or other regulatory authority approval to market a new biological product we must demonstrate proof of safety, purity, potency and efficacy in humans. To meet these requirements, we will have to conduct adequate and well-controlled clinical trials. Before we can commence clinical trials for a product candidate, we must complete extensive preclinical testing and studies that support our planned INDs in the United States. We began clinical development for our first product candidate, NKX101, in 2020 and our second product candidate, NKX019, in 2021, and the rest of our programs are in preclinical development. We cannot be certain of the timely completion or outcome of our preclinical testing and studies and cannot predict if the FDA will accept our proposed clinical programs or if the outcome of our preclinical testing and studies will ultimately support the further development of our programs.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00"/>
          </w:cols>
          <w:pgMar w:left="320" w:top="524" w:right="379" w:bottom="1440" w:gutter="0" w:footer="0" w:header="0"/>
        </w:sectPr>
      </w:pPr>
    </w:p>
    <w:bookmarkStart w:id="40" w:name="page41"/>
    <w:bookmarkEnd w:id="40"/>
    <w:p>
      <w:pPr>
        <w:ind w:right="40" w:firstLine="511"/>
        <w:spacing w:after="0" w:line="248" w:lineRule="auto"/>
        <w:rPr>
          <w:sz w:val="20"/>
          <w:szCs w:val="20"/>
          <w:color w:val="auto"/>
        </w:rPr>
      </w:pPr>
      <w:r>
        <w:rPr>
          <w:rFonts w:ascii="Arial" w:cs="Arial" w:eastAsia="Arial" w:hAnsi="Arial"/>
          <w:sz w:val="17"/>
          <w:szCs w:val="17"/>
          <w:color w:val="auto"/>
        </w:rPr>
        <w:t>Conducting preclinical testing is a lengthy, time-consuming and expensive process. The length of time may vary substantially according to the type, complexity and novelty of the program, and often can be several years or more per program. Any delays in preclinical testing and studies conducted by us or potential future partners may cause us to incur additional operating expenses. The commencement and rate of completion of preclinical studies and clinical trials for a product candidate may be delayed by many factors, including, for example:</w:t>
      </w:r>
    </w:p>
    <w:p>
      <w:pPr>
        <w:spacing w:after="0" w:line="84" w:lineRule="exact"/>
        <w:rPr>
          <w:sz w:val="20"/>
          <w:szCs w:val="20"/>
          <w:color w:val="auto"/>
        </w:rPr>
      </w:pPr>
    </w:p>
    <w:p>
      <w:pPr>
        <w:ind w:left="1020" w:hanging="513"/>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inability to generate sufficient preclinical or other in vivo or in vitro data to support the initiation of clinical trials;</w:t>
      </w:r>
    </w:p>
    <w:p>
      <w:pPr>
        <w:spacing w:after="0" w:line="13" w:lineRule="exact"/>
        <w:rPr>
          <w:rFonts w:ascii="Arial" w:cs="Arial" w:eastAsia="Arial" w:hAnsi="Arial"/>
          <w:sz w:val="17"/>
          <w:szCs w:val="17"/>
          <w:color w:val="auto"/>
        </w:rPr>
      </w:pPr>
    </w:p>
    <w:p>
      <w:pPr>
        <w:ind w:left="1020" w:hanging="513"/>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delays in reaching a consensus with regulatory agencies on acceptable clinical trial design or manufacturing process; and</w:t>
      </w:r>
    </w:p>
    <w:p>
      <w:pPr>
        <w:spacing w:after="0" w:line="2" w:lineRule="exact"/>
        <w:rPr>
          <w:rFonts w:ascii="Arial" w:cs="Arial" w:eastAsia="Arial" w:hAnsi="Arial"/>
          <w:sz w:val="17"/>
          <w:szCs w:val="17"/>
          <w:color w:val="auto"/>
        </w:rPr>
      </w:pPr>
    </w:p>
    <w:p>
      <w:pPr>
        <w:ind w:left="1020" w:hanging="513"/>
        <w:spacing w:after="0"/>
        <w:tabs>
          <w:tab w:leader="none" w:pos="10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FDA not allowing us to rely on previous findings of safety and efficacy for other similar but approved products and published scientific literature.</w:t>
      </w:r>
    </w:p>
    <w:p>
      <w:pPr>
        <w:spacing w:after="0" w:line="213" w:lineRule="exact"/>
        <w:rPr>
          <w:sz w:val="20"/>
          <w:szCs w:val="20"/>
          <w:color w:val="auto"/>
        </w:rPr>
      </w:pPr>
    </w:p>
    <w:p>
      <w:pPr>
        <w:ind w:right="420" w:firstLine="511"/>
        <w:spacing w:after="0" w:line="248" w:lineRule="auto"/>
        <w:rPr>
          <w:sz w:val="20"/>
          <w:szCs w:val="20"/>
          <w:color w:val="auto"/>
        </w:rPr>
      </w:pPr>
      <w:r>
        <w:rPr>
          <w:rFonts w:ascii="Arial" w:cs="Arial" w:eastAsia="Arial" w:hAnsi="Arial"/>
          <w:sz w:val="17"/>
          <w:szCs w:val="17"/>
          <w:color w:val="auto"/>
        </w:rPr>
        <w:t>Moreover, because standards for pre-clinical assessment are evolving and may change rapidly, even if we reach an agreement with the FDA on a pre-IND proposal, the FDA may not accept the IND submission as presented, in which case patient enrollment would be placed on partial or complete hold and treatment of enrolled patients could be discontinued while the product candidate is re-evaluated. Even if clinical trials do begin for our preclinical programs, our clinical trials or development efforts may not be successful.</w:t>
      </w:r>
    </w:p>
    <w:p>
      <w:pPr>
        <w:spacing w:after="0" w:line="282" w:lineRule="exact"/>
        <w:rPr>
          <w:sz w:val="20"/>
          <w:szCs w:val="20"/>
          <w:color w:val="auto"/>
        </w:rPr>
      </w:pPr>
    </w:p>
    <w:p>
      <w:pPr>
        <w:ind w:right="280"/>
        <w:spacing w:after="0" w:line="260" w:lineRule="auto"/>
        <w:rPr>
          <w:sz w:val="20"/>
          <w:szCs w:val="20"/>
          <w:color w:val="auto"/>
        </w:rPr>
      </w:pPr>
      <w:r>
        <w:rPr>
          <w:rFonts w:ascii="Arial" w:cs="Arial" w:eastAsia="Arial" w:hAnsi="Arial"/>
          <w:sz w:val="17"/>
          <w:szCs w:val="17"/>
          <w:b w:val="1"/>
          <w:bCs w:val="1"/>
          <w:i w:val="1"/>
          <w:iCs w:val="1"/>
          <w:color w:val="auto"/>
        </w:rPr>
        <w:t>The results of preclinical studies and early-stage clinical trials may not be predictive of future results. Initial success in any clinical trials may not be indicative of results obtained when these trials are completed or in later stage trials.</w:t>
      </w:r>
    </w:p>
    <w:p>
      <w:pPr>
        <w:spacing w:after="0" w:line="171" w:lineRule="exact"/>
        <w:rPr>
          <w:sz w:val="20"/>
          <w:szCs w:val="20"/>
          <w:color w:val="auto"/>
        </w:rPr>
      </w:pPr>
    </w:p>
    <w:p>
      <w:pPr>
        <w:ind w:firstLine="511"/>
        <w:spacing w:after="0" w:line="283" w:lineRule="auto"/>
        <w:rPr>
          <w:sz w:val="20"/>
          <w:szCs w:val="20"/>
          <w:color w:val="auto"/>
        </w:rPr>
      </w:pPr>
      <w:r>
        <w:rPr>
          <w:rFonts w:ascii="Arial" w:cs="Arial" w:eastAsia="Arial" w:hAnsi="Arial"/>
          <w:sz w:val="15"/>
          <w:szCs w:val="15"/>
          <w:color w:val="auto"/>
        </w:rPr>
        <w:t>The results of preclinical studies may not be predictive of the results of clinical trials, and the results of any early-stage clinical trials we commence may not be predictive of the results of the later-stage clinical trials. For example, preclinical models as applied to cell therapy in oncology do not adequately represent the clinical setting, and thus cannot predict clinical activity nor all potential risks, and may not provide adequate guidance as to appropriate dose or administration regimen of a given therapy. In addition, initial success in clinical trials may not be indicative of results obtained when such trials are completed. Interim or top line data from clinical trials that we may conduct are subject to the risk that one or more of the clinical outcomes may materially change as patient enrollment continues and more patient data become available. Preliminary data such as interim or top line data also remain subject to audit and verification procedures that may result in the final data being materially different from the preliminary data we previously announced. Negative differences between preliminary or interim data and final data could materially adversely affect the prospects of any product candidate that is impacted by such data updates.</w:t>
      </w:r>
    </w:p>
    <w:p>
      <w:pPr>
        <w:spacing w:after="0" w:line="256" w:lineRule="exact"/>
        <w:rPr>
          <w:sz w:val="20"/>
          <w:szCs w:val="20"/>
          <w:color w:val="auto"/>
        </w:rPr>
      </w:pPr>
    </w:p>
    <w:p>
      <w:pPr>
        <w:ind w:right="360"/>
        <w:spacing w:after="0" w:line="260" w:lineRule="auto"/>
        <w:rPr>
          <w:sz w:val="20"/>
          <w:szCs w:val="20"/>
          <w:color w:val="auto"/>
        </w:rPr>
      </w:pPr>
      <w:r>
        <w:rPr>
          <w:rFonts w:ascii="Arial" w:cs="Arial" w:eastAsia="Arial" w:hAnsi="Arial"/>
          <w:sz w:val="17"/>
          <w:szCs w:val="17"/>
          <w:b w:val="1"/>
          <w:bCs w:val="1"/>
          <w:i w:val="1"/>
          <w:iCs w:val="1"/>
          <w:color w:val="auto"/>
        </w:rPr>
        <w:t>If any of our product candidates, or any competing product candidates, demonstrate relevant, serious adverse events, we may be required to halt or delay further clinical development.*</w:t>
      </w:r>
    </w:p>
    <w:p>
      <w:pPr>
        <w:spacing w:after="0" w:line="171" w:lineRule="exact"/>
        <w:rPr>
          <w:sz w:val="20"/>
          <w:szCs w:val="20"/>
          <w:color w:val="auto"/>
        </w:rPr>
      </w:pPr>
    </w:p>
    <w:p>
      <w:pPr>
        <w:ind w:right="180" w:firstLine="511"/>
        <w:spacing w:after="0" w:line="301" w:lineRule="auto"/>
        <w:rPr>
          <w:sz w:val="20"/>
          <w:szCs w:val="20"/>
          <w:color w:val="auto"/>
        </w:rPr>
      </w:pPr>
      <w:r>
        <w:rPr>
          <w:rFonts w:ascii="Arial" w:cs="Arial" w:eastAsia="Arial" w:hAnsi="Arial"/>
          <w:sz w:val="15"/>
          <w:szCs w:val="15"/>
          <w:color w:val="auto"/>
        </w:rPr>
        <w:t>Undesirable side effects that may be caused by our product candidates could cause us or regulatory authorities to interrupt, delay or halt clinical trials and could result in a more restrictive label than anticipated or the delay or denial of regulatory approval by the FDA or comparable foreign regulatory authorities. Results of our clinical trials could reveal a high and unacceptable severity and prevalence of side effects or unexpected characteristics.</w:t>
      </w:r>
    </w:p>
    <w:p>
      <w:pPr>
        <w:spacing w:after="0" w:line="144" w:lineRule="exact"/>
        <w:rPr>
          <w:sz w:val="20"/>
          <w:szCs w:val="20"/>
          <w:color w:val="auto"/>
        </w:rPr>
      </w:pPr>
    </w:p>
    <w:p>
      <w:pPr>
        <w:ind w:right="120" w:firstLine="511"/>
        <w:spacing w:after="0" w:line="286" w:lineRule="auto"/>
        <w:rPr>
          <w:sz w:val="20"/>
          <w:szCs w:val="20"/>
          <w:color w:val="auto"/>
        </w:rPr>
      </w:pPr>
      <w:r>
        <w:rPr>
          <w:rFonts w:ascii="Arial" w:cs="Arial" w:eastAsia="Arial" w:hAnsi="Arial"/>
          <w:sz w:val="15"/>
          <w:szCs w:val="15"/>
          <w:color w:val="auto"/>
        </w:rPr>
        <w:t>As of the date of this Quarterly Report on Form 10-Q, only two of our product candidates (NKX101 and NKX019) have been tested in cancer patients. The first patient was dosed with NKX101 in 2020, and the first patient was dosed with NKX019 in 2021. Prior to initiation of the NKX101 clinical trial, we had only evaluated our product candidates in preclinical mouse models and had observed fatalities in mice as a result of lung toxicity when NKX101 was administered in extremely high doses that were significantly higher than those we would expect to use in humans. We therefore do not yet know if NKX101, NKX019, or our other product candidates will have an acceptable safety profile in humans. As such, there can be no guarantee that any toxicity, or other adverse events, will not occur in human subjects during clinical trials. Results of our clinical trials could reveal a high and unacceptable severity and prevalence of side effects or unexpected characteristics.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41" w:name="page42"/>
    <w:bookmarkEnd w:id="41"/>
    <w:p>
      <w:pPr>
        <w:ind w:firstLine="511"/>
        <w:spacing w:after="0" w:line="280" w:lineRule="auto"/>
        <w:rPr>
          <w:sz w:val="20"/>
          <w:szCs w:val="20"/>
          <w:color w:val="auto"/>
        </w:rPr>
      </w:pPr>
      <w:r>
        <w:rPr>
          <w:rFonts w:ascii="Arial" w:cs="Arial" w:eastAsia="Arial" w:hAnsi="Arial"/>
          <w:sz w:val="15"/>
          <w:szCs w:val="15"/>
          <w:color w:val="auto"/>
        </w:rPr>
        <w:t>While studies indicate that NK cell-based therapies may be better-tolerated as compared to T cell-based therapies due to biologic differences between these cell types, there can be no assurance that patients will not experience cytokine release syndrome, or CRS, neurotoxicity, graft-versus-host disease (“GVHD”), or other serious adverse events. Severe adverse events associated with our product candidates NKX101 or NKX019 or lymphodepleting chemotherapy may also develop. NKX101 targets NKG2D ligands, which is not yet a well-characterized modality. NKG2D targets multiple ligands, and the landscape of ligand expression is currently not fully understood. For example, there are risks that ligands may be expressed on either known or an as-yet-underappreciated population of healthy cells. Therefore, such cells may also be targeted by NKX101 and lead to adverse events of unknown frequency and severity. Such adverse events may cause delays in completion of our clinical programs. If unacceptable side effects arise in the development of our product candidates such that there is no longer a positive benefit-risk profile, we, the FDA, the IRBs at the institutions in which our trials are conducted, or the DSMB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the trial or result in potential product liability claims. In addition, these side effects may not be appropriately recognized or managed by the treating medical staff, and inadequate training in recognizing or managing the potential side effects of our product candidates could result in patient injury or death.</w:t>
      </w:r>
    </w:p>
    <w:p>
      <w:pPr>
        <w:spacing w:after="0" w:line="261" w:lineRule="exact"/>
        <w:rPr>
          <w:sz w:val="20"/>
          <w:szCs w:val="20"/>
          <w:color w:val="auto"/>
        </w:rPr>
      </w:pPr>
    </w:p>
    <w:p>
      <w:pPr>
        <w:spacing w:after="0" w:line="260" w:lineRule="auto"/>
        <w:rPr>
          <w:sz w:val="20"/>
          <w:szCs w:val="20"/>
          <w:color w:val="auto"/>
        </w:rPr>
      </w:pPr>
      <w:r>
        <w:rPr>
          <w:rFonts w:ascii="Arial" w:cs="Arial" w:eastAsia="Arial" w:hAnsi="Arial"/>
          <w:sz w:val="17"/>
          <w:szCs w:val="17"/>
          <w:b w:val="1"/>
          <w:bCs w:val="1"/>
          <w:i w:val="1"/>
          <w:iCs w:val="1"/>
          <w:color w:val="auto"/>
        </w:rPr>
        <w:t>We may seek special designations by the regulatory authorities to expedite regulatory approvals, but may not be successful in receiving such designations, and even if received, they may not benefit the development and regulatory approval process.</w:t>
      </w:r>
    </w:p>
    <w:p>
      <w:pPr>
        <w:spacing w:after="0" w:line="171" w:lineRule="exact"/>
        <w:rPr>
          <w:sz w:val="20"/>
          <w:szCs w:val="20"/>
          <w:color w:val="auto"/>
        </w:rPr>
      </w:pPr>
    </w:p>
    <w:p>
      <w:pPr>
        <w:ind w:right="80" w:firstLine="511"/>
        <w:spacing w:after="0" w:line="280" w:lineRule="auto"/>
        <w:rPr>
          <w:sz w:val="20"/>
          <w:szCs w:val="20"/>
          <w:color w:val="auto"/>
        </w:rPr>
      </w:pPr>
      <w:r>
        <w:rPr>
          <w:rFonts w:ascii="Arial" w:cs="Arial" w:eastAsia="Arial" w:hAnsi="Arial"/>
          <w:sz w:val="15"/>
          <w:szCs w:val="15"/>
          <w:color w:val="auto"/>
        </w:rPr>
        <w:t>We may seek various expedited programs available through regulatory authority such as Regenerative Medicine Advanced Therapy (“RMAT”) designation, Breakthrough Therapy designation, Fast Track designation, or PRIority MEdicine (“PRIME”), from regulatory authorities, for any product candidate that we develop. A product candidate may receive RMAT designation from the FDA if it is a regenerative medicine therapy that is intended to treat, modify, reverse or cure a serious or life threatening condition, and preliminary clinical evidence on a clinically meaningful endpoint, indicates that the product candidate has the potential to address an unmet medical need for such condition. A breakthrough therapy is defined by the FDA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If a product is intended for the treatment of a serious or life-threatening condition and preclinical or clinical data demonstrate the potential to address an unmet medical need for this condition, the product sponsor may apply for Fast Track Designation by the FDA. PRIME is a voluntary scheme launched by the European Medicines Agency (“EMA”), to strengthen support for the development of medicines that target an unmet medical need through enhanced interaction and early dialogue with developers of promising medicines in order to optimize development plans and speed up evaluation to help such medicines reach patients earlier.</w:t>
      </w:r>
    </w:p>
    <w:p>
      <w:pPr>
        <w:spacing w:after="0" w:line="165" w:lineRule="exact"/>
        <w:rPr>
          <w:sz w:val="20"/>
          <w:szCs w:val="20"/>
          <w:color w:val="auto"/>
        </w:rPr>
      </w:pPr>
    </w:p>
    <w:p>
      <w:pPr>
        <w:ind w:right="20" w:firstLine="511"/>
        <w:spacing w:after="0" w:line="286" w:lineRule="auto"/>
        <w:rPr>
          <w:sz w:val="20"/>
          <w:szCs w:val="20"/>
          <w:color w:val="auto"/>
        </w:rPr>
      </w:pPr>
      <w:r>
        <w:rPr>
          <w:rFonts w:ascii="Arial" w:cs="Arial" w:eastAsia="Arial" w:hAnsi="Arial"/>
          <w:sz w:val="15"/>
          <w:szCs w:val="15"/>
          <w:color w:val="auto"/>
        </w:rPr>
        <w:t>Seeking and obtaining these designations is dependent upon results of our clinical program, and we cannot guarantee whether and when we may have the data from our clinical programs to support an application to obtain any such designation. The FDA and the EMA, as applicable, have broad discretion whether or not to grant any of these designations, so even if we believe a particular product candidate is eligible for one or more of these designations, we cannot assure you that the applicable regulatory authority would decide to grant it. Even if we do receive the designations we may apply for, we may not experience a faster development process, review or approval compared to conventional FDA or EMA procedures, as applicable. The FDA or EMA, as applicable, may rescind any granted designations if it believes that the designation is no longer supported by data from our clinical development program.</w:t>
      </w:r>
    </w:p>
    <w:p>
      <w:pPr>
        <w:spacing w:after="0" w:line="253"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b w:val="1"/>
          <w:bCs w:val="1"/>
          <w:i w:val="1"/>
          <w:iCs w:val="1"/>
          <w:color w:val="auto"/>
        </w:rPr>
        <w:t>We may seek Orphan Drug Designation for our product candidates, and we may be unsuccessful or may be unable to maintain the benefits associated with Orphan Drug Designation, including the potential for market exclusivity.</w:t>
      </w:r>
    </w:p>
    <w:p>
      <w:pPr>
        <w:spacing w:after="0" w:line="171" w:lineRule="exact"/>
        <w:rPr>
          <w:sz w:val="20"/>
          <w:szCs w:val="20"/>
          <w:color w:val="auto"/>
        </w:rPr>
      </w:pPr>
    </w:p>
    <w:p>
      <w:pPr>
        <w:ind w:firstLine="511"/>
        <w:spacing w:after="0" w:line="288" w:lineRule="auto"/>
        <w:rPr>
          <w:sz w:val="20"/>
          <w:szCs w:val="20"/>
          <w:color w:val="auto"/>
        </w:rPr>
      </w:pPr>
      <w:r>
        <w:rPr>
          <w:rFonts w:ascii="Arial" w:cs="Arial" w:eastAsia="Arial" w:hAnsi="Arial"/>
          <w:sz w:val="15"/>
          <w:szCs w:val="15"/>
          <w:color w:val="auto"/>
        </w:rPr>
        <w:t>Regulatory authorities in some jurisdictions, including the United States and Europe, may designate drugs for relatively low prevalence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42" w:name="page43"/>
    <w:bookmarkEnd w:id="42"/>
    <w:p>
      <w:pPr>
        <w:ind w:firstLine="511"/>
        <w:spacing w:after="0" w:line="283" w:lineRule="auto"/>
        <w:rPr>
          <w:sz w:val="20"/>
          <w:szCs w:val="20"/>
          <w:color w:val="auto"/>
        </w:rPr>
      </w:pPr>
      <w:r>
        <w:rPr>
          <w:rFonts w:ascii="Arial" w:cs="Arial" w:eastAsia="Arial" w:hAnsi="Arial"/>
          <w:sz w:val="15"/>
          <w:szCs w:val="15"/>
          <w:color w:val="auto"/>
        </w:rPr>
        <w:t>Similarly, in Europe, the European Commission grants Orphan Drug Designation after receiving the opinion of the EMA Committee for Orphan Medicinal Products on an Orphan Drug Designation application. Orphan Drug Designation is intended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a number of incentives, such as protocol assistance and scientific advice specifically for designated orphan medicines, and potential fee reductions depending on the status of the sponsor.</w:t>
      </w:r>
    </w:p>
    <w:p>
      <w:pPr>
        <w:spacing w:after="0" w:line="157" w:lineRule="exact"/>
        <w:rPr>
          <w:sz w:val="20"/>
          <w:szCs w:val="20"/>
          <w:color w:val="auto"/>
        </w:rPr>
      </w:pPr>
    </w:p>
    <w:p>
      <w:pPr>
        <w:ind w:right="120" w:firstLine="511"/>
        <w:spacing w:after="0" w:line="247" w:lineRule="auto"/>
        <w:rPr>
          <w:sz w:val="20"/>
          <w:szCs w:val="20"/>
          <w:color w:val="auto"/>
        </w:rPr>
      </w:pPr>
      <w:r>
        <w:rPr>
          <w:rFonts w:ascii="Arial" w:cs="Arial" w:eastAsia="Arial" w:hAnsi="Arial"/>
          <w:sz w:val="17"/>
          <w:szCs w:val="17"/>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(“sameness”). The applicable period is seven years in the United States and ten years in Europe. The European exclusivity period can be reduced to six years if a drug no longer meets the criteria for Orphan Drug Designation or if the drug is sufficiently profitable such that market exclusivity is no longer justified.</w:t>
      </w:r>
    </w:p>
    <w:p>
      <w:pPr>
        <w:spacing w:after="0" w:line="184" w:lineRule="exact"/>
        <w:rPr>
          <w:sz w:val="20"/>
          <w:szCs w:val="20"/>
          <w:color w:val="auto"/>
        </w:rPr>
      </w:pPr>
    </w:p>
    <w:p>
      <w:pPr>
        <w:ind w:right="20" w:firstLine="511"/>
        <w:spacing w:after="0" w:line="304" w:lineRule="auto"/>
        <w:rPr>
          <w:sz w:val="20"/>
          <w:szCs w:val="20"/>
          <w:color w:val="auto"/>
        </w:rPr>
      </w:pPr>
      <w:r>
        <w:rPr>
          <w:rFonts w:ascii="Arial" w:cs="Arial" w:eastAsia="Arial" w:hAnsi="Arial"/>
          <w:sz w:val="14"/>
          <w:szCs w:val="14"/>
          <w:color w:val="auto"/>
        </w:rPr>
        <w:t>Even if we obtain orphan drug exclusivity for our product candidates, that exclusivity may not effectively protect those product candidates from competition because different therapies can be approved for the same condition and the same therapies can be approved for different conditions but used off-label. Even after an orphan drug is approved, the FDA can subsequently approve another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may seek Orphan Drug Designation for applicable indications for our product candidates, we may never receive such designations. Even if we do receive such designations, there is no guarantee that we will enjoy the benefits of those designations.</w:t>
      </w:r>
    </w:p>
    <w:p>
      <w:pPr>
        <w:spacing w:after="0" w:line="246"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b w:val="1"/>
          <w:bCs w:val="1"/>
          <w:i w:val="1"/>
          <w:iCs w:val="1"/>
          <w:color w:val="auto"/>
        </w:rPr>
        <w:t>Public opinion and scrutiny of cell-based immuno-oncology therapies for treating cancer may impact public perception of our company and product candidates, or impair our ability to conduct our business.</w:t>
      </w:r>
    </w:p>
    <w:p>
      <w:pPr>
        <w:spacing w:after="0" w:line="171" w:lineRule="exact"/>
        <w:rPr>
          <w:sz w:val="20"/>
          <w:szCs w:val="20"/>
          <w:color w:val="auto"/>
        </w:rPr>
      </w:pPr>
    </w:p>
    <w:p>
      <w:pPr>
        <w:ind w:right="60" w:firstLine="511"/>
        <w:spacing w:after="0" w:line="284" w:lineRule="auto"/>
        <w:rPr>
          <w:sz w:val="20"/>
          <w:szCs w:val="20"/>
          <w:color w:val="auto"/>
        </w:rPr>
      </w:pPr>
      <w:r>
        <w:rPr>
          <w:rFonts w:ascii="Arial" w:cs="Arial" w:eastAsia="Arial" w:hAnsi="Arial"/>
          <w:sz w:val="15"/>
          <w:szCs w:val="15"/>
          <w:color w:val="auto"/>
        </w:rPr>
        <w:t>Our platform utilizes a relatively novel technology involving the genetic modification of human NK cells and utilization of those modified cells in other individuals, and no NK cell-based immunotherapy has been approved to date. Public perception may be influenced by claims, such as claims that cell-based immunotherapy is unsafe, unethical, or immoral and, consequently, our approach may not gain the acceptance of the public or the medical community. Negative public reaction to cell-based immunotherapy in general could result in greater government regulation and stricter labeling requirements of cell-based immunotherapy products, including any of our product candidates, and could cause a decrease in the demand for any products we may develop. Adverse public attitudes may adversely impact our ability to enroll clinical trials. More restrictive government regulations or negative public opinion could have an adverse effect on our business or financial condition and may delay or impair the development and commercialization of our product candidates or demand for any products we may develop.</w:t>
      </w:r>
    </w:p>
    <w:p>
      <w:pPr>
        <w:spacing w:after="0" w:line="256" w:lineRule="exact"/>
        <w:rPr>
          <w:sz w:val="20"/>
          <w:szCs w:val="20"/>
          <w:color w:val="auto"/>
        </w:rPr>
      </w:pPr>
    </w:p>
    <w:p>
      <w:pPr>
        <w:ind w:right="540"/>
        <w:spacing w:after="0" w:line="260" w:lineRule="auto"/>
        <w:rPr>
          <w:sz w:val="20"/>
          <w:szCs w:val="20"/>
          <w:color w:val="auto"/>
        </w:rPr>
      </w:pPr>
      <w:r>
        <w:rPr>
          <w:rFonts w:ascii="Arial" w:cs="Arial" w:eastAsia="Arial" w:hAnsi="Arial"/>
          <w:sz w:val="17"/>
          <w:szCs w:val="17"/>
          <w:b w:val="1"/>
          <w:bCs w:val="1"/>
          <w:i w:val="1"/>
          <w:iCs w:val="1"/>
          <w:color w:val="auto"/>
        </w:rPr>
        <w:t>We may not identify or discover other product candidates and may fail to capitalize on programs or product candidates that may present a greater commercial opportunity or for which there is a greater likelihood of success.</w:t>
      </w:r>
    </w:p>
    <w:p>
      <w:pPr>
        <w:spacing w:after="0" w:line="171" w:lineRule="exact"/>
        <w:rPr>
          <w:sz w:val="20"/>
          <w:szCs w:val="20"/>
          <w:color w:val="auto"/>
        </w:rPr>
      </w:pPr>
    </w:p>
    <w:p>
      <w:pPr>
        <w:ind w:right="80" w:firstLine="511"/>
        <w:spacing w:after="0" w:line="286" w:lineRule="auto"/>
        <w:rPr>
          <w:sz w:val="20"/>
          <w:szCs w:val="20"/>
          <w:color w:val="auto"/>
        </w:rPr>
      </w:pPr>
      <w:r>
        <w:rPr>
          <w:rFonts w:ascii="Arial" w:cs="Arial" w:eastAsia="Arial" w:hAnsi="Arial"/>
          <w:sz w:val="15"/>
          <w:szCs w:val="15"/>
          <w:color w:val="auto"/>
        </w:rPr>
        <w:t>Our business depends upon our ability to identify, develop and commercialize product candidates. A key element of our strategy is to discover and develop additional product candidates based upon our NK cell engineering platform. We are seeking to do so through our internal research programs and may also explore strategic collaborations for the discovery of new product candidates. Research programs to identify product candidates require substantial technical, financial and human resources, whether or not any product candidates are ultimately identified. In addition, targets for different cancers may require changes to our NK manufacturing platform, which may slow down development or make it impossible to manufacture our product candidates. Our research programs may initially show promise in identifying potential product candidates, yet fail to yield product candidates for clinical development for many reasons, including the following:</w:t>
      </w:r>
    </w:p>
    <w:p>
      <w:pPr>
        <w:spacing w:after="0" w:line="55" w:lineRule="exact"/>
        <w:rPr>
          <w:sz w:val="20"/>
          <w:szCs w:val="20"/>
          <w:color w:val="auto"/>
        </w:rPr>
      </w:pPr>
    </w:p>
    <w:p>
      <w:pPr>
        <w:ind w:left="1020" w:hanging="513"/>
        <w:spacing w:after="0"/>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research methodology or technology platform used may not be successful in identifying potential product candidates;</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competitors may develop alternatives that render our product candidates obsolete or less attractive;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43" w:name="page44"/>
    <w:bookmarkEnd w:id="43"/>
    <w:p>
      <w:pPr>
        <w:ind w:left="1020" w:hanging="513"/>
        <w:spacing w:after="0"/>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choose to cease development if we determine that clinical results do not show promise;</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product candidates we develop may nevertheless be covered by third parties’ patents or other exclusive rights;</w:t>
      </w:r>
    </w:p>
    <w:p>
      <w:pPr>
        <w:spacing w:after="0" w:line="101" w:lineRule="exact"/>
        <w:rPr>
          <w:rFonts w:ascii="Arial" w:cs="Arial" w:eastAsia="Arial" w:hAnsi="Arial"/>
          <w:sz w:val="17"/>
          <w:szCs w:val="17"/>
          <w:color w:val="auto"/>
        </w:rPr>
      </w:pPr>
    </w:p>
    <w:p>
      <w:pPr>
        <w:ind w:left="1020" w:hanging="513"/>
        <w:spacing w:after="0" w:line="260" w:lineRule="auto"/>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product candidate may be shown to have harmful side effects or other characteristics that indicate it is unlikely to be effective or otherwise does not meet applicable regulatory criteria; and</w:t>
      </w:r>
    </w:p>
    <w:p>
      <w:pPr>
        <w:spacing w:after="0" w:line="72" w:lineRule="exact"/>
        <w:rPr>
          <w:rFonts w:ascii="Arial" w:cs="Arial" w:eastAsia="Arial" w:hAnsi="Arial"/>
          <w:sz w:val="17"/>
          <w:szCs w:val="17"/>
          <w:color w:val="auto"/>
        </w:rPr>
      </w:pPr>
    </w:p>
    <w:p>
      <w:pPr>
        <w:ind w:left="1020" w:hanging="513"/>
        <w:spacing w:after="0"/>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product candidate may not be accepted as safe and effective by patients, the medical community or third-party payors.</w:t>
      </w:r>
    </w:p>
    <w:p>
      <w:pPr>
        <w:spacing w:after="0" w:line="201" w:lineRule="exact"/>
        <w:rPr>
          <w:sz w:val="20"/>
          <w:szCs w:val="20"/>
          <w:color w:val="auto"/>
        </w:rPr>
      </w:pPr>
    </w:p>
    <w:p>
      <w:pPr>
        <w:ind w:right="20" w:firstLine="511"/>
        <w:spacing w:after="0" w:line="286" w:lineRule="auto"/>
        <w:rPr>
          <w:sz w:val="20"/>
          <w:szCs w:val="20"/>
          <w:color w:val="auto"/>
        </w:rPr>
      </w:pPr>
      <w:r>
        <w:rPr>
          <w:rFonts w:ascii="Arial" w:cs="Arial" w:eastAsia="Arial" w:hAnsi="Arial"/>
          <w:sz w:val="15"/>
          <w:szCs w:val="15"/>
          <w:color w:val="auto"/>
        </w:rPr>
        <w:t>Because we have limited resources, we must choose to pursue and fund the development of specific types of treatment, or treatment for a specific type of cancer, and we may forego or delay pursuit of opportunities with certain programs or product candidates or for indications that later prove to have greater commercial potential. Our estimates regarding the potential market for our product candidates could be inaccurate, and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w:t>
      </w:r>
    </w:p>
    <w:p>
      <w:pPr>
        <w:spacing w:after="0" w:line="154" w:lineRule="exact"/>
        <w:rPr>
          <w:sz w:val="20"/>
          <w:szCs w:val="20"/>
          <w:color w:val="auto"/>
        </w:rPr>
      </w:pPr>
    </w:p>
    <w:p>
      <w:pPr>
        <w:ind w:right="380" w:firstLine="511"/>
        <w:spacing w:after="0" w:line="260" w:lineRule="auto"/>
        <w:rPr>
          <w:sz w:val="20"/>
          <w:szCs w:val="20"/>
          <w:color w:val="auto"/>
        </w:rPr>
      </w:pPr>
      <w:r>
        <w:rPr>
          <w:rFonts w:ascii="Arial" w:cs="Arial" w:eastAsia="Arial" w:hAnsi="Arial"/>
          <w:sz w:val="17"/>
          <w:szCs w:val="17"/>
          <w:color w:val="auto"/>
        </w:rPr>
        <w:t>If any of these events occur, we may be forced to abandon or delay our development efforts with respect to a particular product candidate or fail to develop a potentially successful product candidate.</w:t>
      </w:r>
    </w:p>
    <w:p>
      <w:pPr>
        <w:spacing w:after="0" w:line="270"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b w:val="1"/>
          <w:bCs w:val="1"/>
          <w:i w:val="1"/>
          <w:iCs w:val="1"/>
          <w:color w:val="auto"/>
        </w:rPr>
        <w:t>If third parties that we rely on to conduct clinical trials do not successfully carry out their contractual duties, comply with regulatory requirements or meet expected deadlines, we may not be able to obtain marketing approval for or commercialize our product candidates.</w:t>
      </w:r>
    </w:p>
    <w:p>
      <w:pPr>
        <w:spacing w:after="0" w:line="171" w:lineRule="exact"/>
        <w:rPr>
          <w:sz w:val="20"/>
          <w:szCs w:val="20"/>
          <w:color w:val="auto"/>
        </w:rPr>
      </w:pPr>
    </w:p>
    <w:p>
      <w:pPr>
        <w:ind w:right="20" w:firstLine="511"/>
        <w:spacing w:after="0" w:line="286" w:lineRule="auto"/>
        <w:rPr>
          <w:sz w:val="20"/>
          <w:szCs w:val="20"/>
          <w:color w:val="auto"/>
        </w:rPr>
      </w:pPr>
      <w:r>
        <w:rPr>
          <w:rFonts w:ascii="Arial" w:cs="Arial" w:eastAsia="Arial" w:hAnsi="Arial"/>
          <w:sz w:val="15"/>
          <w:szCs w:val="15"/>
          <w:color w:val="auto"/>
        </w:rPr>
        <w:t>We do not have the ability to independently conduct clinical trials. We rely on medical institutions, clinical investigators, contract laboratories, and other third parties, such as CROs to conduct or otherwise support clinical trials for our product candidates. We rely heavily on these parties for execution of clinical trials for our product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and other third parties will not relieve us of our regulatory responsibilities. For any violations of laws and regulations during the conduct of our clinical trials, we could be subject to untitled letters, warning letters or enforcement action that may include civil penalties up to and including criminal prosecution.</w:t>
      </w:r>
    </w:p>
    <w:p>
      <w:pPr>
        <w:spacing w:after="0" w:line="154" w:lineRule="exact"/>
        <w:rPr>
          <w:sz w:val="20"/>
          <w:szCs w:val="20"/>
          <w:color w:val="auto"/>
        </w:rPr>
      </w:pPr>
    </w:p>
    <w:p>
      <w:pPr>
        <w:ind w:firstLine="511"/>
        <w:spacing w:after="0" w:line="280" w:lineRule="auto"/>
        <w:rPr>
          <w:sz w:val="20"/>
          <w:szCs w:val="20"/>
          <w:color w:val="auto"/>
        </w:rPr>
      </w:pPr>
      <w:r>
        <w:rPr>
          <w:rFonts w:ascii="Arial" w:cs="Arial" w:eastAsia="Arial" w:hAnsi="Arial"/>
          <w:sz w:val="15"/>
          <w:szCs w:val="15"/>
          <w:color w:val="auto"/>
        </w:rPr>
        <w:t>We and the third parties on which we rely for clinical trials are required to comply with regulations and requirements,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European Union member states, and comparable foreign regulatory authorities for any drugs in clinical development. The FDA enforces GCP requirements through periodic inspections of clinical trial sponsors, principal investigators and trial sites. If we or these third parties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not deviate from GCP. In addition, our clinical trials must be conducted with product candidates produced under cGMP regulations. Our failure or the failure of these third parties to comply with these regulations may require us to repeat clinical trials, which would delay the marketing approval process and could also subject us to enforcement action. The COVID-19 pandemic and government measures taken in response have also had a significant impact on our CROs, and we expect that they will face further disruption, which may affect our ability to initiate and complete our preclinical studies and clinical trials.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w:t>
      </w:r>
    </w:p>
    <w:p>
      <w:pPr>
        <w:spacing w:after="0" w:line="159" w:lineRule="exact"/>
        <w:rPr>
          <w:sz w:val="20"/>
          <w:szCs w:val="20"/>
          <w:color w:val="auto"/>
        </w:rPr>
      </w:pPr>
    </w:p>
    <w:p>
      <w:pPr>
        <w:ind w:firstLine="511"/>
        <w:spacing w:after="0" w:line="247" w:lineRule="auto"/>
        <w:rPr>
          <w:sz w:val="20"/>
          <w:szCs w:val="20"/>
          <w:color w:val="auto"/>
        </w:rPr>
      </w:pPr>
      <w:r>
        <w:rPr>
          <w:rFonts w:ascii="Arial" w:cs="Arial" w:eastAsia="Arial" w:hAnsi="Arial"/>
          <w:sz w:val="17"/>
          <w:szCs w:val="17"/>
          <w:color w:val="auto"/>
        </w:rPr>
        <w:t>Although we intend to design the clinical trials for our product candidates, we plan to rely on third parties to conduct our clinical trials. As a result, many important aspects of our clinical development, including their conduct and timing, will be outside of our direct control. Our reliance on third parties to conduct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84" w:lineRule="exact"/>
        <w:rPr>
          <w:sz w:val="20"/>
          <w:szCs w:val="20"/>
          <w:color w:val="auto"/>
        </w:rPr>
      </w:pPr>
    </w:p>
    <w:p>
      <w:pPr>
        <w:ind w:left="1020" w:hanging="513"/>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have staffing difficulties;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44" w:name="page45"/>
    <w:bookmarkEnd w:id="44"/>
    <w:p>
      <w:pPr>
        <w:ind w:left="1020" w:hanging="513"/>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fail to comply with contractual obligations;</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experience regulatory compliance issues;</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undergo changes in priorities or become financially distressed; or</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form relationships with other entities, some of which may be our competitors.</w:t>
      </w:r>
    </w:p>
    <w:p>
      <w:pPr>
        <w:spacing w:after="0" w:line="201" w:lineRule="exact"/>
        <w:rPr>
          <w:sz w:val="20"/>
          <w:szCs w:val="20"/>
          <w:color w:val="auto"/>
        </w:rPr>
      </w:pPr>
    </w:p>
    <w:p>
      <w:pPr>
        <w:ind w:right="140" w:firstLine="511"/>
        <w:spacing w:after="0" w:line="251" w:lineRule="auto"/>
        <w:rPr>
          <w:sz w:val="20"/>
          <w:szCs w:val="20"/>
          <w:color w:val="auto"/>
        </w:rPr>
      </w:pPr>
      <w:r>
        <w:rPr>
          <w:rFonts w:ascii="Arial" w:cs="Arial" w:eastAsia="Arial" w:hAnsi="Arial"/>
          <w:sz w:val="17"/>
          <w:szCs w:val="17"/>
          <w:color w:val="auto"/>
        </w:rPr>
        <w:t>If third parties do not perform our clinical trials in a satisfactory manner, breach their obligations to us or fail to comply with regulatory requirements, we would be unable to rely on clinical data collected by these third parties and may be required to repeat, extend the duration of, or increase the size of any clinical trials we conduct, which could significantly delay commercialization and require significantly greater expenditures.</w:t>
      </w:r>
    </w:p>
    <w:p>
      <w:pPr>
        <w:spacing w:after="0" w:line="180" w:lineRule="exact"/>
        <w:rPr>
          <w:sz w:val="20"/>
          <w:szCs w:val="20"/>
          <w:color w:val="auto"/>
        </w:rPr>
      </w:pPr>
    </w:p>
    <w:p>
      <w:pPr>
        <w:ind w:right="40" w:firstLine="511"/>
        <w:spacing w:after="0" w:line="286" w:lineRule="auto"/>
        <w:rPr>
          <w:sz w:val="20"/>
          <w:szCs w:val="20"/>
          <w:color w:val="auto"/>
        </w:rPr>
      </w:pPr>
      <w:r>
        <w:rPr>
          <w:rFonts w:ascii="Arial" w:cs="Arial" w:eastAsia="Arial" w:hAnsi="Arial"/>
          <w:sz w:val="15"/>
          <w:szCs w:val="15"/>
          <w:color w:val="auto"/>
        </w:rPr>
        <w:t>If any of our relationships with these third parties terminate, we may not be able to enter into arrangements with alternative third parties on commercially reasonable terms, or at all. If third parties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third parties are associated with may be extended, delayed or terminated, and we may not be able to obtain marketing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253" w:lineRule="exact"/>
        <w:rPr>
          <w:sz w:val="20"/>
          <w:szCs w:val="20"/>
          <w:color w:val="auto"/>
        </w:rPr>
      </w:pPr>
    </w:p>
    <w:p>
      <w:pPr>
        <w:spacing w:after="0" w:line="260" w:lineRule="auto"/>
        <w:rPr>
          <w:sz w:val="20"/>
          <w:szCs w:val="20"/>
          <w:color w:val="auto"/>
        </w:rPr>
      </w:pPr>
      <w:r>
        <w:rPr>
          <w:rFonts w:ascii="Arial" w:cs="Arial" w:eastAsia="Arial" w:hAnsi="Arial"/>
          <w:sz w:val="17"/>
          <w:szCs w:val="17"/>
          <w:b w:val="1"/>
          <w:bCs w:val="1"/>
          <w:i w:val="1"/>
          <w:iCs w:val="1"/>
          <w:color w:val="auto"/>
        </w:rPr>
        <w:t>If we are not able to establish pharmaceutical or biotechnology collaborations on commercially reasonable terms, or at all, we may have to alter our development and commercialization plans.*</w:t>
      </w:r>
    </w:p>
    <w:p>
      <w:pPr>
        <w:spacing w:after="0" w:line="171" w:lineRule="exact"/>
        <w:rPr>
          <w:sz w:val="20"/>
          <w:szCs w:val="20"/>
          <w:color w:val="auto"/>
        </w:rPr>
      </w:pPr>
    </w:p>
    <w:p>
      <w:pPr>
        <w:ind w:right="20" w:firstLine="511"/>
        <w:spacing w:after="0" w:line="288" w:lineRule="auto"/>
        <w:rPr>
          <w:sz w:val="20"/>
          <w:szCs w:val="20"/>
          <w:color w:val="auto"/>
        </w:rPr>
      </w:pPr>
      <w:r>
        <w:rPr>
          <w:rFonts w:ascii="Arial" w:cs="Arial" w:eastAsia="Arial" w:hAnsi="Arial"/>
          <w:sz w:val="15"/>
          <w:szCs w:val="15"/>
          <w:color w:val="auto"/>
        </w:rPr>
        <w:t>The advancement of our product candidates and development programs and the potential commercialization of our current and future product candidates will require substantial additional cash to fund expenses. For some of our programs, we may seek to collaborate with pharmaceutical and biotechnology companies to develop and commercialize such product candidates, such as our recent collaboration with CRISPR. Any of these relationships, including our relationship with CRISPR, may require us to incur non-recurring and other charges, increase our near and long-term expenditures, issue securities that dilute our existing stockholders, relinquish valuable rights to our product candidates, or disrupt our management and business.</w:t>
      </w:r>
    </w:p>
    <w:p>
      <w:pPr>
        <w:spacing w:after="0" w:line="155" w:lineRule="exact"/>
        <w:rPr>
          <w:sz w:val="20"/>
          <w:szCs w:val="20"/>
          <w:color w:val="auto"/>
        </w:rPr>
      </w:pPr>
    </w:p>
    <w:p>
      <w:pPr>
        <w:ind w:right="60" w:firstLine="511"/>
        <w:spacing w:after="0" w:line="280" w:lineRule="auto"/>
        <w:rPr>
          <w:sz w:val="20"/>
          <w:szCs w:val="20"/>
          <w:color w:val="auto"/>
        </w:rPr>
      </w:pPr>
      <w:r>
        <w:rPr>
          <w:rFonts w:ascii="Arial" w:cs="Arial" w:eastAsia="Arial" w:hAnsi="Arial"/>
          <w:sz w:val="15"/>
          <w:szCs w:val="15"/>
          <w:color w:val="auto"/>
        </w:rPr>
        <w:t>We face significant competition in seeking appropriate strategic partners and the negotiation process is time-consuming and complex. Whether we reach a definitive agreement for new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Further, we may not be successful in our efforts to establish a strategic partnership or other alternative arrangements for future product candidates because they may be deemed to be at too early of a stage of development for collaborative effort or third parties may not view them as having the requisite potential to demonstrate safety and efficacy. Any delays in entering into new collaborations or strategic partnership agreements related to any product candidate we develop could delay the development and commercialization of our product candidates, which would harm our business prospects, financial condition, and results of operations.</w:t>
      </w:r>
    </w:p>
    <w:p>
      <w:pPr>
        <w:spacing w:after="0" w:line="261" w:lineRule="exact"/>
        <w:rPr>
          <w:sz w:val="20"/>
          <w:szCs w:val="20"/>
          <w:color w:val="auto"/>
        </w:rPr>
      </w:pPr>
    </w:p>
    <w:p>
      <w:pPr>
        <w:spacing w:after="0" w:line="301" w:lineRule="auto"/>
        <w:rPr>
          <w:sz w:val="20"/>
          <w:szCs w:val="20"/>
          <w:color w:val="auto"/>
        </w:rPr>
      </w:pPr>
      <w:r>
        <w:rPr>
          <w:rFonts w:ascii="Arial" w:cs="Arial" w:eastAsia="Arial" w:hAnsi="Arial"/>
          <w:sz w:val="15"/>
          <w:szCs w:val="15"/>
          <w:b w:val="1"/>
          <w:bCs w:val="1"/>
          <w:i w:val="1"/>
          <w:iCs w:val="1"/>
          <w:color w:val="auto"/>
        </w:rPr>
        <w:t>We have entered into a research collaboration with CRISPR Therapeutics regarding certain product candidates, and we may enter into additional collaborations with third parties to develop or commercialize other product candidates. Our prospects with respect to those product candidates will depend in significant part on the success of those collaborations, and we may not realize the benefits of such collaborations.*</w:t>
      </w:r>
    </w:p>
    <w:p>
      <w:pPr>
        <w:spacing w:after="0" w:line="144" w:lineRule="exact"/>
        <w:rPr>
          <w:sz w:val="20"/>
          <w:szCs w:val="20"/>
          <w:color w:val="auto"/>
        </w:rPr>
      </w:pPr>
    </w:p>
    <w:p>
      <w:pPr>
        <w:ind w:right="20" w:firstLine="511"/>
        <w:spacing w:after="0" w:line="288" w:lineRule="auto"/>
        <w:rPr>
          <w:sz w:val="20"/>
          <w:szCs w:val="20"/>
          <w:color w:val="auto"/>
        </w:rPr>
      </w:pPr>
      <w:r>
        <w:rPr>
          <w:rFonts w:ascii="Arial" w:cs="Arial" w:eastAsia="Arial" w:hAnsi="Arial"/>
          <w:sz w:val="15"/>
          <w:szCs w:val="15"/>
          <w:color w:val="auto"/>
        </w:rPr>
        <w:t>We may form strategic alliances or create joint ventures or collaborations with respect to our product candidates that we believe will complement or augment our existing business. We routinely engage, and are engaged, in partnering discussions with a range of pharmaceutical and biotechnology companies and could enter into new collaborations at any time. If we enter into a collaboration, strategic alliance or license arrangement, there is no guarantee that the collaboration will be successful, or that any future partner will commit sufficient resources to the development, regulatory approval, and commercialization effort for such products, or that such alliances will result in us achieving revenues that justify such transactions.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45" w:name="page46"/>
    <w:bookmarkEnd w:id="45"/>
    <w:p>
      <w:pPr>
        <w:ind w:firstLine="511"/>
        <w:spacing w:after="0" w:line="283" w:lineRule="auto"/>
        <w:rPr>
          <w:sz w:val="20"/>
          <w:szCs w:val="20"/>
          <w:color w:val="auto"/>
        </w:rPr>
      </w:pPr>
      <w:r>
        <w:rPr>
          <w:rFonts w:ascii="Arial" w:cs="Arial" w:eastAsia="Arial" w:hAnsi="Arial"/>
          <w:sz w:val="15"/>
          <w:szCs w:val="15"/>
          <w:color w:val="auto"/>
        </w:rPr>
        <w:t>On May 5, 2021, we entered into a research collaboration agreement with CRISPR to establish research plans for the purpose of collaboratively designing and advancing allogeneic, gene-edited NK cell therapies and an allogeneic, gene-edited NK+T cell therapy for use in the treatment of oncology, autoimmune disease, or infectious disease up to the filing of an application to a regulatory authority to request the ability to start a clinical trial. The parties will share equally the costs incurred in connection with the research activities for the product candidates under the collaboration. Under our agreement with CRISPR, we have also agreed to negotiate to reach agreement regarding the terms governing co-development and co-commercialization of the NK cell or NK+T cell therapies that are advanced under the research collaboration. If CRISPR, or any potential future collaboration partner, does not perform in the manner that we expect or fulfill their responsibilities in a timely manner or at all, the research, clinical development, regulatory approval and commercialization efforts related to the product candidates that are the subject of the collaboration with CRISPR, or that potential future collaboration partner, could be delayed or terminated.</w:t>
      </w:r>
    </w:p>
    <w:p>
      <w:pPr>
        <w:spacing w:after="0" w:line="157" w:lineRule="exact"/>
        <w:rPr>
          <w:sz w:val="20"/>
          <w:szCs w:val="20"/>
          <w:color w:val="auto"/>
        </w:rPr>
      </w:pPr>
    </w:p>
    <w:p>
      <w:pPr>
        <w:ind w:right="40" w:firstLine="511"/>
        <w:spacing w:after="0" w:line="284" w:lineRule="auto"/>
        <w:rPr>
          <w:sz w:val="20"/>
          <w:szCs w:val="20"/>
          <w:color w:val="auto"/>
        </w:rPr>
      </w:pPr>
      <w:r>
        <w:rPr>
          <w:rFonts w:ascii="Arial" w:cs="Arial" w:eastAsia="Arial" w:hAnsi="Arial"/>
          <w:sz w:val="15"/>
          <w:szCs w:val="15"/>
          <w:color w:val="auto"/>
        </w:rPr>
        <w:t>If we terminate the agreement in its entirety or with respect to a particular product candidate under the research collaboration with CRISPR, due to a material breach by CRISPR or CRISPR’s insolvency, then we have the right to negotiate a license from CRISPR to continue research, development, and commercialization of the terminated product candidate(s) on our own at our sole expense. We would need to pay CRISPR milestones and royalties for the terminated product candidate(s), and we may not be able to negotiate terms to the license that are favorable to us. Furthermore, assumption of sole responsibility for further development would greatly increase our expenditures and may mean we would need to limit the size and scope of one or more of our programs, seek additional funding and/or choose to stop work altogether on one or more of the affected product candidates. This could result in a limited potential to generate future revenue from such product candidates, and our business could be materially and adversely affected.</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Whenever we enter into collaborations with third parties, we could face the following risks:</w:t>
      </w:r>
    </w:p>
    <w:p>
      <w:pPr>
        <w:spacing w:after="0" w:line="102" w:lineRule="exact"/>
        <w:rPr>
          <w:sz w:val="20"/>
          <w:szCs w:val="20"/>
          <w:color w:val="auto"/>
        </w:rPr>
      </w:pPr>
    </w:p>
    <w:p>
      <w:pPr>
        <w:ind w:left="1020" w:hanging="513"/>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collaborators have significant discretion in determining the efforts and resources that they will apply to these collaborations;</w:t>
      </w:r>
    </w:p>
    <w:p>
      <w:pPr>
        <w:spacing w:after="0" w:line="101" w:lineRule="exact"/>
        <w:rPr>
          <w:rFonts w:ascii="Arial" w:cs="Arial" w:eastAsia="Arial" w:hAnsi="Arial"/>
          <w:sz w:val="17"/>
          <w:szCs w:val="17"/>
          <w:color w:val="auto"/>
        </w:rPr>
      </w:pPr>
    </w:p>
    <w:p>
      <w:pPr>
        <w:ind w:left="1020" w:right="180" w:hanging="513"/>
        <w:spacing w:after="0" w:line="260" w:lineRule="auto"/>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and processes that compete directly or indirectly with our products or product candidates;</w:t>
      </w:r>
    </w:p>
    <w:p>
      <w:pPr>
        <w:spacing w:after="0" w:line="72" w:lineRule="exact"/>
        <w:rPr>
          <w:rFonts w:ascii="Arial" w:cs="Arial" w:eastAsia="Arial" w:hAnsi="Arial"/>
          <w:sz w:val="17"/>
          <w:szCs w:val="17"/>
          <w:color w:val="auto"/>
        </w:rPr>
      </w:pPr>
    </w:p>
    <w:p>
      <w:pPr>
        <w:jc w:val="both"/>
        <w:ind w:left="1020" w:right="80" w:hanging="513"/>
        <w:spacing w:after="0" w:line="251" w:lineRule="auto"/>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collaborators may not properly enforce, maintain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w:t>
      </w:r>
    </w:p>
    <w:p>
      <w:pPr>
        <w:spacing w:after="0" w:line="80" w:lineRule="exact"/>
        <w:rPr>
          <w:rFonts w:ascii="Arial" w:cs="Arial" w:eastAsia="Arial" w:hAnsi="Arial"/>
          <w:sz w:val="17"/>
          <w:szCs w:val="17"/>
          <w:color w:val="auto"/>
        </w:rPr>
      </w:pPr>
    </w:p>
    <w:p>
      <w:pPr>
        <w:ind w:left="1020" w:right="300" w:hanging="513"/>
        <w:spacing w:after="0" w:line="326" w:lineRule="auto"/>
        <w:tabs>
          <w:tab w:leader="none" w:pos="10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disputes may arise between a collaborator and us that cause the delay or termination of the research, development or commercialization of the product candidate, or that result in costly litigation or arbitration that diverts management attention and resources;</w:t>
      </w:r>
    </w:p>
    <w:p>
      <w:pPr>
        <w:spacing w:after="0" w:line="27" w:lineRule="exact"/>
        <w:rPr>
          <w:rFonts w:ascii="Arial" w:cs="Arial" w:eastAsia="Arial" w:hAnsi="Arial"/>
          <w:sz w:val="15"/>
          <w:szCs w:val="15"/>
          <w:color w:val="auto"/>
        </w:rPr>
      </w:pPr>
    </w:p>
    <w:p>
      <w:pPr>
        <w:ind w:left="1020" w:right="120" w:hanging="513"/>
        <w:spacing w:after="0" w:line="260" w:lineRule="auto"/>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if a present or future collaborator of ours were to be involved in a business combination, the continued pursuit and emphasis on our product development or commercialization program under such collaboration could be delayed, diminished or terminated; and</w:t>
      </w:r>
    </w:p>
    <w:p>
      <w:pPr>
        <w:spacing w:after="0" w:line="72" w:lineRule="exact"/>
        <w:rPr>
          <w:rFonts w:ascii="Arial" w:cs="Arial" w:eastAsia="Arial" w:hAnsi="Arial"/>
          <w:sz w:val="17"/>
          <w:szCs w:val="17"/>
          <w:color w:val="auto"/>
        </w:rPr>
      </w:pPr>
    </w:p>
    <w:p>
      <w:pPr>
        <w:ind w:left="1020" w:hanging="513"/>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collaboration agreements may restrict our right to independently pursue new product candidates.</w:t>
      </w:r>
    </w:p>
    <w:p>
      <w:pPr>
        <w:spacing w:after="0" w:line="201" w:lineRule="exact"/>
        <w:rPr>
          <w:sz w:val="20"/>
          <w:szCs w:val="20"/>
          <w:color w:val="auto"/>
        </w:rPr>
      </w:pPr>
    </w:p>
    <w:p>
      <w:pPr>
        <w:ind w:right="100" w:firstLine="511"/>
        <w:spacing w:after="0" w:line="286" w:lineRule="auto"/>
        <w:rPr>
          <w:sz w:val="20"/>
          <w:szCs w:val="20"/>
          <w:color w:val="auto"/>
        </w:rPr>
      </w:pPr>
      <w:r>
        <w:rPr>
          <w:rFonts w:ascii="Arial" w:cs="Arial" w:eastAsia="Arial" w:hAnsi="Arial"/>
          <w:sz w:val="15"/>
          <w:szCs w:val="15"/>
          <w:color w:val="auto"/>
        </w:rPr>
        <w:t>If conflicts arise between our collaborators and us, including CRISPR, our collaborators may act in a manner adverse to us and could limit our ability to implement our strategies. CRISPR or future collaborators may develop, either alone or with others, products in related fields that are competitive with the products or potential products that are the subject of these collaborations. Competing products, either developed by the collaborators or to which the collaborators have rights, may result in the withdrawal of support for our product candidates. Our collaborators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our product development efforts.</w:t>
      </w:r>
    </w:p>
    <w:p>
      <w:pPr>
        <w:spacing w:after="0" w:line="179" w:lineRule="exact"/>
        <w:rPr>
          <w:sz w:val="20"/>
          <w:szCs w:val="20"/>
          <w:color w:val="auto"/>
        </w:rPr>
      </w:pPr>
    </w:p>
    <w:p>
      <w:pPr>
        <w:jc w:val="both"/>
        <w:ind w:right="460" w:firstLine="511"/>
        <w:spacing w:after="0" w:line="301" w:lineRule="auto"/>
        <w:rPr>
          <w:sz w:val="20"/>
          <w:szCs w:val="20"/>
          <w:color w:val="auto"/>
        </w:rPr>
      </w:pPr>
      <w:r>
        <w:rPr>
          <w:rFonts w:ascii="Arial" w:cs="Arial" w:eastAsia="Arial" w:hAnsi="Arial"/>
          <w:sz w:val="15"/>
          <w:szCs w:val="15"/>
          <w:color w:val="auto"/>
        </w:rPr>
        <w:t>As a result, we may not be able to realize the benefit of new or existing collaboration agreements and strategic partnerships if we are unable to successfully integrate them with our existing operations, which could delay our timelines or otherwise adversely affect our business. We also cannot be certain that, following a strategic transaction or license, we will achieve the revenue or specific net income that justifies such transaction.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46" w:name="page47"/>
    <w:bookmarkEnd w:id="46"/>
    <w:p>
      <w:pPr>
        <w:ind w:right="260"/>
        <w:spacing w:after="0" w:line="260" w:lineRule="auto"/>
        <w:rPr>
          <w:sz w:val="20"/>
          <w:szCs w:val="20"/>
          <w:color w:val="auto"/>
        </w:rPr>
      </w:pPr>
      <w:r>
        <w:rPr>
          <w:rFonts w:ascii="Arial" w:cs="Arial" w:eastAsia="Arial" w:hAnsi="Arial"/>
          <w:sz w:val="17"/>
          <w:szCs w:val="17"/>
          <w:b w:val="1"/>
          <w:bCs w:val="1"/>
          <w:i w:val="1"/>
          <w:iCs w:val="1"/>
          <w:color w:val="auto"/>
        </w:rPr>
        <w:t>If we fail to compete effectively with academic institutions and other biopharmaceutical companies that develop similar or alternatives to cellular immunotherapy product candidates, our business will be materially adversely affected.*</w:t>
      </w:r>
    </w:p>
    <w:p>
      <w:pPr>
        <w:spacing w:after="0" w:line="171" w:lineRule="exact"/>
        <w:rPr>
          <w:sz w:val="20"/>
          <w:szCs w:val="20"/>
          <w:color w:val="auto"/>
        </w:rPr>
      </w:pPr>
    </w:p>
    <w:p>
      <w:pPr>
        <w:ind w:right="40" w:firstLine="511"/>
        <w:spacing w:after="0" w:line="277" w:lineRule="auto"/>
        <w:rPr>
          <w:sz w:val="20"/>
          <w:szCs w:val="20"/>
          <w:color w:val="auto"/>
        </w:rPr>
      </w:pPr>
      <w:r>
        <w:rPr>
          <w:rFonts w:ascii="Arial" w:cs="Arial" w:eastAsia="Arial" w:hAnsi="Arial"/>
          <w:sz w:val="15"/>
          <w:szCs w:val="15"/>
          <w:color w:val="auto"/>
        </w:rPr>
        <w:t>The development and commercialization of new cellular immunotherapy products is highly competitive. We face competition from existing and future competitors with respect to each of our product candidates currently in development, and will face competition with respect to other product candidates that we may seek to develop or commercialize in the future. For example, the autologous cell therapies Kymriah</w:t>
      </w:r>
      <w:r>
        <w:rPr>
          <w:rFonts w:ascii="Arial" w:cs="Arial" w:eastAsia="Arial" w:hAnsi="Arial"/>
          <w:sz w:val="13"/>
          <w:szCs w:val="13"/>
          <w:color w:val="auto"/>
        </w:rPr>
        <w:t>®</w:t>
      </w:r>
      <w:r>
        <w:rPr>
          <w:rFonts w:ascii="Arial" w:cs="Arial" w:eastAsia="Arial" w:hAnsi="Arial"/>
          <w:sz w:val="15"/>
          <w:szCs w:val="15"/>
          <w:color w:val="auto"/>
        </w:rPr>
        <w:t>, Yescarta</w:t>
      </w:r>
      <w:r>
        <w:rPr>
          <w:rFonts w:ascii="Arial" w:cs="Arial" w:eastAsia="Arial" w:hAnsi="Arial"/>
          <w:sz w:val="13"/>
          <w:szCs w:val="13"/>
          <w:color w:val="auto"/>
        </w:rPr>
        <w:t>®</w:t>
      </w:r>
      <w:r>
        <w:rPr>
          <w:rFonts w:ascii="Arial" w:cs="Arial" w:eastAsia="Arial" w:hAnsi="Arial"/>
          <w:sz w:val="15"/>
          <w:szCs w:val="15"/>
          <w:color w:val="auto"/>
        </w:rPr>
        <w:t>, Tecartus™ and Breyanzi</w:t>
      </w:r>
      <w:r>
        <w:rPr>
          <w:rFonts w:ascii="Arial" w:cs="Arial" w:eastAsia="Arial" w:hAnsi="Arial"/>
          <w:sz w:val="13"/>
          <w:szCs w:val="13"/>
          <w:color w:val="auto"/>
        </w:rPr>
        <w:t>®</w:t>
      </w:r>
      <w:r>
        <w:rPr>
          <w:rFonts w:ascii="Arial" w:cs="Arial" w:eastAsia="Arial" w:hAnsi="Arial"/>
          <w:sz w:val="15"/>
          <w:szCs w:val="15"/>
          <w:color w:val="auto"/>
        </w:rPr>
        <w:t>, which have been commercially approved, are direct competitors to our product candidate NKX019. Our known biopharmaceutical competitors developing allogeneic CAR-NK or CAR-T therapies currently include Allogene, Cellectis, Celularity, Celyad, CRISPR Therapeutics, Gamida Cell, Glycostem, Sanofi, Fate Therapeutics, ImmunityBio, Precision BioSciences and Takeda, each of which has clinical-stage allogeneic programs, as well as numerous other biopharmaceutical companies including Astellas, Artiva Biosciences, Bristol-Myers Squibb, NKGen, ONK Therapeutics, Surface Oncology, Novartis and Gilead with earlier-stage allogeneic programs. Furthermore, many companies are seeking to harness NK biology through engagers that seek to direct a patient’s own NK cells to the site of a tumor. Such competitors include Affimed, Amgen, Compass, Cytovia, Dragonfly Therapeutics, Genentech, A Roche Group company, GT Biopharma, Innate Pharma, QureBio, Servier, and Synaffix. In addition, numerous academic institutions are conducting preclinical and clinical research in these areas, as well as with other white blood cell types including NKT cells and gamma-delta T cells. It is also possible that new competitors, including those developing similar or alternatives to cellular immunotherapy product</w:t>
      </w:r>
    </w:p>
    <w:p>
      <w:pPr>
        <w:spacing w:after="0" w:line="2" w:lineRule="exact"/>
        <w:rPr>
          <w:sz w:val="20"/>
          <w:szCs w:val="20"/>
          <w:color w:val="auto"/>
        </w:rPr>
      </w:pPr>
    </w:p>
    <w:p>
      <w:pPr>
        <w:ind w:right="60"/>
        <w:spacing w:after="0" w:line="284" w:lineRule="auto"/>
        <w:rPr>
          <w:sz w:val="20"/>
          <w:szCs w:val="20"/>
          <w:color w:val="auto"/>
        </w:rPr>
      </w:pPr>
      <w:r>
        <w:rPr>
          <w:rFonts w:ascii="Arial" w:cs="Arial" w:eastAsia="Arial" w:hAnsi="Arial"/>
          <w:sz w:val="15"/>
          <w:szCs w:val="15"/>
          <w:color w:val="auto"/>
        </w:rPr>
        <w:t>candidates, may emerge and acquire significant market share. Such competitors may have an advantage over us due to their greater size, resources or institutional experience, or may develop product candidates that are safer, more effective, more widely accepted, more cost-effective or enable higher patient quality of life than ours. More established biopharmaceutical companies may also develop and commercialize their product candidates at a faster rate, which could render our product candidates obsolete or non-competitive before they are fully developed or commercialized. If we are not able to compete effectively against our existing and potential competitors, our business, financial condition, results of operations and growth prospects may be materially adversely affected.</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need to increase the size of our organization, and we may experience difficulties in managing growth.*</w:t>
      </w:r>
    </w:p>
    <w:p>
      <w:pPr>
        <w:spacing w:after="0" w:line="201" w:lineRule="exact"/>
        <w:rPr>
          <w:sz w:val="20"/>
          <w:szCs w:val="20"/>
          <w:color w:val="auto"/>
        </w:rPr>
      </w:pPr>
    </w:p>
    <w:p>
      <w:pPr>
        <w:jc w:val="both"/>
        <w:ind w:right="160" w:firstLine="511"/>
        <w:spacing w:after="0" w:line="248" w:lineRule="auto"/>
        <w:rPr>
          <w:sz w:val="20"/>
          <w:szCs w:val="20"/>
          <w:color w:val="auto"/>
        </w:rPr>
      </w:pPr>
      <w:r>
        <w:rPr>
          <w:rFonts w:ascii="Arial" w:cs="Arial" w:eastAsia="Arial" w:hAnsi="Arial"/>
          <w:sz w:val="17"/>
          <w:szCs w:val="17"/>
          <w:color w:val="auto"/>
        </w:rPr>
        <w:t>As of September 30, 2021, we had 133 full-time employees. We will need to continue to expand our managerial, operational, clinical, quality, human resources, legal, manufacturing, finance, commercial and other resources in order to manage our operations and clinical trials, continue our development activities and eventually commercialize our product candidates. Our management and personnel, systems and facilities currently in place may not be adequate to support this future growth. Our need to effectively execute our growth strategy requires that we:</w:t>
      </w:r>
    </w:p>
    <w:p>
      <w:pPr>
        <w:spacing w:after="0" w:line="84" w:lineRule="exact"/>
        <w:rPr>
          <w:sz w:val="20"/>
          <w:szCs w:val="20"/>
          <w:color w:val="auto"/>
        </w:rPr>
      </w:pPr>
    </w:p>
    <w:p>
      <w:pPr>
        <w:ind w:left="1020" w:hanging="513"/>
        <w:spacing w:after="0" w:line="326" w:lineRule="auto"/>
        <w:tabs>
          <w:tab w:leader="none" w:pos="10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discover new product candidates, develop the process and analytical methods for IND-enabling studies and FDA submissions, complete the required IND-enabling studies for each, and receive approval from the FDA and other regulatory authorities to initiate clinical trials for such product candidates;</w:t>
      </w:r>
    </w:p>
    <w:p>
      <w:pPr>
        <w:spacing w:after="0" w:line="27" w:lineRule="exact"/>
        <w:rPr>
          <w:rFonts w:ascii="Arial" w:cs="Arial" w:eastAsia="Arial" w:hAnsi="Arial"/>
          <w:sz w:val="15"/>
          <w:szCs w:val="15"/>
          <w:color w:val="auto"/>
        </w:rPr>
      </w:pPr>
    </w:p>
    <w:p>
      <w:pPr>
        <w:ind w:left="1020" w:hanging="513"/>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manage our clinical trials effectively;</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identify, recruit, retain, incentivize and integrate additional employees;</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expand into additional office and laboratory space as we grow our employee base;</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complete the qualification of our in-house clinical GMP manufacturing facility and establish and validate a commercial GMP manufacturing facility; and</w:t>
      </w:r>
    </w:p>
    <w:p>
      <w:pPr>
        <w:spacing w:after="0" w:line="124" w:lineRule="exact"/>
        <w:rPr>
          <w:rFonts w:ascii="Arial" w:cs="Arial" w:eastAsia="Arial" w:hAnsi="Arial"/>
          <w:sz w:val="15"/>
          <w:szCs w:val="15"/>
          <w:color w:val="auto"/>
        </w:rPr>
      </w:pPr>
    </w:p>
    <w:p>
      <w:pPr>
        <w:ind w:left="1020" w:hanging="513"/>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continue to improve our operational, financial and management controls, reports systems and procedures.</w:t>
      </w:r>
    </w:p>
    <w:p>
      <w:pPr>
        <w:spacing w:after="0" w:line="201" w:lineRule="exact"/>
        <w:rPr>
          <w:sz w:val="20"/>
          <w:szCs w:val="20"/>
          <w:color w:val="auto"/>
        </w:rPr>
      </w:pPr>
    </w:p>
    <w:p>
      <w:pPr>
        <w:ind w:firstLine="511"/>
        <w:spacing w:after="0" w:line="326" w:lineRule="auto"/>
        <w:rPr>
          <w:sz w:val="20"/>
          <w:szCs w:val="20"/>
          <w:color w:val="auto"/>
        </w:rPr>
      </w:pPr>
      <w:r>
        <w:rPr>
          <w:rFonts w:ascii="Arial" w:cs="Arial" w:eastAsia="Arial" w:hAnsi="Arial"/>
          <w:sz w:val="15"/>
          <w:szCs w:val="15"/>
          <w:color w:val="auto"/>
        </w:rPr>
        <w:t>If we are unable to attract skilled employees, increase the size of our organization or manage our future growth effectively, it will impair our ability to execute our business strategy and our business, financial condition, results of operations and growth prospects will be materially adversely affected.</w:t>
      </w:r>
    </w:p>
    <w:p>
      <w:pPr>
        <w:spacing w:after="0" w:line="225"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b w:val="1"/>
          <w:bCs w:val="1"/>
          <w:i w:val="1"/>
          <w:iCs w:val="1"/>
          <w:color w:val="auto"/>
        </w:rPr>
        <w:t>If we fail to attract and retain senior management, clinical, and key scientific personnel, we may be unable to successfully develop our product candidates, conduct our clinical trials and commercialize our product candidates.</w:t>
      </w:r>
    </w:p>
    <w:p>
      <w:pPr>
        <w:spacing w:after="0" w:line="171" w:lineRule="exact"/>
        <w:rPr>
          <w:sz w:val="20"/>
          <w:szCs w:val="20"/>
          <w:color w:val="auto"/>
        </w:rPr>
      </w:pPr>
    </w:p>
    <w:p>
      <w:pPr>
        <w:ind w:right="40" w:firstLine="511"/>
        <w:spacing w:after="0" w:line="292" w:lineRule="auto"/>
        <w:rPr>
          <w:sz w:val="20"/>
          <w:szCs w:val="20"/>
          <w:color w:val="auto"/>
        </w:rPr>
      </w:pPr>
      <w:r>
        <w:rPr>
          <w:rFonts w:ascii="Arial" w:cs="Arial" w:eastAsia="Arial" w:hAnsi="Arial"/>
          <w:sz w:val="15"/>
          <w:szCs w:val="15"/>
          <w:color w:val="auto"/>
        </w:rPr>
        <w:t>Our success depends in part on our continued ability to attract, retain and motivate highly qualified management, clinical and scientific personnel. We are highly dependent upon our senior management, particularly our chief executive officer, as well as other members of our senior management team. The loss of services of any of these individuals could delay or prevent the successful development of our product pipeline, initiation or completion of our planned clinical trials or the commercialization of our future product candidates. We do not have employment agreements with our senior management team.</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20"/>
          </w:cols>
          <w:pgMar w:left="320" w:top="623" w:right="359" w:bottom="1440" w:gutter="0" w:footer="0" w:header="0"/>
        </w:sectPr>
      </w:pPr>
    </w:p>
    <w:bookmarkStart w:id="47" w:name="page48"/>
    <w:bookmarkEnd w:id="47"/>
    <w:p>
      <w:pPr>
        <w:ind w:right="80" w:firstLine="511"/>
        <w:spacing w:after="0" w:line="286" w:lineRule="auto"/>
        <w:rPr>
          <w:sz w:val="20"/>
          <w:szCs w:val="20"/>
          <w:color w:val="auto"/>
        </w:rPr>
      </w:pPr>
      <w:r>
        <w:rPr>
          <w:rFonts w:ascii="Arial" w:cs="Arial" w:eastAsia="Arial" w:hAnsi="Arial"/>
          <w:sz w:val="15"/>
          <w:szCs w:val="15"/>
          <w:color w:val="auto"/>
        </w:rPr>
        <w:t>Competition for qualified personnel in the biotechnology and pharmaceuticals field is intense due to the limited number of individuals who possess the skills and experience required by our industry. We will need to hire additional personnel as we expand our clinical development and manufacturing activities, or if we initiate commercial activities. We may not be able to attract and retain quality personnel on acceptable terms, or at all. If we are unable to hire and retain the qualified personnel we need to operate our business, our business, financial condition, results of operations and growth prospects would be materially adversely affected.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Product liability lawsuits against us could cause us to incur substantial liabilities and could limit commercialization of any product candidate that we may develop.</w:t>
      </w:r>
    </w:p>
    <w:p>
      <w:pPr>
        <w:spacing w:after="0" w:line="235" w:lineRule="exact"/>
        <w:rPr>
          <w:sz w:val="20"/>
          <w:szCs w:val="20"/>
          <w:color w:val="auto"/>
        </w:rPr>
      </w:pPr>
    </w:p>
    <w:p>
      <w:pPr>
        <w:ind w:right="200" w:firstLine="511"/>
        <w:spacing w:after="0" w:line="301" w:lineRule="auto"/>
        <w:rPr>
          <w:sz w:val="20"/>
          <w:szCs w:val="20"/>
          <w:color w:val="auto"/>
        </w:rPr>
      </w:pPr>
      <w:r>
        <w:rPr>
          <w:rFonts w:ascii="Arial" w:cs="Arial" w:eastAsia="Arial" w:hAnsi="Arial"/>
          <w:sz w:val="15"/>
          <w:szCs w:val="15"/>
          <w:color w:val="auto"/>
        </w:rPr>
        <w:t>We face an inherent risk of product liability exposure related to the testing of our product candidates in clinical trials and may face an even greater risk if we commercialize any product candidate that we may develop. If we cannot successfully defend ourselves against claims that any such product candidates caused injuries, we could incur substantial liabilities. Regardless of merit or eventual outcome, liability claims may result in:</w:t>
      </w:r>
    </w:p>
    <w:p>
      <w:pPr>
        <w:spacing w:after="0" w:line="45" w:lineRule="exact"/>
        <w:rPr>
          <w:sz w:val="20"/>
          <w:szCs w:val="20"/>
          <w:color w:val="auto"/>
        </w:rPr>
      </w:pPr>
    </w:p>
    <w:p>
      <w:pPr>
        <w:ind w:left="1020" w:hanging="513"/>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decreased demand for any product candidate that we may develop;</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loss of revenue;</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substantial monetary awards to trial participants or patients;</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significant time and costs to defend the related litigation;</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withdrawal of clinical trial participants;</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increased insurance costs;</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inability to commercialize any product candidate that we may develop; and</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injury to our reputation and significant negative media attention.</w:t>
      </w:r>
    </w:p>
    <w:p>
      <w:pPr>
        <w:spacing w:after="0" w:line="20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Any such outcomes could materially adversely affect our business, financial condition, results of operations and growth prospects.</w:t>
      </w: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insurance policies may be inadequate, may not cover all of our potential liabilities and may potentially expose us to unrecoverable risks.</w:t>
      </w:r>
    </w:p>
    <w:p>
      <w:pPr>
        <w:spacing w:after="0" w:line="224" w:lineRule="exact"/>
        <w:rPr>
          <w:sz w:val="20"/>
          <w:szCs w:val="20"/>
          <w:color w:val="auto"/>
        </w:rPr>
      </w:pPr>
    </w:p>
    <w:p>
      <w:pPr>
        <w:ind w:firstLine="511"/>
        <w:spacing w:after="0" w:line="284" w:lineRule="auto"/>
        <w:rPr>
          <w:sz w:val="20"/>
          <w:szCs w:val="20"/>
          <w:color w:val="auto"/>
        </w:rPr>
      </w:pPr>
      <w:r>
        <w:rPr>
          <w:rFonts w:ascii="Arial" w:cs="Arial" w:eastAsia="Arial" w:hAnsi="Arial"/>
          <w:sz w:val="15"/>
          <w:szCs w:val="15"/>
          <w:color w:val="auto"/>
        </w:rPr>
        <w:t>We do not carry insurance for all categories of risk that our business may encounter. Although we maintain product liability insurance coverage that also covers our clinical trials, such insurance may not be adequate to cover all liabilities that we may incur, and we may be required to increase our product liability insurance coverage. We anticipate that we will need to increase our insurance coverage each time we commence a clinical trial and if we successfully commercialize any product candidate. Insurance availability, coverage terms and pricing continue to vary with market conditions. We endeavor to obtain appropriate insurance coverage for insurable risks that we identify. However, we may fail to correctly anticipate or quantify insurable risks, we may not be able to obtain appropriate insurance coverage and insurers may not respond as we intend to cover insurable events that may occur. Any significant uninsured liability may require us to pay substantial amounts, which would materially adversely affect our business, financial condition, results of operations and growth.</w:t>
      </w:r>
    </w:p>
    <w:p>
      <w:pPr>
        <w:spacing w:after="0" w:line="157" w:lineRule="exact"/>
        <w:rPr>
          <w:sz w:val="20"/>
          <w:szCs w:val="20"/>
          <w:color w:val="auto"/>
        </w:rPr>
      </w:pPr>
    </w:p>
    <w:p>
      <w:pPr>
        <w:jc w:val="both"/>
        <w:ind w:right="60" w:firstLine="511"/>
        <w:spacing w:after="0" w:line="301" w:lineRule="auto"/>
        <w:rPr>
          <w:sz w:val="20"/>
          <w:szCs w:val="20"/>
          <w:color w:val="auto"/>
        </w:rPr>
      </w:pPr>
      <w:r>
        <w:rPr>
          <w:rFonts w:ascii="Arial" w:cs="Arial" w:eastAsia="Arial" w:hAnsi="Arial"/>
          <w:sz w:val="15"/>
          <w:szCs w:val="15"/>
          <w:color w:val="auto"/>
        </w:rPr>
        <w:t>In addition, although we are dependent on certain key personnel, we do not have any key man life insurance policies on any such individuals. Therefore, if any of our chief executive officer or other executive officers die or become disabled, we will not receive any compensation to assist with such individual’s absence. The loss of such person could materially adversely affect our business, financial condition, results of operations and growth prospects.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48" w:name="page49"/>
    <w:bookmarkEnd w:id="48"/>
    <w:p>
      <w:pPr>
        <w:ind w:right="840"/>
        <w:spacing w:after="0" w:line="260" w:lineRule="auto"/>
        <w:rPr>
          <w:sz w:val="20"/>
          <w:szCs w:val="20"/>
          <w:color w:val="auto"/>
        </w:rPr>
      </w:pPr>
      <w:r>
        <w:rPr>
          <w:rFonts w:ascii="Arial" w:cs="Arial" w:eastAsia="Arial" w:hAnsi="Arial"/>
          <w:sz w:val="17"/>
          <w:szCs w:val="17"/>
          <w:b w:val="1"/>
          <w:bCs w:val="1"/>
          <w:i w:val="1"/>
          <w:iCs w:val="1"/>
          <w:color w:val="auto"/>
        </w:rPr>
        <w:t>Our business involves the use of hazardous materials and we and our third-party manufacturers and suppliers must comply with environmental laws and regulations, which can be expensive and restrict how we do business.</w:t>
      </w:r>
    </w:p>
    <w:p>
      <w:pPr>
        <w:spacing w:after="0" w:line="171" w:lineRule="exact"/>
        <w:rPr>
          <w:sz w:val="20"/>
          <w:szCs w:val="20"/>
          <w:color w:val="auto"/>
        </w:rPr>
      </w:pPr>
    </w:p>
    <w:p>
      <w:pPr>
        <w:ind w:right="60" w:firstLine="511"/>
        <w:spacing w:after="0" w:line="248" w:lineRule="auto"/>
        <w:rPr>
          <w:sz w:val="20"/>
          <w:szCs w:val="20"/>
          <w:color w:val="auto"/>
        </w:rPr>
      </w:pPr>
      <w:r>
        <w:rPr>
          <w:rFonts w:ascii="Arial" w:cs="Arial" w:eastAsia="Arial" w:hAnsi="Arial"/>
          <w:sz w:val="17"/>
          <w:szCs w:val="17"/>
          <w:color w:val="auto"/>
        </w:rPr>
        <w:t>Our research and development activities and our third-party manufacturers’ and suppliers’ activities involve the controlled storage, use and disposal of hazardous materials owned by us. We and our manufacturers and suppliers are subject to laws and regulations governing the use, manufacture, storage, handling and disposal of these hazardous materials. In some cases, these hazardous materials and various wastes resulting from their use are stored at our manufacturers’ facilities pending their use and disposal.</w:t>
      </w:r>
    </w:p>
    <w:p>
      <w:pPr>
        <w:spacing w:after="0" w:line="183" w:lineRule="exact"/>
        <w:rPr>
          <w:sz w:val="20"/>
          <w:szCs w:val="20"/>
          <w:color w:val="auto"/>
        </w:rPr>
      </w:pPr>
    </w:p>
    <w:p>
      <w:pPr>
        <w:ind w:firstLine="511"/>
        <w:spacing w:after="0" w:line="282" w:lineRule="auto"/>
        <w:rPr>
          <w:sz w:val="20"/>
          <w:szCs w:val="20"/>
          <w:color w:val="auto"/>
        </w:rPr>
      </w:pPr>
      <w:r>
        <w:rPr>
          <w:rFonts w:ascii="Arial" w:cs="Arial" w:eastAsia="Arial" w:hAnsi="Arial"/>
          <w:sz w:val="15"/>
          <w:szCs w:val="15"/>
          <w:color w:val="auto"/>
        </w:rPr>
        <w:t>We cannot eliminate the risk of contamination, which could cause an interruption of our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and suppliers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over time. We cannot predict the impact of such changes and cannot be certain of our future compliance. We do not currently carry biological or hazardous waste insurance coverage. Any contamination by such hazardous materials could therefore materially adversely affect our business, financial condition, results of operations and growth prospects.</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Manufacturing</w:t>
      </w:r>
    </w:p>
    <w:p>
      <w:pPr>
        <w:spacing w:after="0" w:line="106" w:lineRule="exact"/>
        <w:rPr>
          <w:sz w:val="20"/>
          <w:szCs w:val="20"/>
          <w:color w:val="auto"/>
        </w:rPr>
      </w:pPr>
    </w:p>
    <w:p>
      <w:pPr>
        <w:ind w:right="20"/>
        <w:spacing w:after="0" w:line="326" w:lineRule="auto"/>
        <w:rPr>
          <w:sz w:val="20"/>
          <w:szCs w:val="20"/>
          <w:color w:val="auto"/>
        </w:rPr>
      </w:pPr>
      <w:r>
        <w:rPr>
          <w:rFonts w:ascii="Arial" w:cs="Arial" w:eastAsia="Arial" w:hAnsi="Arial"/>
          <w:sz w:val="15"/>
          <w:szCs w:val="15"/>
          <w:b w:val="1"/>
          <w:bCs w:val="1"/>
          <w:i w:val="1"/>
          <w:iCs w:val="1"/>
          <w:color w:val="auto"/>
        </w:rPr>
        <w:t>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w:t>
      </w:r>
    </w:p>
    <w:p>
      <w:pPr>
        <w:spacing w:after="0" w:line="126" w:lineRule="exact"/>
        <w:rPr>
          <w:sz w:val="20"/>
          <w:szCs w:val="20"/>
          <w:color w:val="auto"/>
        </w:rPr>
      </w:pPr>
    </w:p>
    <w:p>
      <w:pPr>
        <w:ind w:right="140" w:firstLine="511"/>
        <w:spacing w:after="0" w:line="284" w:lineRule="auto"/>
        <w:rPr>
          <w:sz w:val="20"/>
          <w:szCs w:val="20"/>
          <w:color w:val="auto"/>
        </w:rPr>
      </w:pPr>
      <w:r>
        <w:rPr>
          <w:rFonts w:ascii="Arial" w:cs="Arial" w:eastAsia="Arial" w:hAnsi="Arial"/>
          <w:sz w:val="15"/>
          <w:szCs w:val="15"/>
          <w:color w:val="auto"/>
        </w:rPr>
        <w:t>Our product candidates are genetically engineered human cells, and the process of manufacturing such product candidates, as well as engineered K562 cells and viral vectors, is complex, highly regulated and subject to numerous risks. Manufacturing our product candidates involves harvesting white blood cells from a donor, isolating the NK cells, activating and expanding the NK cells, introducing a gamma-retrovirus with genes encoding the proteins we wish to express, cryopreservation, storage and eventually shipment. As a result of these complexities, the cost to manufacture our cellular product candidates, engineered K562 cells and viral vector is generally higher than traditional small-molecule chemical compounds or biologics, and the manufacturing process is presently less reliable and more difficult to reproduce. Furthermore, for certain patients in the early portion of our Phase 1 study of NKX101, we plan to dose patients with haplomatched NKX101. This requires custom manufacturing for each patient, which is especially complex.</w:t>
      </w:r>
    </w:p>
    <w:p>
      <w:pPr>
        <w:spacing w:after="0" w:line="157" w:lineRule="exact"/>
        <w:rPr>
          <w:sz w:val="20"/>
          <w:szCs w:val="20"/>
          <w:color w:val="auto"/>
        </w:rPr>
      </w:pPr>
    </w:p>
    <w:p>
      <w:pPr>
        <w:ind w:right="20" w:firstLine="511"/>
        <w:spacing w:after="0" w:line="288" w:lineRule="auto"/>
        <w:rPr>
          <w:sz w:val="20"/>
          <w:szCs w:val="20"/>
          <w:color w:val="auto"/>
        </w:rPr>
      </w:pPr>
      <w:r>
        <w:rPr>
          <w:rFonts w:ascii="Arial" w:cs="Arial" w:eastAsia="Arial" w:hAnsi="Arial"/>
          <w:sz w:val="15"/>
          <w:szCs w:val="15"/>
          <w:color w:val="auto"/>
        </w:rPr>
        <w:t>Our manufacturing process will be susceptible to product loss or failure, or product variation that may negatively impact patient outcomes, due to logistical issues associated with the collection of starting material from the donor, shipping such material to the manufacturing site, shipping the final product to the clinical trial recipient, preparing the product for administration, manufacturing issues or different product characteristics resulting from the differences in donor starting materials, variations between reagent lots, interruptions in the manufacturing process, contamination, equipment or reagent failure, improper installation or operation of equipment, vendor or operator error, inconsistency in cell growth and variability in product characteristics.</w:t>
      </w:r>
    </w:p>
    <w:p>
      <w:pPr>
        <w:spacing w:after="0" w:line="155" w:lineRule="exact"/>
        <w:rPr>
          <w:sz w:val="20"/>
          <w:szCs w:val="20"/>
          <w:color w:val="auto"/>
        </w:rPr>
      </w:pPr>
    </w:p>
    <w:p>
      <w:pPr>
        <w:ind w:right="20" w:firstLine="511"/>
        <w:spacing w:after="0" w:line="284" w:lineRule="auto"/>
        <w:rPr>
          <w:sz w:val="20"/>
          <w:szCs w:val="20"/>
          <w:color w:val="auto"/>
        </w:rPr>
      </w:pPr>
      <w:r>
        <w:rPr>
          <w:rFonts w:ascii="Arial" w:cs="Arial" w:eastAsia="Arial" w:hAnsi="Arial"/>
          <w:sz w:val="15"/>
          <w:szCs w:val="15"/>
          <w:color w:val="auto"/>
        </w:rPr>
        <w:t>Even minor deviations from normal manufacturing processes could result in reduced production yields, product defects and other supply disruptions. If microbial, viral or other contaminations are discovered in our product candidates or in any of the manufacturing facilities in which products or other materials are made, such manufacturing facilities may need to be closed for an extended period of time to investigate and remedy the contamination. We will be required to maintain a chain of identity with respect to materials as they move from the donor to the manufacturing facility, through the manufacturing process and to the clinical trial recipient. Maintaining a chain of identity is difficult and complex, and failure to do so could result in adverse patient outcomes, loss of product or regulatory action, including withdrawal of our products from the market, if licensed. Any failure in the foregoing processes could render a batch of product unusable, could affect the regulatory approval of such product candidate, could cause us to incur fines or penalties or could harm our reputation and that of our product candidates.</w:t>
      </w:r>
    </w:p>
    <w:p>
      <w:pPr>
        <w:spacing w:after="0" w:line="157" w:lineRule="exact"/>
        <w:rPr>
          <w:sz w:val="20"/>
          <w:szCs w:val="20"/>
          <w:color w:val="auto"/>
        </w:rPr>
      </w:pPr>
    </w:p>
    <w:p>
      <w:pPr>
        <w:ind w:right="180" w:firstLine="511"/>
        <w:spacing w:after="0" w:line="292" w:lineRule="auto"/>
        <w:rPr>
          <w:sz w:val="20"/>
          <w:szCs w:val="20"/>
          <w:color w:val="auto"/>
        </w:rPr>
      </w:pPr>
      <w:r>
        <w:rPr>
          <w:rFonts w:ascii="Arial" w:cs="Arial" w:eastAsia="Arial" w:hAnsi="Arial"/>
          <w:sz w:val="15"/>
          <w:szCs w:val="15"/>
          <w:color w:val="auto"/>
        </w:rPr>
        <w:t>Our manufactured product candidates may fail to meet the required specifications for any of a variety of reasons, including variability in starting material, deviations from normal manufacturing process, or insufficient optimization of specific process steps. This failure to meet specifications could result in delays related to obtaining additional regulatory, site and patient approvals to continue dosing the patient in the clinical trial. If the required additional approvals cannot be obtained, additional delays may occur as manufacturing would need to be restarted and/or the patient may be unable to remain in the study. We may lose the starting material</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49" w:name="page50"/>
    <w:bookmarkEnd w:id="49"/>
    <w:p>
      <w:pPr>
        <w:ind w:right="160"/>
        <w:spacing w:after="0" w:line="248" w:lineRule="auto"/>
        <w:rPr>
          <w:sz w:val="20"/>
          <w:szCs w:val="20"/>
          <w:color w:val="auto"/>
        </w:rPr>
      </w:pPr>
      <w:r>
        <w:rPr>
          <w:rFonts w:ascii="Arial" w:cs="Arial" w:eastAsia="Arial" w:hAnsi="Arial"/>
          <w:sz w:val="17"/>
          <w:szCs w:val="17"/>
          <w:color w:val="auto"/>
        </w:rPr>
        <w:t>for a manufactured product for one of our clinical trial patients at any point in the process, the manufacturing process for that patient would need to be restarted and the resulting delay could require restarting the manufacturing process or could result in such patient no longer participating in our clinical trial. Any delay in the clinical development or commercialization of NKX101, NKX019, or our other product candidates could materially adversely affect our business, financial condition, results of operations and growth prospects.</w:t>
      </w:r>
    </w:p>
    <w:p>
      <w:pPr>
        <w:spacing w:after="0" w:line="183" w:lineRule="exact"/>
        <w:rPr>
          <w:sz w:val="20"/>
          <w:szCs w:val="20"/>
          <w:color w:val="auto"/>
        </w:rPr>
      </w:pPr>
    </w:p>
    <w:p>
      <w:pPr>
        <w:ind w:right="40" w:firstLine="511"/>
        <w:spacing w:after="0" w:line="280" w:lineRule="auto"/>
        <w:rPr>
          <w:sz w:val="20"/>
          <w:szCs w:val="20"/>
          <w:color w:val="auto"/>
        </w:rPr>
      </w:pPr>
      <w:r>
        <w:rPr>
          <w:rFonts w:ascii="Arial" w:cs="Arial" w:eastAsia="Arial" w:hAnsi="Arial"/>
          <w:sz w:val="15"/>
          <w:szCs w:val="15"/>
          <w:color w:val="auto"/>
        </w:rPr>
        <w:t>We may make changes to our manufacturing process at various points during development, and even after commercialization, for various reasons, such as to control costs, achieve scale, decrease processing time, increase manufacturing success rate or for other reasons. Changes to our manufacturing process carry the risk that they will not achieve their intended objectives, and any of these changes could cause our product candidates to perform differently and affect the results of our ongoing clinical trials, or the performance of the product once commercialized. Changes to our process made during the course of clinical development could require us to show the comparability of the product candidate used in earlier clinical phases or at earlier portions of a trial to the product candidate used in later clinical phases or later portions of the trial. It is difficult to establish comparability of cell therapy products, and this may complicate efforts to validate process changes during the scale up to commercialization. Other changes to our manufacturing process made before or after commercialization could require us to show the comparability of the resulting product to the product candidate used in the clinical trials using earlier processes. Such showings could require us to collect additional nonclinical or clinical data from any modified process prior to obtaining marketing approval for the product candidate produced with such modified process. If such data are not ultimately comparable to that seen in the earlier trials or earlier in the same trial in terms of safety or efficacy, or if regulatory authorities do not agree that comparability has been established, we may be required to make further changes to our process and/or undertake additional clinical testing, either of which could significantly delay the clinical development or commercialization of the associated product candidate, which would materially adversely affect our business, financial condition, results of operations and growth prospects.</w:t>
      </w:r>
    </w:p>
    <w:p>
      <w:pPr>
        <w:spacing w:after="0" w:line="159" w:lineRule="exact"/>
        <w:rPr>
          <w:sz w:val="20"/>
          <w:szCs w:val="20"/>
          <w:color w:val="auto"/>
        </w:rPr>
      </w:pPr>
    </w:p>
    <w:p>
      <w:pPr>
        <w:ind w:right="20" w:firstLine="511"/>
        <w:spacing w:after="0" w:line="280" w:lineRule="auto"/>
        <w:rPr>
          <w:sz w:val="20"/>
          <w:szCs w:val="20"/>
          <w:color w:val="auto"/>
        </w:rPr>
      </w:pPr>
      <w:r>
        <w:rPr>
          <w:rFonts w:ascii="Arial" w:cs="Arial" w:eastAsia="Arial" w:hAnsi="Arial"/>
          <w:sz w:val="15"/>
          <w:szCs w:val="15"/>
          <w:color w:val="auto"/>
        </w:rPr>
        <w:t>Although we are manufacturing NKX019 in our own internal manufacturing facility for the NKX019 Phase 1 clinical trial, and plan to manufacture other product candidates in our internal manufacturing facilities in the future, we may encounter problems with the internal production of our product candidates. We have completed the construction of a cGMP facility for the production of certain of our product candidates for our early-stage clinical trials, but we do not yet have a cGMP facility for the commercial-scale manufacture of our product candidates. Our manufacturing facilities will be subject to compliance with regulatory requirements, which we may struggle to meet. Building a commercial-scale facility and manufacturing product candidates in our own facilities will require an increase in staff and significant internal resources. We may encounter problems with properly staffing our internal manufacturing facilities due to hiring challenges or other issues. For example, factors such as the COVID-19 pandemic and COVID-19-related restrictions could impact our ability to properly staff production of our product candidates. We may also encounter problems with training the staff we have to effectively manage and control the complex manufacturing process required to produce our product candidates and comply with all necessary regulations. In addition, we may find it difficult to properly manage supply chain issues critical to the manufacturing process. If we are unable to build, maintain, and properly staff our manufacturing facilities, manage and control the manufacturing process, and comply with regulations, the clinical development or commercialization of our product candidates could be significantly delayed, which would materially adversely affect our business, financial condition, results of operations and growth prospects.</w:t>
      </w:r>
    </w:p>
    <w:p>
      <w:pPr>
        <w:spacing w:after="0" w:line="261" w:lineRule="exact"/>
        <w:rPr>
          <w:sz w:val="20"/>
          <w:szCs w:val="20"/>
          <w:color w:val="auto"/>
        </w:rPr>
      </w:pPr>
    </w:p>
    <w:p>
      <w:pPr>
        <w:spacing w:after="0" w:line="251" w:lineRule="auto"/>
        <w:rPr>
          <w:sz w:val="20"/>
          <w:szCs w:val="20"/>
          <w:color w:val="auto"/>
        </w:rPr>
      </w:pPr>
      <w:r>
        <w:rPr>
          <w:rFonts w:ascii="Arial" w:cs="Arial" w:eastAsia="Arial" w:hAnsi="Arial"/>
          <w:sz w:val="17"/>
          <w:szCs w:val="17"/>
          <w:b w:val="1"/>
          <w:bCs w:val="1"/>
          <w:i w:val="1"/>
          <w:iCs w:val="1"/>
          <w:color w:val="auto"/>
        </w:rPr>
        <w:t>We rely on third parties to manufacture certain of our product candidates, and certain materials for use in the production of our product candidates, which increases the risk that we will not have sufficient quantities of such product candidates or materials, or such quantities at an acceptable cost, which could delay, prevent or impair our development or commercialization efforts.*</w:t>
      </w:r>
    </w:p>
    <w:p>
      <w:pPr>
        <w:spacing w:after="0" w:line="180" w:lineRule="exact"/>
        <w:rPr>
          <w:sz w:val="20"/>
          <w:szCs w:val="20"/>
          <w:color w:val="auto"/>
        </w:rPr>
      </w:pPr>
    </w:p>
    <w:p>
      <w:pPr>
        <w:ind w:right="40" w:firstLine="511"/>
        <w:spacing w:after="0" w:line="284" w:lineRule="auto"/>
        <w:rPr>
          <w:sz w:val="20"/>
          <w:szCs w:val="20"/>
          <w:color w:val="auto"/>
        </w:rPr>
      </w:pPr>
      <w:r>
        <w:rPr>
          <w:rFonts w:ascii="Arial" w:cs="Arial" w:eastAsia="Arial" w:hAnsi="Arial"/>
          <w:sz w:val="15"/>
          <w:szCs w:val="15"/>
          <w:color w:val="auto"/>
        </w:rPr>
        <w:t>Although we are planning to build a commercial-scale manufacturing facility, we do not yet operate our own cGMP facility for the production of commercial supplies of the product candidates that we are developing or evaluating in our development programs or supplies of such product candidates for pivotal clinical trials. We have limited personnel with experience in drug manufacturing and currently lack the resources and the capabilities to manufacture any of our product candidates on a commercial scale. If we are unable to successfully build, maintain and staff our own commercial-scale cGMP facility, we will need to rely on third parties for commercial-scale manufacture of our product candidates. We also currently rely on a third-party manufacturer for our clinical supply of NKX101. We expect to continue to outsource NKX101 manufacturing even though we have an internal cGMP facility for clinical supply, at least for a certain amount of time. We compete with other companies for access to third party cGMP facilities and cannot assure continued access.</w:t>
      </w:r>
    </w:p>
    <w:p>
      <w:pPr>
        <w:spacing w:after="0" w:line="157" w:lineRule="exact"/>
        <w:rPr>
          <w:sz w:val="20"/>
          <w:szCs w:val="20"/>
          <w:color w:val="auto"/>
        </w:rPr>
      </w:pPr>
    </w:p>
    <w:p>
      <w:pPr>
        <w:ind w:right="40" w:firstLine="511"/>
        <w:spacing w:after="0" w:line="248" w:lineRule="auto"/>
        <w:rPr>
          <w:sz w:val="20"/>
          <w:szCs w:val="20"/>
          <w:color w:val="auto"/>
        </w:rPr>
      </w:pPr>
      <w:r>
        <w:rPr>
          <w:rFonts w:ascii="Arial" w:cs="Arial" w:eastAsia="Arial" w:hAnsi="Arial"/>
          <w:sz w:val="17"/>
          <w:szCs w:val="17"/>
          <w:color w:val="auto"/>
        </w:rPr>
        <w:t>In addition, we currently outsource manufacturing of certain critical materials necessary for production of our product candidates, including K562 cells and viral vectors. Even though we have established our own internal cGMP facility for clinical supply of certain product candidates, and even if we successfully establish our own cGMP manufacturing facility for manufacture of our product candidates on a commercial scale, we will continue to outsource manufacturing of certain materials necessary for production of our product candidates, at least for a certain amount of time.</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50" w:name="page51"/>
    <w:bookmarkEnd w:id="50"/>
    <w:p>
      <w:pPr>
        <w:ind w:firstLine="511"/>
        <w:spacing w:after="0" w:line="288" w:lineRule="auto"/>
        <w:rPr>
          <w:sz w:val="20"/>
          <w:szCs w:val="20"/>
          <w:color w:val="auto"/>
        </w:rPr>
      </w:pPr>
      <w:r>
        <w:rPr>
          <w:rFonts w:ascii="Arial" w:cs="Arial" w:eastAsia="Arial" w:hAnsi="Arial"/>
          <w:sz w:val="15"/>
          <w:szCs w:val="15"/>
          <w:color w:val="auto"/>
        </w:rPr>
        <w:t>In order to conduct clinical trials of product candidates, we will need to have them manufactured in potentially large quantities. Our third-party manufacturers may be unable to increase the manufacturing capacity for any of our product candidates or other necessary materials in a timely or cost-effective manner, or at all. In addition, quality issues may arise during scale-up activities and at any other time. If these third-party manufacturers are unable to, or do not, scale up the manufacture of our product candidates or other necessary materials in sufficient quality and quantity, the development, testing and clinical trials of that product candidate may be delayed or infeasible, and regulatory approval or commercial launch of that product candidate may be delayed or not obtained, which could significantly harm our business.</w:t>
      </w:r>
    </w:p>
    <w:p>
      <w:pPr>
        <w:spacing w:after="0" w:line="155" w:lineRule="exact"/>
        <w:rPr>
          <w:sz w:val="20"/>
          <w:szCs w:val="20"/>
          <w:color w:val="auto"/>
        </w:rPr>
      </w:pPr>
    </w:p>
    <w:p>
      <w:pPr>
        <w:ind w:firstLine="511"/>
        <w:spacing w:after="0" w:line="248" w:lineRule="auto"/>
        <w:rPr>
          <w:sz w:val="20"/>
          <w:szCs w:val="20"/>
          <w:color w:val="auto"/>
        </w:rPr>
      </w:pPr>
      <w:r>
        <w:rPr>
          <w:rFonts w:ascii="Arial" w:cs="Arial" w:eastAsia="Arial" w:hAnsi="Arial"/>
          <w:sz w:val="17"/>
          <w:szCs w:val="17"/>
          <w:color w:val="auto"/>
        </w:rPr>
        <w:t>We do not currently have any agreements with third-party manufacturers for long-term commercial supply. We may be unable to enter into agreements with third-party manufacturers for commercial supplies of any product candidate or any material necessary for production of a product candidate that we develop, or may be unable to do so on acceptable terms. Even if we establish and maintain arrangements with third-party manufacturers, reliance on third-party manufacturers for either clinical or commercial supply entails risks, including:</w:t>
      </w:r>
    </w:p>
    <w:p>
      <w:pPr>
        <w:spacing w:after="0" w:line="84" w:lineRule="exact"/>
        <w:rPr>
          <w:sz w:val="20"/>
          <w:szCs w:val="20"/>
          <w:color w:val="auto"/>
        </w:rPr>
      </w:pPr>
    </w:p>
    <w:p>
      <w:pPr>
        <w:ind w:left="1020" w:hanging="513"/>
        <w:spacing w:after="0"/>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reliance on the third-party for regulatory compliance and quality assurance;</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possible breach of the manufacturing agreement by the third-party;</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possible misappropriation of our proprietary information, including our trade secrets and know-how; and</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possible termination or nonrenewal of the agreement by the third-party at a time that is costly or inconvenient for us.</w:t>
      </w:r>
    </w:p>
    <w:p>
      <w:pPr>
        <w:spacing w:after="0" w:line="201" w:lineRule="exact"/>
        <w:rPr>
          <w:sz w:val="20"/>
          <w:szCs w:val="20"/>
          <w:color w:val="auto"/>
        </w:rPr>
      </w:pPr>
    </w:p>
    <w:p>
      <w:pPr>
        <w:ind w:right="140" w:firstLine="511"/>
        <w:spacing w:after="0" w:line="248" w:lineRule="auto"/>
        <w:rPr>
          <w:sz w:val="20"/>
          <w:szCs w:val="20"/>
          <w:color w:val="auto"/>
        </w:rPr>
      </w:pPr>
      <w:r>
        <w:rPr>
          <w:rFonts w:ascii="Arial" w:cs="Arial" w:eastAsia="Arial" w:hAnsi="Arial"/>
          <w:sz w:val="17"/>
          <w:szCs w:val="17"/>
          <w:color w:val="auto"/>
        </w:rPr>
        <w:t>Third-party manufacturers may not be able to comply with cGMP requirements or similar regulatory requirements outside the United States. The failure of our third-party manufacturers to comply with applicable requirements could result in sanctions being imposed on us, including fines, injunctions, civil penalties, delays, suspension or withdrawal of approvals, license revocation, seizures or recalls of product candidates or products, operating restrictions and/or criminal prosecutions, any of which could significantly and adversely affect supplies of our product candidates.</w:t>
      </w:r>
    </w:p>
    <w:p>
      <w:pPr>
        <w:spacing w:after="0" w:line="183" w:lineRule="exact"/>
        <w:rPr>
          <w:sz w:val="20"/>
          <w:szCs w:val="20"/>
          <w:color w:val="auto"/>
        </w:rPr>
      </w:pPr>
    </w:p>
    <w:p>
      <w:pPr>
        <w:ind w:right="20" w:firstLine="511"/>
        <w:spacing w:after="0" w:line="286" w:lineRule="auto"/>
        <w:rPr>
          <w:sz w:val="20"/>
          <w:szCs w:val="20"/>
          <w:color w:val="auto"/>
        </w:rPr>
      </w:pPr>
      <w:r>
        <w:rPr>
          <w:rFonts w:ascii="Arial" w:cs="Arial" w:eastAsia="Arial" w:hAnsi="Arial"/>
          <w:sz w:val="15"/>
          <w:szCs w:val="15"/>
          <w:color w:val="auto"/>
        </w:rPr>
        <w:t>If the third parties that we engage to supply any materials or to manufacture any products for our preclinical tests and clinical trials should cease to continue to do so for any reason, including due to the effects of the COVID-19 pandemic and the actions undertaken by governments and private enterprises to contain COVID-19, we likely would experience delays in advancing these tests and trials while we identify and qualify replacement suppliers or manufacturers and we may be unable to obtain replacement supplies on terms that are favorable to us. In addition, if we are not able to obtain adequate supplies of our product candidates or the substances used to manufacture them, it will be more difficult for us to develop our product candidates and compete effectively. At some of our contract manufacturing sites, COVID-19-related restrictions, including temporary shutdowns, and instances of COVID-19 cases impacting personnel have resulted in some delays.</w:t>
      </w:r>
    </w:p>
    <w:p>
      <w:pPr>
        <w:spacing w:after="0" w:line="154" w:lineRule="exact"/>
        <w:rPr>
          <w:sz w:val="20"/>
          <w:szCs w:val="20"/>
          <w:color w:val="auto"/>
        </w:rPr>
      </w:pPr>
    </w:p>
    <w:p>
      <w:pPr>
        <w:ind w:right="200" w:firstLine="511"/>
        <w:spacing w:after="0" w:line="251" w:lineRule="auto"/>
        <w:rPr>
          <w:sz w:val="20"/>
          <w:szCs w:val="20"/>
          <w:color w:val="auto"/>
        </w:rPr>
      </w:pPr>
      <w:r>
        <w:rPr>
          <w:rFonts w:ascii="Arial" w:cs="Arial" w:eastAsia="Arial" w:hAnsi="Arial"/>
          <w:sz w:val="17"/>
          <w:szCs w:val="17"/>
          <w:color w:val="auto"/>
        </w:rPr>
        <w:t>Our current and anticipated dependence upon others for the manufacture of our product candidates and materials necessary for production of our product candidates may adversely affect our profit margins and our ability to develop product candidates and commercialize any products that receive marketing approval on a timely and competitive basis.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reliant on a sole supplier for certain steps of our manufacturing process.</w:t>
      </w:r>
    </w:p>
    <w:p>
      <w:pPr>
        <w:spacing w:after="0" w:line="201" w:lineRule="exact"/>
        <w:rPr>
          <w:sz w:val="20"/>
          <w:szCs w:val="20"/>
          <w:color w:val="auto"/>
        </w:rPr>
      </w:pPr>
    </w:p>
    <w:p>
      <w:pPr>
        <w:jc w:val="both"/>
        <w:ind w:right="20" w:firstLine="511"/>
        <w:spacing w:after="0" w:line="248" w:lineRule="auto"/>
        <w:rPr>
          <w:sz w:val="20"/>
          <w:szCs w:val="20"/>
          <w:color w:val="auto"/>
        </w:rPr>
      </w:pPr>
      <w:r>
        <w:rPr>
          <w:rFonts w:ascii="Arial" w:cs="Arial" w:eastAsia="Arial" w:hAnsi="Arial"/>
          <w:sz w:val="17"/>
          <w:szCs w:val="17"/>
          <w:color w:val="auto"/>
        </w:rPr>
        <w:t>Our manufacturing process for NKX101 and for NKX019 depends on the use of the Miltenyi CliniMACS Plus system, and related reagents, all of which are only available from Miltenyi as the sole supplier. In addition, some of these reagents, at the time of procurement, typically expire after approximately four to six months. This short expiration period means that stocking the reagents in large quantities for future needs would not be an effective strategy to mitigate against the risk of shortage due to disruption of the supply chain.</w:t>
      </w:r>
    </w:p>
    <w:p>
      <w:pPr>
        <w:spacing w:after="0" w:line="183" w:lineRule="exact"/>
        <w:rPr>
          <w:sz w:val="20"/>
          <w:szCs w:val="20"/>
          <w:color w:val="auto"/>
        </w:rPr>
      </w:pPr>
    </w:p>
    <w:p>
      <w:pPr>
        <w:ind w:right="20" w:firstLine="511"/>
        <w:spacing w:after="0" w:line="288" w:lineRule="auto"/>
        <w:rPr>
          <w:sz w:val="20"/>
          <w:szCs w:val="20"/>
          <w:color w:val="auto"/>
        </w:rPr>
      </w:pPr>
      <w:r>
        <w:rPr>
          <w:rFonts w:ascii="Arial" w:cs="Arial" w:eastAsia="Arial" w:hAnsi="Arial"/>
          <w:sz w:val="15"/>
          <w:szCs w:val="15"/>
          <w:color w:val="auto"/>
        </w:rPr>
        <w:t>Furthermore, while many of the reagents and consumables used in our manufacturing process are available from more than one commercial supplier, we have not confirmed the suitability of the use of all such reagents and consumables in our manufacturing process. Even if we are able to replace any raw materials or consumables with an alternative, such alternatives may cost more, result in lower yields or not be as suitable for our purposes. In addition, some of the raw materials that we use are complex materials, which may be more difficult to substitute. Therefore, supply disruptions could result in delays and additional regulatory submissions and prevent us from being able to manufacture our product candidates due to the unsuitability of the substituted reagent or consumable that we are able to procure.</w:t>
      </w:r>
    </w:p>
    <w:p>
      <w:pPr>
        <w:spacing w:after="0" w:line="155" w:lineRule="exact"/>
        <w:rPr>
          <w:sz w:val="20"/>
          <w:szCs w:val="20"/>
          <w:color w:val="auto"/>
        </w:rPr>
      </w:pPr>
    </w:p>
    <w:p>
      <w:pPr>
        <w:ind w:right="400" w:firstLine="511"/>
        <w:spacing w:after="0" w:line="260" w:lineRule="auto"/>
        <w:rPr>
          <w:sz w:val="20"/>
          <w:szCs w:val="20"/>
          <w:color w:val="auto"/>
        </w:rPr>
      </w:pPr>
      <w:r>
        <w:rPr>
          <w:rFonts w:ascii="Arial" w:cs="Arial" w:eastAsia="Arial" w:hAnsi="Arial"/>
          <w:sz w:val="17"/>
          <w:szCs w:val="17"/>
          <w:color w:val="auto"/>
        </w:rPr>
        <w:t>Any disruption in supply of these instruments and reagents could result in delays in our clinical trials, which would materially adversely affect our business, financial condition, results of operations and growth prospects.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51" w:name="page52"/>
    <w:bookmarkEnd w:id="51"/>
    <w:p>
      <w:pPr>
        <w:ind w:right="400"/>
        <w:spacing w:after="0" w:line="260" w:lineRule="auto"/>
        <w:rPr>
          <w:sz w:val="20"/>
          <w:szCs w:val="20"/>
          <w:color w:val="auto"/>
        </w:rPr>
      </w:pPr>
      <w:r>
        <w:rPr>
          <w:rFonts w:ascii="Arial" w:cs="Arial" w:eastAsia="Arial" w:hAnsi="Arial"/>
          <w:sz w:val="17"/>
          <w:szCs w:val="17"/>
          <w:b w:val="1"/>
          <w:bCs w:val="1"/>
          <w:i w:val="1"/>
          <w:iCs w:val="1"/>
          <w:color w:val="auto"/>
        </w:rPr>
        <w:t>Delays in commissioning and receiving regulatory approvals for our manufacturing facilities could delay our development plans and thereby limit our ability to develop our product candidates and generate revenues.*</w:t>
      </w:r>
    </w:p>
    <w:p>
      <w:pPr>
        <w:spacing w:after="0" w:line="171" w:lineRule="exact"/>
        <w:rPr>
          <w:sz w:val="20"/>
          <w:szCs w:val="20"/>
          <w:color w:val="auto"/>
        </w:rPr>
      </w:pPr>
    </w:p>
    <w:p>
      <w:pPr>
        <w:ind w:firstLine="511"/>
        <w:spacing w:after="0" w:line="247" w:lineRule="auto"/>
        <w:rPr>
          <w:sz w:val="20"/>
          <w:szCs w:val="20"/>
          <w:color w:val="auto"/>
        </w:rPr>
      </w:pPr>
      <w:r>
        <w:rPr>
          <w:rFonts w:ascii="Arial" w:cs="Arial" w:eastAsia="Arial" w:hAnsi="Arial"/>
          <w:sz w:val="17"/>
          <w:szCs w:val="17"/>
          <w:color w:val="auto"/>
        </w:rPr>
        <w:t>We believe that internal cGMP manufacturing is important to facilitate clinical product supply, lower the risk of manufacturing disruptions and enable more cost-effective manufacturing. We have completed the construction of a cGMP facility in South San Francisco, California that will allow us to supply the product candidates needed for our early-stage clinical trials. We have also leased a property where we plan to build a facility for the commercial-scale manufacture of our product candidates. The design, construction, qualification and regulatory approvals for such facilities require substantial capital and technical expertise and any delay would limit our development activities and our opportunities for growth.</w:t>
      </w:r>
    </w:p>
    <w:p>
      <w:pPr>
        <w:spacing w:after="0" w:line="184" w:lineRule="exact"/>
        <w:rPr>
          <w:sz w:val="20"/>
          <w:szCs w:val="20"/>
          <w:color w:val="auto"/>
        </w:rPr>
      </w:pPr>
    </w:p>
    <w:p>
      <w:pPr>
        <w:ind w:right="40" w:firstLine="511"/>
        <w:spacing w:after="0" w:line="246" w:lineRule="auto"/>
        <w:rPr>
          <w:sz w:val="20"/>
          <w:szCs w:val="20"/>
          <w:color w:val="auto"/>
        </w:rPr>
      </w:pPr>
      <w:r>
        <w:rPr>
          <w:rFonts w:ascii="Arial" w:cs="Arial" w:eastAsia="Arial" w:hAnsi="Arial"/>
          <w:sz w:val="17"/>
          <w:szCs w:val="17"/>
          <w:color w:val="auto"/>
        </w:rPr>
        <w:t>Furthermore, our manufacturing facilities will be subject to ongoing, periodic inspection by the FDA and other comparable regulatory agencies to ensure compliance with cGMP. Our failure to follow and document our adherence to these regulations or other regulatory requirements may lead to significant delays in the availability of products for clinical use or may result in the termination of or a hold on a clinical study. Failure to comply with applicable regulations could also result in sanctions being imposed on us, including fines, injunctions, civil penalties, a requirement to suspend or put on hold one or more of our clinical trials, failure of regulatory authorities to grant marketing approval of our drug candidates, delays, suspension or withdrawal of approvals, license revocation, seizures or recalls of drug candidates, operating restrictions and criminal prosecutions, any of which could materially adversely affect our business, financial condition, results of operations and growth prospects.</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also may encounter problems with the following:</w:t>
      </w:r>
    </w:p>
    <w:p>
      <w:pPr>
        <w:spacing w:after="0" w:line="102" w:lineRule="exact"/>
        <w:rPr>
          <w:sz w:val="20"/>
          <w:szCs w:val="20"/>
          <w:color w:val="auto"/>
        </w:rPr>
      </w:pPr>
    </w:p>
    <w:p>
      <w:pPr>
        <w:ind w:left="1020" w:right="480" w:hanging="513"/>
        <w:spacing w:after="0" w:line="260"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complying with regulations regarding evolving donor infectious disease testing, traceability, manufacturing, release of product candidates and other requirements from regulatory authorities outside the United States;</w:t>
      </w:r>
    </w:p>
    <w:p>
      <w:pPr>
        <w:spacing w:after="0" w:line="72" w:lineRule="exact"/>
        <w:rPr>
          <w:rFonts w:ascii="Arial" w:cs="Arial" w:eastAsia="Arial" w:hAnsi="Arial"/>
          <w:sz w:val="17"/>
          <w:szCs w:val="17"/>
          <w:color w:val="auto"/>
        </w:rPr>
      </w:pPr>
    </w:p>
    <w:p>
      <w:pPr>
        <w:ind w:left="1020" w:right="40" w:hanging="513"/>
        <w:spacing w:after="0" w:line="260"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achieving adequate or clinical-grade materials that meet regulatory agency standards or specifications with consistent and acceptable production yield and costs;</w:t>
      </w:r>
    </w:p>
    <w:p>
      <w:pPr>
        <w:spacing w:after="0" w:line="72" w:lineRule="exact"/>
        <w:rPr>
          <w:rFonts w:ascii="Arial" w:cs="Arial" w:eastAsia="Arial" w:hAnsi="Arial"/>
          <w:sz w:val="17"/>
          <w:szCs w:val="17"/>
          <w:color w:val="auto"/>
        </w:rPr>
      </w:pPr>
    </w:p>
    <w:p>
      <w:pPr>
        <w:ind w:left="1020" w:hanging="513"/>
        <w:spacing w:after="0"/>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bacterial, fungal or viral contamination in our manufacturing facilities;</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disruptions due to natural disasters or supply chain interruptions; and</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shortages of qualified personnel, raw materials or key contractors.</w:t>
      </w:r>
    </w:p>
    <w:p>
      <w:pPr>
        <w:spacing w:after="0" w:line="201" w:lineRule="exact"/>
        <w:rPr>
          <w:sz w:val="20"/>
          <w:szCs w:val="20"/>
          <w:color w:val="auto"/>
        </w:rPr>
      </w:pPr>
    </w:p>
    <w:p>
      <w:pPr>
        <w:ind w:right="80" w:firstLine="511"/>
        <w:spacing w:after="0" w:line="286" w:lineRule="auto"/>
        <w:rPr>
          <w:sz w:val="20"/>
          <w:szCs w:val="20"/>
          <w:color w:val="auto"/>
        </w:rPr>
      </w:pPr>
      <w:r>
        <w:rPr>
          <w:rFonts w:ascii="Arial" w:cs="Arial" w:eastAsia="Arial" w:hAnsi="Arial"/>
          <w:sz w:val="15"/>
          <w:szCs w:val="15"/>
          <w:color w:val="auto"/>
        </w:rPr>
        <w:t>Our product candidates, if approved by applicable regulatory authorities, may require significant commercial supply to meet market demand. In these cases, we may need to increase, or “scale up,” the production process by a significant factor over the initial level of production. If we fail to develop sufficient manufacturing capacity and experience, whether internally or with a third party, are delayed in doing so, or fail to manufacture our product candidates economically or on reasonable scale or volumes, or in accordance with cGMP, or if the cost of this scale-up is not economically feasible, our development programs and commercialization of any approved products will be materially adversely affected and we may not be able to produce our product candidates in a sufficient quantity to meet future demand and our business, financial condition, results of operations and growth prospects may be materially adversely affected.</w:t>
      </w:r>
    </w:p>
    <w:p>
      <w:pPr>
        <w:spacing w:after="0" w:line="253" w:lineRule="exact"/>
        <w:rPr>
          <w:sz w:val="20"/>
          <w:szCs w:val="20"/>
          <w:color w:val="auto"/>
        </w:rPr>
      </w:pPr>
    </w:p>
    <w:p>
      <w:pPr>
        <w:ind w:right="260"/>
        <w:spacing w:after="0" w:line="260" w:lineRule="auto"/>
        <w:rPr>
          <w:sz w:val="20"/>
          <w:szCs w:val="20"/>
          <w:color w:val="auto"/>
        </w:rPr>
      </w:pPr>
      <w:r>
        <w:rPr>
          <w:rFonts w:ascii="Arial" w:cs="Arial" w:eastAsia="Arial" w:hAnsi="Arial"/>
          <w:sz w:val="17"/>
          <w:szCs w:val="17"/>
          <w:b w:val="1"/>
          <w:bCs w:val="1"/>
          <w:i w:val="1"/>
          <w:iCs w:val="1"/>
          <w:color w:val="auto"/>
        </w:rPr>
        <w:t>The optimal donor and manufacturing parameters for our product candidates have not been definitively established, which may hinder our ability to optimize our product candidates or to address any safety or efficacy issues that may arise.</w:t>
      </w:r>
    </w:p>
    <w:p>
      <w:pPr>
        <w:spacing w:after="0" w:line="171" w:lineRule="exact"/>
        <w:rPr>
          <w:sz w:val="20"/>
          <w:szCs w:val="20"/>
          <w:color w:val="auto"/>
        </w:rPr>
      </w:pPr>
    </w:p>
    <w:p>
      <w:pPr>
        <w:ind w:right="60" w:firstLine="511"/>
        <w:spacing w:after="0" w:line="283" w:lineRule="auto"/>
        <w:rPr>
          <w:sz w:val="20"/>
          <w:szCs w:val="20"/>
          <w:color w:val="auto"/>
        </w:rPr>
      </w:pPr>
      <w:r>
        <w:rPr>
          <w:rFonts w:ascii="Arial" w:cs="Arial" w:eastAsia="Arial" w:hAnsi="Arial"/>
          <w:sz w:val="15"/>
          <w:szCs w:val="15"/>
          <w:color w:val="auto"/>
        </w:rPr>
        <w:t>If any of our clinical trials reveal issues with the safety or efficacy of any of our product candidates, modification of the donor selection criteria or the manufacturing process may be necessary to address such issues. Alternatively, we may choose to modify the manufacturing process in an effort to improve the efficiency of the process or efficacy of the product candidates. However, we have not, at present, fully characterized or identified how donor characteristics and manufacturing process parameters affect the optimal cancer cell killing ability for our engineered NK cell product candidates for in vitro and animal efficacy studies or how such potency differences may translate into efficacy to be seen in human clinical trials, including both the proportion of patients who achieve a meaningful clinical response, and the duration of any such clinical responses. As a result, our ability to improve our manufacturing process or product potency, safety, or efficacy according to such parameters is limited and may require significant trial and error, which may cause us to incur significant costs or could result in significant delays to the clinical development and eventual commercialization of our product candidates.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52" w:name="page53"/>
    <w:bookmarkEnd w:id="52"/>
    <w:p>
      <w:pPr>
        <w:spacing w:after="0" w:line="260" w:lineRule="auto"/>
        <w:rPr>
          <w:sz w:val="20"/>
          <w:szCs w:val="20"/>
          <w:color w:val="auto"/>
        </w:rPr>
      </w:pPr>
      <w:r>
        <w:rPr>
          <w:rFonts w:ascii="Arial" w:cs="Arial" w:eastAsia="Arial" w:hAnsi="Arial"/>
          <w:sz w:val="17"/>
          <w:szCs w:val="17"/>
          <w:b w:val="1"/>
          <w:bCs w:val="1"/>
          <w:i w:val="1"/>
          <w:iCs w:val="1"/>
          <w:color w:val="auto"/>
        </w:rPr>
        <w:t>We are dependent on third parties to store our CAR-NK cells, viral vector, master and working cell banks of the engineered K562 cells, and any damage or loss would cause delays in replacement, and our business could suffer.</w:t>
      </w:r>
    </w:p>
    <w:p>
      <w:pPr>
        <w:spacing w:after="0" w:line="171" w:lineRule="exact"/>
        <w:rPr>
          <w:sz w:val="20"/>
          <w:szCs w:val="20"/>
          <w:color w:val="auto"/>
        </w:rPr>
      </w:pPr>
    </w:p>
    <w:p>
      <w:pPr>
        <w:ind w:right="60" w:firstLine="511"/>
        <w:spacing w:after="0" w:line="288" w:lineRule="auto"/>
        <w:rPr>
          <w:sz w:val="20"/>
          <w:szCs w:val="20"/>
          <w:color w:val="auto"/>
        </w:rPr>
      </w:pPr>
      <w:r>
        <w:rPr>
          <w:rFonts w:ascii="Arial" w:cs="Arial" w:eastAsia="Arial" w:hAnsi="Arial"/>
          <w:sz w:val="15"/>
          <w:szCs w:val="15"/>
          <w:color w:val="auto"/>
        </w:rPr>
        <w:t>The CAR-NK cells, the viral vector, and the master and working cell banks of the engineered K562 cells are stored in freezers at third-party biorepositories and will also be stored in our freezers at our production facility. If these materials are damaged at these facilities, including by the loss or malfunction of these freezers or our back-up power systems, as well as by damage from fire, power loss or other natural disasters, we would need to establish replacement CAR-NK cells, viral vector, and master and working cell banks of the engineered K562 cells, which would impact clinical supply and delay our patients’ treatments. If we are unable to establish replacement materials, we could incur significant additional expenses and liability to patients whose treatment is delayed, and our business could suffer.</w:t>
      </w:r>
    </w:p>
    <w:p>
      <w:pPr>
        <w:spacing w:after="0" w:line="254"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b w:val="1"/>
          <w:bCs w:val="1"/>
          <w:i w:val="1"/>
          <w:iCs w:val="1"/>
          <w:color w:val="auto"/>
        </w:rPr>
        <w:t>We have not yet developed a validated methodology for freezing and thawing commercial-scale quantities of CAR-NK cells, which we believe will be required for the storage and distribution of our CAR-NK product candidates.</w:t>
      </w:r>
    </w:p>
    <w:p>
      <w:pPr>
        <w:spacing w:after="0" w:line="171" w:lineRule="exact"/>
        <w:rPr>
          <w:sz w:val="20"/>
          <w:szCs w:val="20"/>
          <w:color w:val="auto"/>
        </w:rPr>
      </w:pPr>
    </w:p>
    <w:p>
      <w:pPr>
        <w:ind w:right="120" w:firstLine="511"/>
        <w:spacing w:after="0" w:line="284" w:lineRule="auto"/>
        <w:rPr>
          <w:sz w:val="20"/>
          <w:szCs w:val="20"/>
          <w:color w:val="auto"/>
        </w:rPr>
      </w:pPr>
      <w:r>
        <w:rPr>
          <w:rFonts w:ascii="Arial" w:cs="Arial" w:eastAsia="Arial" w:hAnsi="Arial"/>
          <w:sz w:val="15"/>
          <w:szCs w:val="15"/>
          <w:color w:val="auto"/>
        </w:rPr>
        <w:t>We have not yet demonstrated that CAR-NK cells, which can be frozen and thawed in smaller quantities, can also be frozen and thawed in commercial scale quantities without damage, in a cost-efficient manner and without degradation over time. We may encounter difficulties not only in developing freezing and thawing methodologies for large scale use, but also in obtaining the necessary regulatory approvals for using such methodologies in treatment. If we cannot adequately demonstrate similarity of our frozen product to the unfrozen form to the satisfaction of the FDA, we could face substantial delays in our regulatory approvals. If we are unable to freeze CAR-NK cells for shipping purposes, our ability to promote adoption and standardization of our products, as well as achieve economies of scale by centralizing our production facility, will be limited. Even if we are able to successfully freeze and thaw CAR-NK cells in large quantities, we will still need to develop a cost-effective and reliable distribution and logistics network, which we may be unable to accomplish.</w:t>
      </w:r>
    </w:p>
    <w:p>
      <w:pPr>
        <w:spacing w:after="0" w:line="157" w:lineRule="exact"/>
        <w:rPr>
          <w:sz w:val="20"/>
          <w:szCs w:val="20"/>
          <w:color w:val="auto"/>
        </w:rPr>
      </w:pPr>
    </w:p>
    <w:p>
      <w:pPr>
        <w:ind w:right="160" w:firstLine="511"/>
        <w:spacing w:after="0" w:line="248" w:lineRule="auto"/>
        <w:rPr>
          <w:sz w:val="20"/>
          <w:szCs w:val="20"/>
          <w:color w:val="auto"/>
        </w:rPr>
      </w:pPr>
      <w:r>
        <w:rPr>
          <w:rFonts w:ascii="Arial" w:cs="Arial" w:eastAsia="Arial" w:hAnsi="Arial"/>
          <w:sz w:val="17"/>
          <w:szCs w:val="17"/>
          <w:color w:val="auto"/>
        </w:rPr>
        <w:t>Furthermore, we have not yet demonstrated long-term stability of cryopreserved CAR-NK cells and therefore do not know if we will be able to store the cryopreserved cells for extended periods of time. If we are unable to demonstrate long-term stability, we will need to reduce the manufacturing batch size to ensure that the material we produce will be used before it expires. In that case, the scaling of our production processes will not deliver the efficiencies we expect, and the cost per dose of our product candidates will be substantially higher.</w:t>
      </w:r>
    </w:p>
    <w:p>
      <w:pPr>
        <w:spacing w:after="0" w:line="183" w:lineRule="exact"/>
        <w:rPr>
          <w:sz w:val="20"/>
          <w:szCs w:val="20"/>
          <w:color w:val="auto"/>
        </w:rPr>
      </w:pPr>
    </w:p>
    <w:p>
      <w:pPr>
        <w:ind w:right="80" w:firstLine="511"/>
        <w:spacing w:after="0" w:line="251" w:lineRule="auto"/>
        <w:rPr>
          <w:sz w:val="20"/>
          <w:szCs w:val="20"/>
          <w:color w:val="auto"/>
        </w:rPr>
      </w:pPr>
      <w:r>
        <w:rPr>
          <w:rFonts w:ascii="Arial" w:cs="Arial" w:eastAsia="Arial" w:hAnsi="Arial"/>
          <w:sz w:val="17"/>
          <w:szCs w:val="17"/>
          <w:color w:val="auto"/>
        </w:rPr>
        <w:t>For these and other reasons, we have not yet established the long-term stability of our cryopreserved CAR-NK Cells and we may not be able to commercialize CAR-NK cells on a large scale or in a cost-effective manner. If such product is found to be instable, we would be required to conduct more frequent manufacturing runs, which could cause us to incur significant additional expenses.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Intellectual Property</w:t>
      </w:r>
    </w:p>
    <w:p>
      <w:pPr>
        <w:spacing w:after="0" w:line="106" w:lineRule="exact"/>
        <w:rPr>
          <w:sz w:val="20"/>
          <w:szCs w:val="20"/>
          <w:color w:val="auto"/>
        </w:rPr>
      </w:pPr>
    </w:p>
    <w:p>
      <w:pPr>
        <w:ind w:right="460"/>
        <w:spacing w:after="0" w:line="260" w:lineRule="auto"/>
        <w:rPr>
          <w:sz w:val="20"/>
          <w:szCs w:val="20"/>
          <w:color w:val="auto"/>
        </w:rPr>
      </w:pPr>
      <w:r>
        <w:rPr>
          <w:rFonts w:ascii="Arial" w:cs="Arial" w:eastAsia="Arial" w:hAnsi="Arial"/>
          <w:sz w:val="17"/>
          <w:szCs w:val="17"/>
          <w:b w:val="1"/>
          <w:bCs w:val="1"/>
          <w:i w:val="1"/>
          <w:iCs w:val="1"/>
          <w:color w:val="auto"/>
        </w:rPr>
        <w:t>If our license agreement with National University of Singapore and St. Jude’s Children’s Research Hospital, Inc. is terminated, we could lose our rights to key components enabling our NK cell engineering platform.</w:t>
      </w:r>
    </w:p>
    <w:p>
      <w:pPr>
        <w:spacing w:after="0" w:line="171" w:lineRule="exact"/>
        <w:rPr>
          <w:sz w:val="20"/>
          <w:szCs w:val="20"/>
          <w:color w:val="auto"/>
        </w:rPr>
      </w:pPr>
    </w:p>
    <w:p>
      <w:pPr>
        <w:ind w:firstLine="511"/>
        <w:spacing w:after="0" w:line="283" w:lineRule="auto"/>
        <w:rPr>
          <w:sz w:val="20"/>
          <w:szCs w:val="20"/>
          <w:color w:val="auto"/>
        </w:rPr>
      </w:pPr>
      <w:r>
        <w:rPr>
          <w:rFonts w:ascii="Arial" w:cs="Arial" w:eastAsia="Arial" w:hAnsi="Arial"/>
          <w:sz w:val="15"/>
          <w:szCs w:val="15"/>
          <w:color w:val="auto"/>
        </w:rPr>
        <w:t>In August 2016, we entered into a license agreement with the National University of Singapore and St. Jude Children’s Research Hospital, Inc., (the “Licensors”). Pursuant to this license, the Licensors granted to us an exclusive, worldwide, royalty-bearing, sublicensable license under specified patents and patent applications related to NK cell technology in the field of therapeutics. We make single-digit royalty payments, patent expenses, license maintenance fees and milestone payments to the Licensors. The term of the license agreement extends until expiration of the last of the patent rights licensed to us by the Licensors, which is currently expected to occur in approximately 2039. The Licensors may terminate the license agreement upon the occurrence of certain events, such as an uncured material breach by us, the cessation of our business or our insolvency, liquidation or receivership. If the Licensors terminate or narrow the license agreement, we could lose the use of intellectual property rights that may be material or necessary to the development or production of our product candidates, which could impede or prevent our successful commercialization of such product candidates and materially adversely affect our business, financial condition, results of operations and growth prospects.</w:t>
      </w:r>
    </w:p>
    <w:p>
      <w:pPr>
        <w:spacing w:after="0" w:line="157" w:lineRule="exact"/>
        <w:rPr>
          <w:sz w:val="20"/>
          <w:szCs w:val="20"/>
          <w:color w:val="auto"/>
        </w:rPr>
      </w:pPr>
    </w:p>
    <w:p>
      <w:pPr>
        <w:ind w:right="80" w:firstLine="511"/>
        <w:spacing w:after="0" w:line="286" w:lineRule="auto"/>
        <w:rPr>
          <w:sz w:val="20"/>
          <w:szCs w:val="20"/>
          <w:color w:val="auto"/>
        </w:rPr>
      </w:pPr>
      <w:r>
        <w:rPr>
          <w:rFonts w:ascii="Arial" w:cs="Arial" w:eastAsia="Arial" w:hAnsi="Arial"/>
          <w:sz w:val="15"/>
          <w:szCs w:val="15"/>
          <w:color w:val="auto"/>
        </w:rPr>
        <w:t>Furthermore, our patent license agreement with the Licensors is field-specific and has been granted to us in the field of therapeutics. This license agreement permits to Licensors to practice the licensed rights, and to allow non-profit academic third parties to practice the licensed rights for certain academic purposes. As such, certain patents in a patent family that is licensed to us by the Licensors have been licensed to at least one other third party. Although these patents should not be overlapping with our licensed patents, there is a risk that inadvertent overlap may occur, and thus resources may have to be expended to resolve any such overlap and to prevent other licensees from practicing under our licensed patents rights. If any of the foregoing were to occur, it could delay our development and commercialization of our product candidates, which in turn could materially adversely affect our business, financial condition, results of operations and growth prospects.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20"/>
          </w:cols>
          <w:pgMar w:left="320" w:top="623" w:right="359" w:bottom="1440" w:gutter="0" w:footer="0" w:header="0"/>
        </w:sectPr>
      </w:pPr>
    </w:p>
    <w:bookmarkStart w:id="53" w:name="page54"/>
    <w:bookmarkEnd w:id="53"/>
    <w:p>
      <w:pPr>
        <w:ind w:right="400"/>
        <w:spacing w:after="0" w:line="260" w:lineRule="auto"/>
        <w:rPr>
          <w:sz w:val="20"/>
          <w:szCs w:val="20"/>
          <w:color w:val="auto"/>
        </w:rPr>
      </w:pPr>
      <w:r>
        <w:rPr>
          <w:rFonts w:ascii="Arial" w:cs="Arial" w:eastAsia="Arial" w:hAnsi="Arial"/>
          <w:sz w:val="17"/>
          <w:szCs w:val="17"/>
          <w:b w:val="1"/>
          <w:bCs w:val="1"/>
          <w:i w:val="1"/>
          <w:iCs w:val="1"/>
          <w:color w:val="auto"/>
        </w:rPr>
        <w:t>Our development and commercialization rights to our current and future product candidates and technology are subject, in part, to the terms and conditions of licenses granted to us by others.*</w:t>
      </w:r>
    </w:p>
    <w:p>
      <w:pPr>
        <w:spacing w:after="0" w:line="171" w:lineRule="exact"/>
        <w:rPr>
          <w:sz w:val="20"/>
          <w:szCs w:val="20"/>
          <w:color w:val="auto"/>
        </w:rPr>
      </w:pPr>
    </w:p>
    <w:p>
      <w:pPr>
        <w:ind w:right="20" w:firstLine="511"/>
        <w:spacing w:after="0" w:line="288" w:lineRule="auto"/>
        <w:rPr>
          <w:sz w:val="20"/>
          <w:szCs w:val="20"/>
          <w:color w:val="auto"/>
        </w:rPr>
      </w:pPr>
      <w:r>
        <w:rPr>
          <w:rFonts w:ascii="Arial" w:cs="Arial" w:eastAsia="Arial" w:hAnsi="Arial"/>
          <w:sz w:val="15"/>
          <w:szCs w:val="15"/>
          <w:color w:val="auto"/>
        </w:rPr>
        <w:t>Our patent portfolio consists of a combination of issued patents and pending patent applications licensed from third parties, jointly owned with third parties and assigned solely to us based on our ongoing development activities. We are reliant upon certain of these rights and proprietary technology from third parties for the engineering and development of our current and future product candidates. However, these and other licenses may not provide exclusive rights to use such intellectual property and technology in all relevant fields of use and in all territories in which we choose to develop or commercialize our technology and products in the future. As a result, we may not be able to prevent competitors from developing and commercializing competitive products in territories included in all of our licenses.</w:t>
      </w:r>
    </w:p>
    <w:p>
      <w:pPr>
        <w:spacing w:after="0" w:line="155" w:lineRule="exact"/>
        <w:rPr>
          <w:sz w:val="20"/>
          <w:szCs w:val="20"/>
          <w:color w:val="auto"/>
        </w:rPr>
      </w:pPr>
    </w:p>
    <w:p>
      <w:pPr>
        <w:ind w:firstLine="511"/>
        <w:spacing w:after="0" w:line="301" w:lineRule="auto"/>
        <w:rPr>
          <w:sz w:val="20"/>
          <w:szCs w:val="20"/>
          <w:color w:val="auto"/>
        </w:rPr>
      </w:pPr>
      <w:r>
        <w:rPr>
          <w:rFonts w:ascii="Arial" w:cs="Arial" w:eastAsia="Arial" w:hAnsi="Arial"/>
          <w:sz w:val="15"/>
          <w:szCs w:val="15"/>
          <w:color w:val="auto"/>
        </w:rPr>
        <w:t>We also engage in collaborations with scientists at academic and non-profit institutions to access technologies and materials that are not otherwise available to us. Although the agreements that govern these collaborations may include an option to negotiate an exclusive license to the institution’s rights in any inventions that are created in the course of these collaborations, we may not be able to come to a final agreement for an exclusive license with an institution.</w:t>
      </w:r>
    </w:p>
    <w:p>
      <w:pPr>
        <w:spacing w:after="0" w:line="144" w:lineRule="exact"/>
        <w:rPr>
          <w:sz w:val="20"/>
          <w:szCs w:val="20"/>
          <w:color w:val="auto"/>
        </w:rPr>
      </w:pPr>
    </w:p>
    <w:p>
      <w:pPr>
        <w:ind w:firstLine="511"/>
        <w:spacing w:after="0" w:line="247" w:lineRule="auto"/>
        <w:rPr>
          <w:sz w:val="20"/>
          <w:szCs w:val="20"/>
          <w:color w:val="auto"/>
        </w:rPr>
      </w:pPr>
      <w:r>
        <w:rPr>
          <w:rFonts w:ascii="Arial" w:cs="Arial" w:eastAsia="Arial" w:hAnsi="Arial"/>
          <w:sz w:val="17"/>
          <w:szCs w:val="17"/>
          <w:color w:val="auto"/>
        </w:rPr>
        <w:t>We also may in some instances enter into collaboration or license agreements with commercial entities to access technologies and materials that are not otherwise available to us. Our agreements with such entities may provide licenses to technology useful for the discovery, development, or commercialization of our product candidates. These licenses may in some instances, be non-exclusive. For example, we have entered into an agreement with CRISPR, which grants us a non-exclusive license on up to five gene-editing targets to enable us to independently research, develop and commercialize NK cell therapies that have been gene-edited using CRISPR’s gene-editing technology.</w:t>
      </w:r>
    </w:p>
    <w:p>
      <w:pPr>
        <w:spacing w:after="0" w:line="184" w:lineRule="exact"/>
        <w:rPr>
          <w:sz w:val="20"/>
          <w:szCs w:val="20"/>
          <w:color w:val="auto"/>
        </w:rPr>
      </w:pPr>
    </w:p>
    <w:p>
      <w:pPr>
        <w:ind w:right="60" w:firstLine="511"/>
        <w:spacing w:after="0" w:line="292" w:lineRule="auto"/>
        <w:rPr>
          <w:sz w:val="20"/>
          <w:szCs w:val="20"/>
          <w:color w:val="auto"/>
        </w:rPr>
      </w:pPr>
      <w:r>
        <w:rPr>
          <w:rFonts w:ascii="Arial" w:cs="Arial" w:eastAsia="Arial" w:hAnsi="Arial"/>
          <w:sz w:val="15"/>
          <w:szCs w:val="15"/>
          <w:color w:val="auto"/>
        </w:rPr>
        <w:t>Such licenses and other contracts may be the subject of disagreements with the grantors and/or various third parties regarding the interpretation of such licenses and contracts. The resolution of any such disagreements that may arise could affect the scope of our rights to the relevant technology, or affect financial or other obligations under the relevant agreement, either of which could inhibit our ability to utilize the underlying technology in a cost-effective manner to develop and commercialize our product candidates, which in turn could have materially adversely affect our business, financial condition, results of operations and growth prospects.</w:t>
      </w:r>
    </w:p>
    <w:p>
      <w:pPr>
        <w:spacing w:after="0" w:line="152" w:lineRule="exact"/>
        <w:rPr>
          <w:sz w:val="20"/>
          <w:szCs w:val="20"/>
          <w:color w:val="auto"/>
        </w:rPr>
      </w:pPr>
    </w:p>
    <w:p>
      <w:pPr>
        <w:ind w:right="20" w:firstLine="511"/>
        <w:spacing w:after="0" w:line="288" w:lineRule="auto"/>
        <w:rPr>
          <w:sz w:val="20"/>
          <w:szCs w:val="20"/>
          <w:color w:val="auto"/>
        </w:rPr>
      </w:pPr>
      <w:r>
        <w:rPr>
          <w:rFonts w:ascii="Arial" w:cs="Arial" w:eastAsia="Arial" w:hAnsi="Arial"/>
          <w:sz w:val="15"/>
          <w:szCs w:val="15"/>
          <w:color w:val="auto"/>
        </w:rPr>
        <w:t>Under certain circumstances such as a material breach of terms, our licensors could terminate our license agreements. If these in-licenses are terminated, or if the underlying patents fail to provide the intended exclusivity, competitors would have the freedom to seek regulatory approval of, and to market, products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w:t>
      </w:r>
    </w:p>
    <w:p>
      <w:pPr>
        <w:spacing w:after="0" w:line="155" w:lineRule="exact"/>
        <w:rPr>
          <w:sz w:val="20"/>
          <w:szCs w:val="20"/>
          <w:color w:val="auto"/>
        </w:rPr>
      </w:pPr>
    </w:p>
    <w:p>
      <w:pPr>
        <w:ind w:firstLine="511"/>
        <w:spacing w:after="0" w:line="286" w:lineRule="auto"/>
        <w:rPr>
          <w:sz w:val="20"/>
          <w:szCs w:val="20"/>
          <w:color w:val="auto"/>
        </w:rPr>
      </w:pPr>
      <w:r>
        <w:rPr>
          <w:rFonts w:ascii="Arial" w:cs="Arial" w:eastAsia="Arial" w:hAnsi="Arial"/>
          <w:sz w:val="15"/>
          <w:szCs w:val="15"/>
          <w:color w:val="auto"/>
        </w:rPr>
        <w:t>In addition, we may not have the right to control the preparation, filing, prosecution, maintenance, enforcement and defense of patents and patent applications directed to the technology that we license from third parties. Therefore, we cannot be certain that these patents and patent applications will be prepared, filed, prosecuted, maintained, enforced and defended in a manner consistent with our best interests. If our licensors fail to prosecute, maintain, enforce and defend such patents, or lose rights to those patents or patent applications, the rights we have licensed may be reduced or eliminated, and our right to develop and commercialize any of our products that are the subject of such licensed rights could be impaired. Additionally, we may be required to reimburse our licensors for all of their expenses related to the prosecution, maintenance, enforcement and defense of patents and patent applications that we in-license from them.</w:t>
      </w:r>
    </w:p>
    <w:p>
      <w:pPr>
        <w:spacing w:after="0" w:line="154" w:lineRule="exact"/>
        <w:rPr>
          <w:sz w:val="20"/>
          <w:szCs w:val="20"/>
          <w:color w:val="auto"/>
        </w:rPr>
      </w:pPr>
    </w:p>
    <w:p>
      <w:pPr>
        <w:ind w:right="180" w:firstLine="511"/>
        <w:spacing w:after="0" w:line="301" w:lineRule="auto"/>
        <w:rPr>
          <w:sz w:val="20"/>
          <w:szCs w:val="20"/>
          <w:color w:val="auto"/>
        </w:rPr>
      </w:pPr>
      <w:r>
        <w:rPr>
          <w:rFonts w:ascii="Arial" w:cs="Arial" w:eastAsia="Arial" w:hAnsi="Arial"/>
          <w:sz w:val="15"/>
          <w:szCs w:val="15"/>
          <w:color w:val="auto"/>
        </w:rPr>
        <w:t>Furthermore, our licensors may have relied on third-party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harm our competitive position, and our business.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00"/>
          </w:cols>
          <w:pgMar w:left="320" w:top="623" w:right="379" w:bottom="1440" w:gutter="0" w:footer="0" w:header="0"/>
        </w:sectPr>
      </w:pPr>
    </w:p>
    <w:bookmarkStart w:id="54" w:name="page55"/>
    <w:bookmarkEnd w:id="54"/>
    <w:p>
      <w:pPr>
        <w:ind w:right="80"/>
        <w:spacing w:after="0" w:line="260" w:lineRule="auto"/>
        <w:rPr>
          <w:sz w:val="20"/>
          <w:szCs w:val="20"/>
          <w:color w:val="auto"/>
        </w:rPr>
      </w:pPr>
      <w:r>
        <w:rPr>
          <w:rFonts w:ascii="Arial" w:cs="Arial" w:eastAsia="Arial" w:hAnsi="Arial"/>
          <w:sz w:val="17"/>
          <w:szCs w:val="17"/>
          <w:b w:val="1"/>
          <w:bCs w:val="1"/>
          <w:i w:val="1"/>
          <w:iCs w:val="1"/>
          <w:color w:val="auto"/>
        </w:rPr>
        <w:t>Duration of patent terms may be inadequate to protect our competitive position on our product candidates for an adequate amount of time, and the expiration of our patents may subject us to increased competition.*</w:t>
      </w:r>
    </w:p>
    <w:p>
      <w:pPr>
        <w:spacing w:after="0" w:line="171" w:lineRule="exact"/>
        <w:rPr>
          <w:sz w:val="20"/>
          <w:szCs w:val="20"/>
          <w:color w:val="auto"/>
        </w:rPr>
      </w:pPr>
    </w:p>
    <w:p>
      <w:pPr>
        <w:ind w:firstLine="511"/>
        <w:spacing w:after="0" w:line="283" w:lineRule="auto"/>
        <w:rPr>
          <w:sz w:val="20"/>
          <w:szCs w:val="20"/>
          <w:color w:val="auto"/>
        </w:rPr>
      </w:pPr>
      <w:r>
        <w:rPr>
          <w:rFonts w:ascii="Arial" w:cs="Arial" w:eastAsia="Arial" w:hAnsi="Arial"/>
          <w:sz w:val="15"/>
          <w:szCs w:val="15"/>
          <w:color w:val="auto"/>
        </w:rPr>
        <w:t>As of September 30, 2021, the patent portfolio that is assigned to us, jointly owned with others or licensed to us includes nine issued U.S. patents, one issued European patent, six other issued foreign patents, ten pending U.S. patent applications and approximately 58 pending international patent applications, across our platform, NKX101 and NKX019 patent families. Our portfolio of issued patents, excluding pending patent applications, has expiration dates between 2024 and 2035. Our portfolio, including issued patents, and including pending applications if they issue, has expiration dates between 2024 and 2042. At least 65 of our issued patents and pending patent applications relate to supporting commercialization of our current product candidates, while the remaining issued patents and pending patent applications relate to future product candidates and alternative technologies. We plan to file additional patent applications that could potentially allow for further increase of the exclusive market protection for use of NKX101 and NKX019. However, we can provide no assurance that we will be able to file or receive additional patent protection for these or other product candidates.</w:t>
      </w:r>
    </w:p>
    <w:p>
      <w:pPr>
        <w:spacing w:after="0" w:line="157" w:lineRule="exact"/>
        <w:rPr>
          <w:sz w:val="20"/>
          <w:szCs w:val="20"/>
          <w:color w:val="auto"/>
        </w:rPr>
      </w:pPr>
    </w:p>
    <w:p>
      <w:pPr>
        <w:ind w:right="80" w:firstLine="511"/>
        <w:spacing w:after="0" w:line="288" w:lineRule="auto"/>
        <w:rPr>
          <w:sz w:val="20"/>
          <w:szCs w:val="20"/>
          <w:color w:val="auto"/>
        </w:rPr>
      </w:pPr>
      <w:r>
        <w:rPr>
          <w:rFonts w:ascii="Arial" w:cs="Arial" w:eastAsia="Arial" w:hAnsi="Arial"/>
          <w:sz w:val="15"/>
          <w:szCs w:val="15"/>
          <w:color w:val="auto"/>
        </w:rPr>
        <w:t>Patent expiration dates may be shortened or lengthened by a number of factors, including terminal disclaimers, patent term adjustments, supplemental protection certificates and patent term extensions. Patent term extensions and supplemental protection certificates, and the like, may be impacted by the regulatory process and may not significantly lengthen patent term. Our patent protection could also be reduced or eliminated for noncompliance with various procedural, document submission, fee payment and other requirements imposed by government patent agencies. In addition, if we fail to apply for applicable patent term extensions or adjustments, we will have a more limited time during which we can enforce our granted patent rights.</w:t>
      </w:r>
    </w:p>
    <w:p>
      <w:pPr>
        <w:spacing w:after="0" w:line="155" w:lineRule="exact"/>
        <w:rPr>
          <w:sz w:val="20"/>
          <w:szCs w:val="20"/>
          <w:color w:val="auto"/>
        </w:rPr>
      </w:pPr>
    </w:p>
    <w:p>
      <w:pPr>
        <w:ind w:right="20" w:firstLine="511"/>
        <w:spacing w:after="0" w:line="279" w:lineRule="auto"/>
        <w:rPr>
          <w:sz w:val="20"/>
          <w:szCs w:val="20"/>
          <w:color w:val="auto"/>
        </w:rPr>
      </w:pPr>
      <w:r>
        <w:rPr>
          <w:rFonts w:ascii="Arial" w:cs="Arial" w:eastAsia="Arial" w:hAnsi="Arial"/>
          <w:sz w:val="15"/>
          <w:szCs w:val="15"/>
          <w:color w:val="auto"/>
        </w:rPr>
        <w:t>Given the amount of time required for the development, testing and regulatory review of product candidates, patents protecting such candidates might expire before or shortly after such product candidates are commercialized. We expect to seek extensions of patent terms in the United States and, if available, in other countries where we have or will obtain patent rights. In the United States, the Drug Price Competition and Patent Term Restoration Act of 1984 permits a patent term extension of up to five years beyond the normal expiration of the patent; provided that the patent is not enforceable for more than 14 years from the date of drug approval, which is limited to the approved indication (or any additional indications approved during the period of extension). Furthermore, only one patent per approved product can be extended and only those claims directed to the approved product, a method for using it or a method for manufacturing it may be extended. However, the applicable authorities, including the FDA and the United States Patent and Trademark Office, or USPTO in the United States, and any equivalent regulatory authority in other countries, may not agree with our assessment of whether such extensions are available, and may refuse to grant extensions to our patents, or may grant more limited extensions than we request. If we are responsible for patent prosecution and maintenance of patent rights in-licensed to us, we could be exposed to liability to the applicable patent owner. If we or our licensors fail to maintain the patents and patent applications covering our product candidates and technologies, we may not be able to prevent a competitor from marketing products that are the same as or similar to our product candidates. Further, others commercializing products similar or identical to ours, and our competitors may be able to take advantage of our investment in development and clinical trials by referencing our clinical and preclinical data and launch their product earlier than might otherwise be the case, which could increase competition for our product candidates and materially adversely affect our business, financial condition, results of operations and growth prospects.</w:t>
      </w: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any patent protection we obtain is not sufficiently robust, our competitors could develop and commercialize products and technology similar or identical to ours.</w:t>
      </w:r>
    </w:p>
    <w:p>
      <w:pPr>
        <w:spacing w:after="0" w:line="235" w:lineRule="exact"/>
        <w:rPr>
          <w:sz w:val="20"/>
          <w:szCs w:val="20"/>
          <w:color w:val="auto"/>
        </w:rPr>
      </w:pPr>
    </w:p>
    <w:p>
      <w:pPr>
        <w:ind w:right="40" w:firstLine="511"/>
        <w:spacing w:after="0" w:line="284" w:lineRule="auto"/>
        <w:rPr>
          <w:sz w:val="20"/>
          <w:szCs w:val="20"/>
          <w:color w:val="auto"/>
        </w:rPr>
      </w:pPr>
      <w:r>
        <w:rPr>
          <w:rFonts w:ascii="Arial" w:cs="Arial" w:eastAsia="Arial" w:hAnsi="Arial"/>
          <w:sz w:val="15"/>
          <w:szCs w:val="15"/>
          <w:color w:val="auto"/>
        </w:rPr>
        <w:t>The market for cell therapy is highly competitive and subject to rapid technological change. Our success depends, in large part, on our ability to maintain a competitive position in the development and protection of technologies and products for use in these fields and to obtain and maintain patent protection in the United States and other countries with respect to our product candidates and our technology. We have sought, and intend to seek, to protect our proprietary position by filing patent applications in the United States and abroad related to our product candidates and our technology that are important to our business. If we are unable to protect our intellectual property, our competitive position could be materially adversely affected, as third parties may be able to make, use or sell products and technologies that are substantially the same as ours without incurring the sizeable development and licensing costs that we have incurred. This, in turn, would materially adversely affect our ability to compete in the market.</w:t>
      </w:r>
    </w:p>
    <w:p>
      <w:pPr>
        <w:spacing w:after="0" w:line="157" w:lineRule="exact"/>
        <w:rPr>
          <w:sz w:val="20"/>
          <w:szCs w:val="20"/>
          <w:color w:val="auto"/>
        </w:rPr>
      </w:pPr>
    </w:p>
    <w:p>
      <w:pPr>
        <w:ind w:right="60" w:firstLine="511"/>
        <w:spacing w:after="0" w:line="248" w:lineRule="auto"/>
        <w:rPr>
          <w:sz w:val="20"/>
          <w:szCs w:val="20"/>
          <w:color w:val="auto"/>
        </w:rPr>
      </w:pPr>
      <w:r>
        <w:rPr>
          <w:rFonts w:ascii="Arial" w:cs="Arial" w:eastAsia="Arial" w:hAnsi="Arial"/>
          <w:sz w:val="17"/>
          <w:szCs w:val="17"/>
          <w:color w:val="auto"/>
        </w:rPr>
        <w:t>The patent position of biotechnology and pharmaceutical companies generally is uncertain, involves complex legal and factual questions and has, in recent years, been the subject of much litigation. As a result, the issuance, scope, validity, enforceability and commercial value of our patent rights are highly uncertain. Our pending and future patent applications may not result in patents being issued that protect our technology or product candidates or effectively prevent others from commercializing competitive technologies and product candidates.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55" w:name="page56"/>
    <w:bookmarkEnd w:id="55"/>
    <w:p>
      <w:pPr>
        <w:jc w:val="both"/>
        <w:ind w:firstLine="511"/>
        <w:spacing w:after="0" w:line="251" w:lineRule="auto"/>
        <w:rPr>
          <w:sz w:val="20"/>
          <w:szCs w:val="20"/>
          <w:color w:val="auto"/>
        </w:rPr>
      </w:pPr>
      <w:r>
        <w:rPr>
          <w:rFonts w:ascii="Arial" w:cs="Arial" w:eastAsia="Arial" w:hAnsi="Arial"/>
          <w:sz w:val="17"/>
          <w:szCs w:val="17"/>
          <w:color w:val="auto"/>
        </w:rPr>
        <w:t>The patent prosecution process is expensive, time-consuming and complex, and we may not be able to file, prosecute, maintain, enforce or license all necessary or desirable patent applications at a reasonable cost or in a timely manner. We may also fail to identify patentable aspects of our research and development output before it is too late to obtain patent protection.</w:t>
      </w:r>
    </w:p>
    <w:p>
      <w:pPr>
        <w:spacing w:after="0" w:line="180" w:lineRule="exact"/>
        <w:rPr>
          <w:sz w:val="20"/>
          <w:szCs w:val="20"/>
          <w:color w:val="auto"/>
        </w:rPr>
      </w:pPr>
    </w:p>
    <w:p>
      <w:pPr>
        <w:ind w:right="120" w:firstLine="511"/>
        <w:spacing w:after="0" w:line="292" w:lineRule="auto"/>
        <w:rPr>
          <w:sz w:val="20"/>
          <w:szCs w:val="20"/>
          <w:color w:val="auto"/>
        </w:rPr>
      </w:pPr>
      <w:r>
        <w:rPr>
          <w:rFonts w:ascii="Arial" w:cs="Arial" w:eastAsia="Arial" w:hAnsi="Arial"/>
          <w:sz w:val="15"/>
          <w:szCs w:val="15"/>
          <w:color w:val="auto"/>
        </w:rPr>
        <w:t>Claim scope in a patent application can be significantly reduced before the patent is issued, and its scope can be reinterpreted after issuance. Even if the patent applications we license or own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products in a non-infringing manner.</w:t>
      </w:r>
    </w:p>
    <w:p>
      <w:pPr>
        <w:spacing w:after="0" w:line="251"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b w:val="1"/>
          <w:bCs w:val="1"/>
          <w:i w:val="1"/>
          <w:iCs w:val="1"/>
          <w:color w:val="auto"/>
        </w:rPr>
        <w:t>Even after issuance, our owned and in-licensed patents may be subject to challenge, which if successful could require us to obtain licenses from third parties, which may not be available on commercially reasonable terms or at all, or to cease the use of the underlying technology, which could materially adversely affect our business.*</w:t>
      </w:r>
    </w:p>
    <w:p>
      <w:pPr>
        <w:spacing w:after="0" w:line="180" w:lineRule="exact"/>
        <w:rPr>
          <w:sz w:val="20"/>
          <w:szCs w:val="20"/>
          <w:color w:val="auto"/>
        </w:rPr>
      </w:pPr>
    </w:p>
    <w:p>
      <w:pPr>
        <w:ind w:firstLine="511"/>
        <w:spacing w:after="0" w:line="248"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patents, even after issuance, may be challenged in the courts or patent offices in the United States and abroad. Third-party challenges may result in a loss of exclusivity or in our patent claims being narrowed, invalidated or held unenforceable, which could limit our ability to prevent others from using or commercializing similar or identical technology and products, or could limit the duration of the patent protection of our technology and product candidates.</w:t>
      </w:r>
    </w:p>
    <w:p>
      <w:pPr>
        <w:spacing w:after="0" w:line="183" w:lineRule="exact"/>
        <w:rPr>
          <w:sz w:val="20"/>
          <w:szCs w:val="20"/>
          <w:color w:val="auto"/>
        </w:rPr>
      </w:pPr>
    </w:p>
    <w:p>
      <w:pPr>
        <w:ind w:right="60" w:firstLine="511"/>
        <w:spacing w:after="0" w:line="260" w:lineRule="auto"/>
        <w:rPr>
          <w:sz w:val="20"/>
          <w:szCs w:val="20"/>
          <w:color w:val="auto"/>
        </w:rPr>
      </w:pPr>
      <w:r>
        <w:rPr>
          <w:rFonts w:ascii="Arial" w:cs="Arial" w:eastAsia="Arial" w:hAnsi="Arial"/>
          <w:sz w:val="17"/>
          <w:szCs w:val="17"/>
          <w:color w:val="auto"/>
        </w:rPr>
        <w:t>Even if our patents are determined to be valid and enforceable, they may not be interpreted sufficiently broadly to prevent others from marketing products similar to ours or designing around our patents.</w:t>
      </w:r>
    </w:p>
    <w:p>
      <w:pPr>
        <w:spacing w:after="0" w:line="171" w:lineRule="exact"/>
        <w:rPr>
          <w:sz w:val="20"/>
          <w:szCs w:val="20"/>
          <w:color w:val="auto"/>
        </w:rPr>
      </w:pPr>
    </w:p>
    <w:p>
      <w:pPr>
        <w:ind w:right="80" w:firstLine="511"/>
        <w:spacing w:after="0" w:line="246" w:lineRule="auto"/>
        <w:rPr>
          <w:sz w:val="20"/>
          <w:szCs w:val="20"/>
          <w:color w:val="auto"/>
        </w:rPr>
      </w:pPr>
      <w:r>
        <w:rPr>
          <w:rFonts w:ascii="Arial" w:cs="Arial" w:eastAsia="Arial" w:hAnsi="Arial"/>
          <w:sz w:val="17"/>
          <w:szCs w:val="17"/>
          <w:color w:val="auto"/>
        </w:rPr>
        <w:t>Ex parte reexaminations have been filed by one or more third parties against certain licensed patents in our portfolio. Third party requests for ex parte reexamination of U.S. Patent Nos. 10,774,309 and 10,829,737, which relate to our NKX101 product candidate, were recently filed. Also, one ex parte reexamination of U.S. Patent No. 9,511,092, which does not relate to any of our current product candidates, is pending and another is on appeal. Although we plan to vigorously protect our intellectual property rights, as with all legal proceedings, there can be no guarantee as to the outcome, and, regardless of the merits of third-party challenges, such proceedings are time-consuming and costly. As a result of such reexaminations, our rights under the relevant patents could be narrowed or lost, and in the course of such proceedings, we may incur substantial costs, and the time and attention of our management may be diverted from the development and commercialization of our product candidates.</w:t>
      </w:r>
    </w:p>
    <w:p>
      <w:pPr>
        <w:spacing w:after="0" w:line="282" w:lineRule="exact"/>
        <w:rPr>
          <w:sz w:val="20"/>
          <w:szCs w:val="20"/>
          <w:color w:val="auto"/>
        </w:rPr>
      </w:pPr>
    </w:p>
    <w:p>
      <w:pPr>
        <w:ind w:right="560"/>
        <w:spacing w:after="0" w:line="260" w:lineRule="auto"/>
        <w:rPr>
          <w:sz w:val="20"/>
          <w:szCs w:val="20"/>
          <w:color w:val="auto"/>
        </w:rPr>
      </w:pPr>
      <w:r>
        <w:rPr>
          <w:rFonts w:ascii="Arial" w:cs="Arial" w:eastAsia="Arial" w:hAnsi="Arial"/>
          <w:sz w:val="17"/>
          <w:szCs w:val="17"/>
          <w:b w:val="1"/>
          <w:bCs w:val="1"/>
          <w:i w:val="1"/>
          <w:iCs w:val="1"/>
          <w:color w:val="auto"/>
        </w:rPr>
        <w:t>We may not identify relevant third-party patents or may incorrectly interpret the relevance, scope or expiration of a third-party patent, which could materially adversely affect our ability to develop, manufacture and market our product candidates.</w:t>
      </w:r>
    </w:p>
    <w:p>
      <w:pPr>
        <w:spacing w:after="0" w:line="171" w:lineRule="exact"/>
        <w:rPr>
          <w:sz w:val="20"/>
          <w:szCs w:val="20"/>
          <w:color w:val="auto"/>
        </w:rPr>
      </w:pPr>
    </w:p>
    <w:p>
      <w:pPr>
        <w:jc w:val="both"/>
        <w:ind w:right="40" w:firstLine="511"/>
        <w:spacing w:after="0" w:line="247" w:lineRule="auto"/>
        <w:rPr>
          <w:sz w:val="20"/>
          <w:szCs w:val="20"/>
          <w:color w:val="auto"/>
        </w:rPr>
      </w:pPr>
      <w:r>
        <w:rPr>
          <w:rFonts w:ascii="Arial" w:cs="Arial" w:eastAsia="Arial" w:hAnsi="Arial"/>
          <w:sz w:val="17"/>
          <w:szCs w:val="17"/>
          <w:color w:val="auto"/>
        </w:rPr>
        <w:t>There are many patents issued or applied for in the biotechnology industry, and we may not be aware of patents or patent applications held by others that relate to our business. We cannot guarantee that any of our or our licensors’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and elsewhere that is relevant to or necessary for the development and commercialization of our product candidates in any jurisdiction.</w:t>
      </w:r>
    </w:p>
    <w:p>
      <w:pPr>
        <w:spacing w:after="0" w:line="184" w:lineRule="exact"/>
        <w:rPr>
          <w:sz w:val="20"/>
          <w:szCs w:val="20"/>
          <w:color w:val="auto"/>
        </w:rPr>
      </w:pPr>
    </w:p>
    <w:p>
      <w:pPr>
        <w:ind w:right="140" w:firstLine="511"/>
        <w:spacing w:after="0" w:line="284" w:lineRule="auto"/>
        <w:rPr>
          <w:sz w:val="20"/>
          <w:szCs w:val="20"/>
          <w:color w:val="auto"/>
        </w:rPr>
      </w:pPr>
      <w:r>
        <w:rPr>
          <w:rFonts w:ascii="Arial" w:cs="Arial" w:eastAsia="Arial" w:hAnsi="Arial"/>
          <w:sz w:val="15"/>
          <w:szCs w:val="15"/>
          <w:color w:val="auto"/>
        </w:rPr>
        <w:t>For example, patent applications in the United States and many international jurisdictions are typically not published until 18 months after the filing of certain priority documents (or, in some cases, are not published until they issue as patents) and publications in the scientific literature often lag behind actual discoveries. Thus, we cannot be certain that others have not filed patent applications or made public disclosures relating to our technology or our contemplated technology. A third party may have filed, and may in the future file, patent applications directed to our products or technology similar to ours. Any such patent application may have priority over our patent applications or patents, which could further require us to obtain rights to patents directed to such technologies. If third parties have filed such patent applications, an interference proceeding in the United States can be initiated by such third party, or by the USPTO itself, to determine who was the first to invent any of the subject matter recited by the patent claims of our applications.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56" w:name="page57"/>
    <w:bookmarkEnd w:id="56"/>
    <w:p>
      <w:pPr>
        <w:ind w:right="80" w:firstLine="511"/>
        <w:spacing w:after="0" w:line="282" w:lineRule="auto"/>
        <w:rPr>
          <w:sz w:val="20"/>
          <w:szCs w:val="20"/>
          <w:color w:val="auto"/>
        </w:rPr>
      </w:pPr>
      <w:r>
        <w:rPr>
          <w:rFonts w:ascii="Arial" w:cs="Arial" w:eastAsia="Arial" w:hAnsi="Arial"/>
          <w:sz w:val="15"/>
          <w:szCs w:val="15"/>
          <w:color w:val="auto"/>
        </w:rPr>
        <w:t>Furthermore, after issuance, the scope of patent claims remains subject to construction as determined by an interpretation of the law, the written disclosure in a patent and the patent’s prosecution history. Our interpretation of the relevance or the scope of a patent or a pending application may be incorrect, and we may incorrectly determine that our product candidates are not covered by a third party patent or may incorrectly predict whether a third party’s pending application will issue with claims of relevant scope. Our determination of the expiration date of any patent in the United States or elsewhere that we consider relevant may also be incorrect. If we fail to correctly identify or interpret relevant patents, we may be subject to infringement claims. We cannot guarantee that we will be able to successfully settle or otherwise resolve such infringement claims. If we fail in any such dispute, in addition to being forced to pay monetary damages, we may be temporarily or permanently prohibited from commercializing our product candidates. We may also be forced to attempt to redesign our product candidates in a manner that no longer infringes third-party intellectual property rights. Any of these events, even if we were ultimately to prevail, could require us to divert substantial financial and management resources that we would otherwise be able to devote to the development and commercialization of our product candidates.</w:t>
      </w:r>
    </w:p>
    <w:p>
      <w:pPr>
        <w:spacing w:after="0" w:line="257" w:lineRule="exact"/>
        <w:rPr>
          <w:sz w:val="20"/>
          <w:szCs w:val="20"/>
          <w:color w:val="auto"/>
        </w:rPr>
      </w:pPr>
    </w:p>
    <w:p>
      <w:pPr>
        <w:ind w:right="400"/>
        <w:spacing w:after="0" w:line="367" w:lineRule="auto"/>
        <w:rPr>
          <w:sz w:val="20"/>
          <w:szCs w:val="20"/>
          <w:color w:val="auto"/>
        </w:rPr>
      </w:pPr>
      <w:r>
        <w:rPr>
          <w:rFonts w:ascii="Arial" w:cs="Arial" w:eastAsia="Arial" w:hAnsi="Arial"/>
          <w:sz w:val="14"/>
          <w:szCs w:val="14"/>
          <w:b w:val="1"/>
          <w:bCs w:val="1"/>
          <w:i w:val="1"/>
          <w:iCs w:val="1"/>
          <w:color w:val="auto"/>
        </w:rPr>
        <w:t>Claims brought against us for infringing, misappropriating or otherwise violating intellectual property rights of third parties or engaging in unfair competition, would be costly and time-consuming and could prevent or delay us from successfully developing or commercializing our product candidates.</w:t>
      </w:r>
    </w:p>
    <w:p>
      <w:pPr>
        <w:spacing w:after="0" w:line="102" w:lineRule="exact"/>
        <w:rPr>
          <w:sz w:val="20"/>
          <w:szCs w:val="20"/>
          <w:color w:val="auto"/>
        </w:rPr>
      </w:pPr>
    </w:p>
    <w:p>
      <w:pPr>
        <w:ind w:right="60" w:firstLine="511"/>
        <w:spacing w:after="0" w:line="288" w:lineRule="auto"/>
        <w:rPr>
          <w:sz w:val="20"/>
          <w:szCs w:val="20"/>
          <w:color w:val="auto"/>
        </w:rPr>
      </w:pPr>
      <w:r>
        <w:rPr>
          <w:rFonts w:ascii="Arial" w:cs="Arial" w:eastAsia="Arial" w:hAnsi="Arial"/>
          <w:sz w:val="15"/>
          <w:szCs w:val="15"/>
          <w:color w:val="auto"/>
        </w:rPr>
        <w:t>Our success depends in part on our ability to develop, manufacture and market our technology and use our technology without infringing the proprietary rights of third parties. As the relevant product industries expand and more patents are issued, the risk increases that there may be patents issued to third parties that relate to our products and technology of which we are not aware or that we may need to challenge to continue our operations as currently contemplated. As a result, our technology and any future products that we commercialize could be alleged to infringe patent rights and other proprietary rights of third parties, which may require costly litigation and, if we are not successful, could cause us to pay substantial damages and/or limit our ability to commercialize our product candidates.</w:t>
      </w:r>
    </w:p>
    <w:p>
      <w:pPr>
        <w:spacing w:after="0" w:line="155" w:lineRule="exact"/>
        <w:rPr>
          <w:sz w:val="20"/>
          <w:szCs w:val="20"/>
          <w:color w:val="auto"/>
        </w:rPr>
      </w:pPr>
    </w:p>
    <w:p>
      <w:pPr>
        <w:ind w:firstLine="511"/>
        <w:spacing w:after="0" w:line="286" w:lineRule="auto"/>
        <w:rPr>
          <w:sz w:val="20"/>
          <w:szCs w:val="20"/>
          <w:color w:val="auto"/>
        </w:rPr>
      </w:pPr>
      <w:r>
        <w:rPr>
          <w:rFonts w:ascii="Arial" w:cs="Arial" w:eastAsia="Arial" w:hAnsi="Arial"/>
          <w:sz w:val="15"/>
          <w:szCs w:val="15"/>
          <w:color w:val="auto"/>
        </w:rPr>
        <w:t>We may face allegations that we have infringed the trademarks, copyrights, patents and other intellectual property rights of third parties. We employ individuals who were previously employed at other biotechnology or pharmaceutical companies, including our competitors or potential competitors. Accordingly, we may be subject to claims that these employees, or we, have used or disclosed trade secrets or other proprietary information of their former employers. Litigation may make it necessary to defend ourselves by determining the scope, enforceability and validity of third-party proprietary rights, or to establish our proprietary rights. Regardless of whether any such claims that we are infringing patents or other intellectual property rights have merit, such claims can be time consuming, divert management attention and financial resources and are costly to evaluate and defend.</w:t>
      </w:r>
    </w:p>
    <w:p>
      <w:pPr>
        <w:spacing w:after="0" w:line="154" w:lineRule="exact"/>
        <w:rPr>
          <w:sz w:val="20"/>
          <w:szCs w:val="20"/>
          <w:color w:val="auto"/>
        </w:rPr>
      </w:pPr>
    </w:p>
    <w:p>
      <w:pPr>
        <w:ind w:firstLine="511"/>
        <w:spacing w:after="0" w:line="284" w:lineRule="auto"/>
        <w:rPr>
          <w:sz w:val="20"/>
          <w:szCs w:val="20"/>
          <w:color w:val="auto"/>
        </w:rPr>
      </w:pPr>
      <w:r>
        <w:rPr>
          <w:rFonts w:ascii="Arial" w:cs="Arial" w:eastAsia="Arial" w:hAnsi="Arial"/>
          <w:sz w:val="15"/>
          <w:szCs w:val="15"/>
          <w:color w:val="auto"/>
        </w:rPr>
        <w:t>Results of any such litigation are difficult to predict and may require us to stop treating certain conditions, obtain licenses or modify our product candidates while we develop non-infringing substitutes, or may result in significant settlement costs. Litigation can involve substantial damages for infringement (and if the court finds that the infringement was willful, we could be ordered to pay treble damages and the patent owner’s attorneys’ fees), and the court could prohibit us from selling or require us to take a license from a third party, which the third party is not required to do at a commercially reasonable price or at all. If a license is available from a third party, we may have to pay substantial royalties, upfront fees, milestone fees, or grant cross-licenses to intellectual property rights for our products. We may also have to redesign our products so they do not infringe third-party intellectual property rights, which may not be possible or may require substantial monetary expenditures and time, during which our products may not be available for manufacture, use, or sale.</w:t>
      </w:r>
    </w:p>
    <w:p>
      <w:pPr>
        <w:spacing w:after="0" w:line="256" w:lineRule="exact"/>
        <w:rPr>
          <w:sz w:val="20"/>
          <w:szCs w:val="20"/>
          <w:color w:val="auto"/>
        </w:rPr>
      </w:pPr>
    </w:p>
    <w:p>
      <w:pPr>
        <w:ind w:right="240"/>
        <w:spacing w:after="0" w:line="326" w:lineRule="auto"/>
        <w:rPr>
          <w:sz w:val="20"/>
          <w:szCs w:val="20"/>
          <w:color w:val="auto"/>
        </w:rPr>
      </w:pPr>
      <w:r>
        <w:rPr>
          <w:rFonts w:ascii="Arial" w:cs="Arial" w:eastAsia="Arial" w:hAnsi="Arial"/>
          <w:sz w:val="15"/>
          <w:szCs w:val="15"/>
          <w:b w:val="1"/>
          <w:bCs w:val="1"/>
          <w:i w:val="1"/>
          <w:iCs w:val="1"/>
          <w:color w:val="auto"/>
        </w:rPr>
        <w:t>We may not be able to effectively monitor unauthorized use of our intellectual property and enforce our intellectual property rights against infringement, and may incur substantial costs as a result of bringing litigation or other proceedings relating to our intellectual property rights.</w:t>
      </w:r>
    </w:p>
    <w:p>
      <w:pPr>
        <w:spacing w:after="0" w:line="126" w:lineRule="exact"/>
        <w:rPr>
          <w:sz w:val="20"/>
          <w:szCs w:val="20"/>
          <w:color w:val="auto"/>
        </w:rPr>
      </w:pPr>
    </w:p>
    <w:p>
      <w:pPr>
        <w:ind w:right="40" w:firstLine="511"/>
        <w:spacing w:after="0" w:line="248" w:lineRule="auto"/>
        <w:rPr>
          <w:sz w:val="20"/>
          <w:szCs w:val="20"/>
          <w:color w:val="auto"/>
        </w:rPr>
      </w:pPr>
      <w:r>
        <w:rPr>
          <w:rFonts w:ascii="Arial" w:cs="Arial" w:eastAsia="Arial" w:hAnsi="Arial"/>
          <w:sz w:val="17"/>
          <w:szCs w:val="17"/>
          <w:color w:val="auto"/>
        </w:rPr>
        <w:t>Monitoring unauthorized use of our intellectual property is difficult and costly. From time to time, we review our competitors’ products for potential infringement of our rights. We may not be able to detect unauthorized use of, or take appropriate steps to enforce, our intellectual property rights. Any inability to meaningfully monitor unauthorized use of our intellectual property could result in competitors offering products that incorporate our product or service features, which could in turn reduce demand for our products.</w:t>
      </w:r>
    </w:p>
    <w:p>
      <w:pPr>
        <w:spacing w:after="0" w:line="183" w:lineRule="exact"/>
        <w:rPr>
          <w:sz w:val="20"/>
          <w:szCs w:val="20"/>
          <w:color w:val="auto"/>
        </w:rPr>
      </w:pPr>
    </w:p>
    <w:p>
      <w:pPr>
        <w:ind w:right="200" w:firstLine="511"/>
        <w:spacing w:after="0" w:line="260" w:lineRule="auto"/>
        <w:rPr>
          <w:sz w:val="20"/>
          <w:szCs w:val="20"/>
          <w:color w:val="auto"/>
        </w:rPr>
      </w:pPr>
      <w:r>
        <w:rPr>
          <w:rFonts w:ascii="Arial" w:cs="Arial" w:eastAsia="Arial" w:hAnsi="Arial"/>
          <w:sz w:val="17"/>
          <w:szCs w:val="17"/>
          <w:color w:val="auto"/>
        </w:rPr>
        <w:t>We may also, from time to time, seek to enforce our intellectual property rights against infringers when we determine that a successful outcome is probable and may lead to an increase in the value of the intellectual property.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57" w:name="page58"/>
    <w:bookmarkEnd w:id="57"/>
    <w:p>
      <w:pPr>
        <w:ind w:right="60" w:firstLine="511"/>
        <w:spacing w:after="0" w:line="281" w:lineRule="auto"/>
        <w:rPr>
          <w:sz w:val="20"/>
          <w:szCs w:val="20"/>
          <w:color w:val="auto"/>
        </w:rPr>
      </w:pPr>
      <w:r>
        <w:rPr>
          <w:rFonts w:ascii="Arial" w:cs="Arial" w:eastAsia="Arial" w:hAnsi="Arial"/>
          <w:sz w:val="15"/>
          <w:szCs w:val="15"/>
          <w:color w:val="auto"/>
        </w:rPr>
        <w:t>If we choose to enforce our patent rights against a party, that party could counterclaim that our patent is invalid and/or unenforceable. The defendant may challenge our patents through proceedings before the Patent Trial and Appeal Board (“PTAB”), including inter partes and post-grant review. Proceedings to challenge patents are also available internationally, including, for example, opposition proceedings and nullity actions. In patent litigation in the United States, counterclaims alleging invalidity and/or unenforceability and PTAB challenges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the PTAB, even outside the context of litigation.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may lose at least part, and perhaps all, of the patent protection on our product candidates.</w:t>
      </w:r>
    </w:p>
    <w:p>
      <w:pPr>
        <w:spacing w:after="0" w:line="161" w:lineRule="exact"/>
        <w:rPr>
          <w:sz w:val="20"/>
          <w:szCs w:val="20"/>
          <w:color w:val="auto"/>
        </w:rPr>
      </w:pPr>
    </w:p>
    <w:p>
      <w:pPr>
        <w:ind w:right="100" w:firstLine="511"/>
        <w:spacing w:after="0" w:line="313" w:lineRule="auto"/>
        <w:rPr>
          <w:sz w:val="20"/>
          <w:szCs w:val="20"/>
          <w:color w:val="auto"/>
        </w:rPr>
      </w:pPr>
      <w:r>
        <w:rPr>
          <w:rFonts w:ascii="Arial" w:cs="Arial" w:eastAsia="Arial" w:hAnsi="Arial"/>
          <w:sz w:val="14"/>
          <w:szCs w:val="14"/>
          <w:color w:val="auto"/>
        </w:rPr>
        <w:t>In addition, such lawsuits and proceedings are expensive and would consume time and resources and divert the attention of managerial and scientific personnel even if we were successful in stopping the infringement of such patents. Litigation is inherently unpredictable, and there is a risk that the court will decide that such patents are not valid and that we do not have the right to stop the other party from using the inventions. Furthermore, some of our competitors may be able to sustain the costs of complex patent litigation more effectively than we can because they have substantially greater resources. There is also the risk that, even if the validity of such patents is upheld, the court will refuse to stop the other party on the ground that such other party’s activities do not infringe our intellectual property rights.</w:t>
      </w:r>
    </w:p>
    <w:p>
      <w:pPr>
        <w:spacing w:after="0" w:line="140" w:lineRule="exact"/>
        <w:rPr>
          <w:sz w:val="20"/>
          <w:szCs w:val="20"/>
          <w:color w:val="auto"/>
        </w:rPr>
      </w:pPr>
    </w:p>
    <w:p>
      <w:pPr>
        <w:ind w:right="20" w:firstLine="511"/>
        <w:spacing w:after="0" w:line="301" w:lineRule="auto"/>
        <w:rPr>
          <w:sz w:val="20"/>
          <w:szCs w:val="20"/>
          <w:color w:val="auto"/>
        </w:rPr>
      </w:pPr>
      <w:r>
        <w:rPr>
          <w:rFonts w:ascii="Arial" w:cs="Arial" w:eastAsia="Arial" w:hAnsi="Arial"/>
          <w:sz w:val="15"/>
          <w:szCs w:val="15"/>
          <w:color w:val="auto"/>
        </w:rPr>
        <w:t>There could also be public announcements of the results of hearings, motions or other interim proceedings or developments, and if securities analysts or investors perceive these results to be negative, it could materially adversely affect the price of our common stock. Finally, any uncertainties resulting from the initiation and continuation of any litigation could materially adversely affect our ability to raise the funds necessary to continue our operations.</w:t>
      </w:r>
    </w:p>
    <w:p>
      <w:pPr>
        <w:spacing w:after="0" w:line="243" w:lineRule="exact"/>
        <w:rPr>
          <w:sz w:val="20"/>
          <w:szCs w:val="20"/>
          <w:color w:val="auto"/>
        </w:rPr>
      </w:pPr>
    </w:p>
    <w:p>
      <w:pPr>
        <w:ind w:right="340"/>
        <w:spacing w:after="0" w:line="260" w:lineRule="auto"/>
        <w:rPr>
          <w:sz w:val="20"/>
          <w:szCs w:val="20"/>
          <w:color w:val="auto"/>
        </w:rPr>
      </w:pPr>
      <w:r>
        <w:rPr>
          <w:rFonts w:ascii="Arial" w:cs="Arial" w:eastAsia="Arial" w:hAnsi="Arial"/>
          <w:sz w:val="17"/>
          <w:szCs w:val="17"/>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71" w:lineRule="exact"/>
        <w:rPr>
          <w:sz w:val="20"/>
          <w:szCs w:val="20"/>
          <w:color w:val="auto"/>
        </w:rPr>
      </w:pPr>
    </w:p>
    <w:p>
      <w:pPr>
        <w:ind w:right="100" w:firstLine="511"/>
        <w:spacing w:after="0" w:line="247" w:lineRule="auto"/>
        <w:rPr>
          <w:sz w:val="20"/>
          <w:szCs w:val="20"/>
          <w:color w:val="auto"/>
        </w:rPr>
      </w:pPr>
      <w:r>
        <w:rPr>
          <w:rFonts w:ascii="Arial" w:cs="Arial" w:eastAsia="Arial" w:hAnsi="Arial"/>
          <w:sz w:val="17"/>
          <w:szCs w:val="17"/>
          <w:color w:val="auto"/>
        </w:rPr>
        <w:t>We have a number of international patents and patent applications and expect to continue to pursue patent protection in many of the significant markets in which we intend to do business. However, filing, prosecuting and defending patents relating to our product candidates, including all of our in-licensed patent rights, in all countries throughout the world would be prohibitively expensive. We must ultimately seek patent protection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84" w:lineRule="exact"/>
        <w:rPr>
          <w:sz w:val="20"/>
          <w:szCs w:val="20"/>
          <w:color w:val="auto"/>
        </w:rPr>
      </w:pPr>
    </w:p>
    <w:p>
      <w:pPr>
        <w:ind w:firstLine="511"/>
        <w:spacing w:after="0" w:line="286" w:lineRule="auto"/>
        <w:rPr>
          <w:sz w:val="20"/>
          <w:szCs w:val="20"/>
          <w:color w:val="auto"/>
        </w:rPr>
      </w:pPr>
      <w:r>
        <w:rPr>
          <w:rFonts w:ascii="Arial" w:cs="Arial" w:eastAsia="Arial" w:hAnsi="Arial"/>
          <w:sz w:val="15"/>
          <w:szCs w:val="15"/>
          <w:color w:val="auto"/>
        </w:rPr>
        <w:t>Furthermore, the protection offered by intellectual property rights in certain countries outside of the United States may be less extensive than those in the United States. Consequently, we may not be able to prevent third parties from utilizing proprietary technology in all countries outside of the United States, even if we pursue and obtain issued patents in particular foreign jurisdictions, or from selling or importing products made using our proprietary technology in and into the United States or other jurisdictions. Such products may compete with our products, and our patent rights or other intellectual property rights may not be effective or sufficient to prevent them from competing. If such competing products arise in jurisdictions where we are unable to exercise intellectual property rights to combat them, our business, financial condition, results of operations and growth prospects could be materially adversely affected.</w:t>
      </w:r>
    </w:p>
    <w:p>
      <w:pPr>
        <w:spacing w:after="0" w:line="253" w:lineRule="exact"/>
        <w:rPr>
          <w:sz w:val="20"/>
          <w:szCs w:val="20"/>
          <w:color w:val="auto"/>
        </w:rPr>
      </w:pPr>
    </w:p>
    <w:p>
      <w:pPr>
        <w:ind w:right="220"/>
        <w:spacing w:after="0" w:line="260" w:lineRule="auto"/>
        <w:rPr>
          <w:sz w:val="20"/>
          <w:szCs w:val="20"/>
          <w:color w:val="auto"/>
        </w:rPr>
      </w:pPr>
      <w:r>
        <w:rPr>
          <w:rFonts w:ascii="Arial" w:cs="Arial" w:eastAsia="Arial" w:hAnsi="Arial"/>
          <w:sz w:val="17"/>
          <w:szCs w:val="17"/>
          <w:b w:val="1"/>
          <w:bCs w:val="1"/>
          <w:i w:val="1"/>
          <w:iCs w:val="1"/>
          <w:color w:val="auto"/>
        </w:rPr>
        <w:t>Changes in U.S. patent law or the patent law of other jurisdictions could decrease the certainty of our ability to obtain patents and diminish the value of patents in general, thereby impairing our ability to protect our current and any future product candidates.</w:t>
      </w:r>
    </w:p>
    <w:p>
      <w:pPr>
        <w:spacing w:after="0" w:line="171" w:lineRule="exact"/>
        <w:rPr>
          <w:sz w:val="20"/>
          <w:szCs w:val="20"/>
          <w:color w:val="auto"/>
        </w:rPr>
      </w:pPr>
    </w:p>
    <w:p>
      <w:pPr>
        <w:ind w:right="240" w:firstLine="511"/>
        <w:spacing w:after="0" w:line="288" w:lineRule="auto"/>
        <w:rPr>
          <w:sz w:val="20"/>
          <w:szCs w:val="20"/>
          <w:color w:val="auto"/>
        </w:rPr>
      </w:pPr>
      <w:r>
        <w:rPr>
          <w:rFonts w:ascii="Arial" w:cs="Arial" w:eastAsia="Arial" w:hAnsi="Arial"/>
          <w:sz w:val="15"/>
          <w:szCs w:val="15"/>
          <w:color w:val="auto"/>
        </w:rPr>
        <w:t>The U.S. Supreme Court and the Court of Appeals for the Federal Circuit have made, and will likely continue to make, changes in how the patent laws of the United States are interpreted. For example, in recent years the U.S. Supreme Court modified some tests used by the USPTO in granting patents over the past 20 years, which may decrease the likelihood that we will be able to obtain patents and increase the likelihood of a challenge of any patents we obtain or license. Similarly, international courts have made, and will likely continue to make, changes in how the patent laws in their respective jurisdictions are interpreted. Those changes may materially adversely affect our patent rights and our ability to obtain issued patents.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20"/>
          </w:cols>
          <w:pgMar w:left="320" w:top="523" w:right="359" w:bottom="1440" w:gutter="0" w:footer="0" w:header="0"/>
        </w:sectPr>
      </w:pPr>
    </w:p>
    <w:bookmarkStart w:id="58" w:name="page59"/>
    <w:bookmarkEnd w:id="58"/>
    <w:p>
      <w:pPr>
        <w:ind w:firstLine="511"/>
        <w:spacing w:after="0" w:line="283" w:lineRule="auto"/>
        <w:rPr>
          <w:sz w:val="20"/>
          <w:szCs w:val="20"/>
          <w:color w:val="auto"/>
        </w:rPr>
      </w:pPr>
      <w:r>
        <w:rPr>
          <w:rFonts w:ascii="Arial" w:cs="Arial" w:eastAsia="Arial" w:hAnsi="Arial"/>
          <w:sz w:val="15"/>
          <w:szCs w:val="15"/>
          <w:color w:val="auto"/>
        </w:rPr>
        <w:t>Changes in either the patent laws or interpretation of the patent laws in the United States could increase the uncertainties and costs surrounding the prosecution of patent applications and the enforcement or defense of issued patents. Under the Leahy-Smith America Invents Act, or the America Invents Act,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affect the way patent applications are prosecuted and also may affect patent litigation. These include allowing third-party submission of prior art to the USPTO during patent prosecution and additional procedures to attack the validity of a patent by USPTO-administered post-grant proceedings, including post-grant review, inter partes review and derivation proceedings. However, the America Invents Act and its implementation could increase the uncertainties and costs surrounding the prosecution of our patent applications and the enforcement or defense of our issued patents, all of which could materially adversely affect our business, financial condition, results of operations and growth prospects.</w:t>
      </w:r>
    </w:p>
    <w:p>
      <w:pPr>
        <w:spacing w:after="0" w:line="157" w:lineRule="exact"/>
        <w:rPr>
          <w:sz w:val="20"/>
          <w:szCs w:val="20"/>
          <w:color w:val="auto"/>
        </w:rPr>
      </w:pPr>
    </w:p>
    <w:p>
      <w:pPr>
        <w:ind w:right="40" w:firstLine="511"/>
        <w:spacing w:after="0" w:line="283" w:lineRule="auto"/>
        <w:rPr>
          <w:sz w:val="20"/>
          <w:szCs w:val="20"/>
          <w:color w:val="auto"/>
        </w:rPr>
      </w:pPr>
      <w:r>
        <w:rPr>
          <w:rFonts w:ascii="Arial" w:cs="Arial" w:eastAsia="Arial" w:hAnsi="Arial"/>
          <w:sz w:val="15"/>
          <w:szCs w:val="15"/>
          <w:color w:val="auto"/>
        </w:rPr>
        <w:t>In addition,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could weaken our ability to obtain new patents or to enforce patents that we own, have licensed or might obtain in the future. Similarly, changes in patent law and regulations in other countries or jurisdictions, changes in the governmental bodies that enforce them or changes in how the relevant governmental authority enforces patent laws or regulations may weaken our ability to obtain new patents or to enforce patents that we own or have licensed or that we may obtain in the future, which in turn could materially adversely affect our business, financial condition, results of operations and growth prospects.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fail to obtain or enforce assignments of intellectual property rights from our employees and contractors.</w:t>
      </w:r>
    </w:p>
    <w:p>
      <w:pPr>
        <w:spacing w:after="0" w:line="201" w:lineRule="exact"/>
        <w:rPr>
          <w:sz w:val="20"/>
          <w:szCs w:val="20"/>
          <w:color w:val="auto"/>
        </w:rPr>
      </w:pPr>
    </w:p>
    <w:p>
      <w:pPr>
        <w:ind w:firstLine="511"/>
        <w:spacing w:after="0" w:line="284" w:lineRule="auto"/>
        <w:rPr>
          <w:sz w:val="20"/>
          <w:szCs w:val="20"/>
          <w:color w:val="auto"/>
        </w:rPr>
      </w:pPr>
      <w:r>
        <w:rPr>
          <w:rFonts w:ascii="Arial" w:cs="Arial" w:eastAsia="Arial" w:hAnsi="Arial"/>
          <w:sz w:val="15"/>
          <w:szCs w:val="15"/>
          <w:color w:val="auto"/>
        </w:rPr>
        <w:t>While it is our policy to require our employees and contractors who may be involved in the conception or development of intellectual property to execute agreements assigning such intellectual property to us, we may be unsuccessful in executing an enforceable agreement with each party who in fact conceives or develops intellectual property that we regard as our own. Furthermore, our assignment agreements may not be self-executing or may be breached, and we may be forced to bring or defend claims to determine the ownership of what we regard as our intellectual property, and we may not be successful in such claims. If we fail in bringing or defending any such claims, in addition to paying monetary damages, we may lose valuable intellectual property rights. Such an outcome could materially adversely affect our business, financial condition, results of operations and growth prospects. Even if we are successful in defending against such claims, litigation could result in substantial costs and distraction to management and other employees.</w:t>
      </w:r>
    </w:p>
    <w:p>
      <w:pPr>
        <w:spacing w:after="0" w:line="256" w:lineRule="exact"/>
        <w:rPr>
          <w:sz w:val="20"/>
          <w:szCs w:val="20"/>
          <w:color w:val="auto"/>
        </w:rPr>
      </w:pPr>
    </w:p>
    <w:p>
      <w:pPr>
        <w:ind w:right="180"/>
        <w:spacing w:after="0" w:line="260" w:lineRule="auto"/>
        <w:rPr>
          <w:sz w:val="20"/>
          <w:szCs w:val="20"/>
          <w:color w:val="auto"/>
        </w:rPr>
      </w:pPr>
      <w:r>
        <w:rPr>
          <w:rFonts w:ascii="Arial" w:cs="Arial" w:eastAsia="Arial" w:hAnsi="Arial"/>
          <w:sz w:val="17"/>
          <w:szCs w:val="17"/>
          <w:b w:val="1"/>
          <w:bCs w:val="1"/>
          <w:i w:val="1"/>
          <w:iCs w:val="1"/>
          <w:color w:val="auto"/>
        </w:rPr>
        <w:t>If we are not able to adequately prevent disclosure of trade secrets and other proprietary information, the value of our technology and products could be materially diminished.*</w:t>
      </w:r>
    </w:p>
    <w:p>
      <w:pPr>
        <w:spacing w:after="0" w:line="171" w:lineRule="exact"/>
        <w:rPr>
          <w:sz w:val="20"/>
          <w:szCs w:val="20"/>
          <w:color w:val="auto"/>
        </w:rPr>
      </w:pPr>
    </w:p>
    <w:p>
      <w:pPr>
        <w:ind w:firstLine="511"/>
        <w:spacing w:after="0" w:line="282" w:lineRule="auto"/>
        <w:rPr>
          <w:sz w:val="20"/>
          <w:szCs w:val="20"/>
          <w:color w:val="auto"/>
        </w:rPr>
      </w:pPr>
      <w:r>
        <w:rPr>
          <w:rFonts w:ascii="Arial" w:cs="Arial" w:eastAsia="Arial" w:hAnsi="Arial"/>
          <w:sz w:val="15"/>
          <w:szCs w:val="15"/>
          <w:color w:val="auto"/>
        </w:rPr>
        <w:t>Trade secrets are difficult to protect. We rely on trade secrets to protect our proprietary information and technologies, especially where we do not believe patent protection is appropriate or obtainable, or where such patents would be difficult to enforce. We rely in part on confidentiality agreements with our employees, consultants, contractors, collaboration partners, scientific collaborators, and other advisors to protect our trade secrets and other proprietary information. We cannot guarantee that we have entered into such agreements with each party that may have had access to our proprietary information or technologies, or that such agreements, even if in place, will not be circumvented. These agreements may not effectively prevent disclosure of proprietary information or technology and may not provide an adequate remedy in the event of unauthorized disclosure of such information or technology. In addition, others may independently discover our trade secrets and proprietary information, in which case we may have no right to prevent them from using such trade secrets or proprietary information to compete with us. Costly and time-consuming litigation could be necessary to enforce and determine the scope of our proprietary rights, and failure to obtain or maintain trade secret protection could materially adversely affect our business, financial condition, results of operations and growth prospects.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59" w:name="page60"/>
    <w:bookmarkEnd w:id="59"/>
    <w:p>
      <w:pPr>
        <w:ind w:right="20"/>
        <w:spacing w:after="0" w:line="260" w:lineRule="auto"/>
        <w:rPr>
          <w:sz w:val="20"/>
          <w:szCs w:val="20"/>
          <w:color w:val="auto"/>
        </w:rPr>
      </w:pPr>
      <w:r>
        <w:rPr>
          <w:rFonts w:ascii="Arial" w:cs="Arial" w:eastAsia="Arial" w:hAnsi="Arial"/>
          <w:sz w:val="17"/>
          <w:szCs w:val="17"/>
          <w:b w:val="1"/>
          <w:bCs w:val="1"/>
          <w:i w:val="1"/>
          <w:iCs w:val="1"/>
          <w:color w:val="auto"/>
        </w:rPr>
        <w:t>The U.S. government could choose to exercise certain rights in technology developed under government-funded research, which could eliminate our exclusive use of such technology or require us to commercialize our product candidates in a way we consider sub-optimal.</w:t>
      </w:r>
    </w:p>
    <w:p>
      <w:pPr>
        <w:spacing w:after="0" w:line="171" w:lineRule="exact"/>
        <w:rPr>
          <w:sz w:val="20"/>
          <w:szCs w:val="20"/>
          <w:color w:val="auto"/>
        </w:rPr>
      </w:pPr>
    </w:p>
    <w:p>
      <w:pPr>
        <w:ind w:firstLine="511"/>
        <w:spacing w:after="0" w:line="246" w:lineRule="auto"/>
        <w:rPr>
          <w:sz w:val="20"/>
          <w:szCs w:val="20"/>
          <w:color w:val="auto"/>
        </w:rPr>
      </w:pPr>
      <w:r>
        <w:rPr>
          <w:rFonts w:ascii="Arial" w:cs="Arial" w:eastAsia="Arial" w:hAnsi="Arial"/>
          <w:sz w:val="17"/>
          <w:szCs w:val="17"/>
          <w:color w:val="auto"/>
        </w:rPr>
        <w:t>The U.S. government has certain rights in some of our licensed patents (including U.S. Patent Nos. 7,435,596, 8,026,097 and certain related U.S. patent applications) in accordance with the Bayh-Dole Act of 1980. These rights in certain technology developed under government-funded research include, for example, a nonexclusive, nontransferable, irrevocable, paid-up license to use those inventions for governmental purposes. In addition, the U.S. government has the right to require us to grant exclusive licenses to such inventions to a third party if the U.S. government determines that: (i) adequate steps have not been taken to commercialize the invention; (ii) government action is necessary to meet public health or safety needs; or (iii) government action is necessary to meet requirements for public use under federal regulations.</w:t>
      </w:r>
    </w:p>
    <w:p>
      <w:pPr>
        <w:spacing w:after="0" w:line="185" w:lineRule="exact"/>
        <w:rPr>
          <w:sz w:val="20"/>
          <w:szCs w:val="20"/>
          <w:color w:val="auto"/>
        </w:rPr>
      </w:pPr>
    </w:p>
    <w:p>
      <w:pPr>
        <w:ind w:right="60" w:firstLine="511"/>
        <w:spacing w:after="0" w:line="248" w:lineRule="auto"/>
        <w:rPr>
          <w:sz w:val="20"/>
          <w:szCs w:val="20"/>
          <w:color w:val="auto"/>
        </w:rPr>
      </w:pPr>
      <w:r>
        <w:rPr>
          <w:rFonts w:ascii="Arial" w:cs="Arial" w:eastAsia="Arial" w:hAnsi="Arial"/>
          <w:sz w:val="17"/>
          <w:szCs w:val="17"/>
          <w:color w:val="auto"/>
        </w:rPr>
        <w:t>The U.S. government also has the right to take title to such technology if we fail to disclose the invention of such technology to the government and fail to file an application to register the intellectual property within specified time limits. In addition, the U.S. government may acquire title to patent rights in any country in which a patent application is not filed within specified time limits. To the extent any of our owned or future in-licensed intellectual property is generated through the use of U.S. government funding, these provisions of the Bayh-Dole Act may apply.</w:t>
      </w:r>
    </w:p>
    <w:p>
      <w:pPr>
        <w:spacing w:after="0" w:line="183" w:lineRule="exact"/>
        <w:rPr>
          <w:sz w:val="20"/>
          <w:szCs w:val="20"/>
          <w:color w:val="auto"/>
        </w:rPr>
      </w:pPr>
    </w:p>
    <w:p>
      <w:pPr>
        <w:ind w:right="60" w:firstLine="511"/>
        <w:spacing w:after="0" w:line="248" w:lineRule="auto"/>
        <w:rPr>
          <w:sz w:val="20"/>
          <w:szCs w:val="20"/>
          <w:color w:val="auto"/>
        </w:rPr>
      </w:pPr>
      <w:r>
        <w:rPr>
          <w:rFonts w:ascii="Arial" w:cs="Arial" w:eastAsia="Arial" w:hAnsi="Arial"/>
          <w:sz w:val="17"/>
          <w:szCs w:val="17"/>
          <w:color w:val="auto"/>
        </w:rPr>
        <w:t>Intellectual property generated under a government-funded program is also subject to certain reporting requirements. In addition, the U.S. government requires that any products embodying any of these inventions or produced through the use of any of these inventions be manufactured substantially in the United States. If we are unable to obtain a waiver from the government agency that provided the underlying research funding, we may be limited in our ability to contract with non-U.S. product manufacturers for products related to such intellectual property.</w:t>
      </w:r>
    </w:p>
    <w:p>
      <w:pPr>
        <w:spacing w:after="0" w:line="183" w:lineRule="exact"/>
        <w:rPr>
          <w:sz w:val="20"/>
          <w:szCs w:val="20"/>
          <w:color w:val="auto"/>
        </w:rPr>
      </w:pPr>
    </w:p>
    <w:p>
      <w:pPr>
        <w:ind w:right="60" w:firstLine="511"/>
        <w:spacing w:after="0" w:line="301" w:lineRule="auto"/>
        <w:rPr>
          <w:sz w:val="20"/>
          <w:szCs w:val="20"/>
          <w:color w:val="auto"/>
        </w:rPr>
      </w:pPr>
      <w:r>
        <w:rPr>
          <w:rFonts w:ascii="Arial" w:cs="Arial" w:eastAsia="Arial" w:hAnsi="Arial"/>
          <w:sz w:val="15"/>
          <w:szCs w:val="15"/>
          <w:color w:val="auto"/>
        </w:rPr>
        <w:t>The exercise of any of the foregoing rights of the U.S. government over technology that we own or use in the development and commercialization of our product candidates could prevent us from enjoying the exclusive use of such technology, or could cause us to incur additional expenses in the commercialization of our product candidates. Any of the foregoing could materially adversely affect our business, financial condition, results of operations and growth prospects.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Commercialization</w:t>
      </w:r>
    </w:p>
    <w:p>
      <w:pPr>
        <w:spacing w:after="0" w:line="106" w:lineRule="exact"/>
        <w:rPr>
          <w:sz w:val="20"/>
          <w:szCs w:val="20"/>
          <w:color w:val="auto"/>
        </w:rPr>
      </w:pPr>
    </w:p>
    <w:p>
      <w:pPr>
        <w:ind w:right="140"/>
        <w:spacing w:after="0" w:line="367" w:lineRule="auto"/>
        <w:rPr>
          <w:sz w:val="20"/>
          <w:szCs w:val="20"/>
          <w:color w:val="auto"/>
        </w:rPr>
      </w:pPr>
      <w:r>
        <w:rPr>
          <w:rFonts w:ascii="Arial" w:cs="Arial" w:eastAsia="Arial" w:hAnsi="Arial"/>
          <w:sz w:val="14"/>
          <w:szCs w:val="14"/>
          <w:b w:val="1"/>
          <w:bCs w:val="1"/>
          <w:i w:val="1"/>
          <w:iCs w:val="1"/>
          <w:color w:val="auto"/>
        </w:rPr>
        <w:t>If any of our product candidates are approved for marketing and commercialization and we have not developed or secured marketing, sales and distribution capabilities, either internally or from third parties, we will be unable to successfully commercialize such products and may not be able to generate product revenue.</w:t>
      </w:r>
    </w:p>
    <w:p>
      <w:pPr>
        <w:spacing w:after="0" w:line="102" w:lineRule="exact"/>
        <w:rPr>
          <w:sz w:val="20"/>
          <w:szCs w:val="20"/>
          <w:color w:val="auto"/>
        </w:rPr>
      </w:pPr>
    </w:p>
    <w:p>
      <w:pPr>
        <w:ind w:right="20" w:firstLine="511"/>
        <w:spacing w:after="0" w:line="281" w:lineRule="auto"/>
        <w:rPr>
          <w:sz w:val="20"/>
          <w:szCs w:val="20"/>
          <w:color w:val="auto"/>
        </w:rPr>
      </w:pPr>
      <w:r>
        <w:rPr>
          <w:rFonts w:ascii="Arial" w:cs="Arial" w:eastAsia="Arial" w:hAnsi="Arial"/>
          <w:sz w:val="15"/>
          <w:szCs w:val="15"/>
          <w:color w:val="auto"/>
        </w:rPr>
        <w:t>We currently have no sales, marketing or distribution organizational infrastructure. We will need to develop internal sales, marketing and distribution capabilities to commercialize any product candidate that gains FDA or other regulatory authority approval, which would be expensive and time-consuming, or enter into partnerships with third parties to perform these services. If we decide to market any approved products directly, we will need to commit significant financial and managerial resources to develop a marketing and sales force with technical expertise and supporting distribution, administration and compliance capabilities. If we rely on third parties to market products or decide to co-promote products with partners,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product revenue we receive will depend upon the efforts of the third parties and we cannot assure you that such third parties will establish adequate sales and distribution capabilities or be successful in gaining market acceptance for any approved product. If we are not successful in commercializing any product approved in the future, if any, either on our own or through third parties, our business, financial condition, results of operations and growth prospects could be materially adversely affected.</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product candidates, including NKX101 and NKX019, could be subject to regulatory limitations following approval, if and when such approval is granted.*</w:t>
      </w:r>
    </w:p>
    <w:p>
      <w:pPr>
        <w:spacing w:after="0" w:line="224" w:lineRule="exact"/>
        <w:rPr>
          <w:sz w:val="20"/>
          <w:szCs w:val="20"/>
          <w:color w:val="auto"/>
        </w:rPr>
      </w:pPr>
    </w:p>
    <w:p>
      <w:pPr>
        <w:ind w:right="100" w:firstLine="511"/>
        <w:spacing w:after="0" w:line="248" w:lineRule="auto"/>
        <w:rPr>
          <w:sz w:val="20"/>
          <w:szCs w:val="20"/>
          <w:color w:val="auto"/>
        </w:rPr>
      </w:pPr>
      <w:r>
        <w:rPr>
          <w:rFonts w:ascii="Arial" w:cs="Arial" w:eastAsia="Arial" w:hAnsi="Arial"/>
          <w:sz w:val="17"/>
          <w:szCs w:val="17"/>
          <w:color w:val="auto"/>
        </w:rPr>
        <w:t>Following approval of a product candidate, if any, we must comply with comprehensive government regulations regarding the manufacture, labeling, marketing, distribution and promotion of biologic products. We must comply with the FDA’s labeling protocols, which prohibits promoting “off-label uses.” We may not be able to obtain the labeling claims necessary or desirable to successfully commercialize our products, including NKX101 and NKX019 or other product candidates in development.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20"/>
          </w:cols>
          <w:pgMar w:left="320" w:top="623" w:right="359" w:bottom="1440" w:gutter="0" w:footer="0" w:header="0"/>
        </w:sectPr>
      </w:pPr>
    </w:p>
    <w:bookmarkStart w:id="60" w:name="page61"/>
    <w:bookmarkEnd w:id="60"/>
    <w:p>
      <w:pPr>
        <w:ind w:right="20" w:firstLine="511"/>
        <w:spacing w:after="0" w:line="288" w:lineRule="auto"/>
        <w:rPr>
          <w:sz w:val="20"/>
          <w:szCs w:val="20"/>
          <w:color w:val="auto"/>
        </w:rPr>
      </w:pPr>
      <w:r>
        <w:rPr>
          <w:rFonts w:ascii="Arial" w:cs="Arial" w:eastAsia="Arial" w:hAnsi="Arial"/>
          <w:sz w:val="15"/>
          <w:szCs w:val="15"/>
          <w:color w:val="auto"/>
        </w:rPr>
        <w:t>The FDA and foreign regulatory authorities could impose significant restrictions on use of an approved product including potentially restricting its use to limited clinical centers as well as through the product label, as well as on advertising, promotional and distribution activities associated with such approved product. The FDA or a foreign regulatory authority could also condition their approval on the performance of post-approval clinical trials, patient monitoring or testing, which could be time-consuming and expensive. If the results of such post-marketing trials are not satisfactory, the FDA or such foreign regulatory authority could withdraw marketing authorization or may condition continued marketing on commitments from us or our partners that may be expensive and/or time-consuming to fulfill.</w:t>
      </w:r>
    </w:p>
    <w:p>
      <w:pPr>
        <w:spacing w:after="0" w:line="155" w:lineRule="exact"/>
        <w:rPr>
          <w:sz w:val="20"/>
          <w:szCs w:val="20"/>
          <w:color w:val="auto"/>
        </w:rPr>
      </w:pPr>
    </w:p>
    <w:p>
      <w:pPr>
        <w:ind w:right="140" w:firstLine="511"/>
        <w:spacing w:after="0" w:line="251" w:lineRule="auto"/>
        <w:rPr>
          <w:sz w:val="20"/>
          <w:szCs w:val="20"/>
          <w:color w:val="auto"/>
        </w:rPr>
      </w:pPr>
      <w:r>
        <w:rPr>
          <w:rFonts w:ascii="Arial" w:cs="Arial" w:eastAsia="Arial" w:hAnsi="Arial"/>
          <w:sz w:val="17"/>
          <w:szCs w:val="17"/>
          <w:color w:val="auto"/>
        </w:rPr>
        <w:t>In addition, if we or others identify side-effects after any of our products are on the market, if our products fail to maintain a continued acceptable safety profile after approval, if manufacturing problems occur subsequent to regulatory approval, or if we, our manufacturers or our partners fail to comply with regulatory requirements, including those mentioned above, we or our partners could be subject to the following:</w:t>
      </w:r>
    </w:p>
    <w:p>
      <w:pPr>
        <w:spacing w:after="0" w:line="81" w:lineRule="exact"/>
        <w:rPr>
          <w:sz w:val="20"/>
          <w:szCs w:val="20"/>
          <w:color w:val="auto"/>
        </w:rPr>
      </w:pPr>
    </w:p>
    <w:p>
      <w:pPr>
        <w:ind w:left="1020" w:hanging="513"/>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restrictions on our ability to conduct clinical trials, including full or partial clinical holds on ongoing or planned clinical trials;</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restrictions on such products’ manufacturing processes;</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to the product label;</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restrictions on the marketing of a product;</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restrictions on product distribution;</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requirements to conduct post-marketing clinical trials;</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Untitled or Warning Letters from the FDA;</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withdrawal of the product from the market;</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refusal to approve pending applications or supplements to approved applications that we submit;</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recall of products;</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fines, restitution or disgorgement of profits or revenue;</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suspension or withdrawal of regulatory approvals;</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refusal to permit the import or export of our products;</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product seizure;</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injunctions; or</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imposition of civil or criminal penalties.</w:t>
      </w:r>
    </w:p>
    <w:p>
      <w:pPr>
        <w:spacing w:after="0" w:line="201" w:lineRule="exact"/>
        <w:rPr>
          <w:sz w:val="20"/>
          <w:szCs w:val="20"/>
          <w:color w:val="auto"/>
        </w:rPr>
      </w:pPr>
    </w:p>
    <w:p>
      <w:pPr>
        <w:ind w:right="20" w:firstLine="511"/>
        <w:spacing w:after="0" w:line="288" w:lineRule="auto"/>
        <w:rPr>
          <w:sz w:val="20"/>
          <w:szCs w:val="20"/>
          <w:color w:val="auto"/>
        </w:rPr>
      </w:pPr>
      <w:r>
        <w:rPr>
          <w:rFonts w:ascii="Arial" w:cs="Arial" w:eastAsia="Arial" w:hAnsi="Arial"/>
          <w:sz w:val="15"/>
          <w:szCs w:val="15"/>
          <w:color w:val="auto"/>
        </w:rPr>
        <w:t>Any one or a combination of these penalties could prevent us from achieving or maintaining market acceptance of the affected product, or could substantially increase the costs and expenses of commercializing such product, which in turn could delay or prevent us from generating any revenue or profit from the sale of such product and could materially adversely affect our business, financial condition, results of operations and growth prospects. In addition, third-party payors may impose limitations on centers and personnel that may administer our products, including but not limited to requiring third-party accreditation to be obtained before the use of our products is reimbursed in such a center, which could materially adversely affect our potential commercial success and lead to slower market acceptance.</w:t>
      </w:r>
    </w:p>
    <w:p>
      <w:pPr>
        <w:spacing w:after="0" w:line="254" w:lineRule="exact"/>
        <w:rPr>
          <w:sz w:val="20"/>
          <w:szCs w:val="20"/>
          <w:color w:val="auto"/>
        </w:rPr>
      </w:pPr>
    </w:p>
    <w:p>
      <w:pPr>
        <w:ind w:right="520"/>
        <w:spacing w:after="0" w:line="260" w:lineRule="auto"/>
        <w:rPr>
          <w:sz w:val="20"/>
          <w:szCs w:val="20"/>
          <w:color w:val="auto"/>
        </w:rPr>
      </w:pPr>
      <w:r>
        <w:rPr>
          <w:rFonts w:ascii="Arial" w:cs="Arial" w:eastAsia="Arial" w:hAnsi="Arial"/>
          <w:sz w:val="17"/>
          <w:szCs w:val="17"/>
          <w:b w:val="1"/>
          <w:bCs w:val="1"/>
          <w:i w:val="1"/>
          <w:iCs w:val="1"/>
          <w:color w:val="auto"/>
        </w:rPr>
        <w:t>The market opportunities for our product candidates, if and when approved, may be limited, and if such market opportunities are smaller than we expect, our revenues could be materially adversely affected and our business could suffer.</w:t>
      </w:r>
    </w:p>
    <w:p>
      <w:pPr>
        <w:spacing w:after="0" w:line="171" w:lineRule="exact"/>
        <w:rPr>
          <w:sz w:val="20"/>
          <w:szCs w:val="20"/>
          <w:color w:val="auto"/>
        </w:rPr>
      </w:pPr>
    </w:p>
    <w:p>
      <w:pPr>
        <w:ind w:firstLine="511"/>
        <w:spacing w:after="0" w:line="286" w:lineRule="auto"/>
        <w:rPr>
          <w:sz w:val="20"/>
          <w:szCs w:val="20"/>
          <w:color w:val="auto"/>
        </w:rPr>
      </w:pPr>
      <w:r>
        <w:rPr>
          <w:rFonts w:ascii="Arial" w:cs="Arial" w:eastAsia="Arial" w:hAnsi="Arial"/>
          <w:sz w:val="15"/>
          <w:szCs w:val="15"/>
          <w:color w:val="auto"/>
        </w:rPr>
        <w:t>Our initial clinical trials evaluate NKX101 and NKX019 in relapsed/refractory patients who have been previously treated with other anti-cancer therapies. We do not know at this time whether either NKX101 or NKX019 or any of our product candidates will be safe for use in humans or whether they will demonstrate any anti-cancer activity. If the activity is sufficient, we may initially seek approval of any product candidates we develop as a therapy for patients who have received one or more prior treatments. Depending on the activity we note in the initial clinical trials, we plan to conduct additional clinical trials in less heavily pretreated populations in order to expand use of our product in a broader group of patients and increase market opportunities. However, there is no guarantee that product candidates we develop, even if approved for later lines of therapy, would be approved for earlier lines of therapy, and, prior to any such approvals, we will have to conduct additional clinical trials.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00"/>
          </w:cols>
          <w:pgMar w:left="320" w:top="523" w:right="379" w:bottom="1440" w:gutter="0" w:footer="0" w:header="0"/>
        </w:sectPr>
      </w:pPr>
    </w:p>
    <w:bookmarkStart w:id="61" w:name="page62"/>
    <w:bookmarkEnd w:id="61"/>
    <w:p>
      <w:pPr>
        <w:ind w:firstLine="511"/>
        <w:spacing w:after="0" w:line="246" w:lineRule="auto"/>
        <w:rPr>
          <w:sz w:val="20"/>
          <w:szCs w:val="20"/>
          <w:color w:val="auto"/>
        </w:rPr>
      </w:pPr>
      <w:r>
        <w:rPr>
          <w:rFonts w:ascii="Arial" w:cs="Arial" w:eastAsia="Arial" w:hAnsi="Arial"/>
          <w:sz w:val="17"/>
          <w:szCs w:val="17"/>
          <w:color w:val="auto"/>
        </w:rPr>
        <w:t>The number of patients who have the cancers we are targeting may turn out to be lower than expected. Additionally, the potentially addressable patient population for our current programs or future product candidates may be limited. Potentially addressable patient populations for of our product candidates are only estimates. These estimates could prove to be incorrect, and the estimated number of potential patients in the United States and elsewhere could be lower than expected. It may also be that such patients may not be otherwise amenable to treatment with our product candidates, or patients could become increasingly difficult to identify and access for a variety of reasons including other drugs being approved, any of which could materially adversely affect our business, financial condition, results of operations and growth prospects.</w:t>
      </w:r>
    </w:p>
    <w:p>
      <w:pPr>
        <w:spacing w:after="0" w:line="285" w:lineRule="exact"/>
        <w:rPr>
          <w:sz w:val="20"/>
          <w:szCs w:val="20"/>
          <w:color w:val="auto"/>
        </w:rPr>
      </w:pPr>
    </w:p>
    <w:p>
      <w:pPr>
        <w:spacing w:after="0" w:line="260" w:lineRule="auto"/>
        <w:rPr>
          <w:sz w:val="20"/>
          <w:szCs w:val="20"/>
          <w:color w:val="auto"/>
        </w:rPr>
      </w:pPr>
      <w:r>
        <w:rPr>
          <w:rFonts w:ascii="Arial" w:cs="Arial" w:eastAsia="Arial" w:hAnsi="Arial"/>
          <w:sz w:val="17"/>
          <w:szCs w:val="17"/>
          <w:b w:val="1"/>
          <w:bCs w:val="1"/>
          <w:i w:val="1"/>
          <w:iCs w:val="1"/>
          <w:color w:val="auto"/>
        </w:rPr>
        <w:t>The commercial success of any of our product candidates will depend upon such product candidate’s degree of market acceptance by physicians, patients, third-party payors and others in the medical community.</w:t>
      </w:r>
    </w:p>
    <w:p>
      <w:pPr>
        <w:spacing w:after="0" w:line="171" w:lineRule="exact"/>
        <w:rPr>
          <w:sz w:val="20"/>
          <w:szCs w:val="20"/>
          <w:color w:val="auto"/>
        </w:rPr>
      </w:pPr>
    </w:p>
    <w:p>
      <w:pPr>
        <w:ind w:right="40" w:firstLine="511"/>
        <w:spacing w:after="0" w:line="286" w:lineRule="auto"/>
        <w:rPr>
          <w:sz w:val="20"/>
          <w:szCs w:val="20"/>
          <w:color w:val="auto"/>
        </w:rPr>
      </w:pPr>
      <w:r>
        <w:rPr>
          <w:rFonts w:ascii="Arial" w:cs="Arial" w:eastAsia="Arial" w:hAnsi="Arial"/>
          <w:sz w:val="15"/>
          <w:szCs w:val="15"/>
          <w:color w:val="auto"/>
        </w:rPr>
        <w:t>Our product candidates may not be commercially successful. Even if requisite approvals are obtained from the FDA in the United States and other regulatory authorities internationally, the commercial success of our product candidates will depend, in part, on the acceptance by physicians, patients and healthcare payors of cell therapy products in general, and our product candidates in particular, as medically necessary, cost-effective and safe. Physicians, patients, healthcare payors and others in the medical community may not accept any product that we commercialize. If these products do not achieve an adequate level of acceptance, we may not generate significant product revenue and may not become profitable. The degree of market acceptance of cell therapy products and, in particular, our product candidates, if approved for commercial sale, will depend on several factors, including:</w:t>
      </w:r>
    </w:p>
    <w:p>
      <w:pPr>
        <w:spacing w:after="0" w:line="55" w:lineRule="exact"/>
        <w:rPr>
          <w:sz w:val="20"/>
          <w:szCs w:val="20"/>
          <w:color w:val="auto"/>
        </w:rPr>
      </w:pPr>
    </w:p>
    <w:p>
      <w:pPr>
        <w:ind w:left="1020" w:hanging="513"/>
        <w:spacing w:after="0"/>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efficacy and safety of such product candidates as demonstrated in clinical trials;</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potential and perceived advantages of product candidates over alternative treatments;</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cost of treatment relative to alternative treatments;</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clinical indications for which the product candidate is approved by the FDA;</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willingness of physicians to refer patients and prescribe new therapies;</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willingness of the target patient population to try new therapies;</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nature, prevalence and severity of any side effects;</w:t>
      </w:r>
    </w:p>
    <w:p>
      <w:pPr>
        <w:spacing w:after="0" w:line="101" w:lineRule="exact"/>
        <w:rPr>
          <w:rFonts w:ascii="Arial" w:cs="Arial" w:eastAsia="Arial" w:hAnsi="Arial"/>
          <w:sz w:val="17"/>
          <w:szCs w:val="17"/>
          <w:color w:val="auto"/>
        </w:rPr>
      </w:pPr>
    </w:p>
    <w:p>
      <w:pPr>
        <w:ind w:left="1020" w:right="120" w:hanging="513"/>
        <w:spacing w:after="0" w:line="260" w:lineRule="auto"/>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product labeling or product insert requirements imposed by the FDA or other regulatory authorities, including any limitations or warnings contained in a product’s approved labeling;</w:t>
      </w:r>
    </w:p>
    <w:p>
      <w:pPr>
        <w:spacing w:after="0" w:line="72" w:lineRule="exact"/>
        <w:rPr>
          <w:rFonts w:ascii="Arial" w:cs="Arial" w:eastAsia="Arial" w:hAnsi="Arial"/>
          <w:sz w:val="17"/>
          <w:szCs w:val="17"/>
          <w:color w:val="auto"/>
        </w:rPr>
      </w:pPr>
    </w:p>
    <w:p>
      <w:pPr>
        <w:ind w:left="1020" w:hanging="513"/>
        <w:spacing w:after="0"/>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relative convenience and ease of administration;</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timing of market introduction of competitive products;</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adverse publicity concerning our product candidates or favorable publicity about competing products and treatments;</w:t>
      </w:r>
    </w:p>
    <w:p>
      <w:pPr>
        <w:spacing w:after="0" w:line="101" w:lineRule="exact"/>
        <w:rPr>
          <w:rFonts w:ascii="Arial" w:cs="Arial" w:eastAsia="Arial" w:hAnsi="Arial"/>
          <w:sz w:val="17"/>
          <w:szCs w:val="17"/>
          <w:color w:val="auto"/>
        </w:rPr>
      </w:pPr>
    </w:p>
    <w:p>
      <w:pPr>
        <w:ind w:left="1020" w:right="700" w:hanging="513"/>
        <w:spacing w:after="0" w:line="260" w:lineRule="auto"/>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sufficient third-party payor coverage, any limitations in terms of center or personnel training requirement imposed by third parties and adequate reimbursement;</w:t>
      </w:r>
    </w:p>
    <w:p>
      <w:pPr>
        <w:spacing w:after="0" w:line="72" w:lineRule="exact"/>
        <w:rPr>
          <w:rFonts w:ascii="Arial" w:cs="Arial" w:eastAsia="Arial" w:hAnsi="Arial"/>
          <w:sz w:val="17"/>
          <w:szCs w:val="17"/>
          <w:color w:val="auto"/>
        </w:rPr>
      </w:pPr>
    </w:p>
    <w:p>
      <w:pPr>
        <w:ind w:left="1020" w:hanging="513"/>
        <w:spacing w:after="0"/>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limitations or warnings contained in the FDA-approved labeling for our product candidates;</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FDA requirement to undertake a REMS;</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effectiveness of our sales, marketing and distribution efforts; and</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potential product liability claims.</w:t>
      </w:r>
    </w:p>
    <w:p>
      <w:pPr>
        <w:spacing w:after="0" w:line="201" w:lineRule="exact"/>
        <w:rPr>
          <w:sz w:val="20"/>
          <w:szCs w:val="20"/>
          <w:color w:val="auto"/>
        </w:rPr>
      </w:pPr>
    </w:p>
    <w:p>
      <w:pPr>
        <w:ind w:right="160" w:firstLine="511"/>
        <w:spacing w:after="0" w:line="260" w:lineRule="auto"/>
        <w:rPr>
          <w:sz w:val="20"/>
          <w:szCs w:val="20"/>
          <w:color w:val="auto"/>
        </w:rPr>
      </w:pPr>
      <w:r>
        <w:rPr>
          <w:rFonts w:ascii="Arial" w:cs="Arial" w:eastAsia="Arial" w:hAnsi="Arial"/>
          <w:sz w:val="17"/>
          <w:szCs w:val="17"/>
          <w:color w:val="auto"/>
        </w:rPr>
        <w:t>Even if a product candidate displays a favorable efficacy and safety profile in preclinical studies and clinical trials, market acceptance of the product will not be fully known until after such product is launched. Our product candidates may not achieve broad market acceptance.</w:t>
      </w:r>
    </w:p>
    <w:p>
      <w:pPr>
        <w:spacing w:after="0" w:line="171" w:lineRule="exact"/>
        <w:rPr>
          <w:sz w:val="20"/>
          <w:szCs w:val="20"/>
          <w:color w:val="auto"/>
        </w:rPr>
      </w:pPr>
    </w:p>
    <w:p>
      <w:pPr>
        <w:ind w:right="120" w:firstLine="511"/>
        <w:spacing w:after="0" w:line="247" w:lineRule="auto"/>
        <w:rPr>
          <w:sz w:val="20"/>
          <w:szCs w:val="20"/>
          <w:color w:val="auto"/>
        </w:rPr>
      </w:pPr>
      <w:r>
        <w:rPr>
          <w:rFonts w:ascii="Arial" w:cs="Arial" w:eastAsia="Arial" w:hAnsi="Arial"/>
          <w:sz w:val="17"/>
          <w:szCs w:val="17"/>
          <w:color w:val="auto"/>
        </w:rPr>
        <w:t>Furthermore, 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20"/>
          </w:cols>
          <w:pgMar w:left="320" w:top="523" w:right="359" w:bottom="1440" w:gutter="0" w:footer="0" w:header="0"/>
        </w:sectPr>
      </w:pPr>
    </w:p>
    <w:bookmarkStart w:id="62" w:name="page63"/>
    <w:bookmarkEnd w:id="62"/>
    <w:p>
      <w:pPr>
        <w:ind w:right="40"/>
        <w:spacing w:after="0" w:line="326" w:lineRule="auto"/>
        <w:rPr>
          <w:sz w:val="20"/>
          <w:szCs w:val="20"/>
          <w:color w:val="auto"/>
        </w:rPr>
      </w:pPr>
      <w:r>
        <w:rPr>
          <w:rFonts w:ascii="Arial" w:cs="Arial" w:eastAsia="Arial" w:hAnsi="Arial"/>
          <w:sz w:val="15"/>
          <w:szCs w:val="15"/>
          <w:b w:val="1"/>
          <w:bCs w:val="1"/>
          <w:i w:val="1"/>
          <w:iCs w:val="1"/>
          <w:color w:val="auto"/>
        </w:rPr>
        <w:t>The insurance coverage and reimbursement status of newly approved products is uncertain. Failure to obtain or maintain adequate coverage and reimbursement for our product candidates, if approved, could limit our ability to market such products and to generate product revenue.</w:t>
      </w:r>
    </w:p>
    <w:p>
      <w:pPr>
        <w:spacing w:after="0" w:line="126" w:lineRule="exact"/>
        <w:rPr>
          <w:sz w:val="20"/>
          <w:szCs w:val="20"/>
          <w:color w:val="auto"/>
        </w:rPr>
      </w:pPr>
    </w:p>
    <w:p>
      <w:pPr>
        <w:ind w:right="80" w:firstLine="511"/>
        <w:spacing w:after="0" w:line="286" w:lineRule="auto"/>
        <w:rPr>
          <w:sz w:val="20"/>
          <w:szCs w:val="20"/>
          <w:color w:val="auto"/>
        </w:rPr>
      </w:pPr>
      <w:r>
        <w:rPr>
          <w:rFonts w:ascii="Arial" w:cs="Arial" w:eastAsia="Arial" w:hAnsi="Arial"/>
          <w:sz w:val="15"/>
          <w:szCs w:val="15"/>
          <w:color w:val="auto"/>
        </w:rPr>
        <w:t>We expect the cost of a single administration of one of our cell therapy product candidates to be substantial, when and if they achieve regulatory approval. We expect that coverage and reimbursement by government and private payors will be essential for most patients to be able to afford these treatments. Accordingly, sales of our products, if approved, will depend substantially, both domestically and internationally, on the extent to which the costs of our product candidates will be reimbursed by government authorities, private health coverage insurers and other third- party payors. Coverage and reimbursement by a third-party payor could depend upon several factors, including the third-party payor’s determination that use of a product is (i) a covered benefit under its health plan, (ii) safe, effective and medically necessary, (iii) appropriate for the specific patient, (iv) cost-effective and (v) neither experimental nor investigational.</w:t>
      </w:r>
    </w:p>
    <w:p>
      <w:pPr>
        <w:spacing w:after="0" w:line="154" w:lineRule="exact"/>
        <w:rPr>
          <w:sz w:val="20"/>
          <w:szCs w:val="20"/>
          <w:color w:val="auto"/>
        </w:rPr>
      </w:pPr>
    </w:p>
    <w:p>
      <w:pPr>
        <w:ind w:firstLine="511"/>
        <w:spacing w:after="0" w:line="292" w:lineRule="auto"/>
        <w:rPr>
          <w:sz w:val="20"/>
          <w:szCs w:val="20"/>
          <w:color w:val="auto"/>
        </w:rPr>
      </w:pPr>
      <w:r>
        <w:rPr>
          <w:rFonts w:ascii="Arial" w:cs="Arial" w:eastAsia="Arial" w:hAnsi="Arial"/>
          <w:sz w:val="15"/>
          <w:szCs w:val="15"/>
          <w:color w:val="auto"/>
        </w:rPr>
        <w:t>Obtaining coverage and reimbursement for a product from third-party payors is a time-consuming and costly process that could require us to provide to the payor supporting scientific, clinical and cost-effectiveness data. We may not be able to provide data sufficient to gain acceptance with respect to coverage and reimbursement. If coverage and reimbursement are not available, or are available only at limited levels, we may not be able to successfully commercialize our product candidates. Even if coverage is provided, the approved reimbursement amount may not be adequate to realize a sufficient return on our investment.</w:t>
      </w:r>
    </w:p>
    <w:p>
      <w:pPr>
        <w:spacing w:after="0" w:line="152" w:lineRule="exact"/>
        <w:rPr>
          <w:sz w:val="20"/>
          <w:szCs w:val="20"/>
          <w:color w:val="auto"/>
        </w:rPr>
      </w:pPr>
    </w:p>
    <w:p>
      <w:pPr>
        <w:ind w:right="160" w:firstLine="511"/>
        <w:spacing w:after="0" w:line="284" w:lineRule="auto"/>
        <w:rPr>
          <w:sz w:val="20"/>
          <w:szCs w:val="20"/>
          <w:color w:val="auto"/>
        </w:rPr>
      </w:pPr>
      <w:r>
        <w:rPr>
          <w:rFonts w:ascii="Arial" w:cs="Arial" w:eastAsia="Arial" w:hAnsi="Arial"/>
          <w:sz w:val="15"/>
          <w:szCs w:val="15"/>
          <w:color w:val="auto"/>
        </w:rPr>
        <w:t>There is significant uncertainty related to third-party coverage and reimbursement of newly approved drug products. In the United States, third-party payors, including government payors such as Medicare and Medicaid, play an important role in determining the extent to which new drugs and biologics will be covered and reimbursed. Medicare and Medicaid are increasingly used as models for the development of private payors’ and government payors’ coverage and reimbursement policies. Currently, few cell therapy products have been approved for coverage and reimbursement by the CMS the agency responsible for administering Medicare. It is difficult to predict what CMS will decide with respect to coverage and reimbursement for fundamentally novel products such as ours, since there is no body of established protocols and precedents for these types of drug products. Moreover, reimbursement agencies in other countries, such as those in Europe, may be more conservative than CMS. It is difficult to predict what third-party payors will decide with respect to the coverage and reimbursement for our product candidates.</w:t>
      </w:r>
    </w:p>
    <w:p>
      <w:pPr>
        <w:spacing w:after="0" w:line="157" w:lineRule="exact"/>
        <w:rPr>
          <w:sz w:val="20"/>
          <w:szCs w:val="20"/>
          <w:color w:val="auto"/>
        </w:rPr>
      </w:pPr>
    </w:p>
    <w:p>
      <w:pPr>
        <w:ind w:right="140" w:firstLine="511"/>
        <w:spacing w:after="0" w:line="283" w:lineRule="auto"/>
        <w:rPr>
          <w:sz w:val="20"/>
          <w:szCs w:val="20"/>
          <w:color w:val="auto"/>
        </w:rPr>
      </w:pPr>
      <w:r>
        <w:rPr>
          <w:rFonts w:ascii="Arial" w:cs="Arial" w:eastAsia="Arial" w:hAnsi="Arial"/>
          <w:sz w:val="15"/>
          <w:szCs w:val="15"/>
          <w:color w:val="auto"/>
        </w:rPr>
        <w:t>Outside the United States, international operations vary significantly by country and are subject to extensive government price controls and other market regulations, and increasing emphasis on cost-containment initiatives in the European countries, Canada and other countries could place pricing pressure on us. In many countries, the prices of medical products are subject to varying price control mechanisms as part of national health systems. It can also take a significant amount of time after approval of a product to secure pricing and reimbursement for such product in many counties outside the United States. In general, the prices of medicines under such systems are substantially lower than in the United States.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product revenues.</w:t>
      </w:r>
    </w:p>
    <w:p>
      <w:pPr>
        <w:spacing w:after="0" w:line="157" w:lineRule="exact"/>
        <w:rPr>
          <w:sz w:val="20"/>
          <w:szCs w:val="20"/>
          <w:color w:val="auto"/>
        </w:rPr>
      </w:pPr>
    </w:p>
    <w:p>
      <w:pPr>
        <w:ind w:right="20" w:firstLine="511"/>
        <w:spacing w:after="0" w:line="280" w:lineRule="auto"/>
        <w:rPr>
          <w:sz w:val="20"/>
          <w:szCs w:val="20"/>
          <w:color w:val="auto"/>
        </w:rPr>
      </w:pPr>
      <w:r>
        <w:rPr>
          <w:rFonts w:ascii="Arial" w:cs="Arial" w:eastAsia="Arial" w:hAnsi="Arial"/>
          <w:sz w:val="15"/>
          <w:szCs w:val="15"/>
          <w:color w:val="auto"/>
        </w:rPr>
        <w:t>Moreover, increasing efforts by government and third-party payors in the United States and abroad to cap or reduce healthcare costs could limit coverage and the level of reimbursement for our product candidates. Payors are increasingly considering new metrics as the basis for reimbursement rates, such as average sales price, or ASP, average manufacturer price, or AMP, and Actual Acquisition Cost. The existing data for reimbursement based on some of these metrics is relatively limited, although certain states have begun to survey acquisition cost data for the purpose of setting Medicaid reimbursement rates, and CMS has begun making pharmacy National Average Drug Acquisition Cost and National Average Retail Price data publicly available on at least a monthly basis. Therefore, it may be difficult to project the impact of these evolving reimbursement metrics on the willingness of payors to cover candidate products that we or our partners are able to commercialize. Furthermore, most third-party payors currently require additional accreditation for approved cell therapy drugs, which limits the centers that can administer the drugs, and similar limitations may also be imposed on the product candidates that we are developing. We expect to experience pricing pressures in connection with the sale of our product candidates, if any, due to the trend toward managed healthcare, the increasing influence of health maintenance organizations and additional legislative changes. The downward pressure on healthcare costs in general, and on prescription drugs and surgical procedures in particular, has become intense. As a result, increasingly high barriers to entry are developing for new drug products such as ours.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63" w:name="page64"/>
    <w:bookmarkEnd w:id="63"/>
    <w:p>
      <w:pPr>
        <w:spacing w:after="0"/>
        <w:rPr>
          <w:sz w:val="20"/>
          <w:szCs w:val="20"/>
          <w:color w:val="auto"/>
        </w:rPr>
      </w:pPr>
      <w:r>
        <w:rPr>
          <w:rFonts w:ascii="Arial" w:cs="Arial" w:eastAsia="Arial" w:hAnsi="Arial"/>
          <w:sz w:val="17"/>
          <w:szCs w:val="17"/>
          <w:b w:val="1"/>
          <w:bCs w:val="1"/>
          <w:i w:val="1"/>
          <w:iCs w:val="1"/>
          <w:color w:val="auto"/>
        </w:rPr>
        <w:t>Healthcare reform initiatives and other administrative and legislative proposals may harm our business.*</w:t>
      </w:r>
    </w:p>
    <w:p>
      <w:pPr>
        <w:spacing w:after="0" w:line="201" w:lineRule="exact"/>
        <w:rPr>
          <w:sz w:val="20"/>
          <w:szCs w:val="20"/>
          <w:color w:val="auto"/>
        </w:rPr>
      </w:pPr>
    </w:p>
    <w:p>
      <w:pPr>
        <w:ind w:right="40" w:firstLine="511"/>
        <w:spacing w:after="0" w:line="246" w:lineRule="auto"/>
        <w:rPr>
          <w:sz w:val="20"/>
          <w:szCs w:val="20"/>
          <w:color w:val="auto"/>
        </w:rPr>
      </w:pPr>
      <w:r>
        <w:rPr>
          <w:rFonts w:ascii="Arial" w:cs="Arial" w:eastAsia="Arial" w:hAnsi="Arial"/>
          <w:sz w:val="17"/>
          <w:szCs w:val="17"/>
          <w:color w:val="auto"/>
        </w:rPr>
        <w:t>In the United States, the European Union and other jurisdictions, there have been, and we expect there will continue to be, a number of legislative and regulatory changes and proposed changes to the healthcare system that could affect our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(“the ACA”), was enacted, which substantially changed the way healthcare is financed by both governmental and private payors. Among the provisions of the ACA, those of greatest importance to the pharmaceutical and biotechnology industries include the following:</w:t>
      </w:r>
    </w:p>
    <w:p>
      <w:pPr>
        <w:spacing w:after="0" w:line="86" w:lineRule="exact"/>
        <w:rPr>
          <w:sz w:val="20"/>
          <w:szCs w:val="20"/>
          <w:color w:val="auto"/>
        </w:rPr>
      </w:pPr>
    </w:p>
    <w:p>
      <w:pPr>
        <w:ind w:left="1020" w:right="100" w:hanging="513"/>
        <w:spacing w:after="0" w:line="367" w:lineRule="auto"/>
        <w:tabs>
          <w:tab w:leader="none" w:pos="10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w:t>
      </w:r>
    </w:p>
    <w:p>
      <w:pPr>
        <w:spacing w:after="0" w:line="3" w:lineRule="exact"/>
        <w:rPr>
          <w:rFonts w:ascii="Arial" w:cs="Arial" w:eastAsia="Arial" w:hAnsi="Arial"/>
          <w:sz w:val="14"/>
          <w:szCs w:val="14"/>
          <w:color w:val="auto"/>
        </w:rPr>
      </w:pPr>
    </w:p>
    <w:p>
      <w:pPr>
        <w:ind w:left="1020" w:right="460" w:hanging="513"/>
        <w:spacing w:after="0" w:line="367" w:lineRule="auto"/>
        <w:tabs>
          <w:tab w:leader="none" w:pos="10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new requirements to report certain financial arrangements with physicians and teaching hospitals, including reporting “transfers of value” made or distributed to prescribers and other healthcare providers and reporting investment interests held by physicians and their immediate family members;</w:t>
      </w:r>
    </w:p>
    <w:p>
      <w:pPr>
        <w:spacing w:after="0" w:line="3" w:lineRule="exact"/>
        <w:rPr>
          <w:rFonts w:ascii="Arial" w:cs="Arial" w:eastAsia="Arial" w:hAnsi="Arial"/>
          <w:sz w:val="14"/>
          <w:szCs w:val="14"/>
          <w:color w:val="auto"/>
        </w:rPr>
      </w:pPr>
    </w:p>
    <w:p>
      <w:pPr>
        <w:ind w:left="1020" w:right="100" w:hanging="513"/>
        <w:spacing w:after="0" w:line="260" w:lineRule="auto"/>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new methodology by which rebates owed by manufacturers under the Medicaid Drug Rebate Program are calculated for drugs that are inhaled, infused, instilled, implanted or injected;</w:t>
      </w:r>
    </w:p>
    <w:p>
      <w:pPr>
        <w:spacing w:after="0" w:line="72" w:lineRule="exact"/>
        <w:rPr>
          <w:rFonts w:ascii="Arial" w:cs="Arial" w:eastAsia="Arial" w:hAnsi="Arial"/>
          <w:sz w:val="17"/>
          <w:szCs w:val="17"/>
          <w:color w:val="auto"/>
        </w:rPr>
      </w:pPr>
    </w:p>
    <w:p>
      <w:pPr>
        <w:ind w:left="1020" w:right="400" w:hanging="513"/>
        <w:spacing w:after="0" w:line="326" w:lineRule="auto"/>
        <w:tabs>
          <w:tab w:leader="none" w:pos="1020" w:val="left"/>
        </w:tabs>
        <w:numPr>
          <w:ilvl w:val="0"/>
          <w:numId w:val="29"/>
        </w:numPr>
        <w:rPr>
          <w:rFonts w:ascii="Arial" w:cs="Arial" w:eastAsia="Arial" w:hAnsi="Arial"/>
          <w:sz w:val="15"/>
          <w:szCs w:val="15"/>
          <w:color w:val="auto"/>
        </w:rPr>
      </w:pPr>
      <w:r>
        <w:rPr>
          <w:rFonts w:ascii="Arial" w:cs="Arial" w:eastAsia="Arial" w:hAnsi="Arial"/>
          <w:sz w:val="15"/>
          <w:szCs w:val="15"/>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27" w:lineRule="exact"/>
        <w:rPr>
          <w:rFonts w:ascii="Arial" w:cs="Arial" w:eastAsia="Arial" w:hAnsi="Arial"/>
          <w:sz w:val="15"/>
          <w:szCs w:val="15"/>
          <w:color w:val="auto"/>
        </w:rPr>
      </w:pPr>
    </w:p>
    <w:p>
      <w:pPr>
        <w:ind w:left="1020" w:hanging="513"/>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licensure framework for follow-on biologic products;</w:t>
      </w:r>
    </w:p>
    <w:p>
      <w:pPr>
        <w:spacing w:after="0" w:line="101" w:lineRule="exact"/>
        <w:rPr>
          <w:rFonts w:ascii="Arial" w:cs="Arial" w:eastAsia="Arial" w:hAnsi="Arial"/>
          <w:sz w:val="17"/>
          <w:szCs w:val="17"/>
          <w:color w:val="auto"/>
        </w:rPr>
      </w:pPr>
    </w:p>
    <w:p>
      <w:pPr>
        <w:ind w:left="1020" w:right="80" w:hanging="513"/>
        <w:spacing w:after="0" w:line="260" w:lineRule="auto"/>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new Patient-Centered Outcomes Research Institute to oversee, identify priorities in, and conduct comparative clinical effectiveness research, along with funding for such research; and</w:t>
      </w:r>
    </w:p>
    <w:p>
      <w:pPr>
        <w:spacing w:after="0" w:line="72" w:lineRule="exact"/>
        <w:rPr>
          <w:rFonts w:ascii="Arial" w:cs="Arial" w:eastAsia="Arial" w:hAnsi="Arial"/>
          <w:sz w:val="17"/>
          <w:szCs w:val="17"/>
          <w:color w:val="auto"/>
        </w:rPr>
      </w:pPr>
    </w:p>
    <w:p>
      <w:pPr>
        <w:ind w:left="1020" w:right="540" w:hanging="513"/>
        <w:spacing w:after="0" w:line="260" w:lineRule="auto"/>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establishment of the CMS to test innovative payment and service delivery models to lower Medicare and Medicaid spending, potentially including prescription drug spending.</w:t>
      </w:r>
    </w:p>
    <w:p>
      <w:pPr>
        <w:spacing w:after="0" w:line="171" w:lineRule="exact"/>
        <w:rPr>
          <w:sz w:val="20"/>
          <w:szCs w:val="20"/>
          <w:color w:val="auto"/>
        </w:rPr>
      </w:pPr>
    </w:p>
    <w:p>
      <w:pPr>
        <w:ind w:firstLine="511"/>
        <w:spacing w:after="0" w:line="279" w:lineRule="auto"/>
        <w:rPr>
          <w:sz w:val="20"/>
          <w:szCs w:val="20"/>
          <w:color w:val="auto"/>
        </w:rPr>
      </w:pPr>
      <w:r>
        <w:rPr>
          <w:rFonts w:ascii="Arial" w:cs="Arial" w:eastAsia="Arial" w:hAnsi="Arial"/>
          <w:sz w:val="15"/>
          <w:szCs w:val="15"/>
          <w:color w:val="auto"/>
        </w:rPr>
        <w:t>Since its enactment, there have been judicial and Congressional challenges to certain aspects of the ACA, and we expect there will be additional challenges and amendments to the ACA. For example, the Tax Cuts and Jobs Act of 2017 (the “Tax Act”) was enacted, which includes a provision repealing, effective January 1, 2019, the tax-based shared responsibility payment imposed by the ACA on certain individuals who fail to maintain qualifying health coverage for all or part of a year that is commonly referred to as the “individual mandate”. Further, the 2020 federal spending package eliminated, effective January 1, 2020, the ACA-mandated “Cadillac” tax on high-cost employer-sponsored health coverage and medical device tax and, effective January 1, 2021, also eliminated the health insurer. On December 14, 2018, a U.S. District Court Judge in the Northern District of Texas ruled that the individual mandate is an inseverable feature of the ACA, and therefore, because it was repealed as part of the Tax Act, the remaining provisions of the ACA are invalid as well. The case was appealed to the U.S. Court of Appeals for the Fifth Circuit. On December 18, 2019, a three-judge panel of the U.S. Court of Appeals for the Fifth Circuit declared the ACA’s individual mandate unconstitutional and remanded the case back to the Texas Federal District Court to determine whether the remainder of the ACA also is unconstitutional. On March 2, 2020, the U.S. Supreme Court agreed to hear two consolidated cases, filed by the State of California and the United States House of Representatives, asking the U.S. Supreme Court to review the severability issue. On June 17, 2021, the U.S. Supreme Court dismissed the case, finding that the plaintiffs lacked standing. Additionally, on January 28, 2021, President Biden issued an executive order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There can be no assurances that opponents to the ACA and other healthcare reform measures will not continue attempts to repeal and/or replace the ACA.</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64" w:name="page65"/>
    <w:bookmarkEnd w:id="64"/>
    <w:p>
      <w:pPr>
        <w:ind w:firstLine="511"/>
        <w:spacing w:after="0" w:line="282" w:lineRule="auto"/>
        <w:rPr>
          <w:sz w:val="20"/>
          <w:szCs w:val="20"/>
          <w:color w:val="auto"/>
        </w:rPr>
      </w:pPr>
      <w:r>
        <w:rPr>
          <w:rFonts w:ascii="Arial" w:cs="Arial" w:eastAsia="Arial" w:hAnsi="Arial"/>
          <w:sz w:val="15"/>
          <w:szCs w:val="15"/>
          <w:color w:val="auto"/>
        </w:rPr>
        <w:t>In addition, other legislative changes have been proposed and adopted in the United States since the ACA was enacted. In August 2011, the Budget Control Act of 2011, among other things, led to aggregate reductions of Medicare payments to providers of 2% per fiscal year. These reductions went into effect in April 2013 and, due to subsequent legislative amendments to the statute, will remain in effect through 2030 unless additional action is taken by Congress. However, the Medicare sequester reductions under the Budget Control Act of 2011 have been suspended from May 1, 2020 through March 31, 2021 due to the COVID-19 pandemic. Proposed legislation, if passed, would extend this suspension until the end of the COVID-19 pandemic.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These new laws or any other similar laws introduced in the future may result in additional reductions in Medicare and other health care funding, which could negatively affect our customers and accordingly, our financial operations.</w:t>
      </w:r>
    </w:p>
    <w:p>
      <w:pPr>
        <w:spacing w:after="0" w:line="158" w:lineRule="exact"/>
        <w:rPr>
          <w:sz w:val="20"/>
          <w:szCs w:val="20"/>
          <w:color w:val="auto"/>
        </w:rPr>
      </w:pPr>
    </w:p>
    <w:p>
      <w:pPr>
        <w:ind w:firstLine="511"/>
        <w:spacing w:after="0" w:line="286" w:lineRule="auto"/>
        <w:rPr>
          <w:sz w:val="20"/>
          <w:szCs w:val="20"/>
          <w:color w:val="auto"/>
        </w:rPr>
      </w:pPr>
      <w:r>
        <w:rPr>
          <w:rFonts w:ascii="Arial" w:cs="Arial" w:eastAsia="Arial" w:hAnsi="Arial"/>
          <w:sz w:val="15"/>
          <w:szCs w:val="15"/>
          <w:color w:val="auto"/>
        </w:rPr>
        <w:t>There have also been a number of proposals in the United States to control the escalating cost of healthcare, including the cost of drug treatments, patient reimbursement constraints, discounts, restrictions on certain product access and marketing cost disclosure and transparency measures, and we expect that coverage and reimbursement for new therapies will be increasingly restricted. Recent U.S. Congressional inquiries and proposed and enacted federal and state legislation designed to, among other things, bring more transparency to drug pricing, review the relationship between pricing and manufacturer patient programs and reform government program reimbursement methodologies for drugs. Congress and the Trump administration have each indicated that it will continue to seek new legislative and/or administrative measures to control drug costs. On May 11, 2018, the Trump administration issued a plan to lower drug prices.</w:t>
      </w:r>
    </w:p>
    <w:p>
      <w:pPr>
        <w:spacing w:after="0" w:line="154" w:lineRule="exact"/>
        <w:rPr>
          <w:sz w:val="20"/>
          <w:szCs w:val="20"/>
          <w:color w:val="auto"/>
        </w:rPr>
      </w:pPr>
    </w:p>
    <w:p>
      <w:pPr>
        <w:ind w:firstLine="511"/>
        <w:spacing w:after="0" w:line="278" w:lineRule="auto"/>
        <w:rPr>
          <w:sz w:val="20"/>
          <w:szCs w:val="20"/>
          <w:color w:val="auto"/>
        </w:rPr>
      </w:pPr>
      <w:r>
        <w:rPr>
          <w:rFonts w:ascii="Arial" w:cs="Arial" w:eastAsia="Arial" w:hAnsi="Arial"/>
          <w:sz w:val="15"/>
          <w:szCs w:val="15"/>
          <w:color w:val="auto"/>
        </w:rPr>
        <w:t>We cannot predict the likelihood, nature or extent of government regulation that may arise from future legislation or administrative action in the United States, the European Union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 Furthermore, future price controls or other changes in pricing regulation or negative publicity related to the pricing of pharmaceutical drugs could restrict the amount that we are able to charge for our drug products, which could render our product candidates, if approved, commercially unviable and materially adversely affect our ability to raise additional capital on acceptable terms. On July 24, 2020 and September 13, 2020, former President Trump signed several executive orders aimed at lowering drug prices. As a result, the FDA released a final rule on September 24, 2020, effective November 30, 2020, providing guidance for states to build and submit importation plans for drugs from Canada. Further, on November 20, 2020, the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pending review by the Biden administration until March 22, 2021. On November 20, 2020, CMS issued an interim final rule implementing President Trump’s Most Favored Nation executive order, which would tie Medicare Part B payments for certain physician-administered drugs to the lowest price paid in other economically advanced countries, effective January 1, 2021. On December 28, 2020, the United States District Court in Northern California issued a nationwide preliminary injunction against implementation of the interim final rule. Congress and the Biden administration have indicated that they will continue to pursue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We cannot predict what initiatives may be adopted in the future. Further federal, state, and regional developments are likely, and we expect ongoing initiatives to increase pressure on drug pricing. These changes may adversely impact the prices we or our future collaborators may charge for our products candidates, if commercialized.</w:t>
      </w:r>
    </w:p>
    <w:p>
      <w:pPr>
        <w:spacing w:after="0" w:line="265" w:lineRule="exact"/>
        <w:rPr>
          <w:sz w:val="20"/>
          <w:szCs w:val="20"/>
          <w:color w:val="auto"/>
        </w:rPr>
      </w:pPr>
    </w:p>
    <w:p>
      <w:pPr>
        <w:ind w:right="480"/>
        <w:spacing w:after="0" w:line="260" w:lineRule="auto"/>
        <w:rPr>
          <w:sz w:val="20"/>
          <w:szCs w:val="20"/>
          <w:color w:val="auto"/>
        </w:rPr>
      </w:pPr>
      <w:r>
        <w:rPr>
          <w:rFonts w:ascii="Arial" w:cs="Arial" w:eastAsia="Arial" w:hAnsi="Arial"/>
          <w:sz w:val="17"/>
          <w:szCs w:val="17"/>
          <w:b w:val="1"/>
          <w:bCs w:val="1"/>
          <w:i w:val="1"/>
          <w:iCs w:val="1"/>
          <w:color w:val="auto"/>
        </w:rPr>
        <w:t>Obtaining and maintaining marketing approval or commercialization of our product candidates in one jurisdiction does not mean that we will be successful in obtaining marketing approval of our product candidates in other jurisdictions.</w:t>
      </w:r>
    </w:p>
    <w:p>
      <w:pPr>
        <w:spacing w:after="0" w:line="171" w:lineRule="exact"/>
        <w:rPr>
          <w:sz w:val="20"/>
          <w:szCs w:val="20"/>
          <w:color w:val="auto"/>
        </w:rPr>
      </w:pPr>
    </w:p>
    <w:p>
      <w:pPr>
        <w:jc w:val="both"/>
        <w:ind w:right="300" w:firstLine="511"/>
        <w:spacing w:after="0" w:line="292" w:lineRule="auto"/>
        <w:rPr>
          <w:sz w:val="20"/>
          <w:szCs w:val="20"/>
          <w:color w:val="auto"/>
        </w:rPr>
      </w:pPr>
      <w:r>
        <w:rPr>
          <w:rFonts w:ascii="Arial" w:cs="Arial" w:eastAsia="Arial" w:hAnsi="Arial"/>
          <w:sz w:val="15"/>
          <w:szCs w:val="15"/>
          <w:color w:val="auto"/>
        </w:rPr>
        <w:t>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65" w:name="page66"/>
    <w:bookmarkEnd w:id="65"/>
    <w:p>
      <w:pPr>
        <w:ind w:left="500"/>
        <w:spacing w:after="0"/>
        <w:rPr>
          <w:sz w:val="20"/>
          <w:szCs w:val="20"/>
          <w:color w:val="auto"/>
        </w:rPr>
      </w:pPr>
      <w:r>
        <w:rPr>
          <w:rFonts w:ascii="Arial" w:cs="Arial" w:eastAsia="Arial" w:hAnsi="Arial"/>
          <w:sz w:val="17"/>
          <w:szCs w:val="17"/>
          <w:color w:val="auto"/>
        </w:rPr>
        <w:t>If we market approved products outside the United States, we expect that we will be subject to additional risks in commercialization, including:</w:t>
      </w:r>
    </w:p>
    <w:p>
      <w:pPr>
        <w:spacing w:after="0" w:line="102" w:lineRule="exact"/>
        <w:rPr>
          <w:sz w:val="20"/>
          <w:szCs w:val="20"/>
          <w:color w:val="auto"/>
        </w:rPr>
      </w:pPr>
    </w:p>
    <w:p>
      <w:pPr>
        <w:ind w:left="1020" w:hanging="513"/>
        <w:spacing w:after="0"/>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different regulatory requirements for approval of therapies in foreign countries;</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reduced protection for intellectual property rights;</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unexpected changes in tariffs, trade barriers and regulatory requirements;</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economic weakness, including inflation, or political instability in particular foreign economies and markets;</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compliance with tax, employment, immigration and labor laws for employees living or traveling abroad;</w:t>
      </w:r>
    </w:p>
    <w:p>
      <w:pPr>
        <w:spacing w:after="0" w:line="101" w:lineRule="exact"/>
        <w:rPr>
          <w:rFonts w:ascii="Arial" w:cs="Arial" w:eastAsia="Arial" w:hAnsi="Arial"/>
          <w:sz w:val="17"/>
          <w:szCs w:val="17"/>
          <w:color w:val="auto"/>
        </w:rPr>
      </w:pPr>
    </w:p>
    <w:p>
      <w:pPr>
        <w:ind w:left="1020" w:right="160" w:hanging="513"/>
        <w:spacing w:after="0" w:line="260" w:lineRule="auto"/>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foreign currency fluctuations, which could result in increased operating expenses and reduced revenues, and other obligations incident to doing business in another country;</w:t>
      </w:r>
    </w:p>
    <w:p>
      <w:pPr>
        <w:spacing w:after="0" w:line="72" w:lineRule="exact"/>
        <w:rPr>
          <w:rFonts w:ascii="Arial" w:cs="Arial" w:eastAsia="Arial" w:hAnsi="Arial"/>
          <w:sz w:val="17"/>
          <w:szCs w:val="17"/>
          <w:color w:val="auto"/>
        </w:rPr>
      </w:pPr>
    </w:p>
    <w:p>
      <w:pPr>
        <w:ind w:left="1020" w:hanging="513"/>
        <w:spacing w:after="0"/>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foreign reimbursement, pricing and insurance regimes;</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workforce uncertainty in countries where labor unrest is more common than in the United States;</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production shortages resulting from any events affecting raw material supply or manufacturing capabilities abroad; and</w:t>
      </w:r>
    </w:p>
    <w:p>
      <w:pPr>
        <w:spacing w:after="0" w:line="101" w:lineRule="exact"/>
        <w:rPr>
          <w:rFonts w:ascii="Arial" w:cs="Arial" w:eastAsia="Arial" w:hAnsi="Arial"/>
          <w:sz w:val="17"/>
          <w:szCs w:val="17"/>
          <w:color w:val="auto"/>
        </w:rPr>
      </w:pPr>
    </w:p>
    <w:p>
      <w:pPr>
        <w:ind w:left="1020" w:right="60" w:hanging="513"/>
        <w:spacing w:after="0" w:line="326" w:lineRule="auto"/>
        <w:tabs>
          <w:tab w:leader="none" w:pos="10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business interruptions resulting from geopolitical actions, including war and terrorism, natural disasters including earthquakes, typhoons, floods and fires, and other public health crises, illnesses, epidemics or pandemics, such as the potential impact of the COVID-19 outbreak.</w:t>
      </w:r>
    </w:p>
    <w:p>
      <w:pPr>
        <w:spacing w:after="0" w:line="126" w:lineRule="exact"/>
        <w:rPr>
          <w:sz w:val="20"/>
          <w:szCs w:val="20"/>
          <w:color w:val="auto"/>
        </w:rPr>
      </w:pPr>
    </w:p>
    <w:p>
      <w:pPr>
        <w:jc w:val="both"/>
        <w:ind w:right="120" w:firstLine="511"/>
        <w:spacing w:after="0" w:line="251" w:lineRule="auto"/>
        <w:rPr>
          <w:sz w:val="20"/>
          <w:szCs w:val="20"/>
          <w:color w:val="auto"/>
        </w:rPr>
      </w:pPr>
      <w:r>
        <w:rPr>
          <w:rFonts w:ascii="Arial" w:cs="Arial" w:eastAsia="Arial" w:hAnsi="Arial"/>
          <w:sz w:val="17"/>
          <w:szCs w:val="17"/>
          <w:color w:val="auto"/>
        </w:rPr>
        <w:t>We have no prior experience in these areas. In addition, there are complex regulatory, tax, labor and other legal requirements imposed by many of the individual countries in which we may operate, with which we will need to comply. Any of the foregoing difficulties, if encountered, could materially adversely affect our business, financial condition, results of operations and growth prospects.</w:t>
      </w:r>
    </w:p>
    <w:p>
      <w:pPr>
        <w:spacing w:after="0" w:line="279" w:lineRule="exact"/>
        <w:rPr>
          <w:sz w:val="20"/>
          <w:szCs w:val="20"/>
          <w:color w:val="auto"/>
        </w:rPr>
      </w:pPr>
    </w:p>
    <w:p>
      <w:pPr>
        <w:ind w:right="180"/>
        <w:spacing w:after="0" w:line="326" w:lineRule="auto"/>
        <w:rPr>
          <w:sz w:val="20"/>
          <w:szCs w:val="20"/>
          <w:color w:val="auto"/>
        </w:rPr>
      </w:pPr>
      <w:r>
        <w:rPr>
          <w:rFonts w:ascii="Arial" w:cs="Arial" w:eastAsia="Arial" w:hAnsi="Arial"/>
          <w:sz w:val="15"/>
          <w:szCs w:val="15"/>
          <w:b w:val="1"/>
          <w:bCs w:val="1"/>
          <w:i w:val="1"/>
          <w:iCs w:val="1"/>
          <w:color w:val="auto"/>
        </w:rPr>
        <w:t>Our business operations and relationships with investigators, healthcare professionals, consultants, third-party payors, patient organizations and customers will be subject to applicable fraud and abuse and other healthcare laws and regulations, which could expose us to penalties.</w:t>
      </w:r>
    </w:p>
    <w:p>
      <w:pPr>
        <w:spacing w:after="0" w:line="126" w:lineRule="exact"/>
        <w:rPr>
          <w:sz w:val="20"/>
          <w:szCs w:val="20"/>
          <w:color w:val="auto"/>
        </w:rPr>
      </w:pPr>
    </w:p>
    <w:p>
      <w:pPr>
        <w:ind w:firstLine="511"/>
        <w:spacing w:after="0" w:line="282" w:lineRule="auto"/>
        <w:rPr>
          <w:sz w:val="20"/>
          <w:szCs w:val="20"/>
          <w:color w:val="auto"/>
        </w:rPr>
      </w:pPr>
      <w:r>
        <w:rPr>
          <w:rFonts w:ascii="Arial" w:cs="Arial" w:eastAsia="Arial" w:hAnsi="Arial"/>
          <w:sz w:val="15"/>
          <w:szCs w:val="15"/>
          <w:color w:val="auto"/>
        </w:rPr>
        <w:t>These laws may constrain the business or financial arrangements and relationships through which we conduct our operations, including how we research, market, sell and distribute our product candidates, if approved. Such laws include, the U.S. federal Anti-Kickback Statute, the U.S. federal civil and criminal false claims and civil monetary penalties laws, including the civil False Claims Act, the Health Information Technology for Economic and Clinical Health Act, the U.S. Physician Payments Sunshine Act and its implementing regulations, U.S. state laws and regulations, including, state anti-kickback and false claims laws,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laws and regulations that require drug manufacturers to file reports relating to pricing and marketing information, laws requiring the registration of pharmaceutical sales representatives, laws governing the privacy and security of health information in certain circumstances, and similar healthcare laws and regulations in other jurisdictions, including reporting requirements detailing interactions with and payments to healthcare providers.</w:t>
      </w:r>
    </w:p>
    <w:p>
      <w:pPr>
        <w:spacing w:after="0" w:line="158" w:lineRule="exact"/>
        <w:rPr>
          <w:sz w:val="20"/>
          <w:szCs w:val="20"/>
          <w:color w:val="auto"/>
        </w:rPr>
      </w:pPr>
    </w:p>
    <w:p>
      <w:pPr>
        <w:ind w:right="40" w:firstLine="511"/>
        <w:spacing w:after="0" w:line="280" w:lineRule="auto"/>
        <w:rPr>
          <w:sz w:val="20"/>
          <w:szCs w:val="20"/>
          <w:color w:val="auto"/>
        </w:rPr>
      </w:pPr>
      <w:r>
        <w:rPr>
          <w:rFonts w:ascii="Arial" w:cs="Arial" w:eastAsia="Arial" w:hAnsi="Arial"/>
          <w:sz w:val="15"/>
          <w:szCs w:val="15"/>
          <w:color w:val="auto"/>
        </w:rPr>
        <w:t>It is not always possible to identify and deter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Ensuring that our internal operations and future business arrangements with third parties comply with applicable healthcare laws and regulations will also involve substantial costs.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Any of the foregoing could significantly harm our business, financial condition, results of operations and growth prospects.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66" w:name="page67"/>
    <w:bookmarkEnd w:id="66"/>
    <w:p>
      <w:pPr>
        <w:spacing w:after="0"/>
        <w:rPr>
          <w:sz w:val="20"/>
          <w:szCs w:val="20"/>
          <w:color w:val="auto"/>
        </w:rPr>
      </w:pPr>
      <w:r>
        <w:rPr>
          <w:rFonts w:ascii="Arial" w:cs="Arial" w:eastAsia="Arial" w:hAnsi="Arial"/>
          <w:sz w:val="17"/>
          <w:szCs w:val="17"/>
          <w:b w:val="1"/>
          <w:bCs w:val="1"/>
          <w:i w:val="1"/>
          <w:iCs w:val="1"/>
          <w:color w:val="auto"/>
        </w:rPr>
        <w:t>We may fail to comply with evolving European and other privacy laws.</w:t>
      </w:r>
    </w:p>
    <w:p>
      <w:pPr>
        <w:spacing w:after="0" w:line="201" w:lineRule="exact"/>
        <w:rPr>
          <w:sz w:val="20"/>
          <w:szCs w:val="20"/>
          <w:color w:val="auto"/>
        </w:rPr>
      </w:pPr>
    </w:p>
    <w:p>
      <w:pPr>
        <w:ind w:right="40" w:firstLine="511"/>
        <w:spacing w:after="0" w:line="280" w:lineRule="auto"/>
        <w:rPr>
          <w:sz w:val="20"/>
          <w:szCs w:val="20"/>
          <w:color w:val="auto"/>
        </w:rPr>
      </w:pPr>
      <w:r>
        <w:rPr>
          <w:rFonts w:ascii="Arial" w:cs="Arial" w:eastAsia="Arial" w:hAnsi="Arial"/>
          <w:sz w:val="15"/>
          <w:szCs w:val="15"/>
          <w:color w:val="auto"/>
        </w:rPr>
        <w:t>If we conduct clinical trials in the European Economic Area, (“EEA”), we may be subject to additional privacy laws. The General Data Protection Regulation, (EU) 2016/679, (“GDPR”), imposes a broad range of strict requirements on companies subject to the GDPR, including requirements relating to having legal bases for processing personal information relating to identifiable individuals and transferring such information outside the EEA,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privacy and data protection officers, conducting data protection impact assessments, and record-keeping. The GDPR increases substantially the penalties to which we could be subject in the event of any non-compliance, including fines of up to 10,000,000 Euros or up to 2% of our total worldwide annual turnover for certain comparatively minor offenses, or up to 20,000,000 Euros or up to 4% of our total worldwide annual turnover for more serious offenses. Given the limited enforcement of the GDPR to date, we face uncertainty as to the exact interpretation of the new requirements on our trials and we may be unsuccessful in implementing all measures required by data protection authorities or courts in interpretation of the new law.</w:t>
      </w:r>
    </w:p>
    <w:p>
      <w:pPr>
        <w:spacing w:after="0" w:line="165" w:lineRule="exact"/>
        <w:rPr>
          <w:sz w:val="20"/>
          <w:szCs w:val="20"/>
          <w:color w:val="auto"/>
        </w:rPr>
      </w:pPr>
    </w:p>
    <w:p>
      <w:pPr>
        <w:ind w:firstLine="511"/>
        <w:spacing w:after="0" w:line="292" w:lineRule="auto"/>
        <w:rPr>
          <w:sz w:val="20"/>
          <w:szCs w:val="20"/>
          <w:color w:val="auto"/>
        </w:rPr>
      </w:pPr>
      <w:r>
        <w:rPr>
          <w:rFonts w:ascii="Arial" w:cs="Arial" w:eastAsia="Arial" w:hAnsi="Arial"/>
          <w:sz w:val="15"/>
          <w:szCs w:val="15"/>
          <w:color w:val="auto"/>
        </w:rPr>
        <w:t>In particular, national laws of member states of the European Union are in the process of being adapted to the requirements under the GDPR, thereby implementing national laws which may partially deviate from the GDPR and impose different obligations from country to country, so we do not expect to operate in a uniform legal landscape in the EU. Also, as it relates to processing and transfer of genetic data, the GDPR specifically allows national laws to impose additional and more specific requirements or restrictions, and European laws have historically differed quite substantially in this field, leading to additional uncertainty.</w:t>
      </w:r>
    </w:p>
    <w:p>
      <w:pPr>
        <w:spacing w:after="0" w:line="152" w:lineRule="exact"/>
        <w:rPr>
          <w:sz w:val="20"/>
          <w:szCs w:val="20"/>
          <w:color w:val="auto"/>
        </w:rPr>
      </w:pPr>
    </w:p>
    <w:p>
      <w:pPr>
        <w:ind w:firstLine="511"/>
        <w:spacing w:after="0" w:line="282" w:lineRule="auto"/>
        <w:rPr>
          <w:sz w:val="20"/>
          <w:szCs w:val="20"/>
          <w:color w:val="auto"/>
        </w:rPr>
      </w:pPr>
      <w:r>
        <w:rPr>
          <w:rFonts w:ascii="Arial" w:cs="Arial" w:eastAsia="Arial" w:hAnsi="Arial"/>
          <w:sz w:val="15"/>
          <w:szCs w:val="15"/>
          <w:color w:val="auto"/>
        </w:rPr>
        <w:t>In the event we conduct clinical trials in the EEA, we must also ensure that we implement and maintain adequate safeguards to enable the transfer of personal data outside of the EEA, in particular to the United States, in compliance with European data protection laws. We expect that we will continue to face uncertainty as to whether our efforts to comply with our obligations under European privacy laws will be sufficient. If we are investigated by a European data protection authority, we may face fines and other penalties. Any such investigation or charges by European data protection authorities could have a negative effect on our existing business and on our ability to attract and retain new clients or pharmaceutical partners. We may also experience hesitancy, reluctance, or refusal by European or multi-national clients or pharmaceutical partners to continue to use our products and solutions due to the potential risk exposure as a result of the current and, in particular, future data protection obligations imposed on them by certain data protection authorities in interpretation of current law, including the GDPR. Such clients or pharmaceutical partners may also view any alternative approaches to compliance as being too costly, too burdensome, too legally uncertain, or otherwise objectionable and therefore decide not to do business with us. Any of the foregoing could materially harm our business, prospects, financial condition and results of operations.</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Common Stock</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for our common stock may be volatile, which could contribute to the loss of all or part of your investment.*</w:t>
      </w:r>
    </w:p>
    <w:p>
      <w:pPr>
        <w:spacing w:after="0" w:line="201" w:lineRule="exact"/>
        <w:rPr>
          <w:sz w:val="20"/>
          <w:szCs w:val="20"/>
          <w:color w:val="auto"/>
        </w:rPr>
      </w:pPr>
    </w:p>
    <w:p>
      <w:pPr>
        <w:ind w:left="500"/>
        <w:spacing w:after="0"/>
        <w:rPr>
          <w:sz w:val="20"/>
          <w:szCs w:val="20"/>
          <w:color w:val="auto"/>
        </w:rPr>
      </w:pPr>
      <w:r>
        <w:rPr>
          <w:rFonts w:ascii="Arial" w:cs="Arial" w:eastAsia="Arial" w:hAnsi="Arial"/>
          <w:sz w:val="15"/>
          <w:szCs w:val="15"/>
          <w:color w:val="auto"/>
        </w:rPr>
        <w:t>The trading price of our common stock is likely to be highly volatile and subject to wide fluctuations in response to various factors, some of which are beyond our</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control.</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Factors affecting the trading price of our common stock may include, but are not limited to:</w:t>
      </w:r>
    </w:p>
    <w:p>
      <w:pPr>
        <w:spacing w:after="0" w:line="102" w:lineRule="exact"/>
        <w:rPr>
          <w:sz w:val="20"/>
          <w:szCs w:val="20"/>
          <w:color w:val="auto"/>
        </w:rPr>
      </w:pPr>
    </w:p>
    <w:p>
      <w:pPr>
        <w:ind w:left="1020" w:hanging="513"/>
        <w:spacing w:after="0"/>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decision to initiate a clinical study, not to initiate a clinical study or to terminate an existing clinical study;</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delays in the announcement of initial data or clinical results from our clinical trials or expectations that such delays may occur;</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adverse regulatory decisions, including failure to receive regulatory approval for our products;</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success or failure of competitive products, immunotherapy drugs or cellular therapies more generally;</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adverse developments concerning our manufacturers or our strategic partnerships;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67" w:name="page68"/>
    <w:bookmarkEnd w:id="67"/>
    <w:p>
      <w:pPr>
        <w:ind w:left="1020" w:right="460" w:hanging="513"/>
        <w:spacing w:after="0" w:line="260" w:lineRule="auto"/>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adverse safety or other clinical results, such as those that have occurred in the past or that may occur in the future, related to cellular therapies being developed by other companies that are or may be perceived to be similar to our cellular therapies;</w:t>
      </w:r>
    </w:p>
    <w:p>
      <w:pPr>
        <w:spacing w:after="0" w:line="72" w:lineRule="exact"/>
        <w:rPr>
          <w:rFonts w:ascii="Arial" w:cs="Arial" w:eastAsia="Arial" w:hAnsi="Arial"/>
          <w:sz w:val="17"/>
          <w:szCs w:val="17"/>
          <w:color w:val="auto"/>
        </w:rPr>
      </w:pPr>
    </w:p>
    <w:p>
      <w:pPr>
        <w:ind w:left="1020" w:hanging="513"/>
        <w:spacing w:after="0"/>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operating and stock price performance of other companies that investors deem comparable to us;</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sales of substantial amounts of common stock by our directors, executive officers or significant stockholders or the perception that such sales could occur;</w:t>
      </w:r>
    </w:p>
    <w:p>
      <w:pPr>
        <w:spacing w:after="0" w:line="124" w:lineRule="exact"/>
        <w:rPr>
          <w:rFonts w:ascii="Arial" w:cs="Arial" w:eastAsia="Arial" w:hAnsi="Arial"/>
          <w:sz w:val="15"/>
          <w:szCs w:val="15"/>
          <w:color w:val="auto"/>
        </w:rPr>
      </w:pPr>
    </w:p>
    <w:p>
      <w:pPr>
        <w:ind w:left="1020" w:hanging="513"/>
        <w:spacing w:after="0" w:line="326" w:lineRule="auto"/>
        <w:tabs>
          <w:tab w:leader="none" w:pos="10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general economic and political conditions such as recessions, interest rates, fuel prices, elections, drug pricing policies, international currency fluctuations, acts of war or terrorism, and other public health crises, illnesses, epidemics or pandemics, such as the potential impact of the COVID-19 outbreak; and</w:t>
      </w:r>
    </w:p>
    <w:p>
      <w:pPr>
        <w:spacing w:after="0" w:line="27" w:lineRule="exact"/>
        <w:rPr>
          <w:rFonts w:ascii="Arial" w:cs="Arial" w:eastAsia="Arial" w:hAnsi="Arial"/>
          <w:sz w:val="15"/>
          <w:szCs w:val="15"/>
          <w:color w:val="auto"/>
        </w:rPr>
      </w:pPr>
    </w:p>
    <w:p>
      <w:pPr>
        <w:ind w:left="1020" w:hanging="513"/>
        <w:spacing w:after="0"/>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other factors discussed in these risk factors.</w:t>
      </w:r>
    </w:p>
    <w:p>
      <w:pPr>
        <w:spacing w:after="0" w:line="201" w:lineRule="exact"/>
        <w:rPr>
          <w:sz w:val="20"/>
          <w:szCs w:val="20"/>
          <w:color w:val="auto"/>
        </w:rPr>
      </w:pPr>
    </w:p>
    <w:p>
      <w:pPr>
        <w:ind w:right="200" w:firstLine="511"/>
        <w:spacing w:after="0" w:line="251" w:lineRule="auto"/>
        <w:rPr>
          <w:sz w:val="20"/>
          <w:szCs w:val="20"/>
          <w:color w:val="auto"/>
        </w:rPr>
      </w:pPr>
      <w:r>
        <w:rPr>
          <w:rFonts w:ascii="Arial" w:cs="Arial" w:eastAsia="Arial" w:hAnsi="Arial"/>
          <w:sz w:val="17"/>
          <w:szCs w:val="17"/>
          <w:color w:val="auto"/>
        </w:rPr>
        <w:t>Any of the factors listed above could materially adversely affect your investment in our common stock, and our common stock may trade at prices significantly below the initial public offering price or the price at which you purchased the stock, which could contribute to a loss of all or part of your investment. In such circumstances the trading price of our common stock may not recover and may experience a further decline.</w:t>
      </w:r>
    </w:p>
    <w:p>
      <w:pPr>
        <w:spacing w:after="0" w:line="180" w:lineRule="exact"/>
        <w:rPr>
          <w:sz w:val="20"/>
          <w:szCs w:val="20"/>
          <w:color w:val="auto"/>
        </w:rPr>
      </w:pPr>
    </w:p>
    <w:p>
      <w:pPr>
        <w:ind w:right="60" w:firstLine="511"/>
        <w:spacing w:after="0" w:line="280" w:lineRule="auto"/>
        <w:rPr>
          <w:sz w:val="20"/>
          <w:szCs w:val="20"/>
          <w:color w:val="auto"/>
        </w:rPr>
      </w:pPr>
      <w:r>
        <w:rPr>
          <w:rFonts w:ascii="Arial" w:cs="Arial" w:eastAsia="Arial" w:hAnsi="Arial"/>
          <w:sz w:val="15"/>
          <w:szCs w:val="15"/>
          <w:color w:val="auto"/>
        </w:rPr>
        <w:t>In addition, broad market and industry factors could materially adversely affect the market price of our common stock, irrespective of our operating performance. The stock market in general, and Nasdaq and the market for biotechnology companies in particular, have experienced extreme price and volume fluctuations that have often been unrelated or disproportionate to the operating performance of the particular companies affected. The trading prices and valuations of these stocks, and of ours, may not be predictable. For instance, technical factors in the public trading market for our common stock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common stock, access to margin debt, and trading in options and other derivatives on our common stock. In addition, the trading prices for common stock of other biopharmaceutical and biotechnology companies have been highly volatile as a result of the COVID-19 pandemic. The COVID-19 outbreak continues to rapidly evolve. The full extent to which the outbreak may impact our business, preclinical studies and clinical trials will depend on future developments, which are highly uncertain and cannot be predicted with confidence. A loss of investor confidence in the market for biotechnology or pharmaceutical stocks or the stocks of other companies which investors perceive to be similar to us, the opportunities in the biotechnology and pharmaceutical market or the stock market in general, could depress our stock price regardless of our business, financial condition, results of operations or growth prospects.</w:t>
      </w:r>
    </w:p>
    <w:p>
      <w:pPr>
        <w:spacing w:after="0" w:line="261" w:lineRule="exact"/>
        <w:rPr>
          <w:sz w:val="20"/>
          <w:szCs w:val="20"/>
          <w:color w:val="auto"/>
        </w:rPr>
      </w:pPr>
    </w:p>
    <w:p>
      <w:pPr>
        <w:ind w:right="240"/>
        <w:spacing w:after="0" w:line="260" w:lineRule="auto"/>
        <w:rPr>
          <w:sz w:val="20"/>
          <w:szCs w:val="20"/>
          <w:color w:val="auto"/>
        </w:rPr>
      </w:pPr>
      <w:r>
        <w:rPr>
          <w:rFonts w:ascii="Arial" w:cs="Arial" w:eastAsia="Arial" w:hAnsi="Arial"/>
          <w:sz w:val="17"/>
          <w:szCs w:val="17"/>
          <w:b w:val="1"/>
          <w:bCs w:val="1"/>
          <w:i w:val="1"/>
          <w:iCs w:val="1"/>
          <w:color w:val="auto"/>
        </w:rPr>
        <w:t>Concentration of ownership of our shares of common stock among our existing executive officers, directors and principal stockholders may prevent new investors from influencing significant corporate decisions.*</w:t>
      </w:r>
    </w:p>
    <w:p>
      <w:pPr>
        <w:spacing w:after="0" w:line="171" w:lineRule="exact"/>
        <w:rPr>
          <w:sz w:val="20"/>
          <w:szCs w:val="20"/>
          <w:color w:val="auto"/>
        </w:rPr>
      </w:pPr>
    </w:p>
    <w:p>
      <w:pPr>
        <w:ind w:right="60" w:firstLine="511"/>
        <w:spacing w:after="0" w:line="301" w:lineRule="auto"/>
        <w:rPr>
          <w:sz w:val="20"/>
          <w:szCs w:val="20"/>
          <w:color w:val="auto"/>
        </w:rPr>
      </w:pPr>
      <w:r>
        <w:rPr>
          <w:rFonts w:ascii="Arial" w:cs="Arial" w:eastAsia="Arial" w:hAnsi="Arial"/>
          <w:sz w:val="15"/>
          <w:szCs w:val="15"/>
          <w:color w:val="auto"/>
        </w:rPr>
        <w:t>As of November 8, 2021, our directors and executive officers, and entities affiliated with them, as well as holders of more than 5% of our outstanding shares of common stock, in the aggregate beneficially own 63% of our common stock. These stockholders, acting together, are able to control or significantly influence all matters requiring stockholder approval, including the election and removal of directors and approval of any merger, consolidation or sale of all or substantially all of our assets.</w:t>
      </w:r>
    </w:p>
    <w:p>
      <w:pPr>
        <w:spacing w:after="0" w:line="144" w:lineRule="exact"/>
        <w:rPr>
          <w:sz w:val="20"/>
          <w:szCs w:val="20"/>
          <w:color w:val="auto"/>
        </w:rPr>
      </w:pPr>
    </w:p>
    <w:p>
      <w:pPr>
        <w:ind w:right="180" w:firstLine="511"/>
        <w:spacing w:after="0" w:line="301" w:lineRule="auto"/>
        <w:rPr>
          <w:sz w:val="20"/>
          <w:szCs w:val="20"/>
          <w:color w:val="auto"/>
        </w:rPr>
      </w:pPr>
      <w:r>
        <w:rPr>
          <w:rFonts w:ascii="Arial" w:cs="Arial" w:eastAsia="Arial" w:hAnsi="Arial"/>
          <w:sz w:val="15"/>
          <w:szCs w:val="15"/>
          <w:color w:val="auto"/>
        </w:rPr>
        <w:t>Some of these persons or entities may have interests different from yours. For example, because many of these stockholders purchased their shares at prices substantially below the price at which shares were sold in the IPO and have held their shares for a longer period, they may be more interested in selling our company to an acquirer than other investors, or they may want us to pursue strategies that deviate from the interests of other stockholders.</w:t>
      </w:r>
    </w:p>
    <w:p>
      <w:pPr>
        <w:spacing w:after="0" w:line="243" w:lineRule="exact"/>
        <w:rPr>
          <w:sz w:val="20"/>
          <w:szCs w:val="20"/>
          <w:color w:val="auto"/>
        </w:rPr>
      </w:pPr>
    </w:p>
    <w:p>
      <w:pPr>
        <w:ind w:right="640"/>
        <w:spacing w:after="0" w:line="260" w:lineRule="auto"/>
        <w:rPr>
          <w:sz w:val="20"/>
          <w:szCs w:val="20"/>
          <w:color w:val="auto"/>
        </w:rPr>
      </w:pPr>
      <w:r>
        <w:rPr>
          <w:rFonts w:ascii="Arial" w:cs="Arial" w:eastAsia="Arial" w:hAnsi="Arial"/>
          <w:sz w:val="17"/>
          <w:szCs w:val="17"/>
          <w:b w:val="1"/>
          <w:bCs w:val="1"/>
          <w:i w:val="1"/>
          <w:iCs w:val="1"/>
          <w:color w:val="auto"/>
        </w:rPr>
        <w:t>A significant portion of our total outstanding shares are eligible to be sold into the market, which could cause the market price of our common stock to drop significantly.*</w:t>
      </w:r>
    </w:p>
    <w:p>
      <w:pPr>
        <w:spacing w:after="0" w:line="171" w:lineRule="exact"/>
        <w:rPr>
          <w:sz w:val="20"/>
          <w:szCs w:val="20"/>
          <w:color w:val="auto"/>
        </w:rPr>
      </w:pPr>
    </w:p>
    <w:p>
      <w:pPr>
        <w:ind w:right="420" w:firstLine="511"/>
        <w:spacing w:after="0" w:line="251"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in the market that the holders of a large number of stockholders intend to sell shares of our common stock, could reduce the market price of our common stock. As of November 8, 2021, we had 32,949,415 shares of common stock outstanding.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68" w:name="page69"/>
    <w:bookmarkEnd w:id="68"/>
    <w:p>
      <w:pPr>
        <w:ind w:right="60" w:firstLine="511"/>
        <w:spacing w:after="0" w:line="284" w:lineRule="auto"/>
        <w:rPr>
          <w:sz w:val="20"/>
          <w:szCs w:val="20"/>
          <w:color w:val="auto"/>
        </w:rPr>
      </w:pPr>
      <w:r>
        <w:rPr>
          <w:rFonts w:ascii="Arial" w:cs="Arial" w:eastAsia="Arial" w:hAnsi="Arial"/>
          <w:sz w:val="15"/>
          <w:szCs w:val="15"/>
          <w:color w:val="auto"/>
        </w:rPr>
        <w:t>Holders of an aggregate of 14,689,215 shares of common stock, including with respect to shares of our convertible preferred stock that converted into shares of our common stock upon the completion of the IPO,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Rule 144 under the Securities Act, or until the rights terminate pursuant to the terms of the stockholders agreement between us and such holders. We have also registered all shares of common stock subject to equity awards issued or reserved for future issuance under our equity compensation plans on registration statements on Form S-8, and these shares can be freely sold in the public market upon issuance, subject to volume limitations applicable to affiliates under Rule 144 under the Securities Act. Any sales of securities by these stockholders could have a negative impact on the trading price of our common stock.</w:t>
      </w:r>
    </w:p>
    <w:p>
      <w:pPr>
        <w:spacing w:after="0" w:line="256" w:lineRule="exact"/>
        <w:rPr>
          <w:sz w:val="20"/>
          <w:szCs w:val="20"/>
          <w:color w:val="auto"/>
        </w:rPr>
      </w:pPr>
    </w:p>
    <w:p>
      <w:pPr>
        <w:ind w:right="20"/>
        <w:spacing w:after="0" w:line="367" w:lineRule="auto"/>
        <w:rPr>
          <w:sz w:val="20"/>
          <w:szCs w:val="20"/>
          <w:color w:val="auto"/>
        </w:rPr>
      </w:pPr>
      <w:r>
        <w:rPr>
          <w:rFonts w:ascii="Arial" w:cs="Arial" w:eastAsia="Arial" w:hAnsi="Arial"/>
          <w:sz w:val="14"/>
          <w:szCs w:val="14"/>
          <w:b w:val="1"/>
          <w:bCs w:val="1"/>
          <w:i w:val="1"/>
          <w:iCs w:val="1"/>
          <w:color w:val="auto"/>
        </w:rPr>
        <w:t>We are an “emerging growth company” under the JOBS Act and a “smaller reporting company” and we rely on exemptions from certain disclosure and governance requirements applicable to emerging growth companies and smaller reporting companies, as a result of which our common stock may be less attractive to investors.*</w:t>
      </w:r>
    </w:p>
    <w:p>
      <w:pPr>
        <w:spacing w:after="0" w:line="102" w:lineRule="exact"/>
        <w:rPr>
          <w:sz w:val="20"/>
          <w:szCs w:val="20"/>
          <w:color w:val="auto"/>
        </w:rPr>
      </w:pPr>
    </w:p>
    <w:p>
      <w:pPr>
        <w:ind w:right="200" w:firstLine="511"/>
        <w:spacing w:after="0" w:line="247" w:lineRule="auto"/>
        <w:rPr>
          <w:sz w:val="20"/>
          <w:szCs w:val="20"/>
          <w:color w:val="auto"/>
        </w:rPr>
      </w:pPr>
      <w:r>
        <w:rPr>
          <w:rFonts w:ascii="Arial" w:cs="Arial" w:eastAsia="Arial" w:hAnsi="Arial"/>
          <w:sz w:val="17"/>
          <w:szCs w:val="17"/>
          <w:color w:val="auto"/>
        </w:rPr>
        <w:t>We may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We may take advantage of these reporting exemptions until we are no longer an emerging growth company. We will remain an emerging growth company until</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the earlier to occur of (1) the last day of the fiscal year (a) following the fifth anniversary of our IPO, (b) in which we have total annual gross revenue of at least</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$1.07 billion or (c) in which we are deemed to be a “large accelerated filer” under the rules of the SEC, which means the market value of our common stock that is held</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by non-affiliates exceeds $700 million as of the prior June 30; and (2) the date on which we have issued more than $1.0 billion in non-convertible debt during the prior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three-year period.</w:t>
      </w:r>
    </w:p>
    <w:p>
      <w:pPr>
        <w:spacing w:after="0" w:line="190" w:lineRule="exact"/>
        <w:rPr>
          <w:sz w:val="20"/>
          <w:szCs w:val="20"/>
          <w:color w:val="auto"/>
        </w:rPr>
      </w:pPr>
    </w:p>
    <w:p>
      <w:pPr>
        <w:ind w:right="180" w:firstLine="511"/>
        <w:spacing w:after="0" w:line="292" w:lineRule="auto"/>
        <w:rPr>
          <w:sz w:val="20"/>
          <w:szCs w:val="20"/>
          <w:color w:val="auto"/>
        </w:rPr>
      </w:pPr>
      <w:r>
        <w:rPr>
          <w:rFonts w:ascii="Arial" w:cs="Arial" w:eastAsia="Arial" w:hAnsi="Arial"/>
          <w:sz w:val="15"/>
          <w:szCs w:val="15"/>
          <w:color w:val="auto"/>
        </w:rPr>
        <w:t>We have taken advantage of reduced reporting burdens in this Quarterly Report on Form 10-Q. In addition, Section 107 of the JOBS Act provides that an emerging growth company can take advantage of the extended transition period provided in Section 7(a)(2)(B) of the Securities Act for complying with new or revised accounting standards. An emerging growth company can, therefore, delay the adoption of certain accounting standards until those standards would otherwise apply to private companies. We have an irrevocable election not to take advantage of the benefits of this extended transition period.</w:t>
      </w:r>
    </w:p>
    <w:p>
      <w:pPr>
        <w:spacing w:after="0" w:line="152" w:lineRule="exact"/>
        <w:rPr>
          <w:sz w:val="20"/>
          <w:szCs w:val="20"/>
          <w:color w:val="auto"/>
        </w:rPr>
      </w:pPr>
    </w:p>
    <w:p>
      <w:pPr>
        <w:ind w:right="60" w:firstLine="511"/>
        <w:spacing w:after="0" w:line="282" w:lineRule="auto"/>
        <w:rPr>
          <w:sz w:val="20"/>
          <w:szCs w:val="20"/>
          <w:color w:val="auto"/>
        </w:rPr>
      </w:pPr>
      <w:r>
        <w:rPr>
          <w:rFonts w:ascii="Arial" w:cs="Arial" w:eastAsia="Arial" w:hAnsi="Arial"/>
          <w:sz w:val="15"/>
          <w:szCs w:val="15"/>
          <w:color w:val="auto"/>
        </w:rPr>
        <w:t>We are also a “smaller reporting company,” meaning that the market value of our stock held by non-affiliates is less than $700 million and our annual revenue is less than $100 million during the most recently completed fiscal year. We may continue to be a smaller reporting company after either (i) the market value of our stock held by non-affiliates is less than $250 million or (ii) our annual revenue is less than $100 million during the most recently completed fiscal year and the market value of our stock held by non-affiliates is less than $700 million. Even after we no longer qualify as an emerging growth company, we may still qualify as a smaller reporting company and would be permitted to continue to take advantage of many of the same reporting exemptions, including exemption from compliance with the auditor attestation requirements of Section 404(b) of the Sarbanes-Oxley Act as long as we do not otherwise also qualify as an “accelerated filer” or “large accelerated filer” for SEC reporting purposes and reduced disclosure obligations regarding executive compensation in our periodic reports and proxy statements. We cannot predict if investors will find our common stock less attractive if we rely on emerging growth company or smaller reporting company exemptions. If some investors find our common stock less attractive as a result, there may be a less active trading market for our common stock and our stock price may be more volatile.</w:t>
      </w:r>
    </w:p>
    <w:p>
      <w:pPr>
        <w:spacing w:after="0" w:line="257" w:lineRule="exact"/>
        <w:rPr>
          <w:sz w:val="20"/>
          <w:szCs w:val="20"/>
          <w:color w:val="auto"/>
        </w:rPr>
      </w:pPr>
    </w:p>
    <w:p>
      <w:pPr>
        <w:ind w:right="240"/>
        <w:spacing w:after="0" w:line="260" w:lineRule="auto"/>
        <w:rPr>
          <w:sz w:val="20"/>
          <w:szCs w:val="20"/>
          <w:color w:val="auto"/>
        </w:rPr>
      </w:pPr>
      <w:r>
        <w:rPr>
          <w:rFonts w:ascii="Arial" w:cs="Arial" w:eastAsia="Arial" w:hAnsi="Arial"/>
          <w:sz w:val="17"/>
          <w:szCs w:val="17"/>
          <w:b w:val="1"/>
          <w:bCs w:val="1"/>
          <w:i w:val="1"/>
          <w:iCs w:val="1"/>
          <w:color w:val="auto"/>
        </w:rPr>
        <w:t>Our severance and change in control agreements with our executive officers may require us to pay severance benefits to any of those persons who are terminated, which could materially adversely affect our financial condition or results of operations.</w:t>
      </w:r>
    </w:p>
    <w:p>
      <w:pPr>
        <w:spacing w:after="0" w:line="171" w:lineRule="exact"/>
        <w:rPr>
          <w:sz w:val="20"/>
          <w:szCs w:val="20"/>
          <w:color w:val="auto"/>
        </w:rPr>
      </w:pPr>
    </w:p>
    <w:p>
      <w:pPr>
        <w:ind w:firstLine="511"/>
        <w:spacing w:after="0" w:line="286" w:lineRule="auto"/>
        <w:rPr>
          <w:sz w:val="20"/>
          <w:szCs w:val="20"/>
          <w:color w:val="auto"/>
        </w:rPr>
      </w:pPr>
      <w:r>
        <w:rPr>
          <w:rFonts w:ascii="Arial" w:cs="Arial" w:eastAsia="Arial" w:hAnsi="Arial"/>
          <w:sz w:val="15"/>
          <w:szCs w:val="15"/>
          <w:color w:val="auto"/>
        </w:rPr>
        <w:t>Our executive officers are parties to agreements that contain certain change in control and severance provisions. The agreements provide for cash payments for severance and other benefits in the event of a termination of employment that is not in connection with a change in control of us. They also provide for cash payments for severance and other benefits and acceleration of stock options vesting in the event of a termination of employment in connection with a change in control of us. The accelerated vesting of options could result in dilution to our existing stockholders and could materially adversely affect the market price of our common stock. The payment of these severance benefits could materially adversely affect our financial condition and results of operations. In addition, these potential severance payments may discourage or prevent third parties from seeking a business combination with us.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69" w:name="page70"/>
    <w:bookmarkEnd w:id="69"/>
    <w:p>
      <w:pPr>
        <w:spacing w:after="0"/>
        <w:rPr>
          <w:sz w:val="20"/>
          <w:szCs w:val="20"/>
          <w:color w:val="auto"/>
        </w:rPr>
      </w:pPr>
      <w:r>
        <w:rPr>
          <w:rFonts w:ascii="Arial" w:cs="Arial" w:eastAsia="Arial" w:hAnsi="Arial"/>
          <w:sz w:val="17"/>
          <w:szCs w:val="17"/>
          <w:b w:val="1"/>
          <w:bCs w:val="1"/>
          <w:i w:val="1"/>
          <w:iCs w:val="1"/>
          <w:color w:val="auto"/>
        </w:rPr>
        <w:t>Our ability to use our net operating loss carryovers and certain other tax attributes may be limited.</w:t>
      </w:r>
    </w:p>
    <w:p>
      <w:pPr>
        <w:spacing w:after="0" w:line="201" w:lineRule="exact"/>
        <w:rPr>
          <w:sz w:val="20"/>
          <w:szCs w:val="20"/>
          <w:color w:val="auto"/>
        </w:rPr>
      </w:pPr>
    </w:p>
    <w:p>
      <w:pPr>
        <w:ind w:right="40" w:firstLine="511"/>
        <w:spacing w:after="0" w:line="280" w:lineRule="auto"/>
        <w:rPr>
          <w:sz w:val="20"/>
          <w:szCs w:val="20"/>
          <w:color w:val="auto"/>
        </w:rPr>
      </w:pPr>
      <w:r>
        <w:rPr>
          <w:rFonts w:ascii="Arial" w:cs="Arial" w:eastAsia="Arial" w:hAnsi="Arial"/>
          <w:sz w:val="15"/>
          <w:szCs w:val="15"/>
          <w:color w:val="auto"/>
        </w:rPr>
        <w:t>As described above under “We have incurred significant losses since our inception, and we expect to continue to incur significant losses for the foreseeable future,” we have incurred net losses since our inception and anticipate that we will continue to incur significant losses for the foreseeable future. Under the Internal Revenue Code of 1986 (“the Code”), a corporation is generally allowed a deduction for net operating losses (“NOLs”) carried over from a prior taxable year. Under that provision, we can carry forward our NOLs to offset our future taxable income, if any, until such NOLs are used or expire, in the case of NOLs generated prior to 2018. The same is true of other unused tax attributes, such as tax credits. The amounts of our unused carryovers of NOLs and tax credits as of December 31, 2017, and a description of the valuation allowance we have recorded with respect to those items, are set forth below under “Management’s Discussion and Analysis of Financial Condition and Results of Operations.” In addition, under the Tax Act, the amount of post-2017 NOLs that we are permitted to deduct in any taxable year is limited to 80% of our taxable income in such year, where taxable income is determined without regard to the NOL deduction itself. The Tax Act generally eliminates the ability to carry back any NOL to prior taxable years, while allowing post-2017 unused NOLs to be carried forward indefinitely. Recently enacted legislation, the Coronavirus Aid, Relief and Economic Security Act, or the CARES Act, temporarily reverses the limitations imposed by the Tax Act by suspending the 80% taxable income limitation to permit a corporation to offset without limitation its taxable income in 2019 or 2020 with NOL carryforwards generated in prior years. The CARES Act also allows NOLs generated in tax years 2018-2020 to be carried back up to five years.</w:t>
      </w:r>
    </w:p>
    <w:p>
      <w:pPr>
        <w:spacing w:after="0" w:line="162" w:lineRule="exact"/>
        <w:rPr>
          <w:sz w:val="20"/>
          <w:szCs w:val="20"/>
          <w:color w:val="auto"/>
        </w:rPr>
      </w:pPr>
    </w:p>
    <w:p>
      <w:pPr>
        <w:ind w:firstLine="511"/>
        <w:spacing w:after="0" w:line="282" w:lineRule="auto"/>
        <w:rPr>
          <w:sz w:val="20"/>
          <w:szCs w:val="20"/>
          <w:color w:val="auto"/>
        </w:rPr>
      </w:pPr>
      <w:r>
        <w:rPr>
          <w:rFonts w:ascii="Arial" w:cs="Arial" w:eastAsia="Arial" w:hAnsi="Arial"/>
          <w:sz w:val="15"/>
          <w:szCs w:val="15"/>
          <w:color w:val="auto"/>
        </w:rPr>
        <w:t>Furthermore, if a corporation undergoes an “ownership change,” generally defined as a greater than 50% change (by value) in its equity ownership over a three-year period, Sections 382 and 383 of the Code limit the corporation’s ability to use carryovers of its pre-change NOLs, credits and certain other tax attributes to reduce its tax liability for periods after the ownership change. Our issuance of common stock pursuant to our IPO may result in a limitation under Sections 382 and 383 of the Code, either separately or in combination with certain prior or subsequent shifts in the ownership of our common stock. As a result, our ability to use carryovers of our pre-change NOLs and credits to reduce our future U.S. federal income tax liability may be subject to limitations. This could result in increased U.S. federal income tax liability for us if we generate taxable income in a future period. Limitations on the use of NOLs and other tax attributes could also increase our state tax liability. The use of our tax attributes will also be limited to the extent that we do not generate positive taxable income in future tax periods. To the extent our ability to utilize our NOLs and other tax assets going forward is limited, in part or altogether, our tax liability for future periods may be greater than expected, and our business, financial condition, results of operations and growth prospects may be materially adversely affected.</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expect to pay any cash dividends to the holders of our common stock for the foreseeable future.</w:t>
      </w:r>
    </w:p>
    <w:p>
      <w:pPr>
        <w:spacing w:after="0" w:line="201" w:lineRule="exact"/>
        <w:rPr>
          <w:sz w:val="20"/>
          <w:szCs w:val="20"/>
          <w:color w:val="auto"/>
        </w:rPr>
      </w:pPr>
    </w:p>
    <w:p>
      <w:pPr>
        <w:ind w:right="120" w:firstLine="511"/>
        <w:spacing w:after="0" w:line="248" w:lineRule="auto"/>
        <w:rPr>
          <w:sz w:val="20"/>
          <w:szCs w:val="20"/>
          <w:color w:val="auto"/>
        </w:rPr>
      </w:pPr>
      <w:r>
        <w:rPr>
          <w:rFonts w:ascii="Arial" w:cs="Arial" w:eastAsia="Arial" w:hAnsi="Arial"/>
          <w:sz w:val="17"/>
          <w:szCs w:val="17"/>
          <w:color w:val="auto"/>
        </w:rPr>
        <w:t>We currently intend to invest our future earnings, if any, to fund our growth. In addition, the terms of any future debt agreements may preclude us from paying dividends. As a result, capital appreciation, if any, of our common stock will be your sole source of gain for the foreseeable future. There is no guarantee that our common stock will appreciate in value or even maintain the price at which our stockholders have purchased our common stock. Investors seeking cash dividends should not purchase our common stock.</w:t>
      </w:r>
    </w:p>
    <w:p>
      <w:pPr>
        <w:spacing w:after="0" w:line="282" w:lineRule="exact"/>
        <w:rPr>
          <w:sz w:val="20"/>
          <w:szCs w:val="20"/>
          <w:color w:val="auto"/>
        </w:rPr>
      </w:pPr>
    </w:p>
    <w:p>
      <w:pPr>
        <w:ind w:right="40"/>
        <w:spacing w:after="0" w:line="367" w:lineRule="auto"/>
        <w:rPr>
          <w:sz w:val="20"/>
          <w:szCs w:val="20"/>
          <w:color w:val="auto"/>
        </w:rPr>
      </w:pPr>
      <w:r>
        <w:rPr>
          <w:rFonts w:ascii="Arial" w:cs="Arial" w:eastAsia="Arial" w:hAnsi="Arial"/>
          <w:sz w:val="14"/>
          <w:szCs w:val="14"/>
          <w:b w:val="1"/>
          <w:bCs w:val="1"/>
          <w:i w:val="1"/>
          <w:iCs w:val="1"/>
          <w:color w:val="auto"/>
        </w:rPr>
        <w:t>Provisions in our certificate of incorporation, our bylaws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102" w:lineRule="exact"/>
        <w:rPr>
          <w:sz w:val="20"/>
          <w:szCs w:val="20"/>
          <w:color w:val="auto"/>
        </w:rPr>
      </w:pPr>
    </w:p>
    <w:p>
      <w:pPr>
        <w:ind w:right="440" w:firstLine="511"/>
        <w:spacing w:after="0" w:line="260" w:lineRule="auto"/>
        <w:rPr>
          <w:sz w:val="20"/>
          <w:szCs w:val="20"/>
          <w:color w:val="auto"/>
        </w:rPr>
      </w:pPr>
      <w:r>
        <w:rPr>
          <w:rFonts w:ascii="Arial" w:cs="Arial" w:eastAsia="Arial" w:hAnsi="Arial"/>
          <w:sz w:val="17"/>
          <w:szCs w:val="17"/>
          <w:color w:val="auto"/>
        </w:rPr>
        <w:t>Our certificate of incorporation, bylaws and Delaware law contain provisions that may have the effect of delaying or preventing a change in control of us or changes in our management. Our certificate of incorporation and bylaws include provisions that:</w:t>
      </w:r>
    </w:p>
    <w:p>
      <w:pPr>
        <w:spacing w:after="0" w:line="72" w:lineRule="exact"/>
        <w:rPr>
          <w:sz w:val="20"/>
          <w:szCs w:val="20"/>
          <w:color w:val="auto"/>
        </w:rPr>
      </w:pPr>
    </w:p>
    <w:p>
      <w:pPr>
        <w:ind w:left="1020" w:right="760" w:hanging="513"/>
        <w:spacing w:after="0" w:line="260" w:lineRule="auto"/>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authorize “blank check” preferred stock, which could be issued by our board of directors without stockholder approval and may contain voting, liquidation, dividend and other rights superior to our common stock;</w:t>
      </w:r>
    </w:p>
    <w:p>
      <w:pPr>
        <w:spacing w:after="0" w:line="171" w:lineRule="exact"/>
        <w:rPr>
          <w:rFonts w:ascii="Arial" w:cs="Arial" w:eastAsia="Arial" w:hAnsi="Arial"/>
          <w:sz w:val="17"/>
          <w:szCs w:val="17"/>
          <w:color w:val="auto"/>
        </w:rPr>
      </w:pPr>
    </w:p>
    <w:p>
      <w:pPr>
        <w:ind w:left="1020" w:right="140" w:hanging="513"/>
        <w:spacing w:after="0" w:line="260" w:lineRule="auto"/>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establish a classified board of directors such that not all members of the board are elected at one time, which may delay the ability of our stockholders to change the membership of a majority of our board of directors;</w:t>
      </w:r>
    </w:p>
    <w:p>
      <w:pPr>
        <w:spacing w:after="0" w:line="171" w:lineRule="exact"/>
        <w:rPr>
          <w:rFonts w:ascii="Arial" w:cs="Arial" w:eastAsia="Arial" w:hAnsi="Arial"/>
          <w:sz w:val="17"/>
          <w:szCs w:val="17"/>
          <w:color w:val="auto"/>
        </w:rPr>
      </w:pPr>
    </w:p>
    <w:p>
      <w:pPr>
        <w:ind w:left="1020" w:right="100" w:hanging="513"/>
        <w:spacing w:after="0" w:line="260" w:lineRule="auto"/>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specify that only our board of directors, the Chairperson of our board of directors, our Chief Executive Officer or the President, or holders of greater than 10% of our common stock can call special meetings of our stockholders;</w:t>
      </w:r>
    </w:p>
    <w:p>
      <w:pPr>
        <w:spacing w:after="0" w:line="171" w:lineRule="exact"/>
        <w:rPr>
          <w:rFonts w:ascii="Arial" w:cs="Arial" w:eastAsia="Arial" w:hAnsi="Arial"/>
          <w:sz w:val="17"/>
          <w:szCs w:val="17"/>
          <w:color w:val="auto"/>
        </w:rPr>
      </w:pPr>
    </w:p>
    <w:p>
      <w:pPr>
        <w:ind w:left="1020" w:right="680" w:hanging="513"/>
        <w:spacing w:after="0" w:line="260" w:lineRule="auto"/>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establish an advance notice procedure for stockholder approvals to be brought before an annual meeting of our stockholders, including proposed nominations of persons for election to our board of directors;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70" w:name="page71"/>
    <w:bookmarkEnd w:id="70"/>
    <w:p>
      <w:pPr>
        <w:ind w:left="1020" w:hanging="513"/>
        <w:spacing w:after="0"/>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provide that a majority of directors then in office, even though less than a quorum, may fill vacancies on our board of directors;</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specify that no stockholder is permitted to cumulate votes at any election of directors;</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expressly authorize our board of directors to modify, alter or repeal our bylaws; and</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require supermajority votes of the holders of our common stock to amend specified provisions of our Certificate of Incorporation and bylaws.</w:t>
      </w:r>
    </w:p>
    <w:p>
      <w:pPr>
        <w:spacing w:after="0" w:line="22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These provisions, alone or together, could delay or prevent hostile takeovers and changes in control or changes in our management.</w:t>
      </w:r>
    </w:p>
    <w:p>
      <w:pPr>
        <w:spacing w:after="0" w:line="201" w:lineRule="exact"/>
        <w:rPr>
          <w:sz w:val="20"/>
          <w:szCs w:val="20"/>
          <w:color w:val="auto"/>
        </w:rPr>
      </w:pPr>
    </w:p>
    <w:p>
      <w:pPr>
        <w:ind w:right="180" w:firstLine="511"/>
        <w:spacing w:after="0" w:line="326" w:lineRule="auto"/>
        <w:rPr>
          <w:sz w:val="20"/>
          <w:szCs w:val="20"/>
          <w:color w:val="auto"/>
        </w:rPr>
      </w:pPr>
      <w:r>
        <w:rPr>
          <w:rFonts w:ascii="Arial" w:cs="Arial" w:eastAsia="Arial" w:hAnsi="Arial"/>
          <w:sz w:val="15"/>
          <w:szCs w:val="15"/>
          <w:color w:val="auto"/>
        </w:rPr>
        <w:t>In addition, because we are incorporated in the State of Delaware, we are governed by the provisions of Section 203 of the Delaware General Corporation Law, which limits the ability of stockholders owning in excess of 15% of our outstanding voting stock to merge or combine with us.</w:t>
      </w:r>
    </w:p>
    <w:p>
      <w:pPr>
        <w:spacing w:after="0" w:line="126" w:lineRule="exact"/>
        <w:rPr>
          <w:sz w:val="20"/>
          <w:szCs w:val="20"/>
          <w:color w:val="auto"/>
        </w:rPr>
      </w:pPr>
    </w:p>
    <w:p>
      <w:pPr>
        <w:ind w:right="400" w:firstLine="511"/>
        <w:spacing w:after="0" w:line="326" w:lineRule="auto"/>
        <w:rPr>
          <w:sz w:val="20"/>
          <w:szCs w:val="20"/>
          <w:color w:val="auto"/>
        </w:rPr>
      </w:pPr>
      <w:r>
        <w:rPr>
          <w:rFonts w:ascii="Arial" w:cs="Arial" w:eastAsia="Arial" w:hAnsi="Arial"/>
          <w:sz w:val="15"/>
          <w:szCs w:val="15"/>
          <w:color w:val="auto"/>
        </w:rPr>
        <w:t>Any provision of our certificate of incorporation or bylaws or Delaware law that has the effect of delaying or deterring a change in control could limit your opportunity to receive a premium for your shares of our common stock, and could also affect the price that some investors are willing to pay for our common stock.</w:t>
      </w:r>
    </w:p>
    <w:p>
      <w:pPr>
        <w:spacing w:after="0" w:line="225"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b w:val="1"/>
          <w:bCs w:val="1"/>
          <w:i w:val="1"/>
          <w:iCs w:val="1"/>
          <w:color w:val="auto"/>
        </w:rPr>
        <w:t>Our certificate of incorporation includes a forum selection clause, which could limit our stockholders’ ability to obtain a favorable judicial forum for disputes with us.</w:t>
      </w:r>
    </w:p>
    <w:p>
      <w:pPr>
        <w:spacing w:after="0" w:line="171" w:lineRule="exact"/>
        <w:rPr>
          <w:sz w:val="20"/>
          <w:szCs w:val="20"/>
          <w:color w:val="auto"/>
        </w:rPr>
      </w:pPr>
    </w:p>
    <w:p>
      <w:pPr>
        <w:ind w:right="200" w:firstLine="511"/>
        <w:spacing w:after="0" w:line="260" w:lineRule="auto"/>
        <w:rPr>
          <w:sz w:val="20"/>
          <w:szCs w:val="20"/>
          <w:color w:val="auto"/>
        </w:rPr>
      </w:pPr>
      <w:r>
        <w:rPr>
          <w:rFonts w:ascii="Arial" w:cs="Arial" w:eastAsia="Arial" w:hAnsi="Arial"/>
          <w:sz w:val="17"/>
          <w:szCs w:val="17"/>
          <w:color w:val="auto"/>
        </w:rPr>
        <w:t>Our Certificate of Incorporation provides that, subject to limited exceptions, the Court of Chancery of the State of Delaware (or, if no state court located within the State of Delaware has jurisdiction, the federal district court for the District of Delaware) will be the exclusive forum for any:</w:t>
      </w:r>
    </w:p>
    <w:p>
      <w:pPr>
        <w:spacing w:after="0" w:line="72" w:lineRule="exact"/>
        <w:rPr>
          <w:sz w:val="20"/>
          <w:szCs w:val="20"/>
          <w:color w:val="auto"/>
        </w:rPr>
      </w:pPr>
    </w:p>
    <w:p>
      <w:pPr>
        <w:ind w:left="1020" w:hanging="513"/>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derivative action or proceeding brought on our behalf;</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action asserting a claim of breach of a fiduciary duty owed by any of our directors, officers or other employees to us or our stockholders;</w:t>
      </w:r>
    </w:p>
    <w:p>
      <w:pPr>
        <w:spacing w:after="0" w:line="101" w:lineRule="exact"/>
        <w:rPr>
          <w:rFonts w:ascii="Arial" w:cs="Arial" w:eastAsia="Arial" w:hAnsi="Arial"/>
          <w:sz w:val="17"/>
          <w:szCs w:val="17"/>
          <w:color w:val="auto"/>
        </w:rPr>
      </w:pPr>
    </w:p>
    <w:p>
      <w:pPr>
        <w:ind w:left="1020" w:right="360" w:hanging="513"/>
        <w:spacing w:after="0" w:line="260" w:lineRule="auto"/>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action asserting a claim against us arising pursuant to any provision of the Delaware General Corporation Law, our certificate of incorporation or our bylaws; or</w:t>
      </w:r>
    </w:p>
    <w:p>
      <w:pPr>
        <w:spacing w:after="0" w:line="72" w:lineRule="exact"/>
        <w:rPr>
          <w:rFonts w:ascii="Arial" w:cs="Arial" w:eastAsia="Arial" w:hAnsi="Arial"/>
          <w:sz w:val="17"/>
          <w:szCs w:val="17"/>
          <w:color w:val="auto"/>
        </w:rPr>
      </w:pPr>
    </w:p>
    <w:p>
      <w:pPr>
        <w:ind w:left="1020" w:hanging="513"/>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other action asserting a claim against us that is governed by the internal affairs doctrine.</w:t>
      </w:r>
    </w:p>
    <w:p>
      <w:pPr>
        <w:spacing w:after="0" w:line="201" w:lineRule="exact"/>
        <w:rPr>
          <w:sz w:val="20"/>
          <w:szCs w:val="20"/>
          <w:color w:val="auto"/>
        </w:rPr>
      </w:pPr>
    </w:p>
    <w:p>
      <w:pPr>
        <w:ind w:right="100" w:firstLine="511"/>
        <w:spacing w:after="0" w:line="248" w:lineRule="auto"/>
        <w:rPr>
          <w:sz w:val="20"/>
          <w:szCs w:val="20"/>
          <w:color w:val="auto"/>
        </w:rPr>
      </w:pPr>
      <w:r>
        <w:rPr>
          <w:rFonts w:ascii="Arial" w:cs="Arial" w:eastAsia="Arial" w:hAnsi="Arial"/>
          <w:sz w:val="17"/>
          <w:szCs w:val="17"/>
          <w:color w:val="auto"/>
        </w:rPr>
        <w:t>This exclusive forum provision is intended to apply to claims arising under Delaware state law and is not intended to apply to claims brought pursuant to the Exchange Act or the Securities Act, or any other claim for which the federal courts have exclusive jurisdiction. This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83" w:lineRule="exact"/>
        <w:rPr>
          <w:sz w:val="20"/>
          <w:szCs w:val="20"/>
          <w:color w:val="auto"/>
        </w:rPr>
      </w:pPr>
    </w:p>
    <w:p>
      <w:pPr>
        <w:ind w:firstLine="511"/>
        <w:spacing w:after="0" w:line="246" w:lineRule="auto"/>
        <w:rPr>
          <w:sz w:val="20"/>
          <w:szCs w:val="20"/>
          <w:color w:val="auto"/>
        </w:rPr>
      </w:pPr>
      <w:r>
        <w:rPr>
          <w:rFonts w:ascii="Arial" w:cs="Arial" w:eastAsia="Arial" w:hAnsi="Arial"/>
          <w:sz w:val="17"/>
          <w:szCs w:val="17"/>
          <w:color w:val="auto"/>
        </w:rPr>
        <w:t>Our certificate of incorporation further provides that the federal district courts of the United States of America will be the exclusive forum for resolving any complaint asserting a cause of action arising under the Securities Act. Section 22 of the Securities Act creates concurrent jurisdiction for federal and state courts over all suits brought to enforce any duty or liability created by the Securities Act or the rules and regulations thereunder. The Delaware Supreme Court recently determined that the exclusive forum provision of federal district courts of the United States of America for resolving any complaint asserting a cause of action arising under the Securities Act is permissible and enforceable under Delaware law, reversing an earlier decision from the Court of Chancery of the State of Delaware that had ruled that such provisions were not enforceable. Nevertheless, there is uncertainty as to whether a federal district court would enforce any exclusive forum provision with respect to claims under the Securities Act.</w:t>
      </w:r>
    </w:p>
    <w:p>
      <w:pPr>
        <w:spacing w:after="0" w:line="183" w:lineRule="exact"/>
        <w:rPr>
          <w:sz w:val="20"/>
          <w:szCs w:val="20"/>
          <w:color w:val="auto"/>
        </w:rPr>
      </w:pPr>
    </w:p>
    <w:p>
      <w:pPr>
        <w:ind w:firstLine="511"/>
        <w:spacing w:after="0" w:line="286" w:lineRule="auto"/>
        <w:rPr>
          <w:sz w:val="20"/>
          <w:szCs w:val="20"/>
          <w:color w:val="auto"/>
        </w:rPr>
      </w:pPr>
      <w:r>
        <w:rPr>
          <w:rFonts w:ascii="Arial" w:cs="Arial" w:eastAsia="Arial" w:hAnsi="Arial"/>
          <w:sz w:val="15"/>
          <w:szCs w:val="15"/>
          <w:color w:val="auto"/>
        </w:rPr>
        <w:t>Any person or entity purchasing or otherwise acquiring any interest in shares of our capital stock shall be deemed to have notice of and to have consented to the provisions of our bylaws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Certificate of Incorporation inapplicable to, or unenforceable in respect of, one or more of the specified types of actions or proceedings, we may incur additional costs associated with resolving such matters in other jurisdictions, which could materially adversely affect our business, financial condition, results of operation and growth prospects.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20"/>
          </w:cols>
          <w:pgMar w:left="320" w:top="424" w:right="359" w:bottom="1440" w:gutter="0" w:footer="0" w:header="0"/>
        </w:sectPr>
      </w:pPr>
    </w:p>
    <w:bookmarkStart w:id="71" w:name="page72"/>
    <w:bookmarkEnd w:id="71"/>
    <w:p>
      <w:pPr>
        <w:spacing w:after="0"/>
        <w:rPr>
          <w:sz w:val="20"/>
          <w:szCs w:val="20"/>
          <w:color w:val="auto"/>
        </w:rPr>
      </w:pPr>
      <w:r>
        <w:rPr>
          <w:rFonts w:ascii="Arial" w:cs="Arial" w:eastAsia="Arial" w:hAnsi="Arial"/>
          <w:sz w:val="17"/>
          <w:szCs w:val="17"/>
          <w:b w:val="1"/>
          <w:bCs w:val="1"/>
          <w:color w:val="auto"/>
        </w:rPr>
        <w:t>General Risk Factors</w:t>
      </w:r>
    </w:p>
    <w:p>
      <w:pPr>
        <w:spacing w:after="0" w:line="304"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b w:val="1"/>
          <w:bCs w:val="1"/>
          <w:i w:val="1"/>
          <w:iCs w:val="1"/>
          <w:color w:val="auto"/>
        </w:rPr>
        <w:t>Any acquisitions or strategic collaborations may increase our capital requirements, dilute our stockholders, cause us to incur debt or assume contingent liabilities or subject us to other risks.</w:t>
      </w:r>
    </w:p>
    <w:p>
      <w:pPr>
        <w:spacing w:after="0" w:line="171" w:lineRule="exact"/>
        <w:rPr>
          <w:sz w:val="20"/>
          <w:szCs w:val="20"/>
          <w:color w:val="auto"/>
        </w:rPr>
      </w:pPr>
    </w:p>
    <w:p>
      <w:pPr>
        <w:ind w:right="40" w:firstLine="511"/>
        <w:spacing w:after="0" w:line="326" w:lineRule="auto"/>
        <w:rPr>
          <w:sz w:val="20"/>
          <w:szCs w:val="20"/>
          <w:color w:val="auto"/>
        </w:rPr>
      </w:pPr>
      <w:r>
        <w:rPr>
          <w:rFonts w:ascii="Arial" w:cs="Arial" w:eastAsia="Arial" w:hAnsi="Arial"/>
          <w:sz w:val="15"/>
          <w:szCs w:val="15"/>
          <w:color w:val="auto"/>
        </w:rPr>
        <w:t>From time to time, we may evaluate various acquisitions and strategic collaborations, including licensing or acquiring complementary drugs, intellectual property rights, technologies or businesses. Any potential acquisition or strategic partnership may entail numerous risks, including, but not limited to:</w:t>
      </w:r>
    </w:p>
    <w:p>
      <w:pPr>
        <w:spacing w:after="0" w:line="27" w:lineRule="exact"/>
        <w:rPr>
          <w:sz w:val="20"/>
          <w:szCs w:val="20"/>
          <w:color w:val="auto"/>
        </w:rPr>
      </w:pPr>
    </w:p>
    <w:p>
      <w:pPr>
        <w:ind w:left="1020" w:hanging="513"/>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increased operating expenses and cash requirements;</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assumption of indebtedness or contingent or unknown liabilities;</w:t>
      </w:r>
    </w:p>
    <w:p>
      <w:pPr>
        <w:spacing w:after="0" w:line="101" w:lineRule="exact"/>
        <w:rPr>
          <w:rFonts w:ascii="Arial" w:cs="Arial" w:eastAsia="Arial" w:hAnsi="Arial"/>
          <w:sz w:val="17"/>
          <w:szCs w:val="17"/>
          <w:color w:val="auto"/>
        </w:rPr>
      </w:pPr>
    </w:p>
    <w:p>
      <w:pPr>
        <w:ind w:left="1020" w:hanging="513"/>
        <w:spacing w:after="0"/>
        <w:tabs>
          <w:tab w:leader="none" w:pos="10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assimilation of operations, intellectual property and drugs of an acquired company, including difficulties associated with integrating new personnel;</w:t>
      </w:r>
    </w:p>
    <w:p>
      <w:pPr>
        <w:spacing w:after="0" w:line="124" w:lineRule="exact"/>
        <w:rPr>
          <w:rFonts w:ascii="Arial" w:cs="Arial" w:eastAsia="Arial" w:hAnsi="Arial"/>
          <w:sz w:val="15"/>
          <w:szCs w:val="15"/>
          <w:color w:val="auto"/>
        </w:rPr>
      </w:pPr>
    </w:p>
    <w:p>
      <w:pPr>
        <w:ind w:left="1020" w:hanging="513"/>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adequately prosecuting and maintaining protection of any acquired intellectual property rights;</w:t>
      </w:r>
    </w:p>
    <w:p>
      <w:pPr>
        <w:spacing w:after="0" w:line="101" w:lineRule="exact"/>
        <w:rPr>
          <w:rFonts w:ascii="Arial" w:cs="Arial" w:eastAsia="Arial" w:hAnsi="Arial"/>
          <w:sz w:val="17"/>
          <w:szCs w:val="17"/>
          <w:color w:val="auto"/>
        </w:rPr>
      </w:pPr>
    </w:p>
    <w:p>
      <w:pPr>
        <w:ind w:left="1020" w:right="780" w:hanging="513"/>
        <w:spacing w:after="0" w:line="260" w:lineRule="auto"/>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diversion of our management’s attention from our existing drug programs and initiatives in pursuing such a strategic partnership, merger or acquisition;</w:t>
      </w:r>
    </w:p>
    <w:p>
      <w:pPr>
        <w:spacing w:after="0" w:line="72" w:lineRule="exact"/>
        <w:rPr>
          <w:rFonts w:ascii="Arial" w:cs="Arial" w:eastAsia="Arial" w:hAnsi="Arial"/>
          <w:sz w:val="17"/>
          <w:szCs w:val="17"/>
          <w:color w:val="auto"/>
        </w:rPr>
      </w:pPr>
    </w:p>
    <w:p>
      <w:pPr>
        <w:ind w:left="1020" w:hanging="513"/>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retention of key employees, the loss of key personnel, and uncertainties about our ability to maintain key business relationships;</w:t>
      </w:r>
    </w:p>
    <w:p>
      <w:pPr>
        <w:spacing w:after="0" w:line="101" w:lineRule="exact"/>
        <w:rPr>
          <w:rFonts w:ascii="Arial" w:cs="Arial" w:eastAsia="Arial" w:hAnsi="Arial"/>
          <w:sz w:val="17"/>
          <w:szCs w:val="17"/>
          <w:color w:val="auto"/>
        </w:rPr>
      </w:pPr>
    </w:p>
    <w:p>
      <w:pPr>
        <w:ind w:left="1020" w:right="520" w:hanging="513"/>
        <w:spacing w:after="0" w:line="260" w:lineRule="auto"/>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risks and uncertainties associated with the other party to such a transaction, including the prospects of that party and their existing drugs or product candidates and regulatory approvals; and</w:t>
      </w:r>
    </w:p>
    <w:p>
      <w:pPr>
        <w:spacing w:after="0" w:line="72" w:lineRule="exact"/>
        <w:rPr>
          <w:rFonts w:ascii="Arial" w:cs="Arial" w:eastAsia="Arial" w:hAnsi="Arial"/>
          <w:sz w:val="17"/>
          <w:szCs w:val="17"/>
          <w:color w:val="auto"/>
        </w:rPr>
      </w:pPr>
    </w:p>
    <w:p>
      <w:pPr>
        <w:ind w:left="1020" w:right="360" w:hanging="513"/>
        <w:spacing w:after="0" w:line="260" w:lineRule="auto"/>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inability to generate revenue from acquired drugs, intellectual property rights, technologies, and/or businesses sufficient to meet our objectives in undertaking the acquisition or even to offset the associated acquisition and maintenance costs.</w:t>
      </w:r>
    </w:p>
    <w:p>
      <w:pPr>
        <w:spacing w:after="0" w:line="171" w:lineRule="exact"/>
        <w:rPr>
          <w:sz w:val="20"/>
          <w:szCs w:val="20"/>
          <w:color w:val="auto"/>
        </w:rPr>
      </w:pPr>
    </w:p>
    <w:p>
      <w:pPr>
        <w:ind w:right="620" w:firstLine="511"/>
        <w:spacing w:after="0" w:line="301" w:lineRule="auto"/>
        <w:rPr>
          <w:sz w:val="20"/>
          <w:szCs w:val="20"/>
          <w:color w:val="auto"/>
        </w:rPr>
      </w:pPr>
      <w:r>
        <w:rPr>
          <w:rFonts w:ascii="Arial" w:cs="Arial" w:eastAsia="Arial" w:hAnsi="Arial"/>
          <w:sz w:val="15"/>
          <w:szCs w:val="15"/>
          <w:color w:val="auto"/>
        </w:rPr>
        <w:t>In addition, if we engage in acquisitions or strategic partnerships, we may issue dilutive securities, assume or incur debt obligations, incur large one-time expenses or acquire intangible assets that could result in significant future amortization expense. Moreover, we may not be able to locate suitable acquisition opportunities, and this inability could impair our growth or limit access to technology or drugs that may be important to the development of our business.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could be subject to securities class action litigation.</w:t>
      </w:r>
    </w:p>
    <w:p>
      <w:pPr>
        <w:spacing w:after="0" w:line="201" w:lineRule="exact"/>
        <w:rPr>
          <w:sz w:val="20"/>
          <w:szCs w:val="20"/>
          <w:color w:val="auto"/>
        </w:rPr>
      </w:pPr>
    </w:p>
    <w:p>
      <w:pPr>
        <w:ind w:right="360" w:firstLine="511"/>
        <w:spacing w:after="0" w:line="248" w:lineRule="auto"/>
        <w:rPr>
          <w:sz w:val="20"/>
          <w:szCs w:val="20"/>
          <w:color w:val="auto"/>
        </w:rPr>
      </w:pPr>
      <w:r>
        <w:rPr>
          <w:rFonts w:ascii="Arial" w:cs="Arial" w:eastAsia="Arial" w:hAnsi="Arial"/>
          <w:sz w:val="17"/>
          <w:szCs w:val="17"/>
          <w:color w:val="auto"/>
        </w:rPr>
        <w:t>In the past, securities class action litigation has often been brought against a company following a period of volatility or decline in the market price of its securities. This risk is especially relevant for us because biotechnology companies have experienced significant stock price volatility in recent years. If we face such litigation, it could result in substantial costs and a diversion of management’s attention and resources, which could materially adversely affect our business, financial condition, results of operation and growth prospects.</w:t>
      </w:r>
    </w:p>
    <w:p>
      <w:pPr>
        <w:spacing w:after="0" w:line="282"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b w:val="1"/>
          <w:bCs w:val="1"/>
          <w:i w:val="1"/>
          <w:iCs w:val="1"/>
          <w:color w:val="auto"/>
        </w:rPr>
        <w:t>If securities analysts do not publish research or reports about our business or if they publish negative reports or downgrade our stock, the price of our common stock could decline.</w:t>
      </w:r>
    </w:p>
    <w:p>
      <w:pPr>
        <w:spacing w:after="0" w:line="171" w:lineRule="exact"/>
        <w:rPr>
          <w:sz w:val="20"/>
          <w:szCs w:val="20"/>
          <w:color w:val="auto"/>
        </w:rPr>
      </w:pPr>
    </w:p>
    <w:p>
      <w:pPr>
        <w:ind w:firstLine="511"/>
        <w:spacing w:after="0" w:line="286" w:lineRule="auto"/>
        <w:rPr>
          <w:sz w:val="20"/>
          <w:szCs w:val="20"/>
          <w:color w:val="auto"/>
        </w:rPr>
      </w:pPr>
      <w:r>
        <w:rPr>
          <w:rFonts w:ascii="Arial" w:cs="Arial" w:eastAsia="Arial" w:hAnsi="Arial"/>
          <w:sz w:val="15"/>
          <w:szCs w:val="15"/>
          <w:color w:val="auto"/>
        </w:rPr>
        <w:t>The trading market for our common stock relies in part on the research and reports that industry or financial analysts publish about us, our business, our markets and our competitors. We do not control these analysts. If securities analysts do not cover our common stock, the lack of research coverage may materially adversely affect the market price of our common stock. Furthermore, if one or more of the analysts who do cover us downgrade our stock or if those analysts issue other unfavorable commentary about us or our business, our stock price would likely decline. If one or more of these analysts cease coverage of us or fails to regularly publish reports on us, we could lose visibility in the market and interest in our stock could decrease, which in turn could cause our stock price or trading volume to decline and may also impair our ability to expand our business with existing customers and attract new customers.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619" w:right="339" w:bottom="1440" w:gutter="0" w:footer="0" w:header="0"/>
        </w:sectPr>
      </w:pPr>
    </w:p>
    <w:bookmarkStart w:id="72" w:name="page73"/>
    <w:bookmarkEnd w:id="72"/>
    <w:p>
      <w:pPr>
        <w:ind w:right="380"/>
        <w:spacing w:after="0" w:line="260" w:lineRule="auto"/>
        <w:rPr>
          <w:sz w:val="20"/>
          <w:szCs w:val="20"/>
          <w:color w:val="auto"/>
        </w:rPr>
      </w:pPr>
      <w:r>
        <w:rPr>
          <w:rFonts w:ascii="Arial" w:cs="Arial" w:eastAsia="Arial" w:hAnsi="Arial"/>
          <w:sz w:val="17"/>
          <w:szCs w:val="17"/>
          <w:b w:val="1"/>
          <w:bCs w:val="1"/>
          <w:i w:val="1"/>
          <w:iCs w:val="1"/>
          <w:color w:val="auto"/>
        </w:rPr>
        <w:t>We incur significant increased costs as a result of operating as a public company, and our management is required to devote substantial time to new compliance initiatives.</w:t>
      </w:r>
    </w:p>
    <w:p>
      <w:pPr>
        <w:spacing w:after="0" w:line="171" w:lineRule="exact"/>
        <w:rPr>
          <w:sz w:val="20"/>
          <w:szCs w:val="20"/>
          <w:color w:val="auto"/>
        </w:rPr>
      </w:pPr>
    </w:p>
    <w:p>
      <w:pPr>
        <w:ind w:right="40" w:firstLine="511"/>
        <w:spacing w:after="0" w:line="247" w:lineRule="auto"/>
        <w:rPr>
          <w:sz w:val="20"/>
          <w:szCs w:val="20"/>
          <w:color w:val="auto"/>
        </w:rPr>
      </w:pPr>
      <w:r>
        <w:rPr>
          <w:rFonts w:ascii="Arial" w:cs="Arial" w:eastAsia="Arial" w:hAnsi="Arial"/>
          <w:sz w:val="17"/>
          <w:szCs w:val="17"/>
          <w:color w:val="auto"/>
        </w:rPr>
        <w:t>As a public company, we incur significant legal, accounting and other expenses that we did not incur as a private company. In addition, the Sarbanes-Oxley Act and rules of the SEC and those of Nasdaq have imposed various requirements on public companies including that we establish and maintain effective disclosure and financial controls. Our management and other personnel have devoted and will continue to devote a substantial amount of time to these compliance initiatives. Moreover, these rules and regulations have increased and will continue to increase our legal and financial compliance costs and will make some activities more time-consuming and costly.</w:t>
      </w:r>
    </w:p>
    <w:p>
      <w:pPr>
        <w:spacing w:after="0" w:line="184" w:lineRule="exact"/>
        <w:rPr>
          <w:sz w:val="20"/>
          <w:szCs w:val="20"/>
          <w:color w:val="auto"/>
        </w:rPr>
      </w:pPr>
    </w:p>
    <w:p>
      <w:pPr>
        <w:ind w:firstLine="511"/>
        <w:spacing w:after="0" w:line="280" w:lineRule="auto"/>
        <w:rPr>
          <w:sz w:val="20"/>
          <w:szCs w:val="20"/>
          <w:color w:val="auto"/>
        </w:rPr>
      </w:pPr>
      <w:r>
        <w:rPr>
          <w:rFonts w:ascii="Arial" w:cs="Arial" w:eastAsia="Arial" w:hAnsi="Arial"/>
          <w:sz w:val="15"/>
          <w:szCs w:val="15"/>
          <w:color w:val="auto"/>
        </w:rPr>
        <w:t>The Sarbanes-Oxley Act requires, among other things, that we maintain effective internal control over financial reporting and disclosure controls and procedures following an initial transition period available to public companies. In particular, beginning with our fiscal year ending December 31, 2021, we must evaluate our systems and procedures, and test our internal control over financial reporting to allow management to report on the effectiveness of our internal control over financial reporting, as required by Section 404 of the Sarbanes-Oxley Act. In addition, we will be required to have our independent registered public accounting firm attest to the effectiveness of our internal control over financial reporting in the later of our second annual report on Form 10-K or the first annual report on Form 10-K following the date on which we are no longer an emerging growth company unless we are a smaller reporting company and do not otherwise also qualify as an “accelerated filer” or “large accelerated filer” for SEC reporting purposes. Our compliance with Section 404 of the Sarbanes-Oxley Act will require that we incur substantial accounting expense and expend significant management efforts. We currently do not have an internal audit group, and we will need to hire additional accounting and financial staff with appropriate public company experience and technical accounting knowledge. If we do not comply with the requirements of Section 404 in a timely manner, or if we or our independent registered public accounting firm identify deficiencies in our internal control over financial reporting that are deemed to be material weaknesses, the market price of our stock could decline and we could be subject to sanctions or investigations by Nasdaq, the SEC or other regulatory authorities, which would require additional financial and management resources.</w:t>
      </w:r>
    </w:p>
    <w:p>
      <w:pPr>
        <w:spacing w:after="0" w:line="162" w:lineRule="exact"/>
        <w:rPr>
          <w:sz w:val="20"/>
          <w:szCs w:val="20"/>
          <w:color w:val="auto"/>
        </w:rPr>
      </w:pPr>
    </w:p>
    <w:p>
      <w:pPr>
        <w:ind w:right="40" w:firstLine="511"/>
        <w:spacing w:after="0" w:line="246" w:lineRule="auto"/>
        <w:rPr>
          <w:sz w:val="20"/>
          <w:szCs w:val="20"/>
          <w:color w:val="auto"/>
        </w:rPr>
      </w:pPr>
      <w:r>
        <w:rPr>
          <w:rFonts w:ascii="Arial" w:cs="Arial" w:eastAsia="Arial" w:hAnsi="Arial"/>
          <w:sz w:val="17"/>
          <w:szCs w:val="17"/>
          <w:color w:val="auto"/>
        </w:rPr>
        <w:t>To successfully implement our business plan and comply with Section 404, we must prepare timely and accurate financial statements. We expect that we will need to continue to improve existing procedures and controls, and implement new operational and financial systems,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and to obtain an unqualified report on internal controls from our auditors as required under Section 404 of the Sarbanes-Oxley Act. This, in turn, could materially adversely affect the trading prices for our common stock and our ability to access the capital markets.</w:t>
      </w:r>
    </w:p>
    <w:p>
      <w:pPr>
        <w:spacing w:after="0" w:line="285"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materially adversely affect our business and the trading price of our common stock.</w:t>
      </w:r>
    </w:p>
    <w:p>
      <w:pPr>
        <w:spacing w:after="0" w:line="180" w:lineRule="exact"/>
        <w:rPr>
          <w:sz w:val="20"/>
          <w:szCs w:val="20"/>
          <w:color w:val="auto"/>
        </w:rPr>
      </w:pPr>
    </w:p>
    <w:p>
      <w:pPr>
        <w:ind w:right="40" w:firstLine="511"/>
        <w:spacing w:after="0" w:line="281" w:lineRule="auto"/>
        <w:rPr>
          <w:sz w:val="20"/>
          <w:szCs w:val="20"/>
          <w:color w:val="auto"/>
        </w:rPr>
      </w:pPr>
      <w:r>
        <w:rPr>
          <w:rFonts w:ascii="Arial" w:cs="Arial" w:eastAsia="Arial" w:hAnsi="Arial"/>
          <w:sz w:val="15"/>
          <w:szCs w:val="15"/>
          <w:color w:val="auto"/>
        </w:rPr>
        <w:t>Effective internal controls over financial reporting are necessary for us to provide reliable financial reports and are designed to prevent fraud. Any failure to implement required new or improved controls, or difficulties encountered in their implementation could cause us to fail to meet our reporting obligations. Pursuant to Section 404 of the Sarbanes-Oxley Act, our management will be required to report upon the effectiveness of our internal control over financial reporting beginning with the annual report for our fiscal year ending December 31, 2021. When we lose our status both as an emerging growth company and a smaller reporting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Inadequate internal controls could also cause investors to lose confidence in our reported financial information, which could materially adversely affect the trading price of our common stock.</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73" w:name="page74"/>
    <w:bookmarkEnd w:id="73"/>
    <w:p>
      <w:pPr>
        <w:spacing w:after="0"/>
        <w:rPr>
          <w:sz w:val="20"/>
          <w:szCs w:val="20"/>
          <w:color w:val="auto"/>
        </w:rPr>
      </w:pPr>
      <w:r>
        <w:rPr>
          <w:rFonts w:ascii="Arial" w:cs="Arial" w:eastAsia="Arial" w:hAnsi="Arial"/>
          <w:sz w:val="17"/>
          <w:szCs w:val="17"/>
          <w:b w:val="1"/>
          <w:bCs w:val="1"/>
          <w:i w:val="1"/>
          <w:iCs w:val="1"/>
          <w:color w:val="auto"/>
        </w:rPr>
        <w:t>Our disclosure controls and procedures may not prevent or detect all errors or acts of fraud.</w:t>
      </w:r>
    </w:p>
    <w:p>
      <w:pPr>
        <w:spacing w:after="0" w:line="201" w:lineRule="exact"/>
        <w:rPr>
          <w:sz w:val="20"/>
          <w:szCs w:val="20"/>
          <w:color w:val="auto"/>
        </w:rPr>
      </w:pPr>
    </w:p>
    <w:p>
      <w:pPr>
        <w:ind w:right="100" w:firstLine="511"/>
        <w:spacing w:after="0" w:line="319" w:lineRule="auto"/>
        <w:rPr>
          <w:sz w:val="20"/>
          <w:szCs w:val="20"/>
          <w:color w:val="auto"/>
        </w:rPr>
      </w:pPr>
      <w:r>
        <w:rPr>
          <w:rFonts w:ascii="Arial" w:cs="Arial" w:eastAsia="Arial" w:hAnsi="Arial"/>
          <w:sz w:val="14"/>
          <w:szCs w:val="14"/>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35" w:lineRule="exact"/>
        <w:rPr>
          <w:sz w:val="20"/>
          <w:szCs w:val="20"/>
          <w:color w:val="auto"/>
        </w:rPr>
      </w:pPr>
    </w:p>
    <w:p>
      <w:pPr>
        <w:ind w:firstLine="511"/>
        <w:spacing w:after="0" w:line="292" w:lineRule="auto"/>
        <w:rPr>
          <w:sz w:val="20"/>
          <w:szCs w:val="20"/>
          <w:color w:val="auto"/>
        </w:rPr>
      </w:pPr>
      <w:r>
        <w:rPr>
          <w:rFonts w:ascii="Arial" w:cs="Arial" w:eastAsia="Arial" w:hAnsi="Arial"/>
          <w:sz w:val="15"/>
          <w:szCs w:val="15"/>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to, or interpretations of, financial accounting standards may affect our results of operations and could cause us to change our business practices.</w:t>
      </w:r>
    </w:p>
    <w:p>
      <w:pPr>
        <w:spacing w:after="0" w:line="224" w:lineRule="exact"/>
        <w:rPr>
          <w:sz w:val="20"/>
          <w:szCs w:val="20"/>
          <w:color w:val="auto"/>
        </w:rPr>
      </w:pPr>
    </w:p>
    <w:p>
      <w:pPr>
        <w:ind w:firstLine="511"/>
        <w:spacing w:after="0" w:line="292" w:lineRule="auto"/>
        <w:rPr>
          <w:sz w:val="20"/>
          <w:szCs w:val="20"/>
          <w:color w:val="auto"/>
        </w:rPr>
      </w:pPr>
      <w:r>
        <w:rPr>
          <w:rFonts w:ascii="Arial" w:cs="Arial" w:eastAsia="Arial" w:hAnsi="Arial"/>
          <w:sz w:val="15"/>
          <w:szCs w:val="15"/>
          <w:color w:val="auto"/>
        </w:rPr>
        <w:t>We prepare our financial statements in accordance with U.S. GAAP. These accounting principles are subject to interpretation by the Financial Accounting Standards Board, the SEC and various bodies formed to interpret and create accounting rules and regulations. Changes in accounting rules can have a significant effect on our reported financial results and may affect our reporting of transactions completed before a change is announced. Changes to those rules or the questioning of current practices may materially adversely affect our financial results, including those contained in this filing, or the way we conduct our business.</w:t>
      </w: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Computer system interruptions or security breaches could significantly disrupt our product development programs and our ability to operate our business.*</w:t>
      </w:r>
    </w:p>
    <w:p>
      <w:pPr>
        <w:spacing w:after="0" w:line="125" w:lineRule="exact"/>
        <w:rPr>
          <w:sz w:val="20"/>
          <w:szCs w:val="20"/>
          <w:color w:val="auto"/>
        </w:rPr>
      </w:pPr>
    </w:p>
    <w:p>
      <w:pPr>
        <w:ind w:right="40" w:firstLine="511"/>
        <w:spacing w:after="0" w:line="278" w:lineRule="auto"/>
        <w:rPr>
          <w:sz w:val="20"/>
          <w:szCs w:val="20"/>
          <w:color w:val="auto"/>
        </w:rPr>
      </w:pPr>
      <w:r>
        <w:rPr>
          <w:rFonts w:ascii="Arial" w:cs="Arial" w:eastAsia="Arial" w:hAnsi="Arial"/>
          <w:sz w:val="15"/>
          <w:szCs w:val="15"/>
          <w:color w:val="auto"/>
        </w:rPr>
        <w:t>Our internal computer systems, cloud-based computing services and those of our current and any future collaborators and other contractors or consultants are vulnerable to damage or interruption from computer viruses, ransomware, malware, data corruption, cyber-based attacks, phishing attacks, unauthorized access, natural disasters, terrorism, war and telecommunication and electrical failures. Although we have taken steps to protect the security of our information systems and the data maintained in those systems, we have, from time to time, experienced threats to our data and systems, including malware and computer virus attacks, and it is possible that in the future our safety and security measures will not prevent the systems’ improper functioning or damage, or the improper access or disclosure of personally identifiable information such as in the event of cyberattacks. In addition, if a significant system failure, accident or security breach were to occur and cause interruptions in our operations, it could result in a disruption of our development programs and our business operations, whether due to a loss of our trade secrets or other proprietary information, the disclosure of protected personally identifiable patient information or other similar disruptions. For example, the loss of clinical trial data from completed or future clinical trials could result in delays in our regulatory approval efforts and significantly increase our costs to recover or reproduce the data. Furthermore, federal, state and international laws and regulations, such as the GDPR, which took effect in May 2018, and the California Consumer Protection Act (“CCPA”) which took effect on January 1, 2020, as well as the California Consumer Privacy Act, which was passed in November 2020 and makes a number of significant amendments to the CCPA, can expose us to enforcement actions and investigations by regulatory authorities, and potentially result in regulatory penalties and significant legal liability, if our information technology security efforts fail or if our privacy practices do not meet the requirements of such laws. Other states are considering similar laws that could impact our use of research data with respect to individuals in those states. There are extensive documentation obligations and transparency requirements, which may impose significant costs on us. In addition, our software systems include cloud-based applications that are hosted by third-party service providers with security and information technology systems subject to similar risks.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 any of which could materially adversely affect our business, financial condition, results of operations and growth prospects.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74" w:name="page75"/>
    <w:bookmarkEnd w:id="74"/>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Sales of Unregistered Securities</w:t>
      </w:r>
    </w:p>
    <w:p>
      <w:pPr>
        <w:spacing w:after="0" w:line="10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There were no unregistered sales of equity securities during the period covered by this report.</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Proceeds</w:t>
      </w:r>
    </w:p>
    <w:p>
      <w:pPr>
        <w:spacing w:after="0" w:line="106" w:lineRule="exact"/>
        <w:rPr>
          <w:sz w:val="20"/>
          <w:szCs w:val="20"/>
          <w:color w:val="auto"/>
        </w:rPr>
      </w:pPr>
    </w:p>
    <w:p>
      <w:pPr>
        <w:ind w:firstLine="511"/>
        <w:spacing w:after="0" w:line="260" w:lineRule="auto"/>
        <w:rPr>
          <w:sz w:val="20"/>
          <w:szCs w:val="20"/>
          <w:color w:val="auto"/>
        </w:rPr>
      </w:pPr>
      <w:r>
        <w:rPr>
          <w:rFonts w:ascii="Arial" w:cs="Arial" w:eastAsia="Arial" w:hAnsi="Arial"/>
          <w:sz w:val="17"/>
          <w:szCs w:val="17"/>
          <w:color w:val="auto"/>
        </w:rPr>
        <w:t>On July 14, 2020, we completed our IPO. Our registration statement on Form S-1 (File No. 333-239301) relating to the IPO was declared effective by the SEC on July 9, 2020.</w:t>
      </w:r>
    </w:p>
    <w:p>
      <w:pPr>
        <w:spacing w:after="0" w:line="171" w:lineRule="exact"/>
        <w:rPr>
          <w:sz w:val="20"/>
          <w:szCs w:val="20"/>
          <w:color w:val="auto"/>
        </w:rPr>
      </w:pPr>
    </w:p>
    <w:p>
      <w:pPr>
        <w:ind w:right="40" w:firstLine="511"/>
        <w:spacing w:after="0" w:line="292" w:lineRule="auto"/>
        <w:rPr>
          <w:sz w:val="20"/>
          <w:szCs w:val="20"/>
          <w:color w:val="auto"/>
        </w:rPr>
      </w:pPr>
      <w:r>
        <w:rPr>
          <w:rFonts w:ascii="Arial" w:cs="Arial" w:eastAsia="Arial" w:hAnsi="Arial"/>
          <w:sz w:val="15"/>
          <w:szCs w:val="15"/>
          <w:color w:val="auto"/>
        </w:rPr>
        <w:t>There has been no material change in the planned use of proceeds from our IPO as described in our final prospectus filed with the SEC on July 13, 2020 pursuant to Rule 424(b)(4) under the Securities Act. As of September 30, 2021, we estimate that we have used $6.7 million from the net proceeds from the IPO primarily to advance our product candidates through preclinical studies and clinical trial programs, the construction of our manufacturing facility, and for working capital and general corporate purposes. We invested the remaining funds received in cash equivalents and other marketable securities in accordance with our investment policy.</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Repurchase of Shares of Company Equity Securities</w:t>
      </w:r>
    </w:p>
    <w:p>
      <w:pPr>
        <w:spacing w:after="0" w:line="10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None.</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10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None.</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0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Not applicable.</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10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None.</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59690</wp:posOffset>
            </wp:positionV>
            <wp:extent cx="7169150"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20"/>
          </w:cols>
          <w:pgMar w:left="320" w:top="619" w:right="359" w:bottom="1440" w:gutter="0" w:footer="0" w:header="0"/>
        </w:sectPr>
      </w:pPr>
    </w:p>
    <w:bookmarkStart w:id="75" w:name="page76"/>
    <w:bookmarkEnd w:id="75"/>
    <w:p>
      <w:pPr>
        <w:ind w:left="1"/>
        <w:spacing w:after="0"/>
        <w:rPr>
          <w:sz w:val="20"/>
          <w:szCs w:val="20"/>
          <w:color w:val="auto"/>
        </w:rPr>
      </w:pPr>
      <w:r>
        <w:rPr>
          <w:rFonts w:ascii="Arial" w:cs="Arial" w:eastAsia="Arial" w:hAnsi="Arial"/>
          <w:sz w:val="17"/>
          <w:szCs w:val="17"/>
          <w:b w:val="1"/>
          <w:bCs w:val="1"/>
          <w:color w:val="auto"/>
        </w:rPr>
        <w:t>Item 6. Exhibits.</w:t>
      </w:r>
    </w:p>
    <w:p>
      <w:pPr>
        <w:spacing w:after="0" w:line="197" w:lineRule="exact"/>
        <w:rPr>
          <w:sz w:val="20"/>
          <w:szCs w:val="20"/>
          <w:color w:val="auto"/>
        </w:rPr>
      </w:pPr>
    </w:p>
    <w:tbl>
      <w:tblPr>
        <w:tblLayout w:type="fixed"/>
        <w:tblInd w:w="1" w:type="dxa"/>
        <w:tblCellMar>
          <w:top w:w="0" w:type="dxa"/>
          <w:left w:w="0" w:type="dxa"/>
          <w:bottom w:w="0" w:type="dxa"/>
          <w:right w:w="0" w:type="dxa"/>
        </w:tblCellMar>
      </w:tblPr>
      <w:tr>
        <w:trPr>
          <w:trHeight w:val="169"/>
        </w:trPr>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2"/>
          </w:tcPr>
          <w:p>
            <w:pPr>
              <w:ind w:left="960"/>
              <w:spacing w:after="0"/>
              <w:rPr>
                <w:sz w:val="20"/>
                <w:szCs w:val="20"/>
                <w:color w:val="auto"/>
              </w:rPr>
            </w:pPr>
            <w:r>
              <w:rPr>
                <w:rFonts w:ascii="Arial" w:cs="Arial" w:eastAsia="Arial" w:hAnsi="Arial"/>
                <w:sz w:val="13"/>
                <w:szCs w:val="13"/>
                <w:b w:val="1"/>
                <w:bCs w:val="1"/>
                <w:color w:val="auto"/>
              </w:rPr>
              <w:t>Incorporated by Reference</w:t>
            </w:r>
          </w:p>
        </w:tc>
        <w:tc>
          <w:tcPr>
            <w:tcW w:w="1740" w:type="dxa"/>
            <w:vAlign w:val="bottom"/>
            <w:tcBorders>
              <w:bottom w:val="single" w:sz="8" w:color="auto"/>
            </w:tcBorders>
          </w:tcPr>
          <w:p>
            <w:pPr>
              <w:spacing w:after="0"/>
              <w:rPr>
                <w:sz w:val="14"/>
                <w:szCs w:val="14"/>
                <w:color w:val="auto"/>
              </w:rPr>
            </w:pPr>
          </w:p>
        </w:tc>
      </w:tr>
      <w:tr>
        <w:trPr>
          <w:trHeight w:val="121"/>
        </w:trPr>
        <w:tc>
          <w:tcPr>
            <w:tcW w:w="880" w:type="dxa"/>
            <w:vAlign w:val="bottom"/>
            <w:gridSpan w:val="2"/>
          </w:tcPr>
          <w:p>
            <w:pPr>
              <w:jc w:val="center"/>
              <w:ind w:right="60"/>
              <w:spacing w:after="0" w:line="121" w:lineRule="exact"/>
              <w:rPr>
                <w:sz w:val="20"/>
                <w:szCs w:val="20"/>
                <w:color w:val="auto"/>
              </w:rPr>
            </w:pPr>
            <w:r>
              <w:rPr>
                <w:rFonts w:ascii="Arial" w:cs="Arial" w:eastAsia="Arial" w:hAnsi="Arial"/>
                <w:sz w:val="13"/>
                <w:szCs w:val="13"/>
                <w:b w:val="1"/>
                <w:bCs w:val="1"/>
                <w:color w:val="auto"/>
                <w:w w:val="96"/>
              </w:rPr>
              <w:t>Exhibit</w:t>
            </w:r>
          </w:p>
        </w:tc>
        <w:tc>
          <w:tcPr>
            <w:tcW w:w="3600" w:type="dxa"/>
            <w:vAlign w:val="bottom"/>
          </w:tcPr>
          <w:p>
            <w:pPr>
              <w:spacing w:after="0"/>
              <w:rPr>
                <w:sz w:val="10"/>
                <w:szCs w:val="10"/>
                <w:color w:val="auto"/>
              </w:rPr>
            </w:pPr>
          </w:p>
        </w:tc>
        <w:tc>
          <w:tcPr>
            <w:tcW w:w="1660" w:type="dxa"/>
            <w:vAlign w:val="bottom"/>
          </w:tcPr>
          <w:p>
            <w:pPr>
              <w:ind w:left="680"/>
              <w:spacing w:after="0" w:line="121" w:lineRule="exact"/>
              <w:rPr>
                <w:sz w:val="20"/>
                <w:szCs w:val="20"/>
                <w:color w:val="auto"/>
              </w:rPr>
            </w:pPr>
            <w:r>
              <w:rPr>
                <w:rFonts w:ascii="Arial" w:cs="Arial" w:eastAsia="Arial" w:hAnsi="Arial"/>
                <w:sz w:val="13"/>
                <w:szCs w:val="13"/>
                <w:b w:val="1"/>
                <w:bCs w:val="1"/>
                <w:color w:val="auto"/>
              </w:rPr>
              <w:t>Form</w:t>
            </w:r>
          </w:p>
        </w:tc>
        <w:tc>
          <w:tcPr>
            <w:tcW w:w="1740" w:type="dxa"/>
            <w:vAlign w:val="bottom"/>
          </w:tcPr>
          <w:p>
            <w:pPr>
              <w:ind w:left="680"/>
              <w:spacing w:after="0" w:line="121" w:lineRule="exact"/>
              <w:rPr>
                <w:sz w:val="20"/>
                <w:szCs w:val="20"/>
                <w:color w:val="auto"/>
              </w:rPr>
            </w:pPr>
            <w:r>
              <w:rPr>
                <w:rFonts w:ascii="Arial" w:cs="Arial" w:eastAsia="Arial" w:hAnsi="Arial"/>
                <w:sz w:val="13"/>
                <w:szCs w:val="13"/>
                <w:b w:val="1"/>
                <w:bCs w:val="1"/>
                <w:color w:val="auto"/>
              </w:rPr>
              <w:t>File No.</w:t>
            </w:r>
          </w:p>
        </w:tc>
        <w:tc>
          <w:tcPr>
            <w:tcW w:w="1640" w:type="dxa"/>
            <w:vAlign w:val="bottom"/>
          </w:tcPr>
          <w:p>
            <w:pPr>
              <w:ind w:left="640"/>
              <w:spacing w:after="0" w:line="121" w:lineRule="exact"/>
              <w:rPr>
                <w:sz w:val="20"/>
                <w:szCs w:val="20"/>
                <w:color w:val="auto"/>
              </w:rPr>
            </w:pPr>
            <w:r>
              <w:rPr>
                <w:rFonts w:ascii="Arial" w:cs="Arial" w:eastAsia="Arial" w:hAnsi="Arial"/>
                <w:sz w:val="13"/>
                <w:szCs w:val="13"/>
                <w:b w:val="1"/>
                <w:bCs w:val="1"/>
                <w:color w:val="auto"/>
              </w:rPr>
              <w:t>Exhibit</w:t>
            </w:r>
          </w:p>
        </w:tc>
        <w:tc>
          <w:tcPr>
            <w:tcW w:w="1740" w:type="dxa"/>
            <w:vAlign w:val="bottom"/>
          </w:tcPr>
          <w:p>
            <w:pPr>
              <w:ind w:left="580"/>
              <w:spacing w:after="0" w:line="121" w:lineRule="exact"/>
              <w:rPr>
                <w:sz w:val="20"/>
                <w:szCs w:val="20"/>
                <w:color w:val="auto"/>
              </w:rPr>
            </w:pPr>
            <w:r>
              <w:rPr>
                <w:rFonts w:ascii="Arial" w:cs="Arial" w:eastAsia="Arial" w:hAnsi="Arial"/>
                <w:sz w:val="13"/>
                <w:szCs w:val="13"/>
                <w:b w:val="1"/>
                <w:bCs w:val="1"/>
                <w:color w:val="auto"/>
              </w:rPr>
              <w:t>Filing Date</w:t>
            </w:r>
          </w:p>
        </w:tc>
      </w:tr>
      <w:tr>
        <w:trPr>
          <w:trHeight w:val="156"/>
        </w:trPr>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Number</w:t>
            </w:r>
          </w:p>
        </w:tc>
        <w:tc>
          <w:tcPr>
            <w:tcW w:w="60" w:type="dxa"/>
            <w:vAlign w:val="bottom"/>
          </w:tcPr>
          <w:p>
            <w:pPr>
              <w:spacing w:after="0"/>
              <w:rPr>
                <w:sz w:val="13"/>
                <w:szCs w:val="13"/>
                <w:color w:val="auto"/>
              </w:rPr>
            </w:pPr>
          </w:p>
        </w:tc>
        <w:tc>
          <w:tcPr>
            <w:tcW w:w="5260" w:type="dxa"/>
            <w:vAlign w:val="bottom"/>
            <w:tcBorders>
              <w:bottom w:val="single" w:sz="8" w:color="auto"/>
            </w:tcBorders>
            <w:gridSpan w:val="2"/>
          </w:tcPr>
          <w:p>
            <w:pPr>
              <w:ind w:left="1460"/>
              <w:spacing w:after="0"/>
              <w:rPr>
                <w:sz w:val="20"/>
                <w:szCs w:val="20"/>
                <w:color w:val="auto"/>
              </w:rPr>
            </w:pPr>
            <w:r>
              <w:rPr>
                <w:rFonts w:ascii="Arial" w:cs="Arial" w:eastAsia="Arial" w:hAnsi="Arial"/>
                <w:sz w:val="13"/>
                <w:szCs w:val="13"/>
                <w:b w:val="1"/>
                <w:bCs w:val="1"/>
                <w:color w:val="auto"/>
              </w:rPr>
              <w:t>Description</w:t>
            </w:r>
          </w:p>
        </w:tc>
        <w:tc>
          <w:tcPr>
            <w:tcW w:w="17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spacing w:after="0"/>
              <w:rPr>
                <w:sz w:val="13"/>
                <w:szCs w:val="13"/>
                <w:color w:val="auto"/>
              </w:rPr>
            </w:pPr>
          </w:p>
        </w:tc>
      </w:tr>
    </w:tbl>
    <w:p>
      <w:pPr>
        <w:spacing w:after="0" w:line="102" w:lineRule="exact"/>
        <w:rPr>
          <w:sz w:val="20"/>
          <w:szCs w:val="20"/>
          <w:color w:val="auto"/>
        </w:rPr>
      </w:pPr>
    </w:p>
    <w:p>
      <w:pPr>
        <w:sectPr>
          <w:pgSz w:w="11900" w:h="16838" w:orient="portrait"/>
          <w:cols w:equalWidth="0" w:num="1">
            <w:col w:w="11261"/>
          </w:cols>
          <w:pgMar w:left="319" w:top="321" w:right="319" w:bottom="1440" w:gutter="0" w:footer="0" w:header="0"/>
        </w:sectPr>
      </w:pPr>
    </w:p>
    <w:tbl>
      <w:tblPr>
        <w:tblLayout w:type="fixed"/>
        <w:tblInd w:w="1" w:type="dxa"/>
        <w:tblCellMar>
          <w:top w:w="0" w:type="dxa"/>
          <w:left w:w="0" w:type="dxa"/>
          <w:bottom w:w="0" w:type="dxa"/>
          <w:right w:w="0" w:type="dxa"/>
        </w:tblCellMar>
      </w:tblPr>
      <w:tr>
        <w:trPr>
          <w:trHeight w:val="195"/>
        </w:trPr>
        <w:tc>
          <w:tcPr>
            <w:tcW w:w="880" w:type="dxa"/>
            <w:vAlign w:val="bottom"/>
          </w:tcPr>
          <w:p>
            <w:pPr>
              <w:spacing w:after="0"/>
              <w:rPr>
                <w:sz w:val="20"/>
                <w:szCs w:val="20"/>
                <w:color w:val="auto"/>
              </w:rPr>
            </w:pPr>
            <w:r>
              <w:rPr>
                <w:rFonts w:ascii="Arial" w:cs="Arial" w:eastAsia="Arial" w:hAnsi="Arial"/>
                <w:sz w:val="17"/>
                <w:szCs w:val="17"/>
                <w:color w:val="auto"/>
              </w:rPr>
              <w:t>3.1</w:t>
            </w:r>
          </w:p>
        </w:tc>
        <w:tc>
          <w:tcPr>
            <w:tcW w:w="3560" w:type="dxa"/>
            <w:vAlign w:val="bottom"/>
            <w:tcBorders>
              <w:bottom w:val="single" w:sz="8" w:color="0000EE"/>
            </w:tcBorders>
            <w:gridSpan w:val="4"/>
          </w:tcPr>
          <w:p>
            <w:pPr>
              <w:spacing w:after="0"/>
              <w:rPr>
                <w:rFonts w:ascii="Arial" w:cs="Arial" w:eastAsia="Arial" w:hAnsi="Arial"/>
                <w:sz w:val="17"/>
                <w:szCs w:val="17"/>
                <w:color w:val="0000EE"/>
                <w:w w:val="88"/>
              </w:rPr>
            </w:pPr>
            <w:hyperlink r:id="rId94">
              <w:r>
                <w:rPr>
                  <w:rFonts w:ascii="Arial" w:cs="Arial" w:eastAsia="Arial" w:hAnsi="Arial"/>
                  <w:sz w:val="17"/>
                  <w:szCs w:val="17"/>
                  <w:color w:val="0000EE"/>
                  <w:w w:val="88"/>
                </w:rPr>
                <w:t>Amended and Restated Certificate of Incorporation of</w:t>
              </w:r>
            </w:hyperlink>
          </w:p>
        </w:tc>
      </w:tr>
      <w:tr>
        <w:trPr>
          <w:trHeight w:val="178"/>
        </w:trPr>
        <w:tc>
          <w:tcPr>
            <w:tcW w:w="880" w:type="dxa"/>
            <w:vAlign w:val="bottom"/>
          </w:tcPr>
          <w:p>
            <w:pPr>
              <w:spacing w:after="0"/>
              <w:rPr>
                <w:sz w:val="15"/>
                <w:szCs w:val="15"/>
                <w:color w:val="auto"/>
              </w:rPr>
            </w:pPr>
          </w:p>
        </w:tc>
        <w:tc>
          <w:tcPr>
            <w:tcW w:w="3560" w:type="dxa"/>
            <w:vAlign w:val="bottom"/>
            <w:gridSpan w:val="4"/>
          </w:tcPr>
          <w:p>
            <w:pPr>
              <w:spacing w:after="0" w:line="178" w:lineRule="exact"/>
              <w:rPr>
                <w:rFonts w:ascii="Arial" w:cs="Arial" w:eastAsia="Arial" w:hAnsi="Arial"/>
                <w:sz w:val="17"/>
                <w:szCs w:val="17"/>
                <w:color w:val="0000EE"/>
              </w:rPr>
            </w:pPr>
            <w:hyperlink r:id="rId94">
              <w:r>
                <w:rPr>
                  <w:rFonts w:ascii="Arial" w:cs="Arial" w:eastAsia="Arial" w:hAnsi="Arial"/>
                  <w:sz w:val="17"/>
                  <w:szCs w:val="17"/>
                  <w:color w:val="0000EE"/>
                </w:rPr>
                <w:t>Nkarta, Inc.</w:t>
              </w:r>
            </w:hyperlink>
          </w:p>
        </w:tc>
      </w:tr>
      <w:tr>
        <w:trPr>
          <w:trHeight w:val="20"/>
        </w:trPr>
        <w:tc>
          <w:tcPr>
            <w:tcW w:w="8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90"/>
        </w:trPr>
        <w:tc>
          <w:tcPr>
            <w:tcW w:w="880" w:type="dxa"/>
            <w:vAlign w:val="bottom"/>
          </w:tcPr>
          <w:p>
            <w:pPr>
              <w:spacing w:after="0"/>
              <w:rPr>
                <w:sz w:val="20"/>
                <w:szCs w:val="20"/>
                <w:color w:val="auto"/>
              </w:rPr>
            </w:pPr>
            <w:r>
              <w:rPr>
                <w:rFonts w:ascii="Arial" w:cs="Arial" w:eastAsia="Arial" w:hAnsi="Arial"/>
                <w:sz w:val="17"/>
                <w:szCs w:val="17"/>
                <w:color w:val="auto"/>
              </w:rPr>
              <w:t>3.2</w:t>
            </w:r>
          </w:p>
        </w:tc>
        <w:tc>
          <w:tcPr>
            <w:tcW w:w="3080" w:type="dxa"/>
            <w:vAlign w:val="bottom"/>
            <w:tcBorders>
              <w:bottom w:val="single" w:sz="8" w:color="0000EE"/>
            </w:tcBorders>
            <w:gridSpan w:val="3"/>
          </w:tcPr>
          <w:p>
            <w:pPr>
              <w:spacing w:after="0"/>
              <w:rPr>
                <w:rFonts w:ascii="Arial" w:cs="Arial" w:eastAsia="Arial" w:hAnsi="Arial"/>
                <w:sz w:val="17"/>
                <w:szCs w:val="17"/>
                <w:color w:val="0000EE"/>
                <w:w w:val="87"/>
              </w:rPr>
            </w:pPr>
            <w:hyperlink r:id="rId95">
              <w:r>
                <w:rPr>
                  <w:rFonts w:ascii="Arial" w:cs="Arial" w:eastAsia="Arial" w:hAnsi="Arial"/>
                  <w:sz w:val="17"/>
                  <w:szCs w:val="17"/>
                  <w:color w:val="0000EE"/>
                  <w:w w:val="87"/>
                </w:rPr>
                <w:t>Amended and Restated Bylaws of Nkarta, Inc.</w:t>
              </w:r>
            </w:hyperlink>
          </w:p>
        </w:tc>
        <w:tc>
          <w:tcPr>
            <w:tcW w:w="480" w:type="dxa"/>
            <w:vAlign w:val="bottom"/>
          </w:tcPr>
          <w:p>
            <w:pPr>
              <w:spacing w:after="0"/>
              <w:rPr>
                <w:sz w:val="24"/>
                <w:szCs w:val="24"/>
                <w:color w:val="auto"/>
              </w:rPr>
            </w:pPr>
          </w:p>
        </w:tc>
      </w:tr>
      <w:tr>
        <w:trPr>
          <w:trHeight w:val="290"/>
        </w:trPr>
        <w:tc>
          <w:tcPr>
            <w:tcW w:w="880" w:type="dxa"/>
            <w:vAlign w:val="bottom"/>
          </w:tcPr>
          <w:p>
            <w:pPr>
              <w:spacing w:after="0"/>
              <w:rPr>
                <w:sz w:val="20"/>
                <w:szCs w:val="20"/>
                <w:color w:val="auto"/>
              </w:rPr>
            </w:pPr>
            <w:r>
              <w:rPr>
                <w:rFonts w:ascii="Arial" w:cs="Arial" w:eastAsia="Arial" w:hAnsi="Arial"/>
                <w:sz w:val="17"/>
                <w:szCs w:val="17"/>
                <w:color w:val="auto"/>
              </w:rPr>
              <w:t>10.1</w:t>
            </w:r>
          </w:p>
        </w:tc>
        <w:tc>
          <w:tcPr>
            <w:tcW w:w="3560" w:type="dxa"/>
            <w:vAlign w:val="bottom"/>
            <w:tcBorders>
              <w:bottom w:val="single" w:sz="8" w:color="0000EE"/>
            </w:tcBorders>
            <w:gridSpan w:val="4"/>
          </w:tcPr>
          <w:p>
            <w:pPr>
              <w:spacing w:after="0"/>
              <w:rPr>
                <w:sz w:val="20"/>
                <w:szCs w:val="20"/>
                <w:color w:val="auto"/>
              </w:rPr>
            </w:pPr>
            <w:r>
              <w:rPr>
                <w:rFonts w:ascii="Arial" w:cs="Arial" w:eastAsia="Arial" w:hAnsi="Arial"/>
                <w:sz w:val="17"/>
                <w:szCs w:val="17"/>
                <w:color w:val="0000EE"/>
                <w:w w:val="86"/>
              </w:rPr>
              <w:t>Lease, dated July 9, 2021, by and between HCP BTC,</w:t>
            </w:r>
          </w:p>
        </w:tc>
      </w:tr>
      <w:tr>
        <w:trPr>
          <w:trHeight w:val="178"/>
        </w:trPr>
        <w:tc>
          <w:tcPr>
            <w:tcW w:w="880" w:type="dxa"/>
            <w:vAlign w:val="bottom"/>
          </w:tcPr>
          <w:p>
            <w:pPr>
              <w:spacing w:after="0"/>
              <w:rPr>
                <w:sz w:val="15"/>
                <w:szCs w:val="15"/>
                <w:color w:val="auto"/>
              </w:rPr>
            </w:pPr>
          </w:p>
        </w:tc>
        <w:tc>
          <w:tcPr>
            <w:tcW w:w="1420" w:type="dxa"/>
            <w:vAlign w:val="bottom"/>
            <w:tcBorders>
              <w:bottom w:val="single" w:sz="8" w:color="0000EE"/>
            </w:tcBorders>
            <w:gridSpan w:val="2"/>
          </w:tcPr>
          <w:p>
            <w:pPr>
              <w:spacing w:after="0" w:line="178" w:lineRule="exact"/>
              <w:rPr>
                <w:sz w:val="20"/>
                <w:szCs w:val="20"/>
                <w:color w:val="auto"/>
              </w:rPr>
            </w:pPr>
            <w:r>
              <w:rPr>
                <w:rFonts w:ascii="Arial" w:cs="Arial" w:eastAsia="Arial" w:hAnsi="Arial"/>
                <w:sz w:val="17"/>
                <w:szCs w:val="17"/>
                <w:color w:val="0000EE"/>
                <w:w w:val="89"/>
              </w:rPr>
              <w:t>LLC and Nkarta, Inc.</w:t>
            </w:r>
          </w:p>
        </w:tc>
        <w:tc>
          <w:tcPr>
            <w:tcW w:w="2140" w:type="dxa"/>
            <w:vAlign w:val="bottom"/>
            <w:gridSpan w:val="2"/>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860" w:type="dxa"/>
            <w:vAlign w:val="bottom"/>
          </w:tcPr>
          <w:p>
            <w:pPr>
              <w:spacing w:after="0"/>
              <w:rPr>
                <w:sz w:val="20"/>
                <w:szCs w:val="20"/>
                <w:color w:val="auto"/>
              </w:rPr>
            </w:pPr>
            <w:r>
              <w:rPr>
                <w:rFonts w:ascii="Arial" w:cs="Arial" w:eastAsia="Arial" w:hAnsi="Arial"/>
                <w:sz w:val="17"/>
                <w:szCs w:val="17"/>
                <w:color w:val="auto"/>
              </w:rPr>
              <w:t>8-K</w:t>
            </w:r>
          </w:p>
        </w:tc>
        <w:tc>
          <w:tcPr>
            <w:tcW w:w="1920" w:type="dxa"/>
            <w:vAlign w:val="bottom"/>
          </w:tcPr>
          <w:p>
            <w:pPr>
              <w:jc w:val="right"/>
              <w:ind w:right="517"/>
              <w:spacing w:after="0"/>
              <w:rPr>
                <w:sz w:val="20"/>
                <w:szCs w:val="20"/>
                <w:color w:val="auto"/>
              </w:rPr>
            </w:pPr>
            <w:r>
              <w:rPr>
                <w:rFonts w:ascii="Arial" w:cs="Arial" w:eastAsia="Arial" w:hAnsi="Arial"/>
                <w:sz w:val="17"/>
                <w:szCs w:val="17"/>
                <w:color w:val="auto"/>
              </w:rPr>
              <w:t>001-39370</w:t>
            </w:r>
          </w:p>
        </w:tc>
        <w:tc>
          <w:tcPr>
            <w:tcW w:w="1500" w:type="dxa"/>
            <w:vAlign w:val="bottom"/>
          </w:tcPr>
          <w:p>
            <w:pPr>
              <w:jc w:val="center"/>
              <w:spacing w:after="0"/>
              <w:rPr>
                <w:sz w:val="20"/>
                <w:szCs w:val="20"/>
                <w:color w:val="auto"/>
              </w:rPr>
            </w:pPr>
            <w:r>
              <w:rPr>
                <w:rFonts w:ascii="Arial" w:cs="Arial" w:eastAsia="Arial" w:hAnsi="Arial"/>
                <w:sz w:val="17"/>
                <w:szCs w:val="17"/>
                <w:color w:val="auto"/>
                <w:w w:val="92"/>
              </w:rPr>
              <w:t>3.1</w:t>
            </w:r>
          </w:p>
        </w:tc>
        <w:tc>
          <w:tcPr>
            <w:tcW w:w="1280" w:type="dxa"/>
            <w:vAlign w:val="bottom"/>
          </w:tcPr>
          <w:p>
            <w:pPr>
              <w:jc w:val="right"/>
              <w:spacing w:after="0"/>
              <w:rPr>
                <w:sz w:val="20"/>
                <w:szCs w:val="20"/>
                <w:color w:val="auto"/>
              </w:rPr>
            </w:pPr>
            <w:r>
              <w:rPr>
                <w:rFonts w:ascii="Arial" w:cs="Arial" w:eastAsia="Arial" w:hAnsi="Arial"/>
                <w:sz w:val="17"/>
                <w:szCs w:val="17"/>
                <w:color w:val="auto"/>
              </w:rPr>
              <w:t>7/14/2020</w:t>
            </w:r>
          </w:p>
        </w:tc>
      </w:tr>
      <w:tr>
        <w:trPr>
          <w:trHeight w:val="508"/>
        </w:trPr>
        <w:tc>
          <w:tcPr>
            <w:tcW w:w="860" w:type="dxa"/>
            <w:vAlign w:val="bottom"/>
          </w:tcPr>
          <w:p>
            <w:pPr>
              <w:spacing w:after="0"/>
              <w:rPr>
                <w:sz w:val="20"/>
                <w:szCs w:val="20"/>
                <w:color w:val="auto"/>
              </w:rPr>
            </w:pPr>
            <w:r>
              <w:rPr>
                <w:rFonts w:ascii="Arial" w:cs="Arial" w:eastAsia="Arial" w:hAnsi="Arial"/>
                <w:sz w:val="17"/>
                <w:szCs w:val="17"/>
                <w:color w:val="auto"/>
              </w:rPr>
              <w:t>8-K</w:t>
            </w:r>
          </w:p>
        </w:tc>
        <w:tc>
          <w:tcPr>
            <w:tcW w:w="1920" w:type="dxa"/>
            <w:vAlign w:val="bottom"/>
          </w:tcPr>
          <w:p>
            <w:pPr>
              <w:jc w:val="right"/>
              <w:ind w:right="517"/>
              <w:spacing w:after="0"/>
              <w:rPr>
                <w:sz w:val="20"/>
                <w:szCs w:val="20"/>
                <w:color w:val="auto"/>
              </w:rPr>
            </w:pPr>
            <w:r>
              <w:rPr>
                <w:rFonts w:ascii="Arial" w:cs="Arial" w:eastAsia="Arial" w:hAnsi="Arial"/>
                <w:sz w:val="17"/>
                <w:szCs w:val="17"/>
                <w:color w:val="auto"/>
              </w:rPr>
              <w:t>001-39370</w:t>
            </w:r>
          </w:p>
        </w:tc>
        <w:tc>
          <w:tcPr>
            <w:tcW w:w="1500" w:type="dxa"/>
            <w:vAlign w:val="bottom"/>
          </w:tcPr>
          <w:p>
            <w:pPr>
              <w:jc w:val="center"/>
              <w:spacing w:after="0"/>
              <w:rPr>
                <w:sz w:val="20"/>
                <w:szCs w:val="20"/>
                <w:color w:val="auto"/>
              </w:rPr>
            </w:pPr>
            <w:r>
              <w:rPr>
                <w:rFonts w:ascii="Arial" w:cs="Arial" w:eastAsia="Arial" w:hAnsi="Arial"/>
                <w:sz w:val="17"/>
                <w:szCs w:val="17"/>
                <w:color w:val="auto"/>
                <w:w w:val="92"/>
              </w:rPr>
              <w:t>3.2</w:t>
            </w:r>
          </w:p>
        </w:tc>
        <w:tc>
          <w:tcPr>
            <w:tcW w:w="1280" w:type="dxa"/>
            <w:vAlign w:val="bottom"/>
          </w:tcPr>
          <w:p>
            <w:pPr>
              <w:jc w:val="right"/>
              <w:spacing w:after="0"/>
              <w:rPr>
                <w:sz w:val="20"/>
                <w:szCs w:val="20"/>
                <w:color w:val="auto"/>
              </w:rPr>
            </w:pPr>
            <w:r>
              <w:rPr>
                <w:rFonts w:ascii="Arial" w:cs="Arial" w:eastAsia="Arial" w:hAnsi="Arial"/>
                <w:sz w:val="17"/>
                <w:szCs w:val="17"/>
                <w:color w:val="auto"/>
              </w:rPr>
              <w:t>7/14/2020</w:t>
            </w:r>
          </w:p>
        </w:tc>
      </w:tr>
      <w:tr>
        <w:trPr>
          <w:trHeight w:val="310"/>
        </w:trPr>
        <w:tc>
          <w:tcPr>
            <w:tcW w:w="860" w:type="dxa"/>
            <w:vAlign w:val="bottom"/>
          </w:tcPr>
          <w:p>
            <w:pPr>
              <w:spacing w:after="0"/>
              <w:rPr>
                <w:sz w:val="20"/>
                <w:szCs w:val="20"/>
                <w:color w:val="auto"/>
              </w:rPr>
            </w:pPr>
            <w:r>
              <w:rPr>
                <w:rFonts w:ascii="Arial" w:cs="Arial" w:eastAsia="Arial" w:hAnsi="Arial"/>
                <w:sz w:val="17"/>
                <w:szCs w:val="17"/>
                <w:color w:val="auto"/>
              </w:rPr>
              <w:t>8-K</w:t>
            </w:r>
          </w:p>
        </w:tc>
        <w:tc>
          <w:tcPr>
            <w:tcW w:w="1920" w:type="dxa"/>
            <w:vAlign w:val="bottom"/>
          </w:tcPr>
          <w:p>
            <w:pPr>
              <w:jc w:val="right"/>
              <w:ind w:right="517"/>
              <w:spacing w:after="0"/>
              <w:rPr>
                <w:sz w:val="20"/>
                <w:szCs w:val="20"/>
                <w:color w:val="auto"/>
              </w:rPr>
            </w:pPr>
            <w:r>
              <w:rPr>
                <w:rFonts w:ascii="Arial" w:cs="Arial" w:eastAsia="Arial" w:hAnsi="Arial"/>
                <w:sz w:val="17"/>
                <w:szCs w:val="17"/>
                <w:color w:val="auto"/>
              </w:rPr>
              <w:t>001-39370</w:t>
            </w:r>
          </w:p>
        </w:tc>
        <w:tc>
          <w:tcPr>
            <w:tcW w:w="1500" w:type="dxa"/>
            <w:vAlign w:val="bottom"/>
          </w:tcPr>
          <w:p>
            <w:pPr>
              <w:jc w:val="center"/>
              <w:spacing w:after="0"/>
              <w:rPr>
                <w:sz w:val="20"/>
                <w:szCs w:val="20"/>
                <w:color w:val="auto"/>
              </w:rPr>
            </w:pPr>
            <w:r>
              <w:rPr>
                <w:rFonts w:ascii="Arial" w:cs="Arial" w:eastAsia="Arial" w:hAnsi="Arial"/>
                <w:sz w:val="17"/>
                <w:szCs w:val="17"/>
                <w:color w:val="auto"/>
                <w:w w:val="90"/>
              </w:rPr>
              <w:t>10.1</w:t>
            </w:r>
          </w:p>
        </w:tc>
        <w:tc>
          <w:tcPr>
            <w:tcW w:w="1280" w:type="dxa"/>
            <w:vAlign w:val="bottom"/>
          </w:tcPr>
          <w:p>
            <w:pPr>
              <w:jc w:val="right"/>
              <w:spacing w:after="0"/>
              <w:rPr>
                <w:sz w:val="20"/>
                <w:szCs w:val="20"/>
                <w:color w:val="auto"/>
              </w:rPr>
            </w:pPr>
            <w:r>
              <w:rPr>
                <w:rFonts w:ascii="Arial" w:cs="Arial" w:eastAsia="Arial" w:hAnsi="Arial"/>
                <w:sz w:val="17"/>
                <w:szCs w:val="17"/>
                <w:color w:val="auto"/>
              </w:rPr>
              <w:t>7/14/2021</w:t>
            </w:r>
          </w:p>
        </w:tc>
      </w:tr>
    </w:tbl>
    <w:p>
      <w:pPr>
        <w:spacing w:after="0" w:line="289" w:lineRule="exact"/>
        <w:rPr>
          <w:sz w:val="20"/>
          <w:szCs w:val="20"/>
          <w:color w:val="auto"/>
        </w:rPr>
      </w:pPr>
    </w:p>
    <w:p>
      <w:pPr>
        <w:sectPr>
          <w:pgSz w:w="11900" w:h="16838" w:orient="portrait"/>
          <w:cols w:equalWidth="0" w:num="2">
            <w:col w:w="4481" w:space="720"/>
            <w:col w:w="6060"/>
          </w:cols>
          <w:pgMar w:left="319" w:top="321" w:right="319" w:bottom="1440" w:gutter="0" w:footer="0" w:header="0"/>
          <w:type w:val="continuous"/>
        </w:sectPr>
      </w:pPr>
    </w:p>
    <w:tbl>
      <w:tblPr>
        <w:tblLayout w:type="fixed"/>
        <w:tblInd w:w="1" w:type="dxa"/>
        <w:tblCellMar>
          <w:top w:w="0" w:type="dxa"/>
          <w:left w:w="0" w:type="dxa"/>
          <w:bottom w:w="0" w:type="dxa"/>
          <w:right w:w="0" w:type="dxa"/>
        </w:tblCellMar>
      </w:tblPr>
      <w:tr>
        <w:trPr>
          <w:trHeight w:val="195"/>
        </w:trPr>
        <w:tc>
          <w:tcPr>
            <w:tcW w:w="880" w:type="dxa"/>
            <w:vAlign w:val="bottom"/>
          </w:tcPr>
          <w:p>
            <w:pPr>
              <w:spacing w:after="0"/>
              <w:rPr>
                <w:sz w:val="20"/>
                <w:szCs w:val="20"/>
                <w:color w:val="auto"/>
              </w:rPr>
            </w:pPr>
            <w:r>
              <w:rPr>
                <w:rFonts w:ascii="Arial" w:cs="Arial" w:eastAsia="Arial" w:hAnsi="Arial"/>
                <w:sz w:val="17"/>
                <w:szCs w:val="17"/>
                <w:color w:val="auto"/>
              </w:rPr>
              <w:t>10.2*</w:t>
            </w:r>
          </w:p>
        </w:tc>
        <w:tc>
          <w:tcPr>
            <w:tcW w:w="3520" w:type="dxa"/>
            <w:vAlign w:val="bottom"/>
            <w:tcBorders>
              <w:bottom w:val="single" w:sz="8" w:color="0000EE"/>
            </w:tcBorders>
            <w:gridSpan w:val="11"/>
          </w:tcPr>
          <w:p>
            <w:pPr>
              <w:spacing w:after="0"/>
              <w:rPr>
                <w:rFonts w:ascii="Arial" w:cs="Arial" w:eastAsia="Arial" w:hAnsi="Arial"/>
                <w:sz w:val="17"/>
                <w:szCs w:val="17"/>
                <w:color w:val="0000EE"/>
                <w:w w:val="87"/>
              </w:rPr>
            </w:pPr>
            <w:hyperlink w:anchor="page79">
              <w:r>
                <w:rPr>
                  <w:rFonts w:ascii="Arial" w:cs="Arial" w:eastAsia="Arial" w:hAnsi="Arial"/>
                  <w:sz w:val="17"/>
                  <w:szCs w:val="17"/>
                  <w:color w:val="0000EE"/>
                  <w:w w:val="87"/>
                </w:rPr>
                <w:t>First Amendment to Lease, dated November 5, 2021,</w:t>
              </w:r>
            </w:hyperlink>
          </w:p>
        </w:tc>
        <w:tc>
          <w:tcPr>
            <w:tcW w:w="420" w:type="dxa"/>
            <w:vAlign w:val="bottom"/>
            <w:gridSpan w:val="3"/>
          </w:tcPr>
          <w:p>
            <w:pPr>
              <w:spacing w:after="0"/>
              <w:rPr>
                <w:sz w:val="16"/>
                <w:szCs w:val="16"/>
                <w:color w:val="auto"/>
              </w:rPr>
            </w:pPr>
          </w:p>
        </w:tc>
        <w:tc>
          <w:tcPr>
            <w:tcW w:w="12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78"/>
        </w:trPr>
        <w:tc>
          <w:tcPr>
            <w:tcW w:w="880" w:type="dxa"/>
            <w:vAlign w:val="bottom"/>
          </w:tcPr>
          <w:p>
            <w:pPr>
              <w:spacing w:after="0"/>
              <w:rPr>
                <w:sz w:val="15"/>
                <w:szCs w:val="15"/>
                <w:color w:val="auto"/>
              </w:rPr>
            </w:pPr>
          </w:p>
        </w:tc>
        <w:tc>
          <w:tcPr>
            <w:tcW w:w="3260" w:type="dxa"/>
            <w:vAlign w:val="bottom"/>
            <w:tcBorders>
              <w:bottom w:val="single" w:sz="8" w:color="0000EE"/>
            </w:tcBorders>
            <w:gridSpan w:val="8"/>
          </w:tcPr>
          <w:p>
            <w:pPr>
              <w:spacing w:after="0" w:line="178" w:lineRule="exact"/>
              <w:rPr>
                <w:rFonts w:ascii="Arial" w:cs="Arial" w:eastAsia="Arial" w:hAnsi="Arial"/>
                <w:sz w:val="17"/>
                <w:szCs w:val="17"/>
                <w:color w:val="0000EE"/>
                <w:w w:val="88"/>
              </w:rPr>
            </w:pPr>
            <w:hyperlink w:anchor="page79">
              <w:r>
                <w:rPr>
                  <w:rFonts w:ascii="Arial" w:cs="Arial" w:eastAsia="Arial" w:hAnsi="Arial"/>
                  <w:sz w:val="17"/>
                  <w:szCs w:val="17"/>
                  <w:color w:val="0000EE"/>
                  <w:w w:val="88"/>
                </w:rPr>
                <w:t>by and between HCP BTC, LLC and Nkarta, Inc.</w:t>
              </w:r>
            </w:hyperlink>
          </w:p>
        </w:tc>
        <w:tc>
          <w:tcPr>
            <w:tcW w:w="680" w:type="dxa"/>
            <w:vAlign w:val="bottom"/>
            <w:gridSpan w:val="6"/>
          </w:tcPr>
          <w:p>
            <w:pPr>
              <w:spacing w:after="0"/>
              <w:rPr>
                <w:sz w:val="15"/>
                <w:szCs w:val="15"/>
                <w:color w:val="auto"/>
              </w:rPr>
            </w:pPr>
          </w:p>
        </w:tc>
        <w:tc>
          <w:tcPr>
            <w:tcW w:w="1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90"/>
        </w:trPr>
        <w:tc>
          <w:tcPr>
            <w:tcW w:w="880" w:type="dxa"/>
            <w:vAlign w:val="bottom"/>
          </w:tcPr>
          <w:p>
            <w:pPr>
              <w:spacing w:after="0"/>
              <w:rPr>
                <w:sz w:val="20"/>
                <w:szCs w:val="20"/>
                <w:color w:val="auto"/>
              </w:rPr>
            </w:pPr>
            <w:r>
              <w:rPr>
                <w:rFonts w:ascii="Arial" w:cs="Arial" w:eastAsia="Arial" w:hAnsi="Arial"/>
                <w:sz w:val="17"/>
                <w:szCs w:val="17"/>
                <w:color w:val="auto"/>
              </w:rPr>
              <w:t>10.3</w:t>
            </w:r>
          </w:p>
        </w:tc>
        <w:tc>
          <w:tcPr>
            <w:tcW w:w="3580" w:type="dxa"/>
            <w:vAlign w:val="bottom"/>
            <w:tcBorders>
              <w:bottom w:val="single" w:sz="8" w:color="0000EE"/>
            </w:tcBorders>
            <w:gridSpan w:val="13"/>
          </w:tcPr>
          <w:p>
            <w:pPr>
              <w:spacing w:after="0"/>
              <w:rPr>
                <w:rFonts w:ascii="Arial" w:cs="Arial" w:eastAsia="Arial" w:hAnsi="Arial"/>
                <w:sz w:val="17"/>
                <w:szCs w:val="17"/>
                <w:color w:val="0000EE"/>
                <w:w w:val="87"/>
              </w:rPr>
            </w:pPr>
            <w:hyperlink r:id="rId96">
              <w:r>
                <w:rPr>
                  <w:rFonts w:ascii="Arial" w:cs="Arial" w:eastAsia="Arial" w:hAnsi="Arial"/>
                  <w:sz w:val="17"/>
                  <w:szCs w:val="17"/>
                  <w:color w:val="0000EE"/>
                  <w:w w:val="87"/>
                </w:rPr>
                <w:t>Fourth Amendment to Lease, dated October 19, 2021,</w:t>
              </w:r>
            </w:hyperlink>
          </w:p>
        </w:tc>
        <w:tc>
          <w:tcPr>
            <w:tcW w:w="360" w:type="dxa"/>
            <w:vAlign w:val="bottom"/>
          </w:tcPr>
          <w:p>
            <w:pPr>
              <w:spacing w:after="0"/>
              <w:rPr>
                <w:sz w:val="24"/>
                <w:szCs w:val="24"/>
                <w:color w:val="auto"/>
              </w:rPr>
            </w:pPr>
          </w:p>
        </w:tc>
        <w:tc>
          <w:tcPr>
            <w:tcW w:w="1240" w:type="dxa"/>
            <w:vAlign w:val="bottom"/>
          </w:tcPr>
          <w:p>
            <w:pPr>
              <w:ind w:left="380"/>
              <w:spacing w:after="0"/>
              <w:rPr>
                <w:sz w:val="20"/>
                <w:szCs w:val="20"/>
                <w:color w:val="auto"/>
              </w:rPr>
            </w:pPr>
            <w:r>
              <w:rPr>
                <w:rFonts w:ascii="Arial" w:cs="Arial" w:eastAsia="Arial" w:hAnsi="Arial"/>
                <w:sz w:val="17"/>
                <w:szCs w:val="17"/>
                <w:color w:val="auto"/>
              </w:rPr>
              <w:t>8-K</w:t>
            </w:r>
          </w:p>
        </w:tc>
        <w:tc>
          <w:tcPr>
            <w:tcW w:w="1920" w:type="dxa"/>
            <w:vAlign w:val="bottom"/>
          </w:tcPr>
          <w:p>
            <w:pPr>
              <w:jc w:val="right"/>
              <w:ind w:right="517"/>
              <w:spacing w:after="0"/>
              <w:rPr>
                <w:sz w:val="20"/>
                <w:szCs w:val="20"/>
                <w:color w:val="auto"/>
              </w:rPr>
            </w:pPr>
            <w:r>
              <w:rPr>
                <w:rFonts w:ascii="Arial" w:cs="Arial" w:eastAsia="Arial" w:hAnsi="Arial"/>
                <w:sz w:val="17"/>
                <w:szCs w:val="17"/>
                <w:color w:val="auto"/>
              </w:rPr>
              <w:t>001-39370</w:t>
            </w:r>
          </w:p>
        </w:tc>
        <w:tc>
          <w:tcPr>
            <w:tcW w:w="1480" w:type="dxa"/>
            <w:vAlign w:val="bottom"/>
          </w:tcPr>
          <w:p>
            <w:pPr>
              <w:jc w:val="right"/>
              <w:ind w:right="497"/>
              <w:spacing w:after="0"/>
              <w:rPr>
                <w:sz w:val="20"/>
                <w:szCs w:val="20"/>
                <w:color w:val="auto"/>
              </w:rPr>
            </w:pPr>
            <w:r>
              <w:rPr>
                <w:rFonts w:ascii="Arial" w:cs="Arial" w:eastAsia="Arial" w:hAnsi="Arial"/>
                <w:sz w:val="17"/>
                <w:szCs w:val="17"/>
                <w:color w:val="auto"/>
              </w:rPr>
              <w:t>10.1</w:t>
            </w:r>
          </w:p>
        </w:tc>
        <w:tc>
          <w:tcPr>
            <w:tcW w:w="1340" w:type="dxa"/>
            <w:vAlign w:val="bottom"/>
          </w:tcPr>
          <w:p>
            <w:pPr>
              <w:jc w:val="right"/>
              <w:spacing w:after="0"/>
              <w:rPr>
                <w:sz w:val="20"/>
                <w:szCs w:val="20"/>
                <w:color w:val="auto"/>
              </w:rPr>
            </w:pPr>
            <w:r>
              <w:rPr>
                <w:rFonts w:ascii="Arial" w:cs="Arial" w:eastAsia="Arial" w:hAnsi="Arial"/>
                <w:sz w:val="17"/>
                <w:szCs w:val="17"/>
                <w:color w:val="auto"/>
              </w:rPr>
              <w:t>10/22/2021</w:t>
            </w:r>
          </w:p>
        </w:tc>
      </w:tr>
      <w:tr>
        <w:trPr>
          <w:trHeight w:val="178"/>
        </w:trPr>
        <w:tc>
          <w:tcPr>
            <w:tcW w:w="880" w:type="dxa"/>
            <w:vAlign w:val="bottom"/>
          </w:tcPr>
          <w:p>
            <w:pPr>
              <w:spacing w:after="0"/>
              <w:rPr>
                <w:sz w:val="15"/>
                <w:szCs w:val="15"/>
                <w:color w:val="auto"/>
              </w:rPr>
            </w:pPr>
          </w:p>
        </w:tc>
        <w:tc>
          <w:tcPr>
            <w:tcW w:w="3280" w:type="dxa"/>
            <w:vAlign w:val="bottom"/>
            <w:tcBorders>
              <w:bottom w:val="single" w:sz="8" w:color="0000EE"/>
            </w:tcBorders>
            <w:gridSpan w:val="9"/>
          </w:tcPr>
          <w:p>
            <w:pPr>
              <w:spacing w:after="0" w:line="178" w:lineRule="exact"/>
              <w:rPr>
                <w:rFonts w:ascii="Arial" w:cs="Arial" w:eastAsia="Arial" w:hAnsi="Arial"/>
                <w:sz w:val="17"/>
                <w:szCs w:val="17"/>
                <w:color w:val="0000EE"/>
                <w:w w:val="87"/>
              </w:rPr>
            </w:pPr>
            <w:hyperlink r:id="rId96">
              <w:r>
                <w:rPr>
                  <w:rFonts w:ascii="Arial" w:cs="Arial" w:eastAsia="Arial" w:hAnsi="Arial"/>
                  <w:sz w:val="17"/>
                  <w:szCs w:val="17"/>
                  <w:color w:val="0000EE"/>
                  <w:w w:val="87"/>
                </w:rPr>
                <w:t>by and between HCP Life Science REIT, Inc. and</w:t>
              </w:r>
            </w:hyperlink>
          </w:p>
        </w:tc>
        <w:tc>
          <w:tcPr>
            <w:tcW w:w="660" w:type="dxa"/>
            <w:vAlign w:val="bottom"/>
            <w:gridSpan w:val="5"/>
          </w:tcPr>
          <w:p>
            <w:pPr>
              <w:spacing w:after="0"/>
              <w:rPr>
                <w:sz w:val="15"/>
                <w:szCs w:val="15"/>
                <w:color w:val="auto"/>
              </w:rPr>
            </w:pPr>
          </w:p>
        </w:tc>
        <w:tc>
          <w:tcPr>
            <w:tcW w:w="1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8"/>
        </w:trPr>
        <w:tc>
          <w:tcPr>
            <w:tcW w:w="880" w:type="dxa"/>
            <w:vAlign w:val="bottom"/>
          </w:tcPr>
          <w:p>
            <w:pPr>
              <w:spacing w:after="0"/>
              <w:rPr>
                <w:sz w:val="15"/>
                <w:szCs w:val="15"/>
                <w:color w:val="auto"/>
              </w:rPr>
            </w:pPr>
          </w:p>
        </w:tc>
        <w:tc>
          <w:tcPr>
            <w:tcW w:w="3940" w:type="dxa"/>
            <w:vAlign w:val="bottom"/>
            <w:gridSpan w:val="14"/>
          </w:tcPr>
          <w:p>
            <w:pPr>
              <w:spacing w:after="0" w:line="178" w:lineRule="exact"/>
              <w:rPr>
                <w:rFonts w:ascii="Arial" w:cs="Arial" w:eastAsia="Arial" w:hAnsi="Arial"/>
                <w:sz w:val="17"/>
                <w:szCs w:val="17"/>
                <w:color w:val="0000EE"/>
              </w:rPr>
            </w:pPr>
            <w:hyperlink r:id="rId96">
              <w:r>
                <w:rPr>
                  <w:rFonts w:ascii="Arial" w:cs="Arial" w:eastAsia="Arial" w:hAnsi="Arial"/>
                  <w:sz w:val="17"/>
                  <w:szCs w:val="17"/>
                  <w:color w:val="0000EE"/>
                </w:rPr>
                <w:t>Nkarta, Inc.</w:t>
              </w:r>
            </w:hyperlink>
          </w:p>
        </w:tc>
        <w:tc>
          <w:tcPr>
            <w:tcW w:w="1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0"/>
        </w:trPr>
        <w:tc>
          <w:tcPr>
            <w:tcW w:w="8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90"/>
        </w:trPr>
        <w:tc>
          <w:tcPr>
            <w:tcW w:w="880" w:type="dxa"/>
            <w:vAlign w:val="bottom"/>
          </w:tcPr>
          <w:p>
            <w:pPr>
              <w:spacing w:after="0"/>
              <w:rPr>
                <w:sz w:val="20"/>
                <w:szCs w:val="20"/>
                <w:color w:val="auto"/>
              </w:rPr>
            </w:pPr>
            <w:r>
              <w:rPr>
                <w:rFonts w:ascii="Arial" w:cs="Arial" w:eastAsia="Arial" w:hAnsi="Arial"/>
                <w:sz w:val="17"/>
                <w:szCs w:val="17"/>
                <w:color w:val="auto"/>
              </w:rPr>
              <w:t>31.1*</w:t>
            </w:r>
          </w:p>
        </w:tc>
        <w:tc>
          <w:tcPr>
            <w:tcW w:w="3940" w:type="dxa"/>
            <w:vAlign w:val="bottom"/>
            <w:gridSpan w:val="14"/>
          </w:tcPr>
          <w:p>
            <w:pPr>
              <w:spacing w:after="0"/>
              <w:rPr>
                <w:rFonts w:ascii="Arial" w:cs="Arial" w:eastAsia="Arial" w:hAnsi="Arial"/>
                <w:sz w:val="17"/>
                <w:szCs w:val="17"/>
                <w:color w:val="0000EE"/>
              </w:rPr>
            </w:pPr>
            <w:hyperlink w:anchor="page89">
              <w:r>
                <w:rPr>
                  <w:rFonts w:ascii="Arial" w:cs="Arial" w:eastAsia="Arial" w:hAnsi="Arial"/>
                  <w:sz w:val="17"/>
                  <w:szCs w:val="17"/>
                  <w:color w:val="0000EE"/>
                </w:rPr>
                <w:t>Certification of Principal Executive Officer Pursuant</w:t>
              </w:r>
            </w:hyperlink>
          </w:p>
        </w:tc>
        <w:tc>
          <w:tcPr>
            <w:tcW w:w="1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0"/>
        </w:trPr>
        <w:tc>
          <w:tcPr>
            <w:tcW w:w="880" w:type="dxa"/>
            <w:vAlign w:val="bottom"/>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78"/>
        </w:trPr>
        <w:tc>
          <w:tcPr>
            <w:tcW w:w="880" w:type="dxa"/>
            <w:vAlign w:val="bottom"/>
          </w:tcPr>
          <w:p>
            <w:pPr>
              <w:spacing w:after="0"/>
              <w:rPr>
                <w:sz w:val="15"/>
                <w:szCs w:val="15"/>
                <w:color w:val="auto"/>
              </w:rPr>
            </w:pPr>
          </w:p>
        </w:tc>
        <w:tc>
          <w:tcPr>
            <w:tcW w:w="3560" w:type="dxa"/>
            <w:vAlign w:val="bottom"/>
            <w:tcBorders>
              <w:bottom w:val="single" w:sz="8" w:color="0000EE"/>
            </w:tcBorders>
            <w:gridSpan w:val="12"/>
          </w:tcPr>
          <w:p>
            <w:pPr>
              <w:spacing w:after="0" w:line="178" w:lineRule="exact"/>
              <w:rPr>
                <w:rFonts w:ascii="Arial" w:cs="Arial" w:eastAsia="Arial" w:hAnsi="Arial"/>
                <w:sz w:val="17"/>
                <w:szCs w:val="17"/>
                <w:color w:val="0000EE"/>
                <w:w w:val="86"/>
              </w:rPr>
            </w:pPr>
            <w:hyperlink w:anchor="page89">
              <w:r>
                <w:rPr>
                  <w:rFonts w:ascii="Arial" w:cs="Arial" w:eastAsia="Arial" w:hAnsi="Arial"/>
                  <w:sz w:val="17"/>
                  <w:szCs w:val="17"/>
                  <w:color w:val="0000EE"/>
                  <w:w w:val="86"/>
                </w:rPr>
                <w:t>to Rules 13a-14(a) and 15d-14(a) under the Securities</w:t>
              </w:r>
            </w:hyperlink>
          </w:p>
        </w:tc>
        <w:tc>
          <w:tcPr>
            <w:tcW w:w="380" w:type="dxa"/>
            <w:vAlign w:val="bottom"/>
            <w:gridSpan w:val="2"/>
          </w:tcPr>
          <w:p>
            <w:pPr>
              <w:spacing w:after="0"/>
              <w:rPr>
                <w:sz w:val="15"/>
                <w:szCs w:val="15"/>
                <w:color w:val="auto"/>
              </w:rPr>
            </w:pPr>
          </w:p>
        </w:tc>
        <w:tc>
          <w:tcPr>
            <w:tcW w:w="1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8"/>
        </w:trPr>
        <w:tc>
          <w:tcPr>
            <w:tcW w:w="880" w:type="dxa"/>
            <w:vAlign w:val="bottom"/>
          </w:tcPr>
          <w:p>
            <w:pPr>
              <w:spacing w:after="0"/>
              <w:rPr>
                <w:sz w:val="15"/>
                <w:szCs w:val="15"/>
                <w:color w:val="auto"/>
              </w:rPr>
            </w:pPr>
          </w:p>
        </w:tc>
        <w:tc>
          <w:tcPr>
            <w:tcW w:w="3100" w:type="dxa"/>
            <w:vAlign w:val="bottom"/>
            <w:tcBorders>
              <w:bottom w:val="single" w:sz="8" w:color="0000EE"/>
            </w:tcBorders>
            <w:gridSpan w:val="3"/>
          </w:tcPr>
          <w:p>
            <w:pPr>
              <w:spacing w:after="0" w:line="178" w:lineRule="exact"/>
              <w:rPr>
                <w:rFonts w:ascii="Arial" w:cs="Arial" w:eastAsia="Arial" w:hAnsi="Arial"/>
                <w:sz w:val="17"/>
                <w:szCs w:val="17"/>
                <w:color w:val="0000EE"/>
                <w:w w:val="87"/>
              </w:rPr>
            </w:pPr>
            <w:hyperlink w:anchor="page89">
              <w:r>
                <w:rPr>
                  <w:rFonts w:ascii="Arial" w:cs="Arial" w:eastAsia="Arial" w:hAnsi="Arial"/>
                  <w:sz w:val="17"/>
                  <w:szCs w:val="17"/>
                  <w:color w:val="0000EE"/>
                  <w:w w:val="87"/>
                </w:rPr>
                <w:t>Exchange Act of 1934, as Adopted Pursuant to</w:t>
              </w:r>
            </w:hyperlink>
          </w:p>
        </w:tc>
        <w:tc>
          <w:tcPr>
            <w:tcW w:w="840" w:type="dxa"/>
            <w:vAlign w:val="bottom"/>
            <w:gridSpan w:val="11"/>
          </w:tcPr>
          <w:p>
            <w:pPr>
              <w:spacing w:after="0"/>
              <w:rPr>
                <w:sz w:val="15"/>
                <w:szCs w:val="15"/>
                <w:color w:val="auto"/>
              </w:rPr>
            </w:pPr>
          </w:p>
        </w:tc>
        <w:tc>
          <w:tcPr>
            <w:tcW w:w="1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8"/>
        </w:trPr>
        <w:tc>
          <w:tcPr>
            <w:tcW w:w="880" w:type="dxa"/>
            <w:vAlign w:val="bottom"/>
          </w:tcPr>
          <w:p>
            <w:pPr>
              <w:spacing w:after="0"/>
              <w:rPr>
                <w:sz w:val="15"/>
                <w:szCs w:val="15"/>
                <w:color w:val="auto"/>
              </w:rPr>
            </w:pPr>
          </w:p>
        </w:tc>
        <w:tc>
          <w:tcPr>
            <w:tcW w:w="3200" w:type="dxa"/>
            <w:vAlign w:val="bottom"/>
            <w:tcBorders>
              <w:bottom w:val="single" w:sz="8" w:color="0000EE"/>
            </w:tcBorders>
            <w:gridSpan w:val="6"/>
          </w:tcPr>
          <w:p>
            <w:pPr>
              <w:spacing w:after="0" w:line="178" w:lineRule="exact"/>
              <w:rPr>
                <w:rFonts w:ascii="Arial" w:cs="Arial" w:eastAsia="Arial" w:hAnsi="Arial"/>
                <w:sz w:val="17"/>
                <w:szCs w:val="17"/>
                <w:color w:val="0000EE"/>
                <w:w w:val="88"/>
              </w:rPr>
            </w:pPr>
            <w:hyperlink w:anchor="page89">
              <w:r>
                <w:rPr>
                  <w:rFonts w:ascii="Arial" w:cs="Arial" w:eastAsia="Arial" w:hAnsi="Arial"/>
                  <w:sz w:val="17"/>
                  <w:szCs w:val="17"/>
                  <w:color w:val="0000EE"/>
                  <w:w w:val="88"/>
                </w:rPr>
                <w:t>Section 302 of the Sarbanes-Oxley Act of 2002.</w:t>
              </w:r>
            </w:hyperlink>
          </w:p>
        </w:tc>
        <w:tc>
          <w:tcPr>
            <w:tcW w:w="740" w:type="dxa"/>
            <w:vAlign w:val="bottom"/>
            <w:gridSpan w:val="8"/>
          </w:tcPr>
          <w:p>
            <w:pPr>
              <w:spacing w:after="0"/>
              <w:rPr>
                <w:sz w:val="15"/>
                <w:szCs w:val="15"/>
                <w:color w:val="auto"/>
              </w:rPr>
            </w:pPr>
          </w:p>
        </w:tc>
        <w:tc>
          <w:tcPr>
            <w:tcW w:w="1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90"/>
        </w:trPr>
        <w:tc>
          <w:tcPr>
            <w:tcW w:w="880" w:type="dxa"/>
            <w:vAlign w:val="bottom"/>
          </w:tcPr>
          <w:p>
            <w:pPr>
              <w:spacing w:after="0"/>
              <w:rPr>
                <w:sz w:val="20"/>
                <w:szCs w:val="20"/>
                <w:color w:val="auto"/>
              </w:rPr>
            </w:pPr>
            <w:r>
              <w:rPr>
                <w:rFonts w:ascii="Arial" w:cs="Arial" w:eastAsia="Arial" w:hAnsi="Arial"/>
                <w:sz w:val="17"/>
                <w:szCs w:val="17"/>
                <w:color w:val="auto"/>
              </w:rPr>
              <w:t>31.2*</w:t>
            </w:r>
          </w:p>
        </w:tc>
        <w:tc>
          <w:tcPr>
            <w:tcW w:w="3480" w:type="dxa"/>
            <w:vAlign w:val="bottom"/>
            <w:tcBorders>
              <w:bottom w:val="single" w:sz="8" w:color="0000EE"/>
            </w:tcBorders>
            <w:gridSpan w:val="10"/>
          </w:tcPr>
          <w:p>
            <w:pPr>
              <w:spacing w:after="0"/>
              <w:rPr>
                <w:rFonts w:ascii="Arial" w:cs="Arial" w:eastAsia="Arial" w:hAnsi="Arial"/>
                <w:sz w:val="17"/>
                <w:szCs w:val="17"/>
                <w:color w:val="0000EE"/>
                <w:w w:val="90"/>
              </w:rPr>
            </w:pPr>
            <w:hyperlink w:anchor="page90">
              <w:r>
                <w:rPr>
                  <w:rFonts w:ascii="Arial" w:cs="Arial" w:eastAsia="Arial" w:hAnsi="Arial"/>
                  <w:sz w:val="17"/>
                  <w:szCs w:val="17"/>
                  <w:color w:val="0000EE"/>
                  <w:w w:val="90"/>
                </w:rPr>
                <w:t>Certification of Principal Financial Officer Pursuant</w:t>
              </w:r>
            </w:hyperlink>
          </w:p>
        </w:tc>
        <w:tc>
          <w:tcPr>
            <w:tcW w:w="460" w:type="dxa"/>
            <w:vAlign w:val="bottom"/>
            <w:gridSpan w:val="4"/>
          </w:tcPr>
          <w:p>
            <w:pPr>
              <w:spacing w:after="0"/>
              <w:rPr>
                <w:sz w:val="24"/>
                <w:szCs w:val="24"/>
                <w:color w:val="auto"/>
              </w:rPr>
            </w:pPr>
          </w:p>
        </w:tc>
        <w:tc>
          <w:tcPr>
            <w:tcW w:w="1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8"/>
        </w:trPr>
        <w:tc>
          <w:tcPr>
            <w:tcW w:w="880" w:type="dxa"/>
            <w:vAlign w:val="bottom"/>
          </w:tcPr>
          <w:p>
            <w:pPr>
              <w:spacing w:after="0"/>
              <w:rPr>
                <w:sz w:val="15"/>
                <w:szCs w:val="15"/>
                <w:color w:val="auto"/>
              </w:rPr>
            </w:pPr>
          </w:p>
        </w:tc>
        <w:tc>
          <w:tcPr>
            <w:tcW w:w="3560" w:type="dxa"/>
            <w:vAlign w:val="bottom"/>
            <w:tcBorders>
              <w:bottom w:val="single" w:sz="8" w:color="0000EE"/>
            </w:tcBorders>
            <w:gridSpan w:val="12"/>
          </w:tcPr>
          <w:p>
            <w:pPr>
              <w:spacing w:after="0" w:line="178" w:lineRule="exact"/>
              <w:rPr>
                <w:rFonts w:ascii="Arial" w:cs="Arial" w:eastAsia="Arial" w:hAnsi="Arial"/>
                <w:sz w:val="17"/>
                <w:szCs w:val="17"/>
                <w:color w:val="0000EE"/>
                <w:w w:val="86"/>
              </w:rPr>
            </w:pPr>
            <w:hyperlink w:anchor="page90">
              <w:r>
                <w:rPr>
                  <w:rFonts w:ascii="Arial" w:cs="Arial" w:eastAsia="Arial" w:hAnsi="Arial"/>
                  <w:sz w:val="17"/>
                  <w:szCs w:val="17"/>
                  <w:color w:val="0000EE"/>
                  <w:w w:val="86"/>
                </w:rPr>
                <w:t>to Rules 13a-14(a) and 15d-14(a) under the Securities</w:t>
              </w:r>
            </w:hyperlink>
          </w:p>
        </w:tc>
        <w:tc>
          <w:tcPr>
            <w:tcW w:w="380" w:type="dxa"/>
            <w:vAlign w:val="bottom"/>
            <w:gridSpan w:val="2"/>
          </w:tcPr>
          <w:p>
            <w:pPr>
              <w:spacing w:after="0"/>
              <w:rPr>
                <w:sz w:val="15"/>
                <w:szCs w:val="15"/>
                <w:color w:val="auto"/>
              </w:rPr>
            </w:pPr>
          </w:p>
        </w:tc>
        <w:tc>
          <w:tcPr>
            <w:tcW w:w="1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8"/>
        </w:trPr>
        <w:tc>
          <w:tcPr>
            <w:tcW w:w="880" w:type="dxa"/>
            <w:vAlign w:val="bottom"/>
          </w:tcPr>
          <w:p>
            <w:pPr>
              <w:spacing w:after="0"/>
              <w:rPr>
                <w:sz w:val="15"/>
                <w:szCs w:val="15"/>
                <w:color w:val="auto"/>
              </w:rPr>
            </w:pPr>
          </w:p>
        </w:tc>
        <w:tc>
          <w:tcPr>
            <w:tcW w:w="3100" w:type="dxa"/>
            <w:vAlign w:val="bottom"/>
            <w:tcBorders>
              <w:bottom w:val="single" w:sz="8" w:color="0000EE"/>
            </w:tcBorders>
            <w:gridSpan w:val="3"/>
          </w:tcPr>
          <w:p>
            <w:pPr>
              <w:spacing w:after="0" w:line="178" w:lineRule="exact"/>
              <w:rPr>
                <w:rFonts w:ascii="Arial" w:cs="Arial" w:eastAsia="Arial" w:hAnsi="Arial"/>
                <w:sz w:val="17"/>
                <w:szCs w:val="17"/>
                <w:color w:val="0000EE"/>
                <w:w w:val="87"/>
              </w:rPr>
            </w:pPr>
            <w:hyperlink w:anchor="page90">
              <w:r>
                <w:rPr>
                  <w:rFonts w:ascii="Arial" w:cs="Arial" w:eastAsia="Arial" w:hAnsi="Arial"/>
                  <w:sz w:val="17"/>
                  <w:szCs w:val="17"/>
                  <w:color w:val="0000EE"/>
                  <w:w w:val="87"/>
                </w:rPr>
                <w:t>Exchange Act of 1934, as Adopted Pursuant to</w:t>
              </w:r>
            </w:hyperlink>
          </w:p>
        </w:tc>
        <w:tc>
          <w:tcPr>
            <w:tcW w:w="840" w:type="dxa"/>
            <w:vAlign w:val="bottom"/>
            <w:gridSpan w:val="11"/>
          </w:tcPr>
          <w:p>
            <w:pPr>
              <w:spacing w:after="0"/>
              <w:rPr>
                <w:sz w:val="15"/>
                <w:szCs w:val="15"/>
                <w:color w:val="auto"/>
              </w:rPr>
            </w:pPr>
          </w:p>
        </w:tc>
        <w:tc>
          <w:tcPr>
            <w:tcW w:w="1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8"/>
        </w:trPr>
        <w:tc>
          <w:tcPr>
            <w:tcW w:w="880" w:type="dxa"/>
            <w:vAlign w:val="bottom"/>
          </w:tcPr>
          <w:p>
            <w:pPr>
              <w:spacing w:after="0"/>
              <w:rPr>
                <w:sz w:val="15"/>
                <w:szCs w:val="15"/>
                <w:color w:val="auto"/>
              </w:rPr>
            </w:pPr>
          </w:p>
        </w:tc>
        <w:tc>
          <w:tcPr>
            <w:tcW w:w="3180" w:type="dxa"/>
            <w:vAlign w:val="bottom"/>
            <w:tcBorders>
              <w:bottom w:val="single" w:sz="8" w:color="0000EE"/>
            </w:tcBorders>
            <w:gridSpan w:val="5"/>
          </w:tcPr>
          <w:p>
            <w:pPr>
              <w:spacing w:after="0" w:line="178" w:lineRule="exact"/>
              <w:rPr>
                <w:rFonts w:ascii="Arial" w:cs="Arial" w:eastAsia="Arial" w:hAnsi="Arial"/>
                <w:sz w:val="17"/>
                <w:szCs w:val="17"/>
                <w:color w:val="0000EE"/>
                <w:w w:val="87"/>
              </w:rPr>
            </w:pPr>
            <w:hyperlink w:anchor="page90">
              <w:r>
                <w:rPr>
                  <w:rFonts w:ascii="Arial" w:cs="Arial" w:eastAsia="Arial" w:hAnsi="Arial"/>
                  <w:sz w:val="17"/>
                  <w:szCs w:val="17"/>
                  <w:color w:val="0000EE"/>
                  <w:w w:val="87"/>
                </w:rPr>
                <w:t>Section 302 of the Sarbanes-Oxley Act of 2002.</w:t>
              </w:r>
            </w:hyperlink>
          </w:p>
        </w:tc>
        <w:tc>
          <w:tcPr>
            <w:tcW w:w="760" w:type="dxa"/>
            <w:vAlign w:val="bottom"/>
            <w:gridSpan w:val="9"/>
          </w:tcPr>
          <w:p>
            <w:pPr>
              <w:spacing w:after="0"/>
              <w:rPr>
                <w:sz w:val="15"/>
                <w:szCs w:val="15"/>
                <w:color w:val="auto"/>
              </w:rPr>
            </w:pPr>
          </w:p>
        </w:tc>
        <w:tc>
          <w:tcPr>
            <w:tcW w:w="1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90"/>
        </w:trPr>
        <w:tc>
          <w:tcPr>
            <w:tcW w:w="880" w:type="dxa"/>
            <w:vAlign w:val="bottom"/>
          </w:tcPr>
          <w:p>
            <w:pPr>
              <w:spacing w:after="0"/>
              <w:rPr>
                <w:sz w:val="20"/>
                <w:szCs w:val="20"/>
                <w:color w:val="auto"/>
              </w:rPr>
            </w:pPr>
            <w:r>
              <w:rPr>
                <w:rFonts w:ascii="Arial" w:cs="Arial" w:eastAsia="Arial" w:hAnsi="Arial"/>
                <w:sz w:val="17"/>
                <w:szCs w:val="17"/>
                <w:color w:val="auto"/>
              </w:rPr>
              <w:t>32</w:t>
            </w:r>
            <w:r>
              <w:rPr>
                <w:rFonts w:ascii="Arial" w:cs="Arial" w:eastAsia="Arial" w:hAnsi="Arial"/>
                <w:sz w:val="14"/>
                <w:szCs w:val="14"/>
                <w:color w:val="auto"/>
              </w:rPr>
              <w:t>+</w:t>
            </w:r>
          </w:p>
        </w:tc>
        <w:tc>
          <w:tcPr>
            <w:tcW w:w="3940" w:type="dxa"/>
            <w:vAlign w:val="bottom"/>
            <w:gridSpan w:val="14"/>
          </w:tcPr>
          <w:p>
            <w:pPr>
              <w:spacing w:after="0"/>
              <w:rPr>
                <w:rFonts w:ascii="Arial" w:cs="Arial" w:eastAsia="Arial" w:hAnsi="Arial"/>
                <w:sz w:val="17"/>
                <w:szCs w:val="17"/>
                <w:color w:val="0000EE"/>
              </w:rPr>
            </w:pPr>
            <w:hyperlink w:anchor="page91">
              <w:r>
                <w:rPr>
                  <w:rFonts w:ascii="Arial" w:cs="Arial" w:eastAsia="Arial" w:hAnsi="Arial"/>
                  <w:sz w:val="17"/>
                  <w:szCs w:val="17"/>
                  <w:color w:val="0000EE"/>
                </w:rPr>
                <w:t>Certification of Principal Executive Officer and</w:t>
              </w:r>
            </w:hyperlink>
          </w:p>
        </w:tc>
        <w:tc>
          <w:tcPr>
            <w:tcW w:w="1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0"/>
        </w:trPr>
        <w:tc>
          <w:tcPr>
            <w:tcW w:w="880" w:type="dxa"/>
            <w:vAlign w:val="bottom"/>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78"/>
        </w:trPr>
        <w:tc>
          <w:tcPr>
            <w:tcW w:w="880" w:type="dxa"/>
            <w:vAlign w:val="bottom"/>
          </w:tcPr>
          <w:p>
            <w:pPr>
              <w:spacing w:after="0"/>
              <w:rPr>
                <w:sz w:val="15"/>
                <w:szCs w:val="15"/>
                <w:color w:val="auto"/>
              </w:rPr>
            </w:pPr>
          </w:p>
        </w:tc>
        <w:tc>
          <w:tcPr>
            <w:tcW w:w="3940" w:type="dxa"/>
            <w:vAlign w:val="bottom"/>
            <w:gridSpan w:val="14"/>
          </w:tcPr>
          <w:p>
            <w:pPr>
              <w:spacing w:after="0" w:line="178" w:lineRule="exact"/>
              <w:rPr>
                <w:rFonts w:ascii="Arial" w:cs="Arial" w:eastAsia="Arial" w:hAnsi="Arial"/>
                <w:sz w:val="17"/>
                <w:szCs w:val="17"/>
                <w:color w:val="0000EE"/>
              </w:rPr>
            </w:pPr>
            <w:hyperlink w:anchor="page91">
              <w:r>
                <w:rPr>
                  <w:rFonts w:ascii="Arial" w:cs="Arial" w:eastAsia="Arial" w:hAnsi="Arial"/>
                  <w:sz w:val="17"/>
                  <w:szCs w:val="17"/>
                  <w:color w:val="0000EE"/>
                </w:rPr>
                <w:t>Principal Financial Officer Pursuant to 18 U.S.C.</w:t>
              </w:r>
            </w:hyperlink>
          </w:p>
        </w:tc>
        <w:tc>
          <w:tcPr>
            <w:tcW w:w="1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0"/>
        </w:trPr>
        <w:tc>
          <w:tcPr>
            <w:tcW w:w="880" w:type="dxa"/>
            <w:vAlign w:val="bottom"/>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78"/>
        </w:trPr>
        <w:tc>
          <w:tcPr>
            <w:tcW w:w="880" w:type="dxa"/>
            <w:vAlign w:val="bottom"/>
          </w:tcPr>
          <w:p>
            <w:pPr>
              <w:spacing w:after="0"/>
              <w:rPr>
                <w:sz w:val="15"/>
                <w:szCs w:val="15"/>
                <w:color w:val="auto"/>
              </w:rPr>
            </w:pPr>
          </w:p>
        </w:tc>
        <w:tc>
          <w:tcPr>
            <w:tcW w:w="3940" w:type="dxa"/>
            <w:vAlign w:val="bottom"/>
            <w:gridSpan w:val="14"/>
          </w:tcPr>
          <w:p>
            <w:pPr>
              <w:spacing w:after="0" w:line="178" w:lineRule="exact"/>
              <w:rPr>
                <w:rFonts w:ascii="Arial" w:cs="Arial" w:eastAsia="Arial" w:hAnsi="Arial"/>
                <w:sz w:val="17"/>
                <w:szCs w:val="17"/>
                <w:color w:val="0000EE"/>
                <w:w w:val="98"/>
              </w:rPr>
            </w:pPr>
            <w:hyperlink w:anchor="page91">
              <w:r>
                <w:rPr>
                  <w:rFonts w:ascii="Arial" w:cs="Arial" w:eastAsia="Arial" w:hAnsi="Arial"/>
                  <w:sz w:val="17"/>
                  <w:szCs w:val="17"/>
                  <w:color w:val="0000EE"/>
                  <w:w w:val="98"/>
                </w:rPr>
                <w:t>Section 1350, as Adopted Pursuant to Section 906 of</w:t>
              </w:r>
            </w:hyperlink>
          </w:p>
        </w:tc>
        <w:tc>
          <w:tcPr>
            <w:tcW w:w="1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8"/>
        </w:trPr>
        <w:tc>
          <w:tcPr>
            <w:tcW w:w="880" w:type="dxa"/>
            <w:vAlign w:val="bottom"/>
          </w:tcPr>
          <w:p>
            <w:pPr>
              <w:spacing w:after="0"/>
              <w:rPr>
                <w:sz w:val="15"/>
                <w:szCs w:val="15"/>
                <w:color w:val="auto"/>
              </w:rPr>
            </w:pPr>
          </w:p>
        </w:tc>
        <w:tc>
          <w:tcPr>
            <w:tcW w:w="3480" w:type="dxa"/>
            <w:vAlign w:val="bottom"/>
            <w:tcBorders>
              <w:top w:val="single" w:sz="8" w:color="0000EE"/>
            </w:tcBorders>
            <w:gridSpan w:val="10"/>
          </w:tcPr>
          <w:p>
            <w:pPr>
              <w:spacing w:after="0" w:line="178" w:lineRule="exact"/>
              <w:rPr>
                <w:rFonts w:ascii="Arial" w:cs="Arial" w:eastAsia="Arial" w:hAnsi="Arial"/>
                <w:sz w:val="17"/>
                <w:szCs w:val="17"/>
                <w:color w:val="0000EE"/>
              </w:rPr>
            </w:pPr>
            <w:hyperlink w:anchor="page91">
              <w:r>
                <w:rPr>
                  <w:rFonts w:ascii="Arial" w:cs="Arial" w:eastAsia="Arial" w:hAnsi="Arial"/>
                  <w:sz w:val="17"/>
                  <w:szCs w:val="17"/>
                  <w:color w:val="0000EE"/>
                </w:rPr>
                <w:t>the Sarbanes-Oxley Act of 2002.</w:t>
              </w:r>
            </w:hyperlink>
          </w:p>
        </w:tc>
        <w:tc>
          <w:tcPr>
            <w:tcW w:w="460" w:type="dxa"/>
            <w:vAlign w:val="bottom"/>
            <w:gridSpan w:val="4"/>
          </w:tcPr>
          <w:p>
            <w:pPr>
              <w:spacing w:after="0"/>
              <w:rPr>
                <w:sz w:val="15"/>
                <w:szCs w:val="15"/>
                <w:color w:val="auto"/>
              </w:rPr>
            </w:pPr>
          </w:p>
        </w:tc>
        <w:tc>
          <w:tcPr>
            <w:tcW w:w="1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0"/>
        </w:trPr>
        <w:tc>
          <w:tcPr>
            <w:tcW w:w="880" w:type="dxa"/>
            <w:vAlign w:val="bottom"/>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780" w:type="dxa"/>
            <w:vAlign w:val="bottom"/>
            <w:gridSpan w:val="1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449"/>
        </w:trPr>
        <w:tc>
          <w:tcPr>
            <w:tcW w:w="880" w:type="dxa"/>
            <w:vAlign w:val="bottom"/>
          </w:tcPr>
          <w:p>
            <w:pPr>
              <w:spacing w:after="0"/>
              <w:rPr>
                <w:sz w:val="20"/>
                <w:szCs w:val="20"/>
                <w:color w:val="auto"/>
              </w:rPr>
            </w:pPr>
            <w:r>
              <w:rPr>
                <w:rFonts w:ascii="Arial" w:cs="Arial" w:eastAsia="Arial" w:hAnsi="Arial"/>
                <w:sz w:val="17"/>
                <w:szCs w:val="17"/>
                <w:color w:val="auto"/>
              </w:rPr>
              <w:t>101.INS</w:t>
            </w:r>
          </w:p>
        </w:tc>
        <w:tc>
          <w:tcPr>
            <w:tcW w:w="3940" w:type="dxa"/>
            <w:vAlign w:val="bottom"/>
            <w:gridSpan w:val="14"/>
          </w:tcPr>
          <w:p>
            <w:pPr>
              <w:spacing w:after="0"/>
              <w:rPr>
                <w:sz w:val="20"/>
                <w:szCs w:val="20"/>
                <w:color w:val="auto"/>
              </w:rPr>
            </w:pPr>
            <w:r>
              <w:rPr>
                <w:rFonts w:ascii="Arial" w:cs="Arial" w:eastAsia="Arial" w:hAnsi="Arial"/>
                <w:sz w:val="17"/>
                <w:szCs w:val="17"/>
                <w:color w:val="auto"/>
              </w:rPr>
              <w:t>Inline XBRL Instance Document</w:t>
            </w:r>
          </w:p>
        </w:tc>
        <w:tc>
          <w:tcPr>
            <w:tcW w:w="1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00"/>
        </w:trPr>
        <w:tc>
          <w:tcPr>
            <w:tcW w:w="880" w:type="dxa"/>
            <w:vAlign w:val="bottom"/>
          </w:tcPr>
          <w:p>
            <w:pPr>
              <w:spacing w:after="0"/>
              <w:rPr>
                <w:sz w:val="20"/>
                <w:szCs w:val="20"/>
                <w:color w:val="auto"/>
              </w:rPr>
            </w:pPr>
            <w:r>
              <w:rPr>
                <w:rFonts w:ascii="Arial" w:cs="Arial" w:eastAsia="Arial" w:hAnsi="Arial"/>
                <w:sz w:val="17"/>
                <w:szCs w:val="17"/>
                <w:color w:val="auto"/>
              </w:rPr>
              <w:t>101.SCH</w:t>
            </w:r>
          </w:p>
        </w:tc>
        <w:tc>
          <w:tcPr>
            <w:tcW w:w="3940" w:type="dxa"/>
            <w:vAlign w:val="bottom"/>
            <w:gridSpan w:val="14"/>
          </w:tcPr>
          <w:p>
            <w:pPr>
              <w:spacing w:after="0"/>
              <w:rPr>
                <w:sz w:val="20"/>
                <w:szCs w:val="20"/>
                <w:color w:val="auto"/>
              </w:rPr>
            </w:pPr>
            <w:r>
              <w:rPr>
                <w:rFonts w:ascii="Arial" w:cs="Arial" w:eastAsia="Arial" w:hAnsi="Arial"/>
                <w:sz w:val="17"/>
                <w:szCs w:val="17"/>
                <w:color w:val="auto"/>
              </w:rPr>
              <w:t>Inline XBRL Taxonomy Extension Schema</w:t>
            </w:r>
          </w:p>
        </w:tc>
        <w:tc>
          <w:tcPr>
            <w:tcW w:w="1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9"/>
        </w:trPr>
        <w:tc>
          <w:tcPr>
            <w:tcW w:w="880" w:type="dxa"/>
            <w:vAlign w:val="bottom"/>
          </w:tcPr>
          <w:p>
            <w:pPr>
              <w:spacing w:after="0"/>
              <w:rPr>
                <w:sz w:val="18"/>
                <w:szCs w:val="18"/>
                <w:color w:val="auto"/>
              </w:rPr>
            </w:pPr>
          </w:p>
        </w:tc>
        <w:tc>
          <w:tcPr>
            <w:tcW w:w="3940" w:type="dxa"/>
            <w:vAlign w:val="bottom"/>
            <w:gridSpan w:val="14"/>
          </w:tcPr>
          <w:p>
            <w:pPr>
              <w:spacing w:after="0"/>
              <w:rPr>
                <w:sz w:val="20"/>
                <w:szCs w:val="20"/>
                <w:color w:val="auto"/>
              </w:rPr>
            </w:pPr>
            <w:r>
              <w:rPr>
                <w:rFonts w:ascii="Arial" w:cs="Arial" w:eastAsia="Arial" w:hAnsi="Arial"/>
                <w:sz w:val="17"/>
                <w:szCs w:val="17"/>
                <w:color w:val="auto"/>
              </w:rPr>
              <w:t>Document</w:t>
            </w:r>
          </w:p>
        </w:tc>
        <w:tc>
          <w:tcPr>
            <w:tcW w:w="1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0"/>
        </w:trPr>
        <w:tc>
          <w:tcPr>
            <w:tcW w:w="880" w:type="dxa"/>
            <w:vAlign w:val="bottom"/>
          </w:tcPr>
          <w:p>
            <w:pPr>
              <w:spacing w:after="0"/>
              <w:rPr>
                <w:sz w:val="20"/>
                <w:szCs w:val="20"/>
                <w:color w:val="auto"/>
              </w:rPr>
            </w:pPr>
            <w:r>
              <w:rPr>
                <w:rFonts w:ascii="Arial" w:cs="Arial" w:eastAsia="Arial" w:hAnsi="Arial"/>
                <w:sz w:val="17"/>
                <w:szCs w:val="17"/>
                <w:color w:val="auto"/>
              </w:rPr>
              <w:t>101.CAL</w:t>
            </w:r>
          </w:p>
        </w:tc>
        <w:tc>
          <w:tcPr>
            <w:tcW w:w="3940" w:type="dxa"/>
            <w:vAlign w:val="bottom"/>
            <w:gridSpan w:val="14"/>
          </w:tcPr>
          <w:p>
            <w:pPr>
              <w:spacing w:after="0"/>
              <w:rPr>
                <w:sz w:val="20"/>
                <w:szCs w:val="20"/>
                <w:color w:val="auto"/>
              </w:rPr>
            </w:pPr>
            <w:r>
              <w:rPr>
                <w:rFonts w:ascii="Arial" w:cs="Arial" w:eastAsia="Arial" w:hAnsi="Arial"/>
                <w:sz w:val="17"/>
                <w:szCs w:val="17"/>
                <w:color w:val="auto"/>
              </w:rPr>
              <w:t>Inline XBRL Taxonomy Extension Calculation</w:t>
            </w:r>
          </w:p>
        </w:tc>
        <w:tc>
          <w:tcPr>
            <w:tcW w:w="1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9"/>
        </w:trPr>
        <w:tc>
          <w:tcPr>
            <w:tcW w:w="880" w:type="dxa"/>
            <w:vAlign w:val="bottom"/>
          </w:tcPr>
          <w:p>
            <w:pPr>
              <w:spacing w:after="0"/>
              <w:rPr>
                <w:sz w:val="18"/>
                <w:szCs w:val="18"/>
                <w:color w:val="auto"/>
              </w:rPr>
            </w:pPr>
          </w:p>
        </w:tc>
        <w:tc>
          <w:tcPr>
            <w:tcW w:w="3940" w:type="dxa"/>
            <w:vAlign w:val="bottom"/>
            <w:gridSpan w:val="14"/>
          </w:tcPr>
          <w:p>
            <w:pPr>
              <w:spacing w:after="0"/>
              <w:rPr>
                <w:sz w:val="20"/>
                <w:szCs w:val="20"/>
                <w:color w:val="auto"/>
              </w:rPr>
            </w:pPr>
            <w:r>
              <w:rPr>
                <w:rFonts w:ascii="Arial" w:cs="Arial" w:eastAsia="Arial" w:hAnsi="Arial"/>
                <w:sz w:val="17"/>
                <w:szCs w:val="17"/>
                <w:color w:val="auto"/>
              </w:rPr>
              <w:t>Linkbase Document</w:t>
            </w:r>
          </w:p>
        </w:tc>
        <w:tc>
          <w:tcPr>
            <w:tcW w:w="1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0"/>
        </w:trPr>
        <w:tc>
          <w:tcPr>
            <w:tcW w:w="880" w:type="dxa"/>
            <w:vAlign w:val="bottom"/>
          </w:tcPr>
          <w:p>
            <w:pPr>
              <w:spacing w:after="0"/>
              <w:rPr>
                <w:sz w:val="20"/>
                <w:szCs w:val="20"/>
                <w:color w:val="auto"/>
              </w:rPr>
            </w:pPr>
            <w:r>
              <w:rPr>
                <w:rFonts w:ascii="Arial" w:cs="Arial" w:eastAsia="Arial" w:hAnsi="Arial"/>
                <w:sz w:val="17"/>
                <w:szCs w:val="17"/>
                <w:color w:val="auto"/>
              </w:rPr>
              <w:t>101.DEF</w:t>
            </w:r>
          </w:p>
        </w:tc>
        <w:tc>
          <w:tcPr>
            <w:tcW w:w="3940" w:type="dxa"/>
            <w:vAlign w:val="bottom"/>
            <w:gridSpan w:val="14"/>
          </w:tcPr>
          <w:p>
            <w:pPr>
              <w:spacing w:after="0"/>
              <w:rPr>
                <w:sz w:val="20"/>
                <w:szCs w:val="20"/>
                <w:color w:val="auto"/>
              </w:rPr>
            </w:pPr>
            <w:r>
              <w:rPr>
                <w:rFonts w:ascii="Arial" w:cs="Arial" w:eastAsia="Arial" w:hAnsi="Arial"/>
                <w:sz w:val="17"/>
                <w:szCs w:val="17"/>
                <w:color w:val="auto"/>
              </w:rPr>
              <w:t>Inline XBRL Taxonomy Extension Definition</w:t>
            </w:r>
          </w:p>
        </w:tc>
        <w:tc>
          <w:tcPr>
            <w:tcW w:w="1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9"/>
        </w:trPr>
        <w:tc>
          <w:tcPr>
            <w:tcW w:w="880" w:type="dxa"/>
            <w:vAlign w:val="bottom"/>
          </w:tcPr>
          <w:p>
            <w:pPr>
              <w:spacing w:after="0"/>
              <w:rPr>
                <w:sz w:val="18"/>
                <w:szCs w:val="18"/>
                <w:color w:val="auto"/>
              </w:rPr>
            </w:pPr>
          </w:p>
        </w:tc>
        <w:tc>
          <w:tcPr>
            <w:tcW w:w="3940" w:type="dxa"/>
            <w:vAlign w:val="bottom"/>
            <w:gridSpan w:val="14"/>
          </w:tcPr>
          <w:p>
            <w:pPr>
              <w:spacing w:after="0"/>
              <w:rPr>
                <w:sz w:val="20"/>
                <w:szCs w:val="20"/>
                <w:color w:val="auto"/>
              </w:rPr>
            </w:pPr>
            <w:r>
              <w:rPr>
                <w:rFonts w:ascii="Arial" w:cs="Arial" w:eastAsia="Arial" w:hAnsi="Arial"/>
                <w:sz w:val="17"/>
                <w:szCs w:val="17"/>
                <w:color w:val="auto"/>
              </w:rPr>
              <w:t>Linkbase Document</w:t>
            </w:r>
          </w:p>
        </w:tc>
        <w:tc>
          <w:tcPr>
            <w:tcW w:w="1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0"/>
        </w:trPr>
        <w:tc>
          <w:tcPr>
            <w:tcW w:w="880" w:type="dxa"/>
            <w:vAlign w:val="bottom"/>
          </w:tcPr>
          <w:p>
            <w:pPr>
              <w:spacing w:after="0"/>
              <w:rPr>
                <w:sz w:val="20"/>
                <w:szCs w:val="20"/>
                <w:color w:val="auto"/>
              </w:rPr>
            </w:pPr>
            <w:r>
              <w:rPr>
                <w:rFonts w:ascii="Arial" w:cs="Arial" w:eastAsia="Arial" w:hAnsi="Arial"/>
                <w:sz w:val="17"/>
                <w:szCs w:val="17"/>
                <w:color w:val="auto"/>
              </w:rPr>
              <w:t>101.LAB</w:t>
            </w:r>
          </w:p>
        </w:tc>
        <w:tc>
          <w:tcPr>
            <w:tcW w:w="3940" w:type="dxa"/>
            <w:vAlign w:val="bottom"/>
            <w:gridSpan w:val="14"/>
          </w:tcPr>
          <w:p>
            <w:pPr>
              <w:spacing w:after="0"/>
              <w:rPr>
                <w:sz w:val="20"/>
                <w:szCs w:val="20"/>
                <w:color w:val="auto"/>
              </w:rPr>
            </w:pPr>
            <w:r>
              <w:rPr>
                <w:rFonts w:ascii="Arial" w:cs="Arial" w:eastAsia="Arial" w:hAnsi="Arial"/>
                <w:sz w:val="17"/>
                <w:szCs w:val="17"/>
                <w:color w:val="auto"/>
              </w:rPr>
              <w:t>Inline XBRL Taxonomy Extension Label Linkbase</w:t>
            </w:r>
          </w:p>
        </w:tc>
        <w:tc>
          <w:tcPr>
            <w:tcW w:w="1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9"/>
        </w:trPr>
        <w:tc>
          <w:tcPr>
            <w:tcW w:w="880" w:type="dxa"/>
            <w:vAlign w:val="bottom"/>
          </w:tcPr>
          <w:p>
            <w:pPr>
              <w:spacing w:after="0"/>
              <w:rPr>
                <w:sz w:val="18"/>
                <w:szCs w:val="18"/>
                <w:color w:val="auto"/>
              </w:rPr>
            </w:pPr>
          </w:p>
        </w:tc>
        <w:tc>
          <w:tcPr>
            <w:tcW w:w="3940" w:type="dxa"/>
            <w:vAlign w:val="bottom"/>
            <w:gridSpan w:val="14"/>
          </w:tcPr>
          <w:p>
            <w:pPr>
              <w:spacing w:after="0"/>
              <w:rPr>
                <w:sz w:val="20"/>
                <w:szCs w:val="20"/>
                <w:color w:val="auto"/>
              </w:rPr>
            </w:pPr>
            <w:r>
              <w:rPr>
                <w:rFonts w:ascii="Arial" w:cs="Arial" w:eastAsia="Arial" w:hAnsi="Arial"/>
                <w:sz w:val="17"/>
                <w:szCs w:val="17"/>
                <w:color w:val="auto"/>
              </w:rPr>
              <w:t>Document</w:t>
            </w:r>
          </w:p>
        </w:tc>
        <w:tc>
          <w:tcPr>
            <w:tcW w:w="1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0"/>
        </w:trPr>
        <w:tc>
          <w:tcPr>
            <w:tcW w:w="880" w:type="dxa"/>
            <w:vAlign w:val="bottom"/>
          </w:tcPr>
          <w:p>
            <w:pPr>
              <w:spacing w:after="0"/>
              <w:rPr>
                <w:sz w:val="20"/>
                <w:szCs w:val="20"/>
                <w:color w:val="auto"/>
              </w:rPr>
            </w:pPr>
            <w:r>
              <w:rPr>
                <w:rFonts w:ascii="Arial" w:cs="Arial" w:eastAsia="Arial" w:hAnsi="Arial"/>
                <w:sz w:val="17"/>
                <w:szCs w:val="17"/>
                <w:color w:val="auto"/>
              </w:rPr>
              <w:t>101.PRE</w:t>
            </w:r>
          </w:p>
        </w:tc>
        <w:tc>
          <w:tcPr>
            <w:tcW w:w="3940" w:type="dxa"/>
            <w:vAlign w:val="bottom"/>
            <w:gridSpan w:val="14"/>
          </w:tcPr>
          <w:p>
            <w:pPr>
              <w:spacing w:after="0"/>
              <w:rPr>
                <w:sz w:val="20"/>
                <w:szCs w:val="20"/>
                <w:color w:val="auto"/>
              </w:rPr>
            </w:pPr>
            <w:r>
              <w:rPr>
                <w:rFonts w:ascii="Arial" w:cs="Arial" w:eastAsia="Arial" w:hAnsi="Arial"/>
                <w:sz w:val="17"/>
                <w:szCs w:val="17"/>
                <w:color w:val="auto"/>
              </w:rPr>
              <w:t>Inline XBRL Taxonomy Extension Presentation</w:t>
            </w:r>
          </w:p>
        </w:tc>
        <w:tc>
          <w:tcPr>
            <w:tcW w:w="1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9"/>
        </w:trPr>
        <w:tc>
          <w:tcPr>
            <w:tcW w:w="880" w:type="dxa"/>
            <w:vAlign w:val="bottom"/>
          </w:tcPr>
          <w:p>
            <w:pPr>
              <w:spacing w:after="0"/>
              <w:rPr>
                <w:sz w:val="18"/>
                <w:szCs w:val="18"/>
                <w:color w:val="auto"/>
              </w:rPr>
            </w:pPr>
          </w:p>
        </w:tc>
        <w:tc>
          <w:tcPr>
            <w:tcW w:w="3940" w:type="dxa"/>
            <w:vAlign w:val="bottom"/>
            <w:gridSpan w:val="14"/>
          </w:tcPr>
          <w:p>
            <w:pPr>
              <w:spacing w:after="0"/>
              <w:rPr>
                <w:sz w:val="20"/>
                <w:szCs w:val="20"/>
                <w:color w:val="auto"/>
              </w:rPr>
            </w:pPr>
            <w:r>
              <w:rPr>
                <w:rFonts w:ascii="Arial" w:cs="Arial" w:eastAsia="Arial" w:hAnsi="Arial"/>
                <w:sz w:val="17"/>
                <w:szCs w:val="17"/>
                <w:color w:val="auto"/>
              </w:rPr>
              <w:t>Linkbase Document</w:t>
            </w:r>
          </w:p>
        </w:tc>
        <w:tc>
          <w:tcPr>
            <w:tcW w:w="1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40" w:type="dxa"/>
            <w:vAlign w:val="bottom"/>
          </w:tcPr>
          <w:p>
            <w:pPr>
              <w:spacing w:after="0"/>
              <w:rPr>
                <w:sz w:val="18"/>
                <w:szCs w:val="18"/>
                <w:color w:val="auto"/>
              </w:rPr>
            </w:pPr>
          </w:p>
        </w:tc>
      </w:tr>
    </w:tbl>
    <w:p>
      <w:pPr>
        <w:spacing w:after="0" w:line="1" w:lineRule="exact"/>
        <w:rPr>
          <w:sz w:val="20"/>
          <w:szCs w:val="20"/>
          <w:color w:val="auto"/>
        </w:rPr>
      </w:pPr>
    </w:p>
    <w:p>
      <w:pPr>
        <w:ind w:left="881" w:right="6880" w:hanging="881"/>
        <w:spacing w:after="0" w:line="260" w:lineRule="auto"/>
        <w:tabs>
          <w:tab w:leader="none" w:pos="881"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951865"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951865" cy="7620"/>
                    </a:xfrm>
                    <a:prstGeom prst="rect">
                      <a:avLst/>
                    </a:prstGeom>
                    <a:noFill/>
                  </pic:spPr>
                </pic:pic>
              </a:graphicData>
            </a:graphic>
          </wp:anchor>
        </w:drawing>
      </w:r>
    </w:p>
    <w:p>
      <w:pPr>
        <w:spacing w:after="0" w:line="213" w:lineRule="exact"/>
        <w:rPr>
          <w:sz w:val="20"/>
          <w:szCs w:val="20"/>
          <w:color w:val="auto"/>
        </w:rPr>
      </w:pPr>
    </w:p>
    <w:p>
      <w:pPr>
        <w:ind w:left="501" w:hanging="501"/>
        <w:spacing w:after="0"/>
        <w:tabs>
          <w:tab w:leader="none" w:pos="501" w:val="left"/>
        </w:tabs>
        <w:numPr>
          <w:ilvl w:val="0"/>
          <w:numId w:val="38"/>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40" w:lineRule="exact"/>
        <w:rPr>
          <w:sz w:val="20"/>
          <w:szCs w:val="20"/>
          <w:color w:val="auto"/>
        </w:rPr>
      </w:pPr>
    </w:p>
    <w:p>
      <w:pPr>
        <w:ind w:left="501" w:right="480" w:hanging="501"/>
        <w:spacing w:after="0" w:line="251" w:lineRule="auto"/>
        <w:tabs>
          <w:tab w:leader="none" w:pos="501" w:val="left"/>
        </w:tabs>
        <w:numPr>
          <w:ilvl w:val="0"/>
          <w:numId w:val="39"/>
        </w:numPr>
        <w:rPr>
          <w:rFonts w:ascii="Arial" w:cs="Arial" w:eastAsia="Arial" w:hAnsi="Arial"/>
          <w:sz w:val="14"/>
          <w:szCs w:val="14"/>
          <w:color w:val="auto"/>
        </w:rPr>
      </w:pPr>
      <w:r>
        <w:rPr>
          <w:rFonts w:ascii="Arial" w:cs="Arial" w:eastAsia="Arial" w:hAnsi="Arial"/>
          <w:sz w:val="17"/>
          <w:szCs w:val="17"/>
          <w:color w:val="auto"/>
        </w:rPr>
        <w:t>This certification is being furnished solely to accompany this Quarterly Report on Form 10-Q pursuant to 18 U.S.C. Section 1350, and is not being filed for purposes of Section 18 of the Securities Exchange Act of 1934, as amended, or otherwise subject to the liability of that section, nor shall it be deemed incorporated by reference into any filing of the registrant under the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59690</wp:posOffset>
            </wp:positionV>
            <wp:extent cx="7169150" cy="41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61"/>
          </w:cols>
          <w:pgMar w:left="319" w:top="321" w:right="319" w:bottom="1440" w:gutter="0" w:footer="0" w:header="0"/>
          <w:type w:val="continuous"/>
        </w:sectPr>
      </w:pPr>
    </w:p>
    <w:bookmarkStart w:id="76" w:name="page77"/>
    <w:bookmarkEnd w:id="76"/>
    <w:p>
      <w:pPr>
        <w:spacing w:after="0" w:line="260" w:lineRule="auto"/>
        <w:rPr>
          <w:sz w:val="20"/>
          <w:szCs w:val="20"/>
          <w:color w:val="auto"/>
        </w:rPr>
      </w:pPr>
      <w:r>
        <w:rPr>
          <w:rFonts w:ascii="Arial" w:cs="Arial" w:eastAsia="Arial" w:hAnsi="Arial"/>
          <w:sz w:val="17"/>
          <w:szCs w:val="17"/>
          <w:color w:val="auto"/>
        </w:rPr>
        <w:t>Securities Act of 1933, as amended, or the Securities Exchange Act of 1934, as amended, whether made before or after the date hereof, regardless of any general incorporation language in such filing.</w:t>
      </w:r>
    </w:p>
    <w:p>
      <w:pPr>
        <w:spacing w:after="0" w:line="171"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59690</wp:posOffset>
            </wp:positionV>
            <wp:extent cx="7169150" cy="4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0640"/>
          </w:cols>
          <w:pgMar w:left="820" w:top="362" w:right="439" w:bottom="1440" w:gutter="0" w:footer="0" w:header="0"/>
        </w:sectPr>
      </w:pPr>
    </w:p>
    <w:bookmarkStart w:id="77" w:name="page78"/>
    <w:bookmarkEnd w:id="77"/>
    <w:p>
      <w:pPr>
        <w:jc w:val="center"/>
        <w:spacing w:after="0"/>
        <w:rPr>
          <w:sz w:val="20"/>
          <w:szCs w:val="20"/>
          <w:color w:val="auto"/>
        </w:rPr>
      </w:pPr>
      <w:r>
        <w:rPr>
          <w:rFonts w:ascii="Arial" w:cs="Arial" w:eastAsia="Arial" w:hAnsi="Arial"/>
          <w:sz w:val="17"/>
          <w:szCs w:val="17"/>
          <w:b w:val="1"/>
          <w:bCs w:val="1"/>
          <w:color w:val="auto"/>
        </w:rPr>
        <w:t>SIGNATURES</w:t>
      </w:r>
    </w:p>
    <w:p>
      <w:pPr>
        <w:spacing w:after="0" w:line="205" w:lineRule="exact"/>
        <w:rPr>
          <w:sz w:val="20"/>
          <w:szCs w:val="20"/>
          <w:color w:val="auto"/>
        </w:rPr>
      </w:pPr>
    </w:p>
    <w:p>
      <w:pPr>
        <w:ind w:right="460" w:firstLine="511"/>
        <w:spacing w:after="0" w:line="26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620" w:type="dxa"/>
            <w:vAlign w:val="bottom"/>
          </w:tcPr>
          <w:p>
            <w:pPr>
              <w:spacing w:after="0"/>
              <w:rPr>
                <w:sz w:val="18"/>
                <w:szCs w:val="18"/>
                <w:color w:val="auto"/>
              </w:rPr>
            </w:pPr>
          </w:p>
        </w:tc>
        <w:tc>
          <w:tcPr>
            <w:tcW w:w="2800" w:type="dxa"/>
            <w:vAlign w:val="bottom"/>
            <w:gridSpan w:val="2"/>
          </w:tcPr>
          <w:p>
            <w:pPr>
              <w:ind w:left="1960"/>
              <w:spacing w:after="0"/>
              <w:rPr>
                <w:sz w:val="20"/>
                <w:szCs w:val="20"/>
                <w:color w:val="auto"/>
              </w:rPr>
            </w:pPr>
            <w:r>
              <w:rPr>
                <w:rFonts w:ascii="Arial" w:cs="Arial" w:eastAsia="Arial" w:hAnsi="Arial"/>
                <w:sz w:val="17"/>
                <w:szCs w:val="17"/>
                <w:color w:val="auto"/>
                <w:w w:val="94"/>
              </w:rPr>
              <w:t>Nkarta, Inc.</w:t>
            </w:r>
          </w:p>
        </w:tc>
        <w:tc>
          <w:tcPr>
            <w:tcW w:w="4820" w:type="dxa"/>
            <w:vAlign w:val="bottom"/>
          </w:tcPr>
          <w:p>
            <w:pPr>
              <w:spacing w:after="0"/>
              <w:rPr>
                <w:sz w:val="18"/>
                <w:szCs w:val="18"/>
                <w:color w:val="auto"/>
              </w:rPr>
            </w:pPr>
          </w:p>
        </w:tc>
      </w:tr>
      <w:tr>
        <w:trPr>
          <w:trHeight w:val="422"/>
        </w:trPr>
        <w:tc>
          <w:tcPr>
            <w:tcW w:w="3620" w:type="dxa"/>
            <w:vAlign w:val="bottom"/>
          </w:tcPr>
          <w:p>
            <w:pPr>
              <w:spacing w:after="0"/>
              <w:rPr>
                <w:sz w:val="20"/>
                <w:szCs w:val="20"/>
                <w:color w:val="auto"/>
              </w:rPr>
            </w:pPr>
            <w:r>
              <w:rPr>
                <w:rFonts w:ascii="Arial" w:cs="Arial" w:eastAsia="Arial" w:hAnsi="Arial"/>
                <w:sz w:val="17"/>
                <w:szCs w:val="17"/>
                <w:color w:val="auto"/>
              </w:rPr>
              <w:t>Date: November 10, 2021</w:t>
            </w:r>
          </w:p>
        </w:tc>
        <w:tc>
          <w:tcPr>
            <w:tcW w:w="2800" w:type="dxa"/>
            <w:vAlign w:val="bottom"/>
            <w:gridSpan w:val="2"/>
          </w:tcPr>
          <w:p>
            <w:pPr>
              <w:ind w:left="1960"/>
              <w:spacing w:after="0"/>
              <w:rPr>
                <w:sz w:val="20"/>
                <w:szCs w:val="20"/>
                <w:color w:val="auto"/>
              </w:rPr>
            </w:pPr>
            <w:r>
              <w:rPr>
                <w:rFonts w:ascii="Arial" w:cs="Arial" w:eastAsia="Arial" w:hAnsi="Arial"/>
                <w:sz w:val="17"/>
                <w:szCs w:val="17"/>
                <w:color w:val="auto"/>
              </w:rPr>
              <w:t>By:</w:t>
            </w:r>
          </w:p>
        </w:tc>
        <w:tc>
          <w:tcPr>
            <w:tcW w:w="4820" w:type="dxa"/>
            <w:vAlign w:val="bottom"/>
          </w:tcPr>
          <w:p>
            <w:pPr>
              <w:jc w:val="center"/>
              <w:ind w:right="457"/>
              <w:spacing w:after="0"/>
              <w:rPr>
                <w:sz w:val="20"/>
                <w:szCs w:val="20"/>
                <w:color w:val="auto"/>
              </w:rPr>
            </w:pPr>
            <w:r>
              <w:rPr>
                <w:rFonts w:ascii="Arial" w:cs="Arial" w:eastAsia="Arial" w:hAnsi="Arial"/>
                <w:sz w:val="17"/>
                <w:szCs w:val="17"/>
                <w:color w:val="auto"/>
                <w:w w:val="85"/>
              </w:rPr>
              <w:t>/s/ Paul J. Hastings</w:t>
            </w:r>
          </w:p>
        </w:tc>
      </w:tr>
      <w:tr>
        <w:trPr>
          <w:trHeight w:val="202"/>
        </w:trPr>
        <w:tc>
          <w:tcPr>
            <w:tcW w:w="36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4820" w:type="dxa"/>
            <w:vAlign w:val="bottom"/>
            <w:tcBorders>
              <w:top w:val="single" w:sz="8" w:color="auto"/>
            </w:tcBorders>
          </w:tcPr>
          <w:p>
            <w:pPr>
              <w:jc w:val="center"/>
              <w:ind w:right="437"/>
              <w:spacing w:after="0"/>
              <w:rPr>
                <w:sz w:val="20"/>
                <w:szCs w:val="20"/>
                <w:color w:val="auto"/>
              </w:rPr>
            </w:pPr>
            <w:r>
              <w:rPr>
                <w:rFonts w:ascii="Arial" w:cs="Arial" w:eastAsia="Arial" w:hAnsi="Arial"/>
                <w:sz w:val="17"/>
                <w:szCs w:val="17"/>
                <w:color w:val="auto"/>
                <w:w w:val="86"/>
              </w:rPr>
              <w:t>Paul J. Hastings</w:t>
            </w:r>
          </w:p>
        </w:tc>
      </w:tr>
      <w:tr>
        <w:trPr>
          <w:trHeight w:val="211"/>
        </w:trPr>
        <w:tc>
          <w:tcPr>
            <w:tcW w:w="36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20" w:type="dxa"/>
            <w:vAlign w:val="bottom"/>
          </w:tcPr>
          <w:p>
            <w:pPr>
              <w:jc w:val="center"/>
              <w:ind w:right="457"/>
              <w:spacing w:after="0"/>
              <w:rPr>
                <w:sz w:val="20"/>
                <w:szCs w:val="20"/>
                <w:color w:val="auto"/>
              </w:rPr>
            </w:pPr>
            <w:r>
              <w:rPr>
                <w:rFonts w:ascii="Arial" w:cs="Arial" w:eastAsia="Arial" w:hAnsi="Arial"/>
                <w:sz w:val="17"/>
                <w:szCs w:val="17"/>
                <w:color w:val="auto"/>
                <w:w w:val="92"/>
              </w:rPr>
              <w:t>Chief Executive Officer</w:t>
            </w:r>
          </w:p>
        </w:tc>
      </w:tr>
      <w:tr>
        <w:trPr>
          <w:trHeight w:val="211"/>
        </w:trPr>
        <w:tc>
          <w:tcPr>
            <w:tcW w:w="36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20" w:type="dxa"/>
            <w:vAlign w:val="bottom"/>
          </w:tcPr>
          <w:p>
            <w:pPr>
              <w:jc w:val="center"/>
              <w:ind w:right="457"/>
              <w:spacing w:after="0"/>
              <w:rPr>
                <w:sz w:val="20"/>
                <w:szCs w:val="20"/>
                <w:color w:val="auto"/>
              </w:rPr>
            </w:pPr>
            <w:r>
              <w:rPr>
                <w:rFonts w:ascii="Arial" w:cs="Arial" w:eastAsia="Arial" w:hAnsi="Arial"/>
                <w:sz w:val="17"/>
                <w:szCs w:val="17"/>
                <w:color w:val="auto"/>
                <w:w w:val="91"/>
              </w:rPr>
              <w:t>(Principal Executive Officer)</w:t>
            </w:r>
          </w:p>
        </w:tc>
      </w:tr>
      <w:tr>
        <w:trPr>
          <w:trHeight w:val="422"/>
        </w:trPr>
        <w:tc>
          <w:tcPr>
            <w:tcW w:w="3620" w:type="dxa"/>
            <w:vAlign w:val="bottom"/>
          </w:tcPr>
          <w:p>
            <w:pPr>
              <w:spacing w:after="0"/>
              <w:rPr>
                <w:sz w:val="20"/>
                <w:szCs w:val="20"/>
                <w:color w:val="auto"/>
              </w:rPr>
            </w:pPr>
            <w:r>
              <w:rPr>
                <w:rFonts w:ascii="Arial" w:cs="Arial" w:eastAsia="Arial" w:hAnsi="Arial"/>
                <w:sz w:val="17"/>
                <w:szCs w:val="17"/>
                <w:color w:val="auto"/>
              </w:rPr>
              <w:t>Date: November 10, 2021</w:t>
            </w:r>
          </w:p>
        </w:tc>
        <w:tc>
          <w:tcPr>
            <w:tcW w:w="2800" w:type="dxa"/>
            <w:vAlign w:val="bottom"/>
            <w:gridSpan w:val="2"/>
          </w:tcPr>
          <w:p>
            <w:pPr>
              <w:ind w:left="1960"/>
              <w:spacing w:after="0"/>
              <w:rPr>
                <w:sz w:val="20"/>
                <w:szCs w:val="20"/>
                <w:color w:val="auto"/>
              </w:rPr>
            </w:pPr>
            <w:r>
              <w:rPr>
                <w:rFonts w:ascii="Arial" w:cs="Arial" w:eastAsia="Arial" w:hAnsi="Arial"/>
                <w:sz w:val="17"/>
                <w:szCs w:val="17"/>
                <w:color w:val="auto"/>
              </w:rPr>
              <w:t>By:</w:t>
            </w:r>
          </w:p>
        </w:tc>
        <w:tc>
          <w:tcPr>
            <w:tcW w:w="4820" w:type="dxa"/>
            <w:vAlign w:val="bottom"/>
          </w:tcPr>
          <w:p>
            <w:pPr>
              <w:jc w:val="center"/>
              <w:ind w:right="457"/>
              <w:spacing w:after="0"/>
              <w:rPr>
                <w:sz w:val="20"/>
                <w:szCs w:val="20"/>
                <w:color w:val="auto"/>
              </w:rPr>
            </w:pPr>
            <w:r>
              <w:rPr>
                <w:rFonts w:ascii="Arial" w:cs="Arial" w:eastAsia="Arial" w:hAnsi="Arial"/>
                <w:sz w:val="17"/>
                <w:szCs w:val="17"/>
                <w:color w:val="auto"/>
                <w:w w:val="89"/>
              </w:rPr>
              <w:t>/s/ Nadir Mahmood</w:t>
            </w:r>
          </w:p>
        </w:tc>
      </w:tr>
      <w:tr>
        <w:trPr>
          <w:trHeight w:val="202"/>
        </w:trPr>
        <w:tc>
          <w:tcPr>
            <w:tcW w:w="36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4820" w:type="dxa"/>
            <w:vAlign w:val="bottom"/>
            <w:tcBorders>
              <w:top w:val="single" w:sz="8" w:color="auto"/>
            </w:tcBorders>
          </w:tcPr>
          <w:p>
            <w:pPr>
              <w:jc w:val="center"/>
              <w:ind w:right="457"/>
              <w:spacing w:after="0"/>
              <w:rPr>
                <w:sz w:val="20"/>
                <w:szCs w:val="20"/>
                <w:color w:val="auto"/>
              </w:rPr>
            </w:pPr>
            <w:r>
              <w:rPr>
                <w:rFonts w:ascii="Arial" w:cs="Arial" w:eastAsia="Arial" w:hAnsi="Arial"/>
                <w:sz w:val="17"/>
                <w:szCs w:val="17"/>
                <w:color w:val="auto"/>
                <w:w w:val="89"/>
              </w:rPr>
              <w:t>Nadir Mahmood</w:t>
            </w:r>
          </w:p>
        </w:tc>
      </w:tr>
      <w:tr>
        <w:trPr>
          <w:trHeight w:val="211"/>
        </w:trPr>
        <w:tc>
          <w:tcPr>
            <w:tcW w:w="36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20" w:type="dxa"/>
            <w:vAlign w:val="bottom"/>
          </w:tcPr>
          <w:p>
            <w:pPr>
              <w:jc w:val="center"/>
              <w:ind w:right="457"/>
              <w:spacing w:after="0"/>
              <w:rPr>
                <w:sz w:val="20"/>
                <w:szCs w:val="20"/>
                <w:color w:val="auto"/>
              </w:rPr>
            </w:pPr>
            <w:r>
              <w:rPr>
                <w:rFonts w:ascii="Arial" w:cs="Arial" w:eastAsia="Arial" w:hAnsi="Arial"/>
                <w:sz w:val="17"/>
                <w:szCs w:val="17"/>
                <w:color w:val="auto"/>
                <w:w w:val="89"/>
              </w:rPr>
              <w:t>Chief Financial and Business Officer</w:t>
            </w:r>
          </w:p>
        </w:tc>
      </w:tr>
      <w:tr>
        <w:trPr>
          <w:trHeight w:val="211"/>
        </w:trPr>
        <w:tc>
          <w:tcPr>
            <w:tcW w:w="36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20" w:type="dxa"/>
            <w:vAlign w:val="bottom"/>
          </w:tcPr>
          <w:p>
            <w:pPr>
              <w:jc w:val="center"/>
              <w:ind w:right="457"/>
              <w:spacing w:after="0"/>
              <w:rPr>
                <w:sz w:val="20"/>
                <w:szCs w:val="20"/>
                <w:color w:val="auto"/>
              </w:rPr>
            </w:pPr>
            <w:r>
              <w:rPr>
                <w:rFonts w:ascii="Arial" w:cs="Arial" w:eastAsia="Arial" w:hAnsi="Arial"/>
                <w:sz w:val="17"/>
                <w:szCs w:val="17"/>
                <w:color w:val="auto"/>
                <w:w w:val="91"/>
              </w:rPr>
              <w:t>(Principal Financial Officer and Principal Accounting Officer)</w:t>
            </w:r>
          </w:p>
        </w:tc>
      </w:tr>
      <w:tr>
        <w:trPr>
          <w:trHeight w:val="595"/>
        </w:trPr>
        <w:tc>
          <w:tcPr>
            <w:tcW w:w="3620" w:type="dxa"/>
            <w:vAlign w:val="bottom"/>
          </w:tcPr>
          <w:p>
            <w:pPr>
              <w:spacing w:after="0"/>
              <w:rPr>
                <w:sz w:val="24"/>
                <w:szCs w:val="24"/>
                <w:color w:val="auto"/>
              </w:rPr>
            </w:pPr>
          </w:p>
        </w:tc>
        <w:tc>
          <w:tcPr>
            <w:tcW w:w="2260" w:type="dxa"/>
            <w:vAlign w:val="bottom"/>
          </w:tcPr>
          <w:p>
            <w:pPr>
              <w:jc w:val="right"/>
              <w:ind w:right="97"/>
              <w:spacing w:after="0"/>
              <w:rPr>
                <w:sz w:val="20"/>
                <w:szCs w:val="20"/>
                <w:color w:val="auto"/>
              </w:rPr>
            </w:pPr>
            <w:r>
              <w:rPr>
                <w:rFonts w:ascii="Arial" w:cs="Arial" w:eastAsia="Arial" w:hAnsi="Arial"/>
                <w:sz w:val="17"/>
                <w:szCs w:val="17"/>
                <w:color w:val="auto"/>
              </w:rPr>
              <w:t>73</w:t>
            </w:r>
          </w:p>
        </w:tc>
        <w:tc>
          <w:tcPr>
            <w:tcW w:w="540" w:type="dxa"/>
            <w:vAlign w:val="bottom"/>
          </w:tcPr>
          <w:p>
            <w:pPr>
              <w:spacing w:after="0"/>
              <w:rPr>
                <w:sz w:val="24"/>
                <w:szCs w:val="24"/>
                <w:color w:val="auto"/>
              </w:rPr>
            </w:pPr>
          </w:p>
        </w:tc>
        <w:tc>
          <w:tcPr>
            <w:tcW w:w="4820" w:type="dxa"/>
            <w:vAlign w:val="bottom"/>
          </w:tcPr>
          <w:p>
            <w:pPr>
              <w:spacing w:after="0"/>
              <w:rPr>
                <w:sz w:val="24"/>
                <w:szCs w:val="24"/>
                <w:color w:val="auto"/>
              </w:rPr>
            </w:pPr>
          </w:p>
        </w:tc>
      </w:tr>
    </w:tbl>
    <w:p>
      <w:pPr>
        <w:sectPr>
          <w:pgSz w:w="11900" w:h="16838" w:orient="portrait"/>
          <w:cols w:equalWidth="0" w:num="1">
            <w:col w:w="11240"/>
          </w:cols>
          <w:pgMar w:left="320" w:top="321"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FIRST AMENDMENT TO LEASE</w:t>
      </w:r>
    </w:p>
    <w:p>
      <w:pPr>
        <w:spacing w:after="0" w:line="191" w:lineRule="exact"/>
        <w:rPr>
          <w:sz w:val="20"/>
          <w:szCs w:val="20"/>
          <w:color w:val="auto"/>
        </w:rPr>
      </w:pPr>
    </w:p>
    <w:p>
      <w:pPr>
        <w:jc w:val="both"/>
        <w:ind w:firstLine="865"/>
        <w:spacing w:after="0" w:line="246" w:lineRule="auto"/>
        <w:rPr>
          <w:sz w:val="20"/>
          <w:szCs w:val="20"/>
          <w:color w:val="auto"/>
        </w:rPr>
      </w:pPr>
      <w:r>
        <w:rPr>
          <w:rFonts w:ascii="Arial" w:cs="Arial" w:eastAsia="Arial" w:hAnsi="Arial"/>
          <w:sz w:val="20"/>
          <w:szCs w:val="20"/>
          <w:color w:val="auto"/>
        </w:rPr>
        <w:t>This FIRST AMENDMENT TO LEASE (this "</w:t>
      </w:r>
      <w:r>
        <w:rPr>
          <w:rFonts w:ascii="Arial" w:cs="Arial" w:eastAsia="Arial" w:hAnsi="Arial"/>
          <w:sz w:val="20"/>
          <w:szCs w:val="20"/>
          <w:b w:val="1"/>
          <w:bCs w:val="1"/>
          <w:color w:val="auto"/>
        </w:rPr>
        <w:t>First Amendment</w:t>
      </w:r>
      <w:r>
        <w:rPr>
          <w:rFonts w:ascii="Arial" w:cs="Arial" w:eastAsia="Arial" w:hAnsi="Arial"/>
          <w:sz w:val="20"/>
          <w:szCs w:val="20"/>
          <w:color w:val="auto"/>
        </w:rPr>
        <w:t xml:space="preserve">") is made and entered into as of the date of last signature below, by and between </w:t>
      </w:r>
      <w:r>
        <w:rPr>
          <w:rFonts w:ascii="Arial" w:cs="Arial" w:eastAsia="Arial" w:hAnsi="Arial"/>
          <w:sz w:val="20"/>
          <w:szCs w:val="20"/>
          <w:b w:val="1"/>
          <w:bCs w:val="1"/>
          <w:color w:val="auto"/>
        </w:rPr>
        <w:t>HCP BTC, LLC</w:t>
      </w:r>
      <w:r>
        <w:rPr>
          <w:rFonts w:ascii="Arial" w:cs="Arial" w:eastAsia="Arial" w:hAnsi="Arial"/>
          <w:sz w:val="20"/>
          <w:szCs w:val="20"/>
          <w:color w:val="auto"/>
        </w:rPr>
        <w:t>, a Delaware limited company ("</w:t>
      </w:r>
      <w:r>
        <w:rPr>
          <w:rFonts w:ascii="Arial" w:cs="Arial" w:eastAsia="Arial" w:hAnsi="Arial"/>
          <w:sz w:val="20"/>
          <w:szCs w:val="20"/>
          <w:b w:val="1"/>
          <w:bCs w:val="1"/>
          <w:color w:val="auto"/>
        </w:rPr>
        <w:t>Landlord</w:t>
      </w:r>
      <w:r>
        <w:rPr>
          <w:rFonts w:ascii="Arial" w:cs="Arial" w:eastAsia="Arial" w:hAnsi="Arial"/>
          <w:sz w:val="20"/>
          <w:szCs w:val="20"/>
          <w:color w:val="auto"/>
        </w:rPr>
        <w:t xml:space="preserve">"), and </w:t>
      </w:r>
      <w:r>
        <w:rPr>
          <w:rFonts w:ascii="Arial" w:cs="Arial" w:eastAsia="Arial" w:hAnsi="Arial"/>
          <w:sz w:val="20"/>
          <w:szCs w:val="20"/>
          <w:b w:val="1"/>
          <w:bCs w:val="1"/>
          <w:color w:val="auto"/>
        </w:rPr>
        <w:t>NKARTA, INC.</w:t>
      </w:r>
      <w:r>
        <w:rPr>
          <w:rFonts w:ascii="Arial" w:cs="Arial" w:eastAsia="Arial" w:hAnsi="Arial"/>
          <w:sz w:val="20"/>
          <w:szCs w:val="20"/>
          <w:color w:val="auto"/>
        </w:rPr>
        <w:t>, a Delaware corporation ("</w:t>
      </w:r>
      <w:r>
        <w:rPr>
          <w:rFonts w:ascii="Arial" w:cs="Arial" w:eastAsia="Arial" w:hAnsi="Arial"/>
          <w:sz w:val="20"/>
          <w:szCs w:val="20"/>
          <w:b w:val="1"/>
          <w:bCs w:val="1"/>
          <w:color w:val="auto"/>
        </w:rPr>
        <w:t>Tenant</w:t>
      </w:r>
      <w:r>
        <w:rPr>
          <w:rFonts w:ascii="Arial" w:cs="Arial" w:eastAsia="Arial" w:hAnsi="Arial"/>
          <w:sz w:val="20"/>
          <w:szCs w:val="20"/>
          <w:color w:val="auto"/>
        </w:rPr>
        <w:t>").</w:t>
      </w:r>
    </w:p>
    <w:p>
      <w:pPr>
        <w:spacing w:after="0" w:line="339"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0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6320" w:type="dxa"/>
            <w:vAlign w:val="bottom"/>
            <w:gridSpan w:val="2"/>
          </w:tcPr>
          <w:p>
            <w:pPr>
              <w:jc w:val="right"/>
              <w:ind w:right="4920"/>
              <w:spacing w:after="0"/>
              <w:rPr>
                <w:sz w:val="20"/>
                <w:szCs w:val="20"/>
                <w:color w:val="auto"/>
              </w:rPr>
            </w:pPr>
            <w:r>
              <w:rPr>
                <w:rFonts w:ascii="Arial" w:cs="Arial" w:eastAsia="Arial" w:hAnsi="Arial"/>
                <w:sz w:val="20"/>
                <w:szCs w:val="20"/>
                <w:color w:val="auto"/>
                <w:w w:val="93"/>
              </w:rPr>
              <w:t>R E C I T A L S :</w:t>
            </w:r>
          </w:p>
        </w:tc>
      </w:tr>
      <w:tr>
        <w:trPr>
          <w:trHeight w:val="20"/>
        </w:trPr>
        <w:tc>
          <w:tcPr>
            <w:tcW w:w="5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r>
        <w:trPr>
          <w:trHeight w:val="617"/>
        </w:trPr>
        <w:tc>
          <w:tcPr>
            <w:tcW w:w="500" w:type="dxa"/>
            <w:vAlign w:val="bottom"/>
          </w:tcPr>
          <w:p>
            <w:pPr>
              <w:spacing w:after="0"/>
              <w:rPr>
                <w:sz w:val="20"/>
                <w:szCs w:val="20"/>
                <w:color w:val="auto"/>
              </w:rPr>
            </w:pPr>
            <w:r>
              <w:rPr>
                <w:rFonts w:ascii="Arial" w:cs="Arial" w:eastAsia="Arial" w:hAnsi="Arial"/>
                <w:sz w:val="20"/>
                <w:szCs w:val="20"/>
                <w:color w:val="auto"/>
              </w:rPr>
              <w:t>A.</w:t>
            </w:r>
          </w:p>
        </w:tc>
        <w:tc>
          <w:tcPr>
            <w:tcW w:w="10680" w:type="dxa"/>
            <w:vAlign w:val="bottom"/>
            <w:gridSpan w:val="3"/>
          </w:tcPr>
          <w:p>
            <w:pPr>
              <w:jc w:val="right"/>
              <w:spacing w:after="0"/>
              <w:rPr>
                <w:sz w:val="20"/>
                <w:szCs w:val="20"/>
                <w:color w:val="auto"/>
              </w:rPr>
            </w:pPr>
            <w:r>
              <w:rPr>
                <w:rFonts w:ascii="Arial" w:cs="Arial" w:eastAsia="Arial" w:hAnsi="Arial"/>
                <w:sz w:val="20"/>
                <w:szCs w:val="20"/>
                <w:color w:val="auto"/>
                <w:w w:val="99"/>
              </w:rPr>
              <w:t>Landlord and Tenant entered into that certain Lease dated July 9, 2021 (the "</w:t>
            </w:r>
            <w:r>
              <w:rPr>
                <w:rFonts w:ascii="Arial" w:cs="Arial" w:eastAsia="Arial" w:hAnsi="Arial"/>
                <w:sz w:val="20"/>
                <w:szCs w:val="20"/>
                <w:b w:val="1"/>
                <w:bCs w:val="1"/>
                <w:color w:val="auto"/>
                <w:w w:val="99"/>
              </w:rPr>
              <w:t>Lease</w:t>
            </w:r>
            <w:r>
              <w:rPr>
                <w:rFonts w:ascii="Arial" w:cs="Arial" w:eastAsia="Arial" w:hAnsi="Arial"/>
                <w:sz w:val="20"/>
                <w:szCs w:val="20"/>
                <w:color w:val="auto"/>
                <w:w w:val="99"/>
              </w:rPr>
              <w:t>"), whereby Landlord leases to Tenant</w:t>
            </w:r>
          </w:p>
        </w:tc>
      </w:tr>
      <w:tr>
        <w:trPr>
          <w:trHeight w:val="217"/>
        </w:trPr>
        <w:tc>
          <w:tcPr>
            <w:tcW w:w="500" w:type="dxa"/>
            <w:vAlign w:val="bottom"/>
          </w:tcPr>
          <w:p>
            <w:pPr>
              <w:spacing w:after="0"/>
              <w:rPr>
                <w:sz w:val="18"/>
                <w:szCs w:val="18"/>
                <w:color w:val="auto"/>
              </w:rPr>
            </w:pPr>
          </w:p>
        </w:tc>
        <w:tc>
          <w:tcPr>
            <w:tcW w:w="10680" w:type="dxa"/>
            <w:vAlign w:val="bottom"/>
            <w:gridSpan w:val="3"/>
          </w:tcPr>
          <w:p>
            <w:pPr>
              <w:jc w:val="right"/>
              <w:spacing w:after="0" w:line="217" w:lineRule="exact"/>
              <w:rPr>
                <w:sz w:val="20"/>
                <w:szCs w:val="20"/>
                <w:color w:val="auto"/>
              </w:rPr>
            </w:pPr>
            <w:r>
              <w:rPr>
                <w:rFonts w:ascii="Arial" w:cs="Arial" w:eastAsia="Arial" w:hAnsi="Arial"/>
                <w:sz w:val="20"/>
                <w:szCs w:val="20"/>
                <w:color w:val="auto"/>
                <w:w w:val="94"/>
              </w:rPr>
              <w:t>and Tenant leases from Landlord those certain premises containing approximately 88,106 rentable square feet (collectively, the</w:t>
            </w:r>
          </w:p>
        </w:tc>
      </w:tr>
      <w:tr>
        <w:trPr>
          <w:trHeight w:val="257"/>
        </w:trPr>
        <w:tc>
          <w:tcPr>
            <w:tcW w:w="500" w:type="dxa"/>
            <w:vAlign w:val="bottom"/>
          </w:tcPr>
          <w:p>
            <w:pPr>
              <w:spacing w:after="0"/>
              <w:rPr>
                <w:sz w:val="22"/>
                <w:szCs w:val="22"/>
                <w:color w:val="auto"/>
              </w:rPr>
            </w:pPr>
          </w:p>
        </w:tc>
        <w:tc>
          <w:tcPr>
            <w:tcW w:w="10680" w:type="dxa"/>
            <w:vAlign w:val="bottom"/>
            <w:gridSpan w:val="3"/>
          </w:tcPr>
          <w:p>
            <w:pPr>
              <w:ind w:left="300"/>
              <w:spacing w:after="0"/>
              <w:rPr>
                <w:sz w:val="20"/>
                <w:szCs w:val="20"/>
                <w:color w:val="auto"/>
              </w:rPr>
            </w:pPr>
            <w:r>
              <w:rPr>
                <w:rFonts w:ascii="Arial" w:cs="Arial" w:eastAsia="Arial" w:hAnsi="Arial"/>
                <w:sz w:val="20"/>
                <w:szCs w:val="20"/>
                <w:color w:val="auto"/>
                <w:w w:val="92"/>
              </w:rPr>
              <w:t>"</w:t>
            </w:r>
            <w:r>
              <w:rPr>
                <w:rFonts w:ascii="Arial" w:cs="Arial" w:eastAsia="Arial" w:hAnsi="Arial"/>
                <w:sz w:val="20"/>
                <w:szCs w:val="20"/>
                <w:b w:val="1"/>
                <w:bCs w:val="1"/>
                <w:color w:val="auto"/>
                <w:w w:val="92"/>
              </w:rPr>
              <w:t>Premises</w:t>
            </w:r>
            <w:r>
              <w:rPr>
                <w:rFonts w:ascii="Arial" w:cs="Arial" w:eastAsia="Arial" w:hAnsi="Arial"/>
                <w:sz w:val="20"/>
                <w:szCs w:val="20"/>
                <w:color w:val="auto"/>
                <w:w w:val="92"/>
              </w:rPr>
              <w:t>") consisting of the entire building located at 1150 Veterans Boulevard, South San Francisco, California ("</w:t>
            </w:r>
            <w:r>
              <w:rPr>
                <w:rFonts w:ascii="Arial" w:cs="Arial" w:eastAsia="Arial" w:hAnsi="Arial"/>
                <w:sz w:val="20"/>
                <w:szCs w:val="20"/>
                <w:b w:val="1"/>
                <w:bCs w:val="1"/>
                <w:color w:val="auto"/>
                <w:w w:val="92"/>
              </w:rPr>
              <w:t>Building</w:t>
            </w:r>
            <w:r>
              <w:rPr>
                <w:rFonts w:ascii="Arial" w:cs="Arial" w:eastAsia="Arial" w:hAnsi="Arial"/>
                <w:sz w:val="20"/>
                <w:szCs w:val="20"/>
                <w:color w:val="auto"/>
                <w:w w:val="92"/>
              </w:rPr>
              <w:t>").</w:t>
            </w:r>
          </w:p>
        </w:tc>
      </w:tr>
      <w:tr>
        <w:trPr>
          <w:trHeight w:val="394"/>
        </w:trPr>
        <w:tc>
          <w:tcPr>
            <w:tcW w:w="500" w:type="dxa"/>
            <w:vAlign w:val="bottom"/>
          </w:tcPr>
          <w:p>
            <w:pPr>
              <w:spacing w:after="0"/>
              <w:rPr>
                <w:sz w:val="20"/>
                <w:szCs w:val="20"/>
                <w:color w:val="auto"/>
              </w:rPr>
            </w:pPr>
            <w:r>
              <w:rPr>
                <w:rFonts w:ascii="Arial" w:cs="Arial" w:eastAsia="Arial" w:hAnsi="Arial"/>
                <w:sz w:val="20"/>
                <w:szCs w:val="20"/>
                <w:color w:val="auto"/>
              </w:rPr>
              <w:t>B.</w:t>
            </w:r>
          </w:p>
        </w:tc>
        <w:tc>
          <w:tcPr>
            <w:tcW w:w="10680" w:type="dxa"/>
            <w:vAlign w:val="bottom"/>
            <w:gridSpan w:val="3"/>
          </w:tcPr>
          <w:p>
            <w:pPr>
              <w:jc w:val="right"/>
              <w:spacing w:after="0"/>
              <w:rPr>
                <w:sz w:val="20"/>
                <w:szCs w:val="20"/>
                <w:color w:val="auto"/>
              </w:rPr>
            </w:pPr>
            <w:r>
              <w:rPr>
                <w:rFonts w:ascii="Arial" w:cs="Arial" w:eastAsia="Arial" w:hAnsi="Arial"/>
                <w:sz w:val="20"/>
                <w:szCs w:val="20"/>
                <w:color w:val="auto"/>
                <w:w w:val="99"/>
              </w:rPr>
              <w:t>Landlord and Tenant desire to make modifications to the Lease, and in connection therewith, Landlord and Tenant desire</w:t>
            </w:r>
          </w:p>
        </w:tc>
      </w:tr>
      <w:tr>
        <w:trPr>
          <w:trHeight w:val="251"/>
        </w:trPr>
        <w:tc>
          <w:tcPr>
            <w:tcW w:w="500" w:type="dxa"/>
            <w:vAlign w:val="bottom"/>
          </w:tcPr>
          <w:p>
            <w:pPr>
              <w:spacing w:after="0"/>
              <w:rPr>
                <w:sz w:val="21"/>
                <w:szCs w:val="21"/>
                <w:color w:val="auto"/>
              </w:rPr>
            </w:pPr>
          </w:p>
        </w:tc>
        <w:tc>
          <w:tcPr>
            <w:tcW w:w="10680" w:type="dxa"/>
            <w:vAlign w:val="bottom"/>
            <w:gridSpan w:val="3"/>
          </w:tcPr>
          <w:p>
            <w:pPr>
              <w:ind w:left="300"/>
              <w:spacing w:after="0"/>
              <w:rPr>
                <w:sz w:val="20"/>
                <w:szCs w:val="20"/>
                <w:color w:val="auto"/>
              </w:rPr>
            </w:pPr>
            <w:r>
              <w:rPr>
                <w:rFonts w:ascii="Arial" w:cs="Arial" w:eastAsia="Arial" w:hAnsi="Arial"/>
                <w:sz w:val="20"/>
                <w:szCs w:val="20"/>
                <w:color w:val="auto"/>
              </w:rPr>
              <w:t>to amend the Lease as hereinafter provided.</w:t>
            </w:r>
          </w:p>
        </w:tc>
      </w:tr>
    </w:tbl>
    <w:p>
      <w:pPr>
        <w:spacing w:after="0" w:line="36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 G R E E M E N T</w:t>
      </w:r>
      <w:r>
        <w:rPr>
          <w:rFonts w:ascii="Arial" w:cs="Arial" w:eastAsia="Arial" w:hAnsi="Arial"/>
          <w:sz w:val="20"/>
          <w:szCs w:val="20"/>
          <w:color w:val="auto"/>
        </w:rPr>
        <w:t xml:space="preserve"> :</w:t>
      </w:r>
    </w:p>
    <w:p>
      <w:pPr>
        <w:spacing w:after="0" w:line="191" w:lineRule="exact"/>
        <w:rPr>
          <w:sz w:val="20"/>
          <w:szCs w:val="20"/>
          <w:color w:val="auto"/>
        </w:rPr>
      </w:pPr>
    </w:p>
    <w:p>
      <w:pPr>
        <w:jc w:val="both"/>
        <w:ind w:firstLine="865"/>
        <w:spacing w:after="0" w:line="309" w:lineRule="auto"/>
        <w:rPr>
          <w:sz w:val="20"/>
          <w:szCs w:val="20"/>
          <w:color w:val="auto"/>
        </w:rPr>
      </w:pPr>
      <w:r>
        <w:rPr>
          <w:rFonts w:ascii="Arial" w:cs="Arial" w:eastAsia="Arial" w:hAnsi="Arial"/>
          <w:sz w:val="18"/>
          <w:szCs w:val="18"/>
          <w:color w:val="auto"/>
        </w:rPr>
        <w:t>NOW, THEREFORE, in consideration of the foregoing recitals and the mutual covenants contained herein, and for other good and valuable consideration, the receipt and sufficiency of which are hereby acknowledged, the parties hereto hereby agree as follows:</w:t>
      </w:r>
    </w:p>
    <w:p>
      <w:pPr>
        <w:spacing w:after="0" w:line="105" w:lineRule="exact"/>
        <w:rPr>
          <w:sz w:val="20"/>
          <w:szCs w:val="20"/>
          <w:color w:val="auto"/>
        </w:rPr>
      </w:pPr>
    </w:p>
    <w:p>
      <w:pPr>
        <w:ind w:firstLine="864"/>
        <w:spacing w:after="0" w:line="260" w:lineRule="auto"/>
        <w:tabs>
          <w:tab w:leader="none" w:pos="1608" w:val="left"/>
        </w:tabs>
        <w:numPr>
          <w:ilvl w:val="0"/>
          <w:numId w:val="40"/>
        </w:numPr>
        <w:rPr>
          <w:rFonts w:ascii="Arial" w:cs="Arial" w:eastAsia="Arial" w:hAnsi="Arial"/>
          <w:sz w:val="20"/>
          <w:szCs w:val="20"/>
          <w:color w:val="auto"/>
        </w:rPr>
      </w:pPr>
      <w:r>
        <w:rPr>
          <w:rFonts w:ascii="Arial" w:cs="Arial" w:eastAsia="Arial" w:hAnsi="Arial"/>
          <w:sz w:val="20"/>
          <w:szCs w:val="20"/>
          <w:b w:val="1"/>
          <w:bCs w:val="1"/>
          <w:u w:val="single" w:color="auto"/>
          <w:color w:val="auto"/>
        </w:rPr>
        <w:t>Capitalized Terms</w:t>
      </w:r>
      <w:r>
        <w:rPr>
          <w:rFonts w:ascii="Arial" w:cs="Arial" w:eastAsia="Arial" w:hAnsi="Arial"/>
          <w:sz w:val="20"/>
          <w:szCs w:val="20"/>
          <w:color w:val="auto"/>
        </w:rPr>
        <w:t>. All capitalized terms when used herein shall have the same meaning as is given such terms in the</w:t>
      </w:r>
      <w:r>
        <w:rPr>
          <w:rFonts w:ascii="Arial" w:cs="Arial" w:eastAsia="Arial" w:hAnsi="Arial"/>
          <w:sz w:val="20"/>
          <w:szCs w:val="20"/>
          <w:b w:val="1"/>
          <w:bCs w:val="1"/>
          <w:color w:val="auto"/>
        </w:rPr>
        <w:t xml:space="preserve"> </w:t>
      </w:r>
      <w:r>
        <w:rPr>
          <w:rFonts w:ascii="Arial" w:cs="Arial" w:eastAsia="Arial" w:hAnsi="Arial"/>
          <w:sz w:val="20"/>
          <w:szCs w:val="20"/>
          <w:color w:val="auto"/>
        </w:rPr>
        <w:t>Lease unless expressly superseded by the terms of this First Amendment.</w:t>
      </w:r>
    </w:p>
    <w:p>
      <w:pPr>
        <w:spacing w:after="0" w:line="145" w:lineRule="exact"/>
        <w:rPr>
          <w:rFonts w:ascii="Arial" w:cs="Arial" w:eastAsia="Arial" w:hAnsi="Arial"/>
          <w:sz w:val="20"/>
          <w:szCs w:val="20"/>
          <w:color w:val="auto"/>
        </w:rPr>
      </w:pPr>
    </w:p>
    <w:p>
      <w:pPr>
        <w:jc w:val="both"/>
        <w:ind w:firstLine="864"/>
        <w:spacing w:after="0" w:line="265" w:lineRule="auto"/>
        <w:tabs>
          <w:tab w:leader="none" w:pos="1608" w:val="left"/>
        </w:tabs>
        <w:numPr>
          <w:ilvl w:val="0"/>
          <w:numId w:val="40"/>
        </w:numPr>
        <w:rPr>
          <w:rFonts w:ascii="Arial" w:cs="Arial" w:eastAsia="Arial" w:hAnsi="Arial"/>
          <w:sz w:val="19"/>
          <w:szCs w:val="19"/>
          <w:color w:val="auto"/>
        </w:rPr>
      </w:pPr>
      <w:r>
        <w:rPr>
          <w:rFonts w:ascii="Arial" w:cs="Arial" w:eastAsia="Arial" w:hAnsi="Arial"/>
          <w:sz w:val="19"/>
          <w:szCs w:val="19"/>
          <w:b w:val="1"/>
          <w:bCs w:val="1"/>
          <w:u w:val="single" w:color="auto"/>
          <w:color w:val="auto"/>
        </w:rPr>
        <w:t>Modification of Permitted Use</w:t>
      </w:r>
      <w:r>
        <w:rPr>
          <w:rFonts w:ascii="Arial" w:cs="Arial" w:eastAsia="Arial" w:hAnsi="Arial"/>
          <w:sz w:val="19"/>
          <w:szCs w:val="19"/>
          <w:color w:val="auto"/>
        </w:rPr>
        <w:t>. The “Permitted Use” as defined in the Lease is expanded to expressly include</w:t>
      </w:r>
      <w:r>
        <w:rPr>
          <w:rFonts w:ascii="Arial" w:cs="Arial" w:eastAsia="Arial" w:hAnsi="Arial"/>
          <w:sz w:val="19"/>
          <w:szCs w:val="19"/>
          <w:b w:val="1"/>
          <w:bCs w:val="1"/>
          <w:color w:val="auto"/>
        </w:rPr>
        <w:t xml:space="preserve"> </w:t>
      </w:r>
      <w:r>
        <w:rPr>
          <w:rFonts w:ascii="Arial" w:cs="Arial" w:eastAsia="Arial" w:hAnsi="Arial"/>
          <w:sz w:val="19"/>
          <w:szCs w:val="19"/>
          <w:color w:val="auto"/>
        </w:rPr>
        <w:t>manufacturing and other lawful uses reasonably related to or incidental to such use, provided that the same shall be (i) consistent with First Class Life Sciences Projects, and (ii) in compliance with, and subject to, Applicable Laws and the terms of the Lease.</w:t>
      </w:r>
    </w:p>
    <w:p>
      <w:pPr>
        <w:spacing w:after="0" w:line="143" w:lineRule="exact"/>
        <w:rPr>
          <w:rFonts w:ascii="Arial" w:cs="Arial" w:eastAsia="Arial" w:hAnsi="Arial"/>
          <w:sz w:val="19"/>
          <w:szCs w:val="19"/>
          <w:color w:val="auto"/>
        </w:rPr>
      </w:pPr>
    </w:p>
    <w:p>
      <w:pPr>
        <w:jc w:val="both"/>
        <w:ind w:firstLine="864"/>
        <w:spacing w:after="0" w:line="246" w:lineRule="auto"/>
        <w:tabs>
          <w:tab w:leader="none" w:pos="1608" w:val="left"/>
        </w:tabs>
        <w:numPr>
          <w:ilvl w:val="0"/>
          <w:numId w:val="40"/>
        </w:numPr>
        <w:rPr>
          <w:rFonts w:ascii="Arial" w:cs="Arial" w:eastAsia="Arial" w:hAnsi="Arial"/>
          <w:sz w:val="20"/>
          <w:szCs w:val="20"/>
          <w:color w:val="auto"/>
        </w:rPr>
      </w:pPr>
      <w:r>
        <w:rPr>
          <w:rFonts w:ascii="Arial" w:cs="Arial" w:eastAsia="Arial" w:hAnsi="Arial"/>
          <w:sz w:val="20"/>
          <w:szCs w:val="20"/>
          <w:b w:val="1"/>
          <w:bCs w:val="1"/>
          <w:u w:val="single" w:color="auto"/>
          <w:color w:val="auto"/>
        </w:rPr>
        <w:t>Waiver of Bank’s Credit Rating Threshold</w:t>
      </w:r>
      <w:r>
        <w:rPr>
          <w:rFonts w:ascii="Arial" w:cs="Arial" w:eastAsia="Arial" w:hAnsi="Arial"/>
          <w:sz w:val="20"/>
          <w:szCs w:val="20"/>
          <w:u w:val="single" w:color="auto"/>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Notwithstanding anything to the contrary contained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21</w:t>
      </w:r>
      <w:r>
        <w:rPr>
          <w:rFonts w:ascii="Arial" w:cs="Arial" w:eastAsia="Arial" w:hAnsi="Arial"/>
          <w:sz w:val="20"/>
          <w:szCs w:val="20"/>
          <w:b w:val="1"/>
          <w:bCs w:val="1"/>
          <w:color w:val="auto"/>
        </w:rPr>
        <w:t xml:space="preserve"> </w:t>
      </w:r>
      <w:r>
        <w:rPr>
          <w:rFonts w:ascii="Arial" w:cs="Arial" w:eastAsia="Arial" w:hAnsi="Arial"/>
          <w:sz w:val="20"/>
          <w:szCs w:val="20"/>
          <w:color w:val="auto"/>
        </w:rPr>
        <w:t>of the</w:t>
      </w:r>
      <w:r>
        <w:rPr>
          <w:rFonts w:ascii="Arial" w:cs="Arial" w:eastAsia="Arial" w:hAnsi="Arial"/>
          <w:sz w:val="20"/>
          <w:szCs w:val="20"/>
          <w:b w:val="1"/>
          <w:bCs w:val="1"/>
          <w:color w:val="auto"/>
        </w:rPr>
        <w:t xml:space="preserve"> </w:t>
      </w:r>
      <w:r>
        <w:rPr>
          <w:rFonts w:ascii="Arial" w:cs="Arial" w:eastAsia="Arial" w:hAnsi="Arial"/>
          <w:sz w:val="20"/>
          <w:szCs w:val="20"/>
          <w:color w:val="auto"/>
        </w:rPr>
        <w:t>Lease, Landlord hereby accepts and approves of Silicon Valley Bank as a “Bank” for L-C issuing purposes, regardless of whether Silicon Valley Bank now or in the future fails to comply with the Bank’s Credit Rating Threshold.</w:t>
      </w:r>
    </w:p>
    <w:p>
      <w:pPr>
        <w:spacing w:after="0" w:line="160" w:lineRule="exact"/>
        <w:rPr>
          <w:rFonts w:ascii="Arial" w:cs="Arial" w:eastAsia="Arial" w:hAnsi="Arial"/>
          <w:sz w:val="20"/>
          <w:szCs w:val="20"/>
          <w:color w:val="auto"/>
        </w:rPr>
      </w:pPr>
    </w:p>
    <w:p>
      <w:pPr>
        <w:ind w:left="1600" w:hanging="736"/>
        <w:spacing w:after="0"/>
        <w:tabs>
          <w:tab w:leader="none" w:pos="1600" w:val="left"/>
        </w:tabs>
        <w:numPr>
          <w:ilvl w:val="0"/>
          <w:numId w:val="40"/>
        </w:numPr>
        <w:rPr>
          <w:rFonts w:ascii="Arial" w:cs="Arial" w:eastAsia="Arial" w:hAnsi="Arial"/>
          <w:sz w:val="20"/>
          <w:szCs w:val="20"/>
          <w:color w:val="auto"/>
        </w:rPr>
      </w:pPr>
      <w:r>
        <w:rPr>
          <w:rFonts w:ascii="Arial" w:cs="Arial" w:eastAsia="Arial" w:hAnsi="Arial"/>
          <w:sz w:val="20"/>
          <w:szCs w:val="20"/>
          <w:b w:val="1"/>
          <w:bCs w:val="1"/>
          <w:u w:val="single" w:color="auto"/>
          <w:color w:val="auto"/>
        </w:rPr>
        <w:t>L-C Transferability</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21.4</w:t>
      </w:r>
      <w:r>
        <w:rPr>
          <w:rFonts w:ascii="Arial" w:cs="Arial" w:eastAsia="Arial" w:hAnsi="Arial"/>
          <w:sz w:val="20"/>
          <w:szCs w:val="20"/>
          <w:b w:val="1"/>
          <w:bCs w:val="1"/>
          <w:color w:val="auto"/>
        </w:rPr>
        <w:t xml:space="preserve"> </w:t>
      </w:r>
      <w:r>
        <w:rPr>
          <w:rFonts w:ascii="Arial" w:cs="Arial" w:eastAsia="Arial" w:hAnsi="Arial"/>
          <w:sz w:val="20"/>
          <w:szCs w:val="20"/>
          <w:color w:val="auto"/>
        </w:rPr>
        <w:t>of the Lease is deleted in its entirety and replaced with the following:</w:t>
      </w:r>
    </w:p>
    <w:p>
      <w:pPr>
        <w:spacing w:after="0" w:line="204"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264160</wp:posOffset>
            </wp:positionV>
            <wp:extent cx="7185025" cy="412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jc w:val="both"/>
        <w:ind w:left="1720"/>
        <w:spacing w:after="0" w:line="247" w:lineRule="auto"/>
        <w:rPr>
          <w:sz w:val="20"/>
          <w:szCs w:val="20"/>
          <w:color w:val="auto"/>
        </w:rPr>
      </w:pPr>
      <w:r>
        <w:rPr>
          <w:rFonts w:ascii="Arial" w:cs="Arial" w:eastAsia="Arial" w:hAnsi="Arial"/>
          <w:sz w:val="19"/>
          <w:szCs w:val="19"/>
          <w:color w:val="auto"/>
        </w:rPr>
        <w:t>The L-C shall also provide that Landlord may, at any time and without notice to Tenant and without first obtaining Tenant's consent thereto, transfer (one or more times) the entirety (and nothing less) of its interest in and to the L-C to another party, person or entity, regardless of whether or not such transfer is from or as a part of the assignment by Landlord of its rights and interests in and to this Lease. In the event of a transfer of Landlord's interest in under this Lease, Landlord shall transfer the L-C, in whole (and nothing less), to the transferee and thereupon Landlord shall, without any further agreement between the parties, be released by Tenant from all liability therefor, and it is agreed that the provisions hereof shall apply to every transfer or assignment of said L-C to a new landlord. In connection with any such transfer of the L-C by Landlord, Tenant shall, at Tenant's sole cost and expense, execute and submit to the Bank such applications, documents and instruments as may be necessary to effectuate such transfer and, Tenant shall be responsible for paying the Bank's transfer and processing fees in connection therewith; provided that, Landlord shall have the right (in its sole discretion), but not the obligation, to pay such fees on behalf of Tenant, in which case Tenant shall reimburse Landlord within ten (10) days after Tenan receipt of an invoice from Landlord therefor.</w:t>
      </w:r>
    </w:p>
    <w:p>
      <w:pPr>
        <w:spacing w:after="0" w:line="168" w:lineRule="exact"/>
        <w:rPr>
          <w:sz w:val="20"/>
          <w:szCs w:val="20"/>
          <w:color w:val="auto"/>
        </w:rPr>
      </w:pPr>
    </w:p>
    <w:p>
      <w:pPr>
        <w:ind w:right="80" w:firstLine="864"/>
        <w:spacing w:after="0" w:line="260" w:lineRule="auto"/>
        <w:tabs>
          <w:tab w:leader="none" w:pos="1608" w:val="left"/>
        </w:tabs>
        <w:numPr>
          <w:ilvl w:val="0"/>
          <w:numId w:val="41"/>
        </w:numPr>
        <w:rPr>
          <w:rFonts w:ascii="Arial" w:cs="Arial" w:eastAsia="Arial" w:hAnsi="Arial"/>
          <w:sz w:val="20"/>
          <w:szCs w:val="20"/>
          <w:color w:val="auto"/>
        </w:rPr>
      </w:pPr>
      <w:r>
        <w:rPr>
          <w:rFonts w:ascii="Arial" w:cs="Arial" w:eastAsia="Arial" w:hAnsi="Arial"/>
          <w:sz w:val="20"/>
          <w:szCs w:val="20"/>
          <w:b w:val="1"/>
          <w:bCs w:val="1"/>
          <w:u w:val="single" w:color="auto"/>
          <w:color w:val="auto"/>
        </w:rPr>
        <w:t>Form of L-C</w:t>
      </w:r>
      <w:r>
        <w:rPr>
          <w:rFonts w:ascii="Arial" w:cs="Arial" w:eastAsia="Arial" w:hAnsi="Arial"/>
          <w:sz w:val="20"/>
          <w:szCs w:val="20"/>
          <w:color w:val="auto"/>
        </w:rPr>
        <w:t>. The form of L-C attached as</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Exhibit G</w:t>
      </w:r>
      <w:r>
        <w:rPr>
          <w:rFonts w:ascii="Arial" w:cs="Arial" w:eastAsia="Arial" w:hAnsi="Arial"/>
          <w:sz w:val="20"/>
          <w:szCs w:val="20"/>
          <w:b w:val="1"/>
          <w:bCs w:val="1"/>
          <w:color w:val="auto"/>
        </w:rPr>
        <w:t xml:space="preserve"> </w:t>
      </w:r>
      <w:r>
        <w:rPr>
          <w:rFonts w:ascii="Arial" w:cs="Arial" w:eastAsia="Arial" w:hAnsi="Arial"/>
          <w:sz w:val="20"/>
          <w:szCs w:val="20"/>
          <w:color w:val="auto"/>
        </w:rPr>
        <w:t>of the Lease is deleted in its entirety and replaced with the revised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form of L-C attached hereto as </w:t>
      </w:r>
      <w:r>
        <w:rPr>
          <w:rFonts w:ascii="Arial" w:cs="Arial" w:eastAsia="Arial" w:hAnsi="Arial"/>
          <w:sz w:val="20"/>
          <w:szCs w:val="20"/>
          <w:b w:val="1"/>
          <w:bCs w:val="1"/>
          <w:u w:val="single" w:color="auto"/>
          <w:color w:val="auto"/>
        </w:rPr>
        <w:t>Exhibit A</w:t>
      </w:r>
      <w:r>
        <w:rPr>
          <w:rFonts w:ascii="Arial" w:cs="Arial" w:eastAsia="Arial" w:hAnsi="Arial"/>
          <w:sz w:val="20"/>
          <w:szCs w:val="20"/>
          <w:color w:val="auto"/>
        </w:rPr>
        <w:t xml:space="preserve"> and made a part hereof.</w:t>
      </w:r>
    </w:p>
    <w:p>
      <w:pPr>
        <w:spacing w:after="0" w:line="145" w:lineRule="exact"/>
        <w:rPr>
          <w:rFonts w:ascii="Arial" w:cs="Arial" w:eastAsia="Arial" w:hAnsi="Arial"/>
          <w:sz w:val="20"/>
          <w:szCs w:val="20"/>
          <w:color w:val="auto"/>
        </w:rPr>
      </w:pPr>
    </w:p>
    <w:p>
      <w:pPr>
        <w:jc w:val="both"/>
        <w:ind w:right="80" w:firstLine="864"/>
        <w:spacing w:after="0" w:line="246" w:lineRule="auto"/>
        <w:tabs>
          <w:tab w:leader="none" w:pos="1608" w:val="left"/>
        </w:tabs>
        <w:numPr>
          <w:ilvl w:val="0"/>
          <w:numId w:val="41"/>
        </w:numPr>
        <w:rPr>
          <w:rFonts w:ascii="Arial" w:cs="Arial" w:eastAsia="Arial" w:hAnsi="Arial"/>
          <w:sz w:val="20"/>
          <w:szCs w:val="20"/>
          <w:color w:val="auto"/>
        </w:rPr>
      </w:pPr>
      <w:r>
        <w:rPr>
          <w:rFonts w:ascii="Arial" w:cs="Arial" w:eastAsia="Arial" w:hAnsi="Arial"/>
          <w:sz w:val="20"/>
          <w:szCs w:val="20"/>
          <w:b w:val="1"/>
          <w:bCs w:val="1"/>
          <w:u w:val="single" w:color="auto"/>
          <w:color w:val="auto"/>
        </w:rPr>
        <w:t>No Further Modification; Conflict</w:t>
      </w:r>
      <w:r>
        <w:rPr>
          <w:rFonts w:ascii="Arial" w:cs="Arial" w:eastAsia="Arial" w:hAnsi="Arial"/>
          <w:sz w:val="20"/>
          <w:szCs w:val="20"/>
          <w:color w:val="auto"/>
        </w:rPr>
        <w:t>. Except as set forth in this First Amendment, all of the terms and provisions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Lease shall apply with respect to the Premises and shall remain unmodified and in full force and effect. In the event of a conflict between the Lease and this First Amendment, the terms of this First Amendment shall prevail.</w:t>
      </w:r>
    </w:p>
    <w:p>
      <w:pPr>
        <w:spacing w:after="0" w:line="166"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[Signature Page Follows]</w:t>
      </w:r>
    </w:p>
    <w:p>
      <w:pPr>
        <w:spacing w:after="0" w:line="198"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264160</wp:posOffset>
            </wp:positionV>
            <wp:extent cx="7185025" cy="41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320"/>
          </w:cols>
          <w:pgMar w:left="320" w:top="319" w:right="25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IN WITNESS WHEREOF, this First Amendment has been executed as of the day and year first above written.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720" w:type="dxa"/>
            <w:vAlign w:val="bottom"/>
            <w:gridSpan w:val="9"/>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LANDLORD</w:t>
            </w:r>
            <w:r>
              <w:rPr>
                <w:rFonts w:ascii="Arial" w:cs="Arial" w:eastAsia="Arial" w:hAnsi="Arial"/>
                <w:sz w:val="20"/>
                <w:szCs w:val="20"/>
                <w:color w:val="auto"/>
              </w:rPr>
              <w:t>"</w:t>
            </w:r>
          </w:p>
        </w:tc>
        <w:tc>
          <w:tcPr>
            <w:tcW w:w="4060" w:type="dxa"/>
            <w:vAlign w:val="bottom"/>
            <w:gridSpan w:val="9"/>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TENANT</w:t>
            </w: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94"/>
        </w:trPr>
        <w:tc>
          <w:tcPr>
            <w:tcW w:w="7780" w:type="dxa"/>
            <w:vAlign w:val="bottom"/>
            <w:gridSpan w:val="18"/>
          </w:tcPr>
          <w:p>
            <w:pPr>
              <w:spacing w:after="0"/>
              <w:rPr>
                <w:sz w:val="20"/>
                <w:szCs w:val="20"/>
                <w:color w:val="auto"/>
              </w:rPr>
            </w:pPr>
            <w:r>
              <w:rPr>
                <w:rFonts w:ascii="Arial" w:cs="Arial" w:eastAsia="Arial" w:hAnsi="Arial"/>
                <w:sz w:val="20"/>
                <w:szCs w:val="20"/>
                <w:b w:val="1"/>
                <w:bCs w:val="1"/>
                <w:color w:val="auto"/>
              </w:rPr>
              <w:t>HCP BTC, LLC.</w:t>
            </w:r>
            <w:r>
              <w:rPr>
                <w:rFonts w:ascii="Arial" w:cs="Arial" w:eastAsia="Arial" w:hAnsi="Arial"/>
                <w:sz w:val="20"/>
                <w:szCs w:val="20"/>
                <w:color w:val="auto"/>
              </w:rPr>
              <w:t>, a Delaware limited liability</w:t>
            </w:r>
            <w:r>
              <w:rPr>
                <w:rFonts w:ascii="Arial" w:cs="Arial" w:eastAsia="Arial" w:hAnsi="Arial"/>
                <w:sz w:val="20"/>
                <w:szCs w:val="20"/>
                <w:b w:val="1"/>
                <w:bCs w:val="1"/>
                <w:color w:val="auto"/>
              </w:rPr>
              <w:t xml:space="preserve"> NKARTA, INC.</w:t>
            </w: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3720" w:type="dxa"/>
            <w:vAlign w:val="bottom"/>
            <w:gridSpan w:val="9"/>
          </w:tcPr>
          <w:p>
            <w:pPr>
              <w:spacing w:after="0" w:line="223" w:lineRule="exact"/>
              <w:rPr>
                <w:sz w:val="20"/>
                <w:szCs w:val="20"/>
                <w:color w:val="auto"/>
              </w:rPr>
            </w:pPr>
            <w:r>
              <w:rPr>
                <w:rFonts w:ascii="Arial" w:cs="Arial" w:eastAsia="Arial" w:hAnsi="Arial"/>
                <w:sz w:val="20"/>
                <w:szCs w:val="20"/>
                <w:color w:val="auto"/>
              </w:rPr>
              <w:t>company</w:t>
            </w:r>
          </w:p>
        </w:tc>
        <w:tc>
          <w:tcPr>
            <w:tcW w:w="4060" w:type="dxa"/>
            <w:vAlign w:val="bottom"/>
            <w:gridSpan w:val="9"/>
          </w:tcPr>
          <w:p>
            <w:pPr>
              <w:spacing w:after="0" w:line="223" w:lineRule="exact"/>
              <w:rPr>
                <w:sz w:val="20"/>
                <w:szCs w:val="20"/>
                <w:color w:val="auto"/>
              </w:rPr>
            </w:pPr>
            <w:r>
              <w:rPr>
                <w:rFonts w:ascii="Arial" w:cs="Arial" w:eastAsia="Arial" w:hAnsi="Arial"/>
                <w:sz w:val="20"/>
                <w:szCs w:val="20"/>
                <w:color w:val="auto"/>
              </w:rPr>
              <w:t>a Delaware corporation</w:t>
            </w:r>
          </w:p>
        </w:tc>
        <w:tc>
          <w:tcPr>
            <w:tcW w:w="0" w:type="dxa"/>
            <w:vAlign w:val="bottom"/>
          </w:tcPr>
          <w:p>
            <w:pPr>
              <w:spacing w:after="0"/>
              <w:rPr>
                <w:sz w:val="1"/>
                <w:szCs w:val="1"/>
                <w:color w:val="auto"/>
              </w:rPr>
            </w:pPr>
          </w:p>
        </w:tc>
      </w:tr>
      <w:tr>
        <w:trPr>
          <w:trHeight w:val="205"/>
        </w:trPr>
        <w:tc>
          <w:tcPr>
            <w:tcW w:w="3720" w:type="dxa"/>
            <w:vAlign w:val="bottom"/>
            <w:gridSpan w:val="9"/>
          </w:tcPr>
          <w:p>
            <w:pPr>
              <w:spacing w:after="0" w:line="205" w:lineRule="exact"/>
              <w:rPr>
                <w:sz w:val="20"/>
                <w:szCs w:val="20"/>
                <w:color w:val="auto"/>
              </w:rPr>
            </w:pPr>
            <w:r>
              <w:rPr>
                <w:rFonts w:ascii="Arial" w:cs="Arial" w:eastAsia="Arial" w:hAnsi="Arial"/>
                <w:sz w:val="20"/>
                <w:szCs w:val="20"/>
                <w:color w:val="auto"/>
              </w:rPr>
              <w:t>By: /s/ Scott Bohn__________________</w:t>
            </w:r>
          </w:p>
        </w:tc>
        <w:tc>
          <w:tcPr>
            <w:tcW w:w="340" w:type="dxa"/>
            <w:vAlign w:val="bottom"/>
            <w:vMerge w:val="restart"/>
          </w:tcPr>
          <w:p>
            <w:pPr>
              <w:spacing w:after="0"/>
              <w:rPr>
                <w:sz w:val="20"/>
                <w:szCs w:val="20"/>
                <w:color w:val="auto"/>
              </w:rPr>
            </w:pPr>
            <w:r>
              <w:rPr>
                <w:rFonts w:ascii="Arial" w:cs="Arial" w:eastAsia="Arial" w:hAnsi="Arial"/>
                <w:sz w:val="20"/>
                <w:szCs w:val="20"/>
                <w:color w:val="auto"/>
              </w:rPr>
              <w:t>By:</w:t>
            </w:r>
          </w:p>
        </w:tc>
        <w:tc>
          <w:tcPr>
            <w:tcW w:w="580" w:type="dxa"/>
            <w:vAlign w:val="bottom"/>
            <w:gridSpan w:val="4"/>
            <w:vMerge w:val="restart"/>
          </w:tcPr>
          <w:p>
            <w:pPr>
              <w:spacing w:after="0"/>
              <w:rPr>
                <w:sz w:val="20"/>
                <w:szCs w:val="20"/>
                <w:color w:val="auto"/>
              </w:rPr>
            </w:pPr>
            <w:r>
              <w:rPr>
                <w:rFonts w:ascii="Arial" w:cs="Arial" w:eastAsia="Arial" w:hAnsi="Arial"/>
                <w:sz w:val="20"/>
                <w:szCs w:val="20"/>
                <w:color w:val="auto"/>
                <w:w w:val="83"/>
              </w:rPr>
              <w:t>/s/ Paul</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580" w:type="dxa"/>
            <w:vAlign w:val="bottom"/>
            <w:gridSpan w:val="4"/>
            <w:vMerge w:val="continue"/>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920" w:type="dxa"/>
            <w:vAlign w:val="bottom"/>
            <w:vMerge w:val="restart"/>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13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20" w:type="dxa"/>
            <w:vAlign w:val="bottom"/>
            <w:gridSpan w:val="9"/>
          </w:tcPr>
          <w:p>
            <w:pPr>
              <w:ind w:left="300"/>
              <w:spacing w:after="0" w:line="179" w:lineRule="exact"/>
              <w:rPr>
                <w:sz w:val="20"/>
                <w:szCs w:val="20"/>
                <w:color w:val="auto"/>
              </w:rPr>
            </w:pPr>
            <w:r>
              <w:rPr>
                <w:rFonts w:ascii="Arial" w:cs="Arial" w:eastAsia="Arial" w:hAnsi="Arial"/>
                <w:sz w:val="20"/>
                <w:szCs w:val="20"/>
                <w:color w:val="auto"/>
                <w:w w:val="99"/>
              </w:rPr>
              <w:t>Name: Scott Bohn________________</w:t>
            </w:r>
          </w:p>
        </w:tc>
        <w:tc>
          <w:tcPr>
            <w:tcW w:w="340" w:type="dxa"/>
            <w:vAlign w:val="bottom"/>
            <w:vMerge w:val="continue"/>
          </w:tcPr>
          <w:p>
            <w:pPr>
              <w:spacing w:after="0"/>
              <w:rPr>
                <w:sz w:val="15"/>
                <w:szCs w:val="15"/>
                <w:color w:val="auto"/>
              </w:rPr>
            </w:pPr>
          </w:p>
        </w:tc>
        <w:tc>
          <w:tcPr>
            <w:tcW w:w="580" w:type="dxa"/>
            <w:vAlign w:val="bottom"/>
            <w:tcBorders>
              <w:bottom w:val="single" w:sz="8" w:color="auto"/>
            </w:tcBorders>
            <w:gridSpan w:val="4"/>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80" w:type="dxa"/>
            <w:vAlign w:val="bottom"/>
            <w:gridSpan w:val="3"/>
            <w:vMerge w:val="restart"/>
          </w:tcPr>
          <w:p>
            <w:pPr>
              <w:spacing w:after="0" w:line="190" w:lineRule="exact"/>
              <w:rPr>
                <w:sz w:val="20"/>
                <w:szCs w:val="20"/>
                <w:color w:val="auto"/>
              </w:rPr>
            </w:pPr>
            <w:r>
              <w:rPr>
                <w:rFonts w:ascii="Arial" w:cs="Arial" w:eastAsia="Arial" w:hAnsi="Arial"/>
                <w:sz w:val="20"/>
                <w:szCs w:val="20"/>
                <w:color w:val="auto"/>
                <w:w w:val="84"/>
              </w:rPr>
              <w:t>Hastings</w:t>
            </w:r>
          </w:p>
        </w:tc>
        <w:tc>
          <w:tcPr>
            <w:tcW w:w="2000" w:type="dxa"/>
            <w:vAlign w:val="bottom"/>
            <w:gridSpan w:val="5"/>
            <w:vMerge w:val="restart"/>
          </w:tcPr>
          <w:p>
            <w:pPr>
              <w:jc w:val="right"/>
              <w:spacing w:after="0" w:line="203" w:lineRule="exact"/>
              <w:rPr>
                <w:sz w:val="20"/>
                <w:szCs w:val="20"/>
                <w:color w:val="auto"/>
              </w:rPr>
            </w:pPr>
            <w:r>
              <w:rPr>
                <w:rFonts w:ascii="Arial" w:cs="Arial" w:eastAsia="Arial" w:hAnsi="Arial"/>
                <w:sz w:val="20"/>
                <w:szCs w:val="20"/>
                <w:color w:val="auto"/>
                <w:w w:val="89"/>
              </w:rPr>
              <w:t>____________________</w:t>
            </w:r>
          </w:p>
        </w:tc>
        <w:tc>
          <w:tcPr>
            <w:tcW w:w="13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720" w:type="dxa"/>
            <w:vAlign w:val="bottom"/>
            <w:gridSpan w:val="9"/>
          </w:tcPr>
          <w:p>
            <w:pPr>
              <w:ind w:left="300"/>
              <w:spacing w:after="0" w:line="164" w:lineRule="exact"/>
              <w:rPr>
                <w:sz w:val="20"/>
                <w:szCs w:val="20"/>
                <w:color w:val="auto"/>
              </w:rPr>
            </w:pPr>
            <w:r>
              <w:rPr>
                <w:rFonts w:ascii="Arial" w:cs="Arial" w:eastAsia="Arial" w:hAnsi="Arial"/>
                <w:sz w:val="18"/>
                <w:szCs w:val="18"/>
                <w:color w:val="auto"/>
              </w:rPr>
              <w:t>Its:_Senior Vice President__________</w:t>
            </w:r>
          </w:p>
        </w:tc>
        <w:tc>
          <w:tcPr>
            <w:tcW w:w="680" w:type="dxa"/>
            <w:vAlign w:val="bottom"/>
            <w:tcBorders>
              <w:bottom w:val="single" w:sz="8" w:color="auto"/>
            </w:tcBorders>
            <w:gridSpan w:val="3"/>
            <w:vMerge w:val="continue"/>
          </w:tcPr>
          <w:p>
            <w:pPr>
              <w:spacing w:after="0"/>
              <w:rPr>
                <w:sz w:val="14"/>
                <w:szCs w:val="14"/>
                <w:color w:val="auto"/>
              </w:rPr>
            </w:pPr>
          </w:p>
        </w:tc>
        <w:tc>
          <w:tcPr>
            <w:tcW w:w="2000" w:type="dxa"/>
            <w:vAlign w:val="bottom"/>
            <w:gridSpan w:val="5"/>
            <w:vMerge w:val="continue"/>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4"/>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20" w:type="dxa"/>
            <w:vAlign w:val="bottom"/>
            <w:gridSpan w:val="4"/>
            <w:vMerge w:val="restart"/>
          </w:tcPr>
          <w:p>
            <w:pPr>
              <w:ind w:left="240"/>
              <w:spacing w:after="0" w:line="203" w:lineRule="exact"/>
              <w:rPr>
                <w:sz w:val="20"/>
                <w:szCs w:val="20"/>
                <w:color w:val="auto"/>
              </w:rPr>
            </w:pPr>
            <w:r>
              <w:rPr>
                <w:rFonts w:ascii="Arial" w:cs="Arial" w:eastAsia="Arial" w:hAnsi="Arial"/>
                <w:sz w:val="20"/>
                <w:szCs w:val="20"/>
                <w:color w:val="auto"/>
                <w:w w:val="94"/>
              </w:rPr>
              <w:t>Name:</w:t>
            </w:r>
          </w:p>
        </w:tc>
        <w:tc>
          <w:tcPr>
            <w:tcW w:w="1100" w:type="dxa"/>
            <w:vAlign w:val="bottom"/>
            <w:gridSpan w:val="3"/>
            <w:vMerge w:val="restart"/>
          </w:tcPr>
          <w:p>
            <w:pPr>
              <w:spacing w:after="0" w:line="190" w:lineRule="exact"/>
              <w:rPr>
                <w:sz w:val="20"/>
                <w:szCs w:val="20"/>
                <w:color w:val="auto"/>
              </w:rPr>
            </w:pPr>
            <w:r>
              <w:rPr>
                <w:rFonts w:ascii="Arial" w:cs="Arial" w:eastAsia="Arial" w:hAnsi="Arial"/>
                <w:sz w:val="20"/>
                <w:szCs w:val="20"/>
                <w:color w:val="auto"/>
                <w:w w:val="87"/>
              </w:rPr>
              <w:t>Paul Hastings</w:t>
            </w:r>
          </w:p>
        </w:tc>
        <w:tc>
          <w:tcPr>
            <w:tcW w:w="21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720" w:type="dxa"/>
            <w:vAlign w:val="bottom"/>
            <w:gridSpan w:val="9"/>
          </w:tcPr>
          <w:p>
            <w:pPr>
              <w:ind w:left="300"/>
              <w:spacing w:after="0" w:line="164" w:lineRule="exact"/>
              <w:rPr>
                <w:sz w:val="20"/>
                <w:szCs w:val="20"/>
                <w:color w:val="auto"/>
              </w:rPr>
            </w:pPr>
            <w:r>
              <w:rPr>
                <w:rFonts w:ascii="Arial" w:cs="Arial" w:eastAsia="Arial" w:hAnsi="Arial"/>
                <w:sz w:val="18"/>
                <w:szCs w:val="18"/>
                <w:color w:val="auto"/>
              </w:rPr>
              <w:t>Date:_November 5, 2021___________</w:t>
            </w:r>
          </w:p>
        </w:tc>
        <w:tc>
          <w:tcPr>
            <w:tcW w:w="820" w:type="dxa"/>
            <w:vAlign w:val="bottom"/>
            <w:gridSpan w:val="4"/>
            <w:vMerge w:val="continue"/>
          </w:tcPr>
          <w:p>
            <w:pPr>
              <w:spacing w:after="0"/>
              <w:rPr>
                <w:sz w:val="14"/>
                <w:szCs w:val="14"/>
                <w:color w:val="auto"/>
              </w:rPr>
            </w:pPr>
          </w:p>
        </w:tc>
        <w:tc>
          <w:tcPr>
            <w:tcW w:w="1100" w:type="dxa"/>
            <w:vAlign w:val="bottom"/>
            <w:tcBorders>
              <w:bottom w:val="single" w:sz="8" w:color="auto"/>
            </w:tcBorders>
            <w:gridSpan w:val="3"/>
            <w:vMerge w:val="continue"/>
          </w:tcPr>
          <w:p>
            <w:pPr>
              <w:spacing w:after="0"/>
              <w:rPr>
                <w:sz w:val="14"/>
                <w:szCs w:val="14"/>
                <w:color w:val="auto"/>
              </w:rPr>
            </w:pPr>
          </w:p>
        </w:tc>
        <w:tc>
          <w:tcPr>
            <w:tcW w:w="2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60" w:type="dxa"/>
            <w:vAlign w:val="bottom"/>
            <w:gridSpan w:val="9"/>
            <w:vMerge w:val="restart"/>
          </w:tcPr>
          <w:p>
            <w:pPr>
              <w:ind w:left="240"/>
              <w:spacing w:after="0" w:line="203" w:lineRule="exact"/>
              <w:rPr>
                <w:sz w:val="20"/>
                <w:szCs w:val="20"/>
                <w:color w:val="auto"/>
              </w:rPr>
            </w:pPr>
            <w:r>
              <w:rPr>
                <w:rFonts w:ascii="Arial" w:cs="Arial" w:eastAsia="Arial" w:hAnsi="Arial"/>
                <w:sz w:val="20"/>
                <w:szCs w:val="20"/>
                <w:color w:val="auto"/>
                <w:w w:val="99"/>
              </w:rPr>
              <w:t>Its:_CEO___________________________</w:t>
            </w:r>
          </w:p>
        </w:tc>
        <w:tc>
          <w:tcPr>
            <w:tcW w:w="0" w:type="dxa"/>
            <w:vAlign w:val="bottom"/>
          </w:tcPr>
          <w:p>
            <w:pPr>
              <w:spacing w:after="0" w:line="20" w:lineRule="exact"/>
              <w:rPr>
                <w:sz w:val="1"/>
                <w:szCs w:val="1"/>
                <w:color w:val="auto"/>
              </w:rPr>
            </w:pPr>
          </w:p>
        </w:tc>
      </w:tr>
      <w:tr>
        <w:trPr>
          <w:trHeight w:val="163"/>
        </w:trPr>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60" w:type="dxa"/>
            <w:vAlign w:val="bottom"/>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 xml:space="preserve">Date: </w:t>
      </w:r>
      <w:r>
        <w:rPr>
          <w:rFonts w:ascii="Arial" w:cs="Arial" w:eastAsia="Arial" w:hAnsi="Arial"/>
          <w:sz w:val="20"/>
          <w:szCs w:val="20"/>
          <w:u w:val="single" w:color="auto"/>
          <w:color w:val="auto"/>
        </w:rPr>
        <w:t>November 5, 2021</w:t>
      </w:r>
      <w:r>
        <w:rPr>
          <w:rFonts w:ascii="Arial" w:cs="Arial" w:eastAsia="Arial" w:hAnsi="Arial"/>
          <w:sz w:val="20"/>
          <w:szCs w:val="20"/>
          <w:color w:val="auto"/>
        </w:rPr>
        <w:t>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264160</wp:posOffset>
            </wp:positionV>
            <wp:extent cx="7185025" cy="412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0139"/>
          </w:cols>
          <w:pgMar w:left="320" w:top="542" w:right="1440" w:bottom="1440" w:gutter="0" w:footer="0" w:header="0"/>
        </w:sectPr>
      </w:pPr>
    </w:p>
    <w:bookmarkStart w:id="81" w:name="page82"/>
    <w:bookmarkEnd w:id="81"/>
    <w:p>
      <w:pPr>
        <w:ind w:left="5100"/>
        <w:spacing w:after="0"/>
        <w:rPr>
          <w:sz w:val="20"/>
          <w:szCs w:val="20"/>
          <w:color w:val="auto"/>
        </w:rPr>
      </w:pPr>
      <w:r>
        <w:rPr>
          <w:rFonts w:ascii="Arial" w:cs="Arial" w:eastAsia="Arial" w:hAnsi="Arial"/>
          <w:sz w:val="20"/>
          <w:szCs w:val="20"/>
          <w:b w:val="1"/>
          <w:bCs w:val="1"/>
          <w:u w:val="single" w:color="auto"/>
          <w:color w:val="auto"/>
        </w:rPr>
        <w:t>EXHIBIT A</w:t>
      </w:r>
    </w:p>
    <w:p>
      <w:pPr>
        <w:spacing w:after="0" w:line="191" w:lineRule="exact"/>
        <w:rPr>
          <w:sz w:val="20"/>
          <w:szCs w:val="20"/>
          <w:color w:val="auto"/>
        </w:rPr>
      </w:pPr>
    </w:p>
    <w:p>
      <w:pPr>
        <w:ind w:left="4160"/>
        <w:spacing w:after="0"/>
        <w:rPr>
          <w:sz w:val="20"/>
          <w:szCs w:val="20"/>
          <w:color w:val="auto"/>
        </w:rPr>
      </w:pPr>
      <w:r>
        <w:rPr>
          <w:rFonts w:ascii="Arial" w:cs="Arial" w:eastAsia="Arial" w:hAnsi="Arial"/>
          <w:sz w:val="20"/>
          <w:szCs w:val="20"/>
          <w:b w:val="1"/>
          <w:bCs w:val="1"/>
          <w:color w:val="auto"/>
        </w:rPr>
        <w:t>FORM OF LETTER OF CREDIT</w:t>
      </w:r>
    </w:p>
    <w:p>
      <w:pPr>
        <w:spacing w:after="0" w:line="191" w:lineRule="exact"/>
        <w:rPr>
          <w:sz w:val="20"/>
          <w:szCs w:val="20"/>
          <w:color w:val="auto"/>
        </w:rPr>
      </w:pPr>
    </w:p>
    <w:p>
      <w:pPr>
        <w:ind w:left="4100"/>
        <w:spacing w:after="0"/>
        <w:rPr>
          <w:sz w:val="20"/>
          <w:szCs w:val="20"/>
          <w:color w:val="auto"/>
        </w:rPr>
      </w:pPr>
      <w:r>
        <w:rPr>
          <w:rFonts w:ascii="Arial" w:cs="Arial" w:eastAsia="Arial" w:hAnsi="Arial"/>
          <w:sz w:val="20"/>
          <w:szCs w:val="20"/>
          <w:b w:val="1"/>
          <w:bCs w:val="1"/>
          <w:color w:val="auto"/>
        </w:rPr>
        <w:t>(Letterhead of a money center bank</w:t>
      </w:r>
    </w:p>
    <w:p>
      <w:pPr>
        <w:spacing w:after="0" w:line="15" w:lineRule="exact"/>
        <w:rPr>
          <w:sz w:val="20"/>
          <w:szCs w:val="20"/>
          <w:color w:val="auto"/>
        </w:rPr>
      </w:pPr>
    </w:p>
    <w:p>
      <w:pPr>
        <w:ind w:left="4460"/>
        <w:spacing w:after="0"/>
        <w:rPr>
          <w:sz w:val="20"/>
          <w:szCs w:val="20"/>
          <w:color w:val="auto"/>
        </w:rPr>
      </w:pPr>
      <w:r>
        <w:rPr>
          <w:rFonts w:ascii="Arial" w:cs="Arial" w:eastAsia="Arial" w:hAnsi="Arial"/>
          <w:sz w:val="20"/>
          <w:szCs w:val="20"/>
          <w:b w:val="1"/>
          <w:bCs w:val="1"/>
          <w:color w:val="auto"/>
        </w:rPr>
        <w:t>acceptable to the Landlord)</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IRREVOCABLE STANDBY LETTER OF CREDIT NUMBER _____________</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ISSUE DATE: ______________</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ISSUING BANK: [Insert Bank Name And Address]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BENEFICIARY: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HCP BTC, LLC</w:t>
      </w:r>
    </w:p>
    <w:p>
      <w:pPr>
        <w:spacing w:after="0" w:line="232" w:lineRule="auto"/>
        <w:rPr>
          <w:sz w:val="20"/>
          <w:szCs w:val="20"/>
          <w:color w:val="auto"/>
        </w:rPr>
      </w:pPr>
      <w:r>
        <w:rPr>
          <w:rFonts w:ascii="Arial" w:cs="Arial" w:eastAsia="Arial" w:hAnsi="Arial"/>
          <w:sz w:val="20"/>
          <w:szCs w:val="20"/>
          <w:color w:val="auto"/>
        </w:rPr>
        <w:t>C/O HEALTHPEAK PROPERTIES, INC.</w:t>
      </w:r>
    </w:p>
    <w:p>
      <w:pPr>
        <w:spacing w:after="0" w:line="233" w:lineRule="auto"/>
        <w:rPr>
          <w:sz w:val="20"/>
          <w:szCs w:val="20"/>
          <w:color w:val="auto"/>
        </w:rPr>
      </w:pPr>
      <w:r>
        <w:rPr>
          <w:rFonts w:ascii="Arial" w:cs="Arial" w:eastAsia="Arial" w:hAnsi="Arial"/>
          <w:sz w:val="20"/>
          <w:szCs w:val="20"/>
          <w:color w:val="auto"/>
        </w:rPr>
        <w:t>1920 MAIN STREET,</w:t>
      </w:r>
    </w:p>
    <w:p>
      <w:pPr>
        <w:spacing w:after="0" w:line="233" w:lineRule="auto"/>
        <w:rPr>
          <w:sz w:val="20"/>
          <w:szCs w:val="20"/>
          <w:color w:val="auto"/>
        </w:rPr>
      </w:pPr>
      <w:r>
        <w:rPr>
          <w:rFonts w:ascii="Arial" w:cs="Arial" w:eastAsia="Arial" w:hAnsi="Arial"/>
          <w:sz w:val="20"/>
          <w:szCs w:val="20"/>
          <w:color w:val="auto"/>
        </w:rPr>
        <w:t>SUITE 1200,</w:t>
      </w:r>
    </w:p>
    <w:p>
      <w:pPr>
        <w:spacing w:after="0"/>
        <w:rPr>
          <w:sz w:val="20"/>
          <w:szCs w:val="20"/>
          <w:color w:val="auto"/>
        </w:rPr>
      </w:pPr>
      <w:r>
        <w:rPr>
          <w:rFonts w:ascii="Arial" w:cs="Arial" w:eastAsia="Arial" w:hAnsi="Arial"/>
          <w:sz w:val="20"/>
          <w:szCs w:val="20"/>
          <w:color w:val="auto"/>
        </w:rPr>
        <w:t>IRVINE, CA 92614</w:t>
      </w: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color w:val="auto"/>
        </w:rPr>
        <w:t>APPLICANT: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NKARTA, INC.</w:t>
      </w:r>
    </w:p>
    <w:p>
      <w:pPr>
        <w:spacing w:after="0" w:line="232" w:lineRule="auto"/>
        <w:rPr>
          <w:sz w:val="20"/>
          <w:szCs w:val="20"/>
          <w:color w:val="auto"/>
        </w:rPr>
      </w:pPr>
      <w:r>
        <w:rPr>
          <w:rFonts w:ascii="Arial" w:cs="Arial" w:eastAsia="Arial" w:hAnsi="Arial"/>
          <w:sz w:val="20"/>
          <w:szCs w:val="20"/>
          <w:color w:val="auto"/>
        </w:rPr>
        <w:t>6000 SHORELINE COURT SUITE 102</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SOUTH SAN FRANCISCO, CA 94080</w:t>
      </w:r>
    </w:p>
    <w:p>
      <w:pPr>
        <w:spacing w:after="0" w:line="200" w:lineRule="exact"/>
        <w:rPr>
          <w:sz w:val="20"/>
          <w:szCs w:val="20"/>
          <w:color w:val="auto"/>
        </w:rPr>
      </w:pPr>
    </w:p>
    <w:p>
      <w:pPr>
        <w:spacing w:after="0" w:line="372" w:lineRule="exact"/>
        <w:rPr>
          <w:sz w:val="20"/>
          <w:szCs w:val="20"/>
          <w:color w:val="auto"/>
        </w:rPr>
      </w:pPr>
    </w:p>
    <w:p>
      <w:pPr>
        <w:ind w:left="2320" w:hanging="2395"/>
        <w:spacing w:after="0" w:line="254" w:lineRule="auto"/>
        <w:tabs>
          <w:tab w:leader="none" w:pos="2300" w:val="left"/>
        </w:tabs>
        <w:rPr>
          <w:sz w:val="20"/>
          <w:szCs w:val="20"/>
          <w:color w:val="auto"/>
        </w:rPr>
      </w:pPr>
      <w:r>
        <w:rPr>
          <w:rFonts w:ascii="Arial" w:cs="Arial" w:eastAsia="Arial" w:hAnsi="Arial"/>
          <w:sz w:val="20"/>
          <w:szCs w:val="20"/>
          <w:color w:val="auto"/>
        </w:rPr>
        <w:t>AMOUNT:</w:t>
      </w:r>
      <w:r>
        <w:rPr>
          <w:sz w:val="20"/>
          <w:szCs w:val="20"/>
          <w:color w:val="auto"/>
        </w:rPr>
        <w:tab/>
      </w:r>
      <w:r>
        <w:rPr>
          <w:rFonts w:ascii="Arial" w:cs="Arial" w:eastAsia="Arial" w:hAnsi="Arial"/>
          <w:sz w:val="20"/>
          <w:szCs w:val="20"/>
          <w:color w:val="auto"/>
        </w:rPr>
        <w:t>US$1,646,490.78 (ONE MILLION SIX HUNDRED FORTY-SIX THOUSAND FOUR HUNDRED NINETY AND 78/100 U.S. DOLLARS)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EXPIRATION DATE: [Insert Bank Name] WILL PUT A SPECIFIC DATE HERE THAT’S 1 YEAR ISSUANCE HERE</w:t>
      </w:r>
    </w:p>
    <w:p>
      <w:pPr>
        <w:spacing w:after="0" w:line="390" w:lineRule="exact"/>
        <w:rPr>
          <w:sz w:val="20"/>
          <w:szCs w:val="20"/>
          <w:color w:val="auto"/>
        </w:rPr>
      </w:pPr>
    </w:p>
    <w:p>
      <w:pPr>
        <w:spacing w:after="0"/>
        <w:tabs>
          <w:tab w:leader="none" w:pos="2780" w:val="left"/>
        </w:tabs>
        <w:rPr>
          <w:sz w:val="20"/>
          <w:szCs w:val="20"/>
          <w:color w:val="auto"/>
        </w:rPr>
      </w:pPr>
      <w:r>
        <w:rPr>
          <w:rFonts w:ascii="Arial" w:cs="Arial" w:eastAsia="Arial" w:hAnsi="Arial"/>
          <w:sz w:val="20"/>
          <w:szCs w:val="20"/>
          <w:color w:val="auto"/>
        </w:rPr>
        <w:t>PLACE OF EXPIRATION:</w:t>
      </w:r>
      <w:r>
        <w:rPr>
          <w:sz w:val="20"/>
          <w:szCs w:val="20"/>
          <w:color w:val="auto"/>
        </w:rPr>
        <w:tab/>
      </w:r>
      <w:r>
        <w:rPr>
          <w:rFonts w:ascii="Arial" w:cs="Arial" w:eastAsia="Arial" w:hAnsi="Arial"/>
          <w:sz w:val="19"/>
          <w:szCs w:val="19"/>
          <w:color w:val="auto"/>
        </w:rPr>
        <w:t>ISSUING BANK’S COUNTERS AT ITS ABOVE ADDRESS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DEAR SIR/MADAM:</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9"/>
          <w:szCs w:val="19"/>
          <w:color w:val="auto"/>
        </w:rPr>
        <w:t>WE HEREBY ESTABLISH OUR IRREVOCABLE STANDBY LETTER OF CREDIT NO. ___________ IN YOUR FAVOR FOR THE</w:t>
      </w:r>
    </w:p>
    <w:p>
      <w:pPr>
        <w:spacing w:after="0" w:line="21" w:lineRule="exact"/>
        <w:rPr>
          <w:sz w:val="20"/>
          <w:szCs w:val="20"/>
          <w:color w:val="auto"/>
        </w:rPr>
      </w:pPr>
    </w:p>
    <w:p>
      <w:pPr>
        <w:jc w:val="both"/>
        <w:ind w:left="20"/>
        <w:spacing w:after="0" w:line="235" w:lineRule="auto"/>
        <w:rPr>
          <w:sz w:val="20"/>
          <w:szCs w:val="20"/>
          <w:color w:val="auto"/>
        </w:rPr>
      </w:pPr>
      <w:r>
        <w:rPr>
          <w:rFonts w:ascii="Arial" w:cs="Arial" w:eastAsia="Arial" w:hAnsi="Arial"/>
          <w:sz w:val="20"/>
          <w:szCs w:val="20"/>
          <w:color w:val="auto"/>
        </w:rPr>
        <w:t xml:space="preserve">ACCOUNT OF NKARTA, INC., A DELAWARE CORPROATION, UP TO THE AGGREGATE AMOUNT OF USD1,646,490.78 (ONE MILLION SIX HUNDRED FORTY SIX FOUR HUNDRED NINETY AND 78/100 U.S. DOLLARS) EFFECTIVE IMMEDIATELY AND EXPIRING ON </w:t>
      </w:r>
      <w:r>
        <w:rPr>
          <w:rFonts w:ascii="Arial" w:cs="Arial" w:eastAsia="Arial" w:hAnsi="Arial"/>
          <w:sz w:val="20"/>
          <w:szCs w:val="20"/>
          <w:u w:val="single" w:color="auto"/>
          <w:color w:val="auto"/>
        </w:rPr>
        <w:t>_____________</w:t>
      </w:r>
      <w:r>
        <w:rPr>
          <w:rFonts w:ascii="Arial" w:cs="Arial" w:eastAsia="Arial" w:hAnsi="Arial"/>
          <w:sz w:val="20"/>
          <w:szCs w:val="20"/>
          <w:color w:val="auto"/>
        </w:rPr>
        <w:t xml:space="preserve"> AVAILABLE BY PAYMENT UPON PRESENTATION OF YOUR DRAFT AT SIGHT DRAWN ON [Insert Bank Name] WHEN ACCOMPANIED BY THE FOLLOWING DOCUMENT(S):</w:t>
      </w:r>
    </w:p>
    <w:p>
      <w:pPr>
        <w:spacing w:after="0" w:line="378"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264160</wp:posOffset>
            </wp:positionV>
            <wp:extent cx="7185025" cy="412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sectPr>
      </w:pPr>
    </w:p>
    <w:bookmarkStart w:id="82" w:name="page83"/>
    <w:bookmarkEnd w:id="82"/>
    <w:p>
      <w:pPr>
        <w:ind w:left="1580" w:hanging="716"/>
        <w:spacing w:after="0"/>
        <w:tabs>
          <w:tab w:leader="none" w:pos="1580" w:val="left"/>
        </w:tabs>
        <w:numPr>
          <w:ilvl w:val="0"/>
          <w:numId w:val="42"/>
        </w:numPr>
        <w:rPr>
          <w:rFonts w:ascii="Arial" w:cs="Arial" w:eastAsia="Arial" w:hAnsi="Arial"/>
          <w:sz w:val="17"/>
          <w:szCs w:val="17"/>
          <w:b w:val="1"/>
          <w:bCs w:val="1"/>
          <w:color w:val="auto"/>
        </w:rPr>
      </w:pPr>
      <w:r>
        <w:rPr>
          <w:rFonts w:ascii="Arial" w:cs="Arial" w:eastAsia="Arial" w:hAnsi="Arial"/>
          <w:sz w:val="20"/>
          <w:szCs w:val="20"/>
          <w:b w:val="1"/>
          <w:bCs w:val="1"/>
          <w:color w:val="auto"/>
        </w:rPr>
        <w:t>THE ORIGINAL OF THIS IRREVOCABLE STANDBY LETTER OF CREDIT AND AMENDMENT(S), IF</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ANY.</w:t>
      </w:r>
    </w:p>
    <w:p>
      <w:pPr>
        <w:spacing w:after="0" w:line="157" w:lineRule="exact"/>
        <w:rPr>
          <w:sz w:val="20"/>
          <w:szCs w:val="20"/>
          <w:color w:val="auto"/>
        </w:rPr>
      </w:pPr>
    </w:p>
    <w:p>
      <w:pPr>
        <w:ind w:firstLine="865"/>
        <w:spacing w:after="0" w:line="286" w:lineRule="auto"/>
        <w:rPr>
          <w:sz w:val="20"/>
          <w:szCs w:val="20"/>
          <w:color w:val="auto"/>
        </w:rPr>
      </w:pPr>
      <w:r>
        <w:rPr>
          <w:rFonts w:ascii="Arial" w:cs="Arial" w:eastAsia="Arial" w:hAnsi="Arial"/>
          <w:sz w:val="17"/>
          <w:szCs w:val="17"/>
          <w:b w:val="1"/>
          <w:bCs w:val="1"/>
          <w:color w:val="auto"/>
        </w:rPr>
        <w:t xml:space="preserve">2. </w:t>
      </w:r>
      <w:r>
        <w:rPr>
          <w:rFonts w:ascii="Arial" w:cs="Arial" w:eastAsia="Arial" w:hAnsi="Arial"/>
          <w:sz w:val="19"/>
          <w:szCs w:val="19"/>
          <w:b w:val="1"/>
          <w:bCs w:val="1"/>
          <w:color w:val="auto"/>
        </w:rPr>
        <w:t>BENEFICIARY'S SIGNED AND DATED STATEMENT SIGNED BY AN AUTHORIZED SIGNATORY</w:t>
      </w:r>
      <w:r>
        <w:rPr>
          <w:rFonts w:ascii="Arial" w:cs="Arial" w:eastAsia="Arial" w:hAnsi="Arial"/>
          <w:sz w:val="17"/>
          <w:szCs w:val="17"/>
          <w:b w:val="1"/>
          <w:bCs w:val="1"/>
          <w:color w:val="auto"/>
        </w:rPr>
        <w:t xml:space="preserve"> </w:t>
      </w:r>
      <w:r>
        <w:rPr>
          <w:rFonts w:ascii="Arial" w:cs="Arial" w:eastAsia="Arial" w:hAnsi="Arial"/>
          <w:sz w:val="19"/>
          <w:szCs w:val="19"/>
          <w:b w:val="1"/>
          <w:bCs w:val="1"/>
          <w:color w:val="auto"/>
        </w:rPr>
        <w:t>OF HCP BTC, LLC, A DELAWARE LIMITED LIABILITY COMPANY ("LANDLORD") STATING THE FOLLOWING:</w:t>
      </w:r>
    </w:p>
    <w:p>
      <w:pPr>
        <w:spacing w:after="0" w:line="130" w:lineRule="exact"/>
        <w:rPr>
          <w:sz w:val="20"/>
          <w:szCs w:val="20"/>
          <w:color w:val="auto"/>
        </w:rPr>
      </w:pPr>
    </w:p>
    <w:p>
      <w:pPr>
        <w:jc w:val="both"/>
        <w:ind w:left="880" w:right="860"/>
        <w:spacing w:after="0" w:line="238" w:lineRule="auto"/>
        <w:rPr>
          <w:sz w:val="20"/>
          <w:szCs w:val="20"/>
          <w:color w:val="auto"/>
        </w:rPr>
      </w:pPr>
      <w:r>
        <w:rPr>
          <w:rFonts w:ascii="Arial" w:cs="Arial" w:eastAsia="Arial" w:hAnsi="Arial"/>
          <w:sz w:val="20"/>
          <w:szCs w:val="20"/>
          <w:color w:val="auto"/>
        </w:rPr>
        <w:t>"THE UNDERSIGNED HEREBY CERTIFIES THAT THE LANDLORD, EITHER (A) UNDER THE LEASE (DEFINED BELOW), OR (B) AS A RESULT OF THE TERMINATION OF SUCH LEASE, HAS THE RIGHT TO DRAW DOWN THE AMOUNT OF USD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2720975</wp:posOffset>
            </wp:positionH>
            <wp:positionV relativeFrom="paragraph">
              <wp:posOffset>-20320</wp:posOffset>
            </wp:positionV>
            <wp:extent cx="62865"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62865" cy="7620"/>
                    </a:xfrm>
                    <a:prstGeom prst="rect">
                      <a:avLst/>
                    </a:prstGeom>
                    <a:noFill/>
                  </pic:spPr>
                </pic:pic>
              </a:graphicData>
            </a:graphic>
          </wp:anchor>
        </w:drawing>
      </w:r>
    </w:p>
    <w:p>
      <w:pPr>
        <w:ind w:left="880" w:right="240"/>
        <w:spacing w:after="0" w:line="232" w:lineRule="auto"/>
        <w:rPr>
          <w:sz w:val="20"/>
          <w:szCs w:val="20"/>
          <w:color w:val="auto"/>
        </w:rPr>
      </w:pPr>
      <w:r>
        <w:rPr>
          <w:rFonts w:ascii="Arial" w:cs="Arial" w:eastAsia="Arial" w:hAnsi="Arial"/>
          <w:sz w:val="20"/>
          <w:szCs w:val="20"/>
          <w:color w:val="auto"/>
        </w:rPr>
        <w:t>ACCORDANCE WITH THE TERMS OF THAT CERTAIN OFFICE LEASE DATED JULY 9, 2021 AS AMENDED (COLLECTIVELY, THE "LEASE")."</w:t>
      </w:r>
    </w:p>
    <w:p>
      <w:pPr>
        <w:spacing w:after="0" w:line="234" w:lineRule="auto"/>
        <w:rPr>
          <w:sz w:val="20"/>
          <w:szCs w:val="20"/>
          <w:color w:val="auto"/>
        </w:rPr>
      </w:pPr>
      <w:r>
        <w:rPr>
          <w:rFonts w:ascii="Arial" w:cs="Arial" w:eastAsia="Arial" w:hAnsi="Arial"/>
          <w:sz w:val="20"/>
          <w:szCs w:val="20"/>
          <w:color w:val="auto"/>
        </w:rPr>
        <w:t>OR</w:t>
      </w:r>
    </w:p>
    <w:p>
      <w:pPr>
        <w:jc w:val="both"/>
        <w:ind w:left="880" w:right="860"/>
        <w:spacing w:after="0" w:line="244" w:lineRule="auto"/>
        <w:rPr>
          <w:sz w:val="20"/>
          <w:szCs w:val="20"/>
          <w:color w:val="auto"/>
        </w:rPr>
      </w:pPr>
      <w:r>
        <w:rPr>
          <w:rFonts w:ascii="Arial" w:cs="Arial" w:eastAsia="Arial" w:hAnsi="Arial"/>
          <w:sz w:val="19"/>
          <w:szCs w:val="19"/>
          <w:color w:val="auto"/>
        </w:rPr>
        <w:t>"THE UNDERSIGNED HEREBY CERTIFIES THAT WE HAVE RECEIVED A WRITTEN NOTICE OF [Insert Bank Name]’S ELECTION NOT TO EXTEND ITS STANDBY LETTER OF CREDIT NO. ___________ AND</w:t>
      </w:r>
    </w:p>
    <w:p>
      <w:pPr>
        <w:spacing w:after="0" w:line="2" w:lineRule="exact"/>
        <w:rPr>
          <w:sz w:val="20"/>
          <w:szCs w:val="20"/>
          <w:color w:val="auto"/>
        </w:rPr>
      </w:pPr>
    </w:p>
    <w:p>
      <w:pPr>
        <w:jc w:val="both"/>
        <w:ind w:left="880" w:right="860"/>
        <w:spacing w:after="0" w:line="232" w:lineRule="auto"/>
        <w:rPr>
          <w:sz w:val="20"/>
          <w:szCs w:val="20"/>
          <w:color w:val="auto"/>
        </w:rPr>
      </w:pPr>
      <w:r>
        <w:rPr>
          <w:rFonts w:ascii="Arial" w:cs="Arial" w:eastAsia="Arial" w:hAnsi="Arial"/>
          <w:sz w:val="20"/>
          <w:szCs w:val="20"/>
          <w:color w:val="auto"/>
        </w:rPr>
        <w:t>HAVE NOT RECEIVED A REPLACEMENT LETTER OF CREDIT WITHIN AT LEAST THIRTY (30) DAYS PRIOR TO THE PRESENT EXPIRATION DATE."</w:t>
      </w:r>
    </w:p>
    <w:p>
      <w:pPr>
        <w:spacing w:after="0" w:line="234" w:lineRule="auto"/>
        <w:rPr>
          <w:sz w:val="20"/>
          <w:szCs w:val="20"/>
          <w:color w:val="auto"/>
        </w:rPr>
      </w:pPr>
      <w:r>
        <w:rPr>
          <w:rFonts w:ascii="Arial" w:cs="Arial" w:eastAsia="Arial" w:hAnsi="Arial"/>
          <w:sz w:val="20"/>
          <w:szCs w:val="20"/>
          <w:color w:val="auto"/>
        </w:rPr>
        <w:t>OR</w:t>
      </w:r>
    </w:p>
    <w:p>
      <w:pPr>
        <w:jc w:val="both"/>
        <w:ind w:left="880" w:right="860"/>
        <w:spacing w:after="0" w:line="232" w:lineRule="auto"/>
        <w:rPr>
          <w:sz w:val="20"/>
          <w:szCs w:val="20"/>
          <w:color w:val="auto"/>
        </w:rPr>
      </w:pPr>
      <w:r>
        <w:rPr>
          <w:rFonts w:ascii="Arial" w:cs="Arial" w:eastAsia="Arial" w:hAnsi="Arial"/>
          <w:sz w:val="20"/>
          <w:szCs w:val="20"/>
          <w:color w:val="auto"/>
        </w:rPr>
        <w:t>"THE UNDERSIGNED HEREBY CERTIFIES THAT BENEFICIARY IS ENTITLED TO DRAW DOWN THE FULL AMOUNT OF LETTER OF CREDIT NO. ___________ AS THE RESULT OF THE FILING OF A</w:t>
      </w:r>
    </w:p>
    <w:p>
      <w:pPr>
        <w:spacing w:after="0" w:line="1" w:lineRule="exact"/>
        <w:rPr>
          <w:sz w:val="20"/>
          <w:szCs w:val="20"/>
          <w:color w:val="auto"/>
        </w:rPr>
      </w:pPr>
    </w:p>
    <w:p>
      <w:pPr>
        <w:jc w:val="both"/>
        <w:ind w:left="880" w:right="860"/>
        <w:spacing w:after="0" w:line="232" w:lineRule="auto"/>
        <w:rPr>
          <w:sz w:val="20"/>
          <w:szCs w:val="20"/>
          <w:color w:val="auto"/>
        </w:rPr>
      </w:pPr>
      <w:r>
        <w:rPr>
          <w:rFonts w:ascii="Arial" w:cs="Arial" w:eastAsia="Arial" w:hAnsi="Arial"/>
          <w:sz w:val="20"/>
          <w:szCs w:val="20"/>
          <w:color w:val="auto"/>
        </w:rPr>
        <w:t>VOLUNTARY PETITION UNDER THE U.S. BANKRUPTCY CODE OR A STATE BANKRUPTCY CODE BY THE TENANT UNDER THAT CERTAIN OFFICE LEASE DATED JULY 9, 2021, AS AMENDED (COLLECTIVELY, THE "LEASE"), WHICH FILING HAS NOT BEEN DISMISSED AT THE TIME OF THIS DRAWING."</w:t>
      </w:r>
    </w:p>
    <w:p>
      <w:pPr>
        <w:spacing w:after="0" w:line="235" w:lineRule="auto"/>
        <w:rPr>
          <w:sz w:val="20"/>
          <w:szCs w:val="20"/>
          <w:color w:val="auto"/>
        </w:rPr>
      </w:pPr>
      <w:r>
        <w:rPr>
          <w:rFonts w:ascii="Arial" w:cs="Arial" w:eastAsia="Arial" w:hAnsi="Arial"/>
          <w:sz w:val="20"/>
          <w:szCs w:val="20"/>
          <w:color w:val="auto"/>
        </w:rPr>
        <w:t>OR</w:t>
      </w:r>
    </w:p>
    <w:p>
      <w:pPr>
        <w:spacing w:after="0" w:line="1" w:lineRule="exact"/>
        <w:rPr>
          <w:sz w:val="20"/>
          <w:szCs w:val="20"/>
          <w:color w:val="auto"/>
        </w:rPr>
      </w:pPr>
    </w:p>
    <w:p>
      <w:pPr>
        <w:jc w:val="both"/>
        <w:ind w:left="880" w:right="860"/>
        <w:spacing w:after="0" w:line="232" w:lineRule="auto"/>
        <w:rPr>
          <w:sz w:val="20"/>
          <w:szCs w:val="20"/>
          <w:color w:val="auto"/>
        </w:rPr>
      </w:pPr>
      <w:r>
        <w:rPr>
          <w:rFonts w:ascii="Arial" w:cs="Arial" w:eastAsia="Arial" w:hAnsi="Arial"/>
          <w:sz w:val="20"/>
          <w:szCs w:val="20"/>
          <w:color w:val="auto"/>
        </w:rPr>
        <w:t>"THE UNDERSIGNED HEREBY CERTIFIES THAT BENEFICIARY IS ENTITLED TO DRAW DOWN THE FULL AMOUNT OF LETTER OF CREDIT NO. ___________ AS THE RESULT OF AN INVOLUNTARY PETITION HAVING BEEN FILED UNDER THE U.S.</w:t>
      </w:r>
    </w:p>
    <w:p>
      <w:pPr>
        <w:spacing w:after="0" w:line="2" w:lineRule="exact"/>
        <w:rPr>
          <w:sz w:val="20"/>
          <w:szCs w:val="20"/>
          <w:color w:val="auto"/>
        </w:rPr>
      </w:pPr>
    </w:p>
    <w:p>
      <w:pPr>
        <w:jc w:val="both"/>
        <w:ind w:left="880" w:right="860"/>
        <w:spacing w:after="0" w:line="232" w:lineRule="auto"/>
        <w:rPr>
          <w:sz w:val="20"/>
          <w:szCs w:val="20"/>
          <w:color w:val="auto"/>
        </w:rPr>
      </w:pPr>
      <w:r>
        <w:rPr>
          <w:rFonts w:ascii="Arial" w:cs="Arial" w:eastAsia="Arial" w:hAnsi="Arial"/>
          <w:sz w:val="20"/>
          <w:szCs w:val="20"/>
          <w:color w:val="auto"/>
        </w:rPr>
        <w:t>BANKRUPTCY CODE OR A STATE BANKRUPTCY CODE AGAINST THE TENANT UNDER THAT CERTAIN OFFICE LEASE DATED JULY 9, 2021, AS AMENDED (COLLECTIVELY, THE "LEASE"), WHICH FILING HAS NOT BEEN DISMISSED WITHIN THIRTY (30) DAYS."</w:t>
      </w:r>
    </w:p>
    <w:p>
      <w:pPr>
        <w:spacing w:after="0" w:line="234" w:lineRule="auto"/>
        <w:rPr>
          <w:sz w:val="20"/>
          <w:szCs w:val="20"/>
          <w:color w:val="auto"/>
        </w:rPr>
      </w:pPr>
      <w:r>
        <w:rPr>
          <w:rFonts w:ascii="Arial" w:cs="Arial" w:eastAsia="Arial" w:hAnsi="Arial"/>
          <w:sz w:val="20"/>
          <w:szCs w:val="20"/>
          <w:color w:val="auto"/>
        </w:rPr>
        <w:t>OR</w:t>
      </w:r>
    </w:p>
    <w:p>
      <w:pPr>
        <w:spacing w:after="0" w:line="1" w:lineRule="exact"/>
        <w:rPr>
          <w:sz w:val="20"/>
          <w:szCs w:val="20"/>
          <w:color w:val="auto"/>
        </w:rPr>
      </w:pPr>
    </w:p>
    <w:p>
      <w:pPr>
        <w:jc w:val="both"/>
        <w:ind w:left="880"/>
        <w:spacing w:after="0" w:line="235" w:lineRule="auto"/>
        <w:rPr>
          <w:sz w:val="20"/>
          <w:szCs w:val="20"/>
          <w:color w:val="auto"/>
        </w:rPr>
      </w:pPr>
      <w:r>
        <w:rPr>
          <w:rFonts w:ascii="Arial" w:cs="Arial" w:eastAsia="Arial" w:hAnsi="Arial"/>
          <w:sz w:val="20"/>
          <w:szCs w:val="20"/>
          <w:color w:val="auto"/>
        </w:rPr>
        <w:t>"THE UNDERSIGNED HEREBY CERTIFIES THAT BENEFICIARY IS ENTITLED TO DRAW DOWN THE FULL AMOUNT OF LETTER OF CREDIT NO. ___ AS THE RESULT OF THE REJECTION, OR DEEMED REJECTION, OF THAT CERTAIN OFFICE LEASE DATED JULY 9, 2021, AS AMENDED, UNDER SECTION 365 OF THE U.S. BANKRUPTCY CODE."</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color w:val="auto"/>
        </w:rPr>
        <w:t>SPECIAL CONDITIONS:</w:t>
      </w:r>
    </w:p>
    <w:p>
      <w:pPr>
        <w:spacing w:after="0" w:line="198"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264160</wp:posOffset>
            </wp:positionV>
            <wp:extent cx="7185025" cy="412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83" w:name="page84"/>
    <w:bookmarkEnd w:id="83"/>
    <w:p>
      <w:pPr>
        <w:jc w:val="both"/>
        <w:spacing w:after="0" w:line="243" w:lineRule="auto"/>
        <w:rPr>
          <w:sz w:val="20"/>
          <w:szCs w:val="20"/>
          <w:color w:val="auto"/>
        </w:rPr>
      </w:pPr>
      <w:r>
        <w:rPr>
          <w:rFonts w:ascii="Arial" w:cs="Arial" w:eastAsia="Arial" w:hAnsi="Arial"/>
          <w:sz w:val="20"/>
          <w:szCs w:val="20"/>
          <w:color w:val="auto"/>
        </w:rPr>
        <w:t>PARTIAL DRAWINGS AND MULTIPLE PRESENTATIONS MAY BE MADE UNDER THIS STANDBY LETTER OF CREDIT, PROVIDED, HOWEVER, THAT EACH SUCH DEMAND THAT IS PAID BY US SHALL REDUCE THE AMOUNT AVAILABLE UNDER THIS STANDBY LETTER OF CREDIT.</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ALL INFORMATION REQUIRED WHETHER INDICATED BY BLANKS, BRACKETS OR OTHERWISE, MUST BE COMPLETED AT THE TIME OF DRAWING.</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ALL SIGNATURES MUST BE MANUALLY EXECUTED IN ORIGINALS.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ALL BANKING CHARGES ARE FOR THE APPLICANT'S ACCOUNT.</w:t>
      </w:r>
    </w:p>
    <w:p>
      <w:pPr>
        <w:spacing w:after="0" w:line="191"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IT IS A CONDITION OF THIS STANDBY LETTER OF CREDIT THAT IT SHALL BE DEEMED AUTOMATICALLY EXTENDED WITHOUT AMENDMENT FOR A PERIOD OF ONE YEAR FROM THE PRESENT OR ANY FUTURE EXPIRATION DATE, UNLESS AT LEAST SIXTY (60) DAYS PRIOR TO THE EXPIRATION DATE WE SEND YOU NOTICE BY NATIONALLY RECOGNIZED OVERNIGHT COURIER SERVICE SUCH AS UPS OR FED-EX THAT WE ELECT NOT TO EXTEND THIS LETTER OF CREDIT FOR ANY SUCH ADDITIONAL PERIOD. SAID NOTICE WILL BE SENT TO THE ADDRESS INDICATED ABOVE, UNLESS A CHANGE OF ADDRESS IS OTHERWISE NOTIFIED BY YOU TO US IN WRITING BY RECEIPTED MAIL OR COURIER SUCH AS UPS OR FED-EX. ANY NOTICE TO US WILL BE DEEMED EFFECTIVE ONLY UPON ACTUAL RECEIPT BY US AT OUR DESIGNATED OFFICE.</w:t>
      </w:r>
    </w:p>
    <w:p>
      <w:pPr>
        <w:spacing w:after="0" w:line="173"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THIS LETTER OF CREDIT MAY BE TRANSFERRED SUCCESSIVELY IN WHOLE AND NOT IN PART ONLY UP TO THE THEN AVAILABLE AMOUNT IN FAVOR OF A NOMINATED TRANSFEREE ("TRANSFEREE"), ASSUMING SUCH TRANSFER TO SUCH TRANSFEREE IS IN COMPLIANCE WITH ALL APPLICABLE U.S. LAWS AND REGULATIONS. AT THE TIME OF TRANSFER, THE ORIGINAL LETTER OF CREDIT AND ORIGINAL AMENDMENT(S) IF ANY, MUST BE SURRENDERED TO US TOGETHER WITH OUR TRANSFER FORM ATTACHED HERETO AS EXHIBIT A AND PAYMENT OF OUR CUSTOMARY TRANSFER FEES, WHICH FEES SHALL BE PAYABLE BY APPLICANT (PROVIDED THAT BENEFICIARY MAY, BUT SHALL NOT BE OBLIGATED TO, PAY SUCH FEES TO US ON BEHALF OF APPLICANT, AND SEEK REIMBURSEMENT THEREOF FROM APPLICANT). IN CASE OF ANY TRANSFER UNDER THIS LETTER OF CREDIT, THE DRAFT AND ANY REQUIRED STATEMENT MUST BE EXECUTED BY THE TRANSFEREE AND WHERE THE BENEFICIARY'S NAME APPEARS WITHIN THIS STANDBY LETTER OF CREDIT, THE TRANSFEREE'S NAME IS AUTOMATICALLY SUBSTITUTED THEREFOR.</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ALL DRAFTS REQUIRED UNDER THIS STANDBY LETTER OF CREDIT MUST BE MARKED: ''DRAWN UNDER [Insert Bank Name] STANDBY LETTER OF CREDIT NO. ___________ DATED _______, 20__."</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WE HEREBY AGREE WITH YOU THAT IF DRAFTS ARE PRESENTED TO [Insert Bank Name] UNDER THIS LETTER OF CREDIT AT OR PRIOR TO 10:00 A.M CALIFORNIA</w:t>
      </w:r>
    </w:p>
    <w:p>
      <w:pPr>
        <w:spacing w:after="0" w:line="164"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264160</wp:posOffset>
            </wp:positionV>
            <wp:extent cx="7185025" cy="412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84" w:name="page85"/>
    <w:bookmarkEnd w:id="84"/>
    <w:p>
      <w:pPr>
        <w:jc w:val="both"/>
        <w:spacing w:after="0" w:line="251" w:lineRule="auto"/>
        <w:rPr>
          <w:sz w:val="20"/>
          <w:szCs w:val="20"/>
          <w:color w:val="auto"/>
        </w:rPr>
      </w:pPr>
      <w:r>
        <w:rPr>
          <w:rFonts w:ascii="Arial" w:cs="Arial" w:eastAsia="Arial" w:hAnsi="Arial"/>
          <w:sz w:val="19"/>
          <w:szCs w:val="19"/>
          <w:color w:val="auto"/>
        </w:rPr>
        <w:t>TIME , ON A BUSINESS DAY, AND PROVIDED THAT SUCH DRAFTS PRESENTED CONFORM TO THE TERMS AND CONDITIONS OF THIS LETTER OF CREDIT, PAYMENT SHALL BE INITIATED BY US IN IMMEDIATELY AVAILABLE FUNDS BY OUR CLOSE OF BUSINESS ON THE SUCCEEDING BUSINESS DAY. IF DRAFTS ARE PRESENTED TO [Insert Bank Name]</w:t>
      </w:r>
    </w:p>
    <w:p>
      <w:pPr>
        <w:jc w:val="both"/>
        <w:spacing w:after="0" w:line="234" w:lineRule="auto"/>
        <w:rPr>
          <w:sz w:val="20"/>
          <w:szCs w:val="20"/>
          <w:color w:val="auto"/>
        </w:rPr>
      </w:pPr>
      <w:r>
        <w:rPr>
          <w:rFonts w:ascii="Arial" w:cs="Arial" w:eastAsia="Arial" w:hAnsi="Arial"/>
          <w:sz w:val="20"/>
          <w:szCs w:val="20"/>
          <w:color w:val="auto"/>
        </w:rPr>
        <w:t>UNDER THIS LETTER OF CREDIT AFTER 10:00 A.M., ON A BUSINESS DAY, AND PROVIDED THAT SUCH DRAFTS CONFORM WITH THE TERMS AND CONDITIONS OF THIS LETTER OF CREDIT, PAYMENT SHALL BE INITIATED BY US IN IMMEDIATELY AVAILABLE FUNDS BY OUR CLOSE OF BUSINESS ON THE SECOND SUCCEEDING BUSINESS DAY. AS USED IN THIS LETTER OF CREDIT, "BUSINESS DAY" SHALL MEAN ANY DAY OTHER THAN A SATURDAY, SUNDAY OR A DAY ON WHICH BANKING INSTITUTIONS IN THE STATE OF CALIFORNIA ARE AUTHORIZED OR REQUIRED BY LAW TO CLOSE. IF THE EXPIRATION DATE FOR THIS LETTER OF CREDIT SHALL EVER FALL ON A DAY WHICH IS NOT A BUSINESS DAY THEN SUCH EXPIRATION DATE SHALL AUTOMATICALLY BE EXTENDED TO THE DATE WHICH IS THE NEXT BUSINESS DAY.</w:t>
      </w:r>
    </w:p>
    <w:p>
      <w:pPr>
        <w:spacing w:after="0" w:line="173"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PRESENTATION OF A DRAWING UNDER THIS LETTER OF CREDIT MAY BE MADE ON OR PRIOR TO THE THEN CURRENT EXPIRATION DATE HEREOF OF THE ORIGINAL APPROPRIATE DOCUMENTS ON A BUSINESS DAY BY HAND DELIVERY, COURIER SERVICE, OVERNIGHT MAIL AT OUR OFFICE (THE “BANK’S OFFICE”) AT: [Insert Bank Name And Address] OR BY FACSIMILE. PRESENTATION BY FACSIMILE TRANSMISSION SHALL BE BY TRANSMISSION OF THE ABOVE REQUIRED SIGHT DRAFT DRAWN ON US TOGETHER WITH THIS LETTER OF CREDIT TO OUR FACSIMILE NUMBER [Insert Bank Facsimile Number], WITH TELEPHONIC CONFIRMATION OF OUR RECEIPT OF SUCH FACSIMILE TRANSMISSION AT OUR TELEPHONE NUMBER ([Insert Bank Telephone Number] OR TO SUCH OTHER FACSIMILE OR TELEPHONE NUMBERS, AS TO WHICH YOU HAVE RECEIVED WRITTEN NOTICE FROM US AS BEING THE APPLICABLE SUCH NUMBER. WE AGREE TO NOTIFY YOU IN WRITING, BY NATIONALLY RECOGNIZED OVERNIGHT COURIER SERVICE SUCH AS UPS OR FED-EX AT THE ABOVE ADDRESS, OF ANY CHANGE IN SUCH DIRECTION. ANY FACSIMILE PRESENTATION PURSUANT TO THIS PARAGRAPH SHALL ALSO STATE THEREON THAT THE ORIGINAL OF SUCH SIGHT DRAFT AND LETTER OF CREDIT ARE BEING REMITTED, BY OVERNIGHT COURIER SERVICE; PROVIDED, HOWEVER, THE BANK WILL DETERMINE HONOR OR DISHONOR ON THE BASIS OF PRESENTATION BY FACSIMILE ALONE, AND WILL NOT EXAMINE THE ORIGINALS. IN ADDITION, ABSENCE OF THE AFORESAID TELEPHONE ADVICE SHALL NOT AFFECT OUR OBLIGATION TO HONOR ANY DRAW REQUEST.</w:t>
      </w:r>
    </w:p>
    <w:p>
      <w:pPr>
        <w:spacing w:after="0" w:line="18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HEREBY ENGAGE WITH YOU THAT ALL DOCUMENT(S) DRAWN UNDER AND IN COMPLIANCE WITH THE TERMS OF THIS STANDBY LETTER OF CREDIT WILL BE DULY HONORED IF DRAWN AND PRESENTED FOR PAYMENT AT OUR OFFICE LOCATED AT [Insert Bank Name And Address] ON OR BEFORE THE EXPIRATION DATE OF THIS CREDIT,</w:t>
      </w:r>
    </w:p>
    <w:p>
      <w:pPr>
        <w:spacing w:after="0" w:line="374"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264160</wp:posOffset>
            </wp:positionV>
            <wp:extent cx="7185025" cy="412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85" w:name="page86"/>
    <w:bookmarkEnd w:id="85"/>
    <w:p>
      <w:pPr>
        <w:jc w:val="both"/>
        <w:ind w:right="40"/>
        <w:spacing w:after="0" w:line="280" w:lineRule="auto"/>
        <w:rPr>
          <w:sz w:val="20"/>
          <w:szCs w:val="20"/>
          <w:color w:val="auto"/>
        </w:rPr>
      </w:pPr>
      <w:r>
        <w:rPr>
          <w:rFonts w:ascii="Arial" w:cs="Arial" w:eastAsia="Arial" w:hAnsi="Arial"/>
          <w:sz w:val="19"/>
          <w:szCs w:val="19"/>
          <w:color w:val="auto"/>
        </w:rPr>
        <w:t>EXCEPT SO FAR AS OTHERWISE EXPRESSLY STATED HEREIN, THIS STANDBY LETTER OF CREDIT IS SUBJECT TO THE "INTERNATIONAL STANDBY PRACTICES" (ISP 98) INTERNATIONAL CHAMBER OF COMMERCE (PUBLICATION NO. 590).</w:t>
      </w:r>
    </w:p>
    <w:p>
      <w:pPr>
        <w:spacing w:after="0" w:line="134" w:lineRule="exact"/>
        <w:rPr>
          <w:sz w:val="20"/>
          <w:szCs w:val="20"/>
          <w:color w:val="auto"/>
        </w:rPr>
      </w:pPr>
    </w:p>
    <w:p>
      <w:pPr>
        <w:jc w:val="both"/>
        <w:ind w:right="40"/>
        <w:spacing w:after="0" w:line="252" w:lineRule="auto"/>
        <w:rPr>
          <w:sz w:val="20"/>
          <w:szCs w:val="20"/>
          <w:color w:val="auto"/>
        </w:rPr>
      </w:pPr>
      <w:r>
        <w:rPr>
          <w:rFonts w:ascii="Arial" w:cs="Arial" w:eastAsia="Arial" w:hAnsi="Arial"/>
          <w:sz w:val="19"/>
          <w:szCs w:val="19"/>
          <w:color w:val="auto"/>
        </w:rPr>
        <w:t>IF THE ORIGINAL OF THIS STANDBY LETTER OF CREDIT NO. _ IS LOST, STOLEN OR DESTROYED, WE WILL ISSUE YOU A “CERTIFIED TRUE COPY” OF THIS STANDBY LETTER OF CREDIT NO. _UPON OUR RECEIPT OF YOUR INDEMNITY LETTER TO [Insert Bank Name] WHICH WILL BE SENT TO YOU UPON OUR RECEIPT OF YOUR WRITTEN REQUEST THAT THIS STANDBY LETTER OF CREDIT NO. _IS LOST, STOLEN, OR DESTROYED. IF THE ORIGINAL OF THIS STANDBY LETTER OF CREDIT NO. IS MUTILATED, WE WILL ISSUE YOU A REPLACEMENT STANDBY LETTER OF CREDIT WITH THE SAME NUMBER, DATE AND TERMS AS THE ORIGINAL UPON OUR RECEIPT OF THE MUTILATED STANDBY LETTER OF CREDIT.</w:t>
      </w:r>
    </w:p>
    <w:p>
      <w:pPr>
        <w:spacing w:after="0" w:line="160" w:lineRule="exact"/>
        <w:rPr>
          <w:sz w:val="20"/>
          <w:szCs w:val="20"/>
          <w:color w:val="auto"/>
        </w:rPr>
      </w:pPr>
    </w:p>
    <w:p>
      <w:pPr>
        <w:spacing w:after="0"/>
        <w:tabs>
          <w:tab w:leader="none" w:pos="9100" w:val="left"/>
        </w:tabs>
        <w:rPr>
          <w:sz w:val="20"/>
          <w:szCs w:val="20"/>
          <w:color w:val="auto"/>
        </w:rPr>
      </w:pPr>
      <w:r>
        <w:rPr>
          <w:rFonts w:ascii="Arial" w:cs="Arial" w:eastAsia="Arial" w:hAnsi="Arial"/>
          <w:sz w:val="20"/>
          <w:szCs w:val="20"/>
          <w:color w:val="auto"/>
        </w:rPr>
        <w:t>IF YOU HAVE ANY QUESTIONS REGARDING THIS TRANSACTION, PLEASE CONTACT: _______</w:t>
      </w:r>
      <w:r>
        <w:rPr>
          <w:sz w:val="20"/>
          <w:szCs w:val="20"/>
          <w:color w:val="auto"/>
        </w:rPr>
        <w:tab/>
      </w:r>
      <w:r>
        <w:rPr>
          <w:rFonts w:ascii="Arial" w:cs="Arial" w:eastAsia="Arial" w:hAnsi="Arial"/>
          <w:sz w:val="19"/>
          <w:szCs w:val="19"/>
          <w:color w:val="auto"/>
        </w:rPr>
        <w:t>AT 408-_____, ALWAYS</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color w:val="auto"/>
        </w:rPr>
        <w:t>QUOTING OUR LETTER OF CREDIT No._______.</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jc w:val="right"/>
              <w:ind w:right="1381"/>
              <w:spacing w:after="0"/>
              <w:rPr>
                <w:sz w:val="20"/>
                <w:szCs w:val="20"/>
                <w:color w:val="auto"/>
              </w:rPr>
            </w:pPr>
            <w:r>
              <w:rPr>
                <w:rFonts w:ascii="Arial" w:cs="Arial" w:eastAsia="Arial" w:hAnsi="Arial"/>
                <w:sz w:val="20"/>
                <w:szCs w:val="20"/>
                <w:i w:val="1"/>
                <w:iCs w:val="1"/>
                <w:color w:val="auto"/>
              </w:rPr>
              <w:t>(FOR BANK USE)</w:t>
            </w:r>
          </w:p>
        </w:tc>
        <w:tc>
          <w:tcPr>
            <w:tcW w:w="7960" w:type="dxa"/>
            <w:vAlign w:val="bottom"/>
          </w:tcPr>
          <w:p>
            <w:pPr>
              <w:jc w:val="right"/>
              <w:ind w:right="5045"/>
              <w:spacing w:after="0"/>
              <w:rPr>
                <w:sz w:val="20"/>
                <w:szCs w:val="20"/>
                <w:color w:val="auto"/>
              </w:rPr>
            </w:pPr>
            <w:r>
              <w:rPr>
                <w:rFonts w:ascii="Arial" w:cs="Arial" w:eastAsia="Arial" w:hAnsi="Arial"/>
                <w:sz w:val="20"/>
                <w:szCs w:val="20"/>
                <w:i w:val="1"/>
                <w:iCs w:val="1"/>
                <w:color w:val="auto"/>
              </w:rPr>
              <w:t>(FOR BANK USE)</w:t>
            </w:r>
          </w:p>
        </w:tc>
      </w:tr>
      <w:tr>
        <w:trPr>
          <w:trHeight w:val="223"/>
        </w:trPr>
        <w:tc>
          <w:tcPr>
            <w:tcW w:w="3320" w:type="dxa"/>
            <w:vAlign w:val="bottom"/>
          </w:tcPr>
          <w:p>
            <w:pPr>
              <w:jc w:val="right"/>
              <w:ind w:right="341"/>
              <w:spacing w:after="0" w:line="223" w:lineRule="exact"/>
              <w:rPr>
                <w:sz w:val="20"/>
                <w:szCs w:val="20"/>
                <w:color w:val="auto"/>
              </w:rPr>
            </w:pPr>
            <w:r>
              <w:rPr>
                <w:rFonts w:ascii="Arial" w:cs="Arial" w:eastAsia="Arial" w:hAnsi="Arial"/>
                <w:sz w:val="20"/>
                <w:szCs w:val="20"/>
                <w:color w:val="auto"/>
                <w:w w:val="95"/>
              </w:rPr>
              <w:t>___________________________</w:t>
            </w:r>
          </w:p>
        </w:tc>
        <w:tc>
          <w:tcPr>
            <w:tcW w:w="7960" w:type="dxa"/>
            <w:vAlign w:val="bottom"/>
          </w:tcPr>
          <w:p>
            <w:pPr>
              <w:jc w:val="right"/>
              <w:ind w:right="4305"/>
              <w:spacing w:after="0" w:line="223" w:lineRule="exact"/>
              <w:rPr>
                <w:sz w:val="20"/>
                <w:szCs w:val="20"/>
                <w:color w:val="auto"/>
              </w:rPr>
            </w:pPr>
            <w:r>
              <w:rPr>
                <w:rFonts w:ascii="Arial" w:cs="Arial" w:eastAsia="Arial" w:hAnsi="Arial"/>
                <w:sz w:val="20"/>
                <w:szCs w:val="20"/>
                <w:color w:val="auto"/>
              </w:rPr>
              <w:t>___________________________</w:t>
            </w:r>
          </w:p>
        </w:tc>
      </w:tr>
      <w:tr>
        <w:trPr>
          <w:trHeight w:val="251"/>
        </w:trPr>
        <w:tc>
          <w:tcPr>
            <w:tcW w:w="3320" w:type="dxa"/>
            <w:vAlign w:val="bottom"/>
          </w:tcPr>
          <w:p>
            <w:pPr>
              <w:jc w:val="right"/>
              <w:ind w:right="541"/>
              <w:spacing w:after="0"/>
              <w:rPr>
                <w:sz w:val="20"/>
                <w:szCs w:val="20"/>
                <w:color w:val="auto"/>
              </w:rPr>
            </w:pPr>
            <w:r>
              <w:rPr>
                <w:rFonts w:ascii="Arial" w:cs="Arial" w:eastAsia="Arial" w:hAnsi="Arial"/>
                <w:sz w:val="20"/>
                <w:szCs w:val="20"/>
                <w:color w:val="auto"/>
              </w:rPr>
              <w:t>AUTHORIZED SIGNATURE</w:t>
            </w:r>
          </w:p>
        </w:tc>
        <w:tc>
          <w:tcPr>
            <w:tcW w:w="7960" w:type="dxa"/>
            <w:vAlign w:val="bottom"/>
          </w:tcPr>
          <w:p>
            <w:pPr>
              <w:jc w:val="center"/>
              <w:ind w:right="3445"/>
              <w:spacing w:after="0"/>
              <w:rPr>
                <w:sz w:val="20"/>
                <w:szCs w:val="20"/>
                <w:color w:val="auto"/>
              </w:rPr>
            </w:pPr>
            <w:r>
              <w:rPr>
                <w:rFonts w:ascii="Arial" w:cs="Arial" w:eastAsia="Arial" w:hAnsi="Arial"/>
                <w:sz w:val="20"/>
                <w:szCs w:val="20"/>
                <w:color w:val="auto"/>
                <w:w w:val="95"/>
              </w:rPr>
              <w:t>AUTHORIZED SIGNATURE</w:t>
            </w:r>
          </w:p>
        </w:tc>
      </w:tr>
      <w:tr>
        <w:trPr>
          <w:trHeight w:val="609"/>
        </w:trPr>
        <w:tc>
          <w:tcPr>
            <w:tcW w:w="3320" w:type="dxa"/>
            <w:vAlign w:val="bottom"/>
          </w:tcPr>
          <w:p>
            <w:pPr>
              <w:spacing w:after="0"/>
              <w:rPr>
                <w:sz w:val="24"/>
                <w:szCs w:val="24"/>
                <w:color w:val="auto"/>
              </w:rPr>
            </w:pPr>
          </w:p>
        </w:tc>
        <w:tc>
          <w:tcPr>
            <w:tcW w:w="7960" w:type="dxa"/>
            <w:vAlign w:val="bottom"/>
          </w:tcPr>
          <w:p>
            <w:pPr>
              <w:jc w:val="right"/>
              <w:ind w:right="7225"/>
              <w:spacing w:after="0"/>
              <w:rPr>
                <w:sz w:val="20"/>
                <w:szCs w:val="20"/>
                <w:color w:val="auto"/>
              </w:rPr>
            </w:pPr>
            <w:r>
              <w:rPr>
                <w:rFonts w:ascii="Arial" w:cs="Arial" w:eastAsia="Arial" w:hAnsi="Arial"/>
                <w:sz w:val="17"/>
                <w:szCs w:val="17"/>
                <w:color w:val="auto"/>
              </w:rPr>
              <w:t>-8-</w:t>
            </w:r>
          </w:p>
        </w:tc>
      </w:tr>
      <w:tr>
        <w:trPr>
          <w:trHeight w:val="428"/>
        </w:trPr>
        <w:tc>
          <w:tcPr>
            <w:tcW w:w="3320" w:type="dxa"/>
            <w:vAlign w:val="bottom"/>
            <w:tcBorders>
              <w:bottom w:val="single" w:sz="8" w:color="9A9A9A"/>
            </w:tcBorders>
          </w:tcPr>
          <w:p>
            <w:pPr>
              <w:spacing w:after="0"/>
              <w:rPr>
                <w:sz w:val="24"/>
                <w:szCs w:val="24"/>
                <w:color w:val="auto"/>
              </w:rPr>
            </w:pPr>
          </w:p>
        </w:tc>
        <w:tc>
          <w:tcPr>
            <w:tcW w:w="7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319" w:right="299" w:bottom="1440" w:gutter="0" w:footer="0" w:header="0"/>
        </w:sectPr>
      </w:pPr>
    </w:p>
    <w:bookmarkStart w:id="86" w:name="page87"/>
    <w:bookmarkEnd w:id="86"/>
    <w:p>
      <w:pPr>
        <w:jc w:val="center"/>
        <w:spacing w:after="0"/>
        <w:rPr>
          <w:sz w:val="20"/>
          <w:szCs w:val="20"/>
          <w:color w:val="auto"/>
        </w:rPr>
      </w:pPr>
      <w:r>
        <w:rPr>
          <w:rFonts w:ascii="Arial" w:cs="Arial" w:eastAsia="Arial" w:hAnsi="Arial"/>
          <w:sz w:val="20"/>
          <w:szCs w:val="20"/>
          <w:b w:val="1"/>
          <w:bCs w:val="1"/>
          <w:color w:val="auto"/>
        </w:rPr>
        <w:t>EXHIBIT A</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TRANSFER FORM</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DATE: ____________________</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TO: [Insert Bank Name And Address]</w:t>
      </w:r>
    </w:p>
    <w:p>
      <w:pPr>
        <w:spacing w:after="0" w:line="16" w:lineRule="exact"/>
        <w:rPr>
          <w:sz w:val="20"/>
          <w:szCs w:val="20"/>
          <w:color w:val="auto"/>
        </w:rPr>
      </w:pPr>
    </w:p>
    <w:p>
      <w:pPr>
        <w:ind w:left="780"/>
        <w:spacing w:after="0"/>
        <w:rPr>
          <w:sz w:val="20"/>
          <w:szCs w:val="20"/>
          <w:color w:val="auto"/>
        </w:rPr>
      </w:pPr>
      <w:r>
        <w:rPr>
          <w:rFonts w:ascii="Arial" w:cs="Arial" w:eastAsia="Arial" w:hAnsi="Arial"/>
          <w:sz w:val="15"/>
          <w:szCs w:val="15"/>
          <w:color w:val="auto"/>
        </w:rPr>
        <w:t>RE: IRREVOCABLE STANDBY LETTER OF CREDIT</w:t>
      </w:r>
    </w:p>
    <w:p>
      <w:pPr>
        <w:spacing w:after="0" w:line="13" w:lineRule="exact"/>
        <w:rPr>
          <w:sz w:val="20"/>
          <w:szCs w:val="20"/>
          <w:color w:val="auto"/>
        </w:rPr>
      </w:pPr>
    </w:p>
    <w:p>
      <w:pPr>
        <w:ind w:left="4620"/>
        <w:spacing w:after="0"/>
        <w:rPr>
          <w:sz w:val="20"/>
          <w:szCs w:val="20"/>
          <w:color w:val="auto"/>
        </w:rPr>
      </w:pPr>
      <w:r>
        <w:rPr>
          <w:rFonts w:ascii="Arial" w:cs="Arial" w:eastAsia="Arial" w:hAnsi="Arial"/>
          <w:sz w:val="15"/>
          <w:szCs w:val="15"/>
          <w:color w:val="auto"/>
        </w:rPr>
        <w:t>NO. _____________ ISSUED BY</w:t>
      </w:r>
    </w:p>
    <w:p>
      <w:pPr>
        <w:spacing w:after="0" w:line="13" w:lineRule="exact"/>
        <w:rPr>
          <w:sz w:val="20"/>
          <w:szCs w:val="20"/>
          <w:color w:val="auto"/>
        </w:rPr>
      </w:pPr>
    </w:p>
    <w:p>
      <w:pPr>
        <w:ind w:left="2220"/>
        <w:spacing w:after="0"/>
        <w:rPr>
          <w:sz w:val="20"/>
          <w:szCs w:val="20"/>
          <w:color w:val="auto"/>
        </w:rPr>
      </w:pPr>
      <w:r>
        <w:rPr>
          <w:rFonts w:ascii="Arial" w:cs="Arial" w:eastAsia="Arial" w:hAnsi="Arial"/>
          <w:sz w:val="15"/>
          <w:szCs w:val="15"/>
          <w:color w:val="auto"/>
        </w:rPr>
        <w:t>[Insert Bank Name]</w:t>
      </w:r>
    </w:p>
    <w:p>
      <w:pPr>
        <w:spacing w:after="0" w:line="1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L/C AMOUNT: ___________________</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GENTLEMEN:</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FOR VALUE RECEIVED, THE UNDERSIGNED BENEFICIARY HEREBY IRREVOCABLY TRANSFERS TO:</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_______________________________________________________________________________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(NAME OF TRANSFEREE)</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221"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ALL RIGHTS OF THE UNDERSIGNED BENEFICIARY TO DRAW UNDER THE ABOVE LETTER OF CREDIT UP TO ITS AVAILABLE AMOUNT AS SHOWN ABOVE AS OF THE DATE OF THIS TRANSFER.</w:t>
      </w:r>
    </w:p>
    <w:p>
      <w:pPr>
        <w:spacing w:after="0" w:line="155"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BY THIS TRANSFER, ALL RIGHTS OF THE UNDERSIGNED BENEFICIARY IN SUCH LETTER OF CREDIT ARE TRANSFERRED TO THE TRANSFEREE. TRANSFEREE SHALL HAVE THE SOLE RIGHTS AS BENEFICIARY THEREOF, INCLUDING SOLE RIGHTS RELATING TO ANY AMENDMENTS, WHETHER INCREASES OR EXTENSIONS OR OTHER AMENDMENTS, AND WHETHER NOW EXISTING OR HEREAFTER MADE. ALL AMENDMENTS ARE TO BE ADVISED DIRECTLY TO THE TRANSFEREE WITHOUT NECESSITY OF ANY CONSENT OF OR NOTICE TO THE UNDERSIGNED BENEFICIARY.</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THE ORIGINAL OF SUCH LETTER OF CREDIT IS RETURNED HEREWITH, AND WE ASK YOU TO EITHER (1) ENDORSE THE TRANSFER ON THE REVERSE THEREOF, AND FORWARD IT DIRECTLY TO THE TRANSFEREE WITH YOUR CUSTOMARY NOTICE OF TRANSFER, OR (2) ISSUE A REPLACEMENT LETTER OF CREDIT TO THE TRANSFEREE ON SUBSTANTIALLY THE SAME TERMS AND CONDITIONS AS THE TRANSFERRED LETTER OF CREDIT (IN WHICH EVENT THE TRANSFERRED LETTER OF CREDIT SHALL HAVE NO FURTHER EFFECT).</w:t>
      </w:r>
    </w:p>
    <w:p>
      <w:pPr>
        <w:spacing w:after="0" w:line="189"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SIGNATURE AUTHENTICATED</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The name(s), title(s), and signature(s) conform to that/those on file with us for the company and the signature(s) is/are authorized to execute this instrument.</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_________________________________________________</w:t>
      </w:r>
    </w:p>
    <w:p>
      <w:pPr>
        <w:spacing w:after="0" w:line="16"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(Name of Bank)</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_________________________________________________</w:t>
      </w:r>
    </w:p>
    <w:p>
      <w:pPr>
        <w:spacing w:after="0" w:line="13"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(Address of Bank)</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_________________________________________________</w:t>
      </w:r>
    </w:p>
    <w:p>
      <w:pPr>
        <w:spacing w:after="0" w:line="13"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(City, State, ZIP Code)</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_________________________________________________</w:t>
      </w:r>
    </w:p>
    <w:p>
      <w:pPr>
        <w:spacing w:after="0" w:line="13"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(Authorized Name and Title)</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_________________________________________________</w:t>
      </w:r>
    </w:p>
    <w:p>
      <w:pPr>
        <w:spacing w:after="0" w:line="16" w:lineRule="exact"/>
        <w:rPr>
          <w:sz w:val="20"/>
          <w:szCs w:val="20"/>
          <w:color w:val="auto"/>
        </w:rPr>
      </w:pPr>
    </w:p>
    <w:p>
      <w:pPr>
        <w:jc w:val="center"/>
        <w:ind w:right="7560"/>
        <w:spacing w:after="0"/>
        <w:rPr>
          <w:sz w:val="20"/>
          <w:szCs w:val="20"/>
          <w:color w:val="auto"/>
        </w:rPr>
      </w:pPr>
      <w:r>
        <w:rPr>
          <w:rFonts w:ascii="Arial" w:cs="Arial" w:eastAsia="Arial" w:hAnsi="Arial"/>
          <w:sz w:val="15"/>
          <w:szCs w:val="15"/>
          <w:color w:val="auto"/>
        </w:rPr>
        <w:t>(Authorized Signature)</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_________________________________________________</w:t>
      </w:r>
    </w:p>
    <w:p>
      <w:pPr>
        <w:spacing w:after="0" w:line="13"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(Telephone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388"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(BENEFICIARY’S NAME)</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(SIGNATURE OF BENEFICIARY)</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w:t>
      </w:r>
    </w:p>
    <w:p>
      <w:pPr>
        <w:spacing w:after="0" w:line="1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(NAME AND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40"/>
          </w:cols>
          <w:pgMar w:left="320" w:top="313" w:right="339" w:bottom="0" w:gutter="0" w:footer="0" w:header="0"/>
        </w:sectPr>
      </w:pPr>
    </w:p>
    <w:bookmarkStart w:id="87" w:name="page88"/>
    <w:bookmarkEnd w:id="8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8" w:name="page89"/>
    <w:bookmarkEnd w:id="88"/>
    <w:p>
      <w:pPr>
        <w:jc w:val="right"/>
        <w:spacing w:after="0"/>
        <w:rPr>
          <w:sz w:val="20"/>
          <w:szCs w:val="20"/>
          <w:color w:val="auto"/>
        </w:rPr>
      </w:pPr>
      <w:r>
        <w:rPr>
          <w:rFonts w:ascii="Arial" w:cs="Arial" w:eastAsia="Arial" w:hAnsi="Arial"/>
          <w:sz w:val="17"/>
          <w:szCs w:val="17"/>
          <w:b w:val="1"/>
          <w:bCs w:val="1"/>
          <w:color w:val="auto"/>
        </w:rPr>
        <w:t>Exhibit 31.1</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NKARTA,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 PURSUANT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SARBANES-OXLEY ACT OF 2002</w:t>
      </w:r>
    </w:p>
    <w:p>
      <w:pPr>
        <w:spacing w:after="0" w:line="310"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CERTIFICATION</w:t>
      </w:r>
    </w:p>
    <w:p>
      <w:pPr>
        <w:spacing w:after="0" w:line="329" w:lineRule="exact"/>
        <w:rPr>
          <w:sz w:val="20"/>
          <w:szCs w:val="20"/>
          <w:color w:val="auto"/>
        </w:rPr>
      </w:pPr>
    </w:p>
    <w:p>
      <w:pPr>
        <w:ind w:left="1"/>
        <w:spacing w:after="0"/>
        <w:rPr>
          <w:sz w:val="20"/>
          <w:szCs w:val="20"/>
          <w:color w:val="auto"/>
        </w:rPr>
      </w:pPr>
      <w:r>
        <w:rPr>
          <w:rFonts w:ascii="Arial" w:cs="Arial" w:eastAsia="Arial" w:hAnsi="Arial"/>
          <w:sz w:val="17"/>
          <w:szCs w:val="17"/>
          <w:color w:val="auto"/>
        </w:rPr>
        <w:t>I, Paul J. Hastings, certify that:</w:t>
      </w:r>
    </w:p>
    <w:p>
      <w:pPr>
        <w:spacing w:after="0" w:line="201" w:lineRule="exact"/>
        <w:rPr>
          <w:sz w:val="20"/>
          <w:szCs w:val="20"/>
          <w:color w:val="auto"/>
        </w:rPr>
      </w:pPr>
    </w:p>
    <w:p>
      <w:pPr>
        <w:ind w:left="521" w:hanging="521"/>
        <w:spacing w:after="0"/>
        <w:tabs>
          <w:tab w:leader="none" w:pos="521" w:val="left"/>
        </w:tabs>
        <w:numPr>
          <w:ilvl w:val="0"/>
          <w:numId w:val="4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Nkarta, Inc.;</w:t>
      </w:r>
    </w:p>
    <w:p>
      <w:pPr>
        <w:spacing w:after="0" w:line="200" w:lineRule="exact"/>
        <w:rPr>
          <w:rFonts w:ascii="Arial" w:cs="Arial" w:eastAsia="Arial" w:hAnsi="Arial"/>
          <w:sz w:val="17"/>
          <w:szCs w:val="17"/>
          <w:color w:val="auto"/>
        </w:rPr>
      </w:pPr>
    </w:p>
    <w:p>
      <w:pPr>
        <w:ind w:left="521" w:right="380" w:hanging="521"/>
        <w:spacing w:after="0" w:line="326" w:lineRule="auto"/>
        <w:tabs>
          <w:tab w:leader="none" w:pos="521" w:val="left"/>
        </w:tabs>
        <w:numPr>
          <w:ilvl w:val="0"/>
          <w:numId w:val="4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5"/>
          <w:szCs w:val="15"/>
          <w:color w:val="auto"/>
        </w:rPr>
      </w:pPr>
    </w:p>
    <w:p>
      <w:pPr>
        <w:ind w:left="521" w:right="460" w:hanging="521"/>
        <w:spacing w:after="0" w:line="260" w:lineRule="auto"/>
        <w:tabs>
          <w:tab w:leader="none" w:pos="521"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1" w:lineRule="exact"/>
        <w:rPr>
          <w:rFonts w:ascii="Arial" w:cs="Arial" w:eastAsia="Arial" w:hAnsi="Arial"/>
          <w:sz w:val="17"/>
          <w:szCs w:val="17"/>
          <w:color w:val="auto"/>
        </w:rPr>
      </w:pPr>
    </w:p>
    <w:p>
      <w:pPr>
        <w:ind w:left="521" w:right="280" w:hanging="521"/>
        <w:spacing w:after="0" w:line="251" w:lineRule="auto"/>
        <w:tabs>
          <w:tab w:leader="none" w:pos="521"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9" w:lineRule="exact"/>
        <w:rPr>
          <w:rFonts w:ascii="Arial" w:cs="Arial" w:eastAsia="Arial" w:hAnsi="Arial"/>
          <w:sz w:val="17"/>
          <w:szCs w:val="17"/>
          <w:color w:val="auto"/>
        </w:rPr>
      </w:pPr>
    </w:p>
    <w:p>
      <w:pPr>
        <w:ind w:left="1041" w:right="80" w:hanging="521"/>
        <w:spacing w:after="0" w:line="251" w:lineRule="auto"/>
        <w:tabs>
          <w:tab w:leader="none" w:pos="1041" w:val="left"/>
        </w:tabs>
        <w:numPr>
          <w:ilvl w:val="1"/>
          <w:numId w:val="4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Arial" w:cs="Arial" w:eastAsia="Arial" w:hAnsi="Arial"/>
          <w:sz w:val="17"/>
          <w:szCs w:val="17"/>
          <w:color w:val="auto"/>
        </w:rPr>
      </w:pPr>
    </w:p>
    <w:p>
      <w:pPr>
        <w:ind w:left="1041" w:hanging="521"/>
        <w:spacing w:after="0" w:line="326" w:lineRule="auto"/>
        <w:tabs>
          <w:tab w:leader="none" w:pos="1041" w:val="left"/>
        </w:tabs>
        <w:numPr>
          <w:ilvl w:val="1"/>
          <w:numId w:val="4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6" w:lineRule="exact"/>
        <w:rPr>
          <w:rFonts w:ascii="Arial" w:cs="Arial" w:eastAsia="Arial" w:hAnsi="Arial"/>
          <w:sz w:val="15"/>
          <w:szCs w:val="15"/>
          <w:color w:val="auto"/>
        </w:rPr>
      </w:pPr>
    </w:p>
    <w:p>
      <w:pPr>
        <w:ind w:left="1041" w:right="460" w:hanging="521"/>
        <w:spacing w:after="0" w:line="326" w:lineRule="auto"/>
        <w:tabs>
          <w:tab w:leader="none" w:pos="1041" w:val="left"/>
        </w:tabs>
        <w:numPr>
          <w:ilvl w:val="1"/>
          <w:numId w:val="43"/>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6" w:lineRule="exact"/>
        <w:rPr>
          <w:rFonts w:ascii="Arial" w:cs="Arial" w:eastAsia="Arial" w:hAnsi="Arial"/>
          <w:sz w:val="15"/>
          <w:szCs w:val="15"/>
          <w:color w:val="auto"/>
        </w:rPr>
      </w:pPr>
    </w:p>
    <w:p>
      <w:pPr>
        <w:ind w:left="521" w:right="260" w:hanging="521"/>
        <w:spacing w:after="0" w:line="260" w:lineRule="auto"/>
        <w:tabs>
          <w:tab w:leader="none" w:pos="521"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1" w:lineRule="exact"/>
        <w:rPr>
          <w:rFonts w:ascii="Arial" w:cs="Arial" w:eastAsia="Arial" w:hAnsi="Arial"/>
          <w:sz w:val="17"/>
          <w:szCs w:val="17"/>
          <w:color w:val="auto"/>
        </w:rPr>
      </w:pPr>
    </w:p>
    <w:p>
      <w:pPr>
        <w:ind w:left="1041" w:right="160" w:hanging="521"/>
        <w:spacing w:after="0" w:line="260" w:lineRule="auto"/>
        <w:tabs>
          <w:tab w:leader="none" w:pos="1041" w:val="left"/>
        </w:tabs>
        <w:numPr>
          <w:ilvl w:val="1"/>
          <w:numId w:val="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1" w:lineRule="exact"/>
        <w:rPr>
          <w:rFonts w:ascii="Arial" w:cs="Arial" w:eastAsia="Arial" w:hAnsi="Arial"/>
          <w:sz w:val="17"/>
          <w:szCs w:val="17"/>
          <w:color w:val="auto"/>
        </w:rPr>
      </w:pPr>
    </w:p>
    <w:p>
      <w:pPr>
        <w:ind w:left="1041" w:right="380" w:hanging="521"/>
        <w:spacing w:after="0" w:line="260" w:lineRule="auto"/>
        <w:tabs>
          <w:tab w:leader="none" w:pos="1041" w:val="left"/>
        </w:tabs>
        <w:numPr>
          <w:ilvl w:val="1"/>
          <w:numId w:val="4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8" w:lineRule="exact"/>
        <w:rPr>
          <w:sz w:val="20"/>
          <w:szCs w:val="20"/>
          <w:color w:val="auto"/>
        </w:rPr>
      </w:pPr>
    </w:p>
    <w:p>
      <w:pPr>
        <w:ind w:left="1"/>
        <w:spacing w:after="0"/>
        <w:tabs>
          <w:tab w:leader="none" w:pos="5660" w:val="left"/>
          <w:tab w:leader="none" w:pos="7980" w:val="left"/>
        </w:tabs>
        <w:rPr>
          <w:sz w:val="20"/>
          <w:szCs w:val="20"/>
          <w:color w:val="auto"/>
        </w:rPr>
      </w:pPr>
      <w:r>
        <w:rPr>
          <w:rFonts w:ascii="Arial" w:cs="Arial" w:eastAsia="Arial" w:hAnsi="Arial"/>
          <w:sz w:val="17"/>
          <w:szCs w:val="17"/>
          <w:color w:val="auto"/>
        </w:rPr>
        <w:t>Date: November 10,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4"/>
          <w:szCs w:val="14"/>
          <w:color w:val="auto"/>
        </w:rPr>
        <w:t>/s/ Paul J. Hastings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3831590</wp:posOffset>
            </wp:positionH>
            <wp:positionV relativeFrom="paragraph">
              <wp:posOffset>9525</wp:posOffset>
            </wp:positionV>
            <wp:extent cx="331216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3312160" cy="7620"/>
                    </a:xfrm>
                    <a:prstGeom prst="rect">
                      <a:avLst/>
                    </a:prstGeom>
                    <a:noFill/>
                  </pic:spPr>
                </pic:pic>
              </a:graphicData>
            </a:graphic>
          </wp:anchor>
        </w:drawing>
      </w:r>
    </w:p>
    <w:p>
      <w:pPr>
        <w:spacing w:after="0" w:line="4" w:lineRule="exact"/>
        <w:rPr>
          <w:sz w:val="20"/>
          <w:szCs w:val="20"/>
          <w:color w:val="auto"/>
        </w:rPr>
      </w:pPr>
    </w:p>
    <w:p>
      <w:pPr>
        <w:jc w:val="center"/>
        <w:ind w:left="6000"/>
        <w:spacing w:after="0"/>
        <w:rPr>
          <w:sz w:val="20"/>
          <w:szCs w:val="20"/>
          <w:color w:val="auto"/>
        </w:rPr>
      </w:pPr>
      <w:r>
        <w:rPr>
          <w:rFonts w:ascii="Arial" w:cs="Arial" w:eastAsia="Arial" w:hAnsi="Arial"/>
          <w:sz w:val="17"/>
          <w:szCs w:val="17"/>
          <w:b w:val="1"/>
          <w:bCs w:val="1"/>
          <w:color w:val="auto"/>
        </w:rPr>
        <w:t>Paul J. Hastings</w:t>
      </w:r>
    </w:p>
    <w:p>
      <w:pPr>
        <w:spacing w:after="0" w:line="18" w:lineRule="exact"/>
        <w:rPr>
          <w:sz w:val="20"/>
          <w:szCs w:val="20"/>
          <w:color w:val="auto"/>
        </w:rPr>
      </w:pPr>
    </w:p>
    <w:p>
      <w:pPr>
        <w:jc w:val="center"/>
        <w:ind w:left="6000"/>
        <w:spacing w:after="0"/>
        <w:rPr>
          <w:sz w:val="20"/>
          <w:szCs w:val="20"/>
          <w:color w:val="auto"/>
        </w:rPr>
      </w:pPr>
      <w:r>
        <w:rPr>
          <w:rFonts w:ascii="Arial" w:cs="Arial" w:eastAsia="Arial" w:hAnsi="Arial"/>
          <w:sz w:val="17"/>
          <w:szCs w:val="17"/>
          <w:b w:val="1"/>
          <w:bCs w:val="1"/>
          <w:color w:val="auto"/>
        </w:rPr>
        <w:t>Chief Executive Officer</w:t>
      </w:r>
    </w:p>
    <w:p>
      <w:pPr>
        <w:sectPr>
          <w:pgSz w:w="11900" w:h="16838" w:orient="portrait"/>
          <w:cols w:equalWidth="0" w:num="1">
            <w:col w:w="11241"/>
          </w:cols>
          <w:pgMar w:left="319" w:top="123"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7"/>
          <w:szCs w:val="17"/>
          <w:b w:val="1"/>
          <w:bCs w:val="1"/>
          <w:color w:val="auto"/>
        </w:rPr>
        <w:t>Exhibit 31.2</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NKARTA, INC.</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 PURSUANT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SARBANES-OXLEY ACT OF 2002</w:t>
      </w:r>
    </w:p>
    <w:p>
      <w:pPr>
        <w:spacing w:after="0" w:line="310"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CERTIFICATION</w:t>
      </w:r>
    </w:p>
    <w:p>
      <w:pPr>
        <w:spacing w:after="0" w:line="329" w:lineRule="exact"/>
        <w:rPr>
          <w:sz w:val="20"/>
          <w:szCs w:val="20"/>
          <w:color w:val="auto"/>
        </w:rPr>
      </w:pPr>
    </w:p>
    <w:p>
      <w:pPr>
        <w:ind w:left="1"/>
        <w:spacing w:after="0"/>
        <w:rPr>
          <w:sz w:val="20"/>
          <w:szCs w:val="20"/>
          <w:color w:val="auto"/>
        </w:rPr>
      </w:pPr>
      <w:r>
        <w:rPr>
          <w:rFonts w:ascii="Arial" w:cs="Arial" w:eastAsia="Arial" w:hAnsi="Arial"/>
          <w:sz w:val="17"/>
          <w:szCs w:val="17"/>
          <w:color w:val="auto"/>
        </w:rPr>
        <w:t>I, Nadir Mahmood, certify that:</w:t>
      </w:r>
    </w:p>
    <w:p>
      <w:pPr>
        <w:spacing w:after="0" w:line="201" w:lineRule="exact"/>
        <w:rPr>
          <w:sz w:val="20"/>
          <w:szCs w:val="20"/>
          <w:color w:val="auto"/>
        </w:rPr>
      </w:pPr>
    </w:p>
    <w:p>
      <w:pPr>
        <w:ind w:left="521" w:hanging="521"/>
        <w:spacing w:after="0"/>
        <w:tabs>
          <w:tab w:leader="none" w:pos="521" w:val="left"/>
        </w:tabs>
        <w:numPr>
          <w:ilvl w:val="0"/>
          <w:numId w:val="4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Nkarta, Inc.;</w:t>
      </w:r>
    </w:p>
    <w:p>
      <w:pPr>
        <w:spacing w:after="0" w:line="200" w:lineRule="exact"/>
        <w:rPr>
          <w:rFonts w:ascii="Arial" w:cs="Arial" w:eastAsia="Arial" w:hAnsi="Arial"/>
          <w:sz w:val="17"/>
          <w:szCs w:val="17"/>
          <w:color w:val="auto"/>
        </w:rPr>
      </w:pPr>
    </w:p>
    <w:p>
      <w:pPr>
        <w:ind w:left="521" w:right="380" w:hanging="521"/>
        <w:spacing w:after="0" w:line="326" w:lineRule="auto"/>
        <w:tabs>
          <w:tab w:leader="none" w:pos="521" w:val="left"/>
        </w:tabs>
        <w:numPr>
          <w:ilvl w:val="0"/>
          <w:numId w:val="4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5"/>
          <w:szCs w:val="15"/>
          <w:color w:val="auto"/>
        </w:rPr>
      </w:pPr>
    </w:p>
    <w:p>
      <w:pPr>
        <w:ind w:left="521" w:right="460" w:hanging="521"/>
        <w:spacing w:after="0" w:line="260" w:lineRule="auto"/>
        <w:tabs>
          <w:tab w:leader="none" w:pos="521"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1" w:lineRule="exact"/>
        <w:rPr>
          <w:rFonts w:ascii="Arial" w:cs="Arial" w:eastAsia="Arial" w:hAnsi="Arial"/>
          <w:sz w:val="17"/>
          <w:szCs w:val="17"/>
          <w:color w:val="auto"/>
        </w:rPr>
      </w:pPr>
    </w:p>
    <w:p>
      <w:pPr>
        <w:ind w:left="521" w:right="280" w:hanging="521"/>
        <w:spacing w:after="0" w:line="251" w:lineRule="auto"/>
        <w:tabs>
          <w:tab w:leader="none" w:pos="521"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9" w:lineRule="exact"/>
        <w:rPr>
          <w:rFonts w:ascii="Arial" w:cs="Arial" w:eastAsia="Arial" w:hAnsi="Arial"/>
          <w:sz w:val="17"/>
          <w:szCs w:val="17"/>
          <w:color w:val="auto"/>
        </w:rPr>
      </w:pPr>
    </w:p>
    <w:p>
      <w:pPr>
        <w:ind w:left="1041" w:right="80" w:hanging="521"/>
        <w:spacing w:after="0" w:line="251" w:lineRule="auto"/>
        <w:tabs>
          <w:tab w:leader="none" w:pos="1041" w:val="left"/>
        </w:tabs>
        <w:numPr>
          <w:ilvl w:val="1"/>
          <w:numId w:val="4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Arial" w:cs="Arial" w:eastAsia="Arial" w:hAnsi="Arial"/>
          <w:sz w:val="17"/>
          <w:szCs w:val="17"/>
          <w:color w:val="auto"/>
        </w:rPr>
      </w:pPr>
    </w:p>
    <w:p>
      <w:pPr>
        <w:ind w:left="1041" w:hanging="521"/>
        <w:spacing w:after="0" w:line="326" w:lineRule="auto"/>
        <w:tabs>
          <w:tab w:leader="none" w:pos="1041" w:val="left"/>
        </w:tabs>
        <w:numPr>
          <w:ilvl w:val="1"/>
          <w:numId w:val="4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6" w:lineRule="exact"/>
        <w:rPr>
          <w:rFonts w:ascii="Arial" w:cs="Arial" w:eastAsia="Arial" w:hAnsi="Arial"/>
          <w:sz w:val="15"/>
          <w:szCs w:val="15"/>
          <w:color w:val="auto"/>
        </w:rPr>
      </w:pPr>
    </w:p>
    <w:p>
      <w:pPr>
        <w:ind w:left="1041" w:right="460" w:hanging="521"/>
        <w:spacing w:after="0" w:line="326" w:lineRule="auto"/>
        <w:tabs>
          <w:tab w:leader="none" w:pos="1041" w:val="left"/>
        </w:tabs>
        <w:numPr>
          <w:ilvl w:val="1"/>
          <w:numId w:val="44"/>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6" w:lineRule="exact"/>
        <w:rPr>
          <w:rFonts w:ascii="Arial" w:cs="Arial" w:eastAsia="Arial" w:hAnsi="Arial"/>
          <w:sz w:val="15"/>
          <w:szCs w:val="15"/>
          <w:color w:val="auto"/>
        </w:rPr>
      </w:pPr>
    </w:p>
    <w:p>
      <w:pPr>
        <w:ind w:left="521" w:right="260" w:hanging="521"/>
        <w:spacing w:after="0" w:line="260" w:lineRule="auto"/>
        <w:tabs>
          <w:tab w:leader="none" w:pos="521"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1" w:lineRule="exact"/>
        <w:rPr>
          <w:rFonts w:ascii="Arial" w:cs="Arial" w:eastAsia="Arial" w:hAnsi="Arial"/>
          <w:sz w:val="17"/>
          <w:szCs w:val="17"/>
          <w:color w:val="auto"/>
        </w:rPr>
      </w:pPr>
    </w:p>
    <w:p>
      <w:pPr>
        <w:ind w:left="1041" w:right="160" w:hanging="521"/>
        <w:spacing w:after="0" w:line="260" w:lineRule="auto"/>
        <w:tabs>
          <w:tab w:leader="none" w:pos="1041" w:val="left"/>
        </w:tabs>
        <w:numPr>
          <w:ilvl w:val="1"/>
          <w:numId w:val="4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1" w:lineRule="exact"/>
        <w:rPr>
          <w:rFonts w:ascii="Arial" w:cs="Arial" w:eastAsia="Arial" w:hAnsi="Arial"/>
          <w:sz w:val="17"/>
          <w:szCs w:val="17"/>
          <w:color w:val="auto"/>
        </w:rPr>
      </w:pPr>
    </w:p>
    <w:p>
      <w:pPr>
        <w:ind w:left="1041" w:right="380" w:hanging="521"/>
        <w:spacing w:after="0" w:line="260" w:lineRule="auto"/>
        <w:tabs>
          <w:tab w:leader="none" w:pos="1041" w:val="left"/>
        </w:tabs>
        <w:numPr>
          <w:ilvl w:val="1"/>
          <w:numId w:val="4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8" w:lineRule="exact"/>
        <w:rPr>
          <w:sz w:val="20"/>
          <w:szCs w:val="20"/>
          <w:color w:val="auto"/>
        </w:rPr>
      </w:pPr>
    </w:p>
    <w:p>
      <w:pPr>
        <w:ind w:left="1"/>
        <w:spacing w:after="0"/>
        <w:tabs>
          <w:tab w:leader="none" w:pos="5660" w:val="left"/>
          <w:tab w:leader="none" w:pos="7960" w:val="left"/>
        </w:tabs>
        <w:rPr>
          <w:sz w:val="20"/>
          <w:szCs w:val="20"/>
          <w:color w:val="auto"/>
        </w:rPr>
      </w:pPr>
      <w:r>
        <w:rPr>
          <w:rFonts w:ascii="Arial" w:cs="Arial" w:eastAsia="Arial" w:hAnsi="Arial"/>
          <w:sz w:val="17"/>
          <w:szCs w:val="17"/>
          <w:color w:val="auto"/>
        </w:rPr>
        <w:t>Date: November 10,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Nadir Mahmood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3831590</wp:posOffset>
            </wp:positionH>
            <wp:positionV relativeFrom="paragraph">
              <wp:posOffset>9525</wp:posOffset>
            </wp:positionV>
            <wp:extent cx="331216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3312160" cy="7620"/>
                    </a:xfrm>
                    <a:prstGeom prst="rect">
                      <a:avLst/>
                    </a:prstGeom>
                    <a:noFill/>
                  </pic:spPr>
                </pic:pic>
              </a:graphicData>
            </a:graphic>
          </wp:anchor>
        </w:drawing>
      </w:r>
    </w:p>
    <w:p>
      <w:pPr>
        <w:spacing w:after="0" w:line="4" w:lineRule="exact"/>
        <w:rPr>
          <w:sz w:val="20"/>
          <w:szCs w:val="20"/>
          <w:color w:val="auto"/>
        </w:rPr>
      </w:pPr>
    </w:p>
    <w:p>
      <w:pPr>
        <w:jc w:val="center"/>
        <w:ind w:left="6000"/>
        <w:spacing w:after="0"/>
        <w:rPr>
          <w:sz w:val="20"/>
          <w:szCs w:val="20"/>
          <w:color w:val="auto"/>
        </w:rPr>
      </w:pPr>
      <w:r>
        <w:rPr>
          <w:rFonts w:ascii="Arial" w:cs="Arial" w:eastAsia="Arial" w:hAnsi="Arial"/>
          <w:sz w:val="17"/>
          <w:szCs w:val="17"/>
          <w:b w:val="1"/>
          <w:bCs w:val="1"/>
          <w:color w:val="auto"/>
        </w:rPr>
        <w:t>Nadir Mahmood</w:t>
      </w:r>
    </w:p>
    <w:p>
      <w:pPr>
        <w:spacing w:after="0" w:line="18" w:lineRule="exact"/>
        <w:rPr>
          <w:sz w:val="20"/>
          <w:szCs w:val="20"/>
          <w:color w:val="auto"/>
        </w:rPr>
      </w:pPr>
    </w:p>
    <w:p>
      <w:pPr>
        <w:jc w:val="center"/>
        <w:ind w:left="6000"/>
        <w:spacing w:after="0"/>
        <w:rPr>
          <w:sz w:val="20"/>
          <w:szCs w:val="20"/>
          <w:color w:val="auto"/>
        </w:rPr>
      </w:pPr>
      <w:r>
        <w:rPr>
          <w:rFonts w:ascii="Arial" w:cs="Arial" w:eastAsia="Arial" w:hAnsi="Arial"/>
          <w:sz w:val="17"/>
          <w:szCs w:val="17"/>
          <w:b w:val="1"/>
          <w:bCs w:val="1"/>
          <w:color w:val="auto"/>
        </w:rPr>
        <w:t>Chief Financial and Business Officer</w:t>
      </w:r>
    </w:p>
    <w:p>
      <w:pPr>
        <w:sectPr>
          <w:pgSz w:w="11900" w:h="16838" w:orient="portrait"/>
          <w:cols w:equalWidth="0" w:num="1">
            <w:col w:w="11241"/>
          </w:cols>
          <w:pgMar w:left="319" w:top="123"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7"/>
          <w:szCs w:val="17"/>
          <w:b w:val="1"/>
          <w:bCs w:val="1"/>
          <w:color w:val="auto"/>
        </w:rPr>
        <w:t>Exhibit 32</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NKARTA, INC.</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90" w:lineRule="exact"/>
        <w:rPr>
          <w:sz w:val="20"/>
          <w:szCs w:val="20"/>
          <w:color w:val="auto"/>
        </w:rPr>
      </w:pPr>
    </w:p>
    <w:p>
      <w:pPr>
        <w:ind w:right="100" w:firstLine="511"/>
        <w:spacing w:after="0" w:line="301" w:lineRule="auto"/>
        <w:rPr>
          <w:sz w:val="20"/>
          <w:szCs w:val="20"/>
          <w:color w:val="auto"/>
        </w:rPr>
      </w:pPr>
      <w:r>
        <w:rPr>
          <w:rFonts w:ascii="Arial" w:cs="Arial" w:eastAsia="Arial" w:hAnsi="Arial"/>
          <w:sz w:val="15"/>
          <w:szCs w:val="15"/>
          <w:color w:val="auto"/>
        </w:rPr>
        <w:t>In connection with the Quarterly Report of Nkarta, Inc. (the "Company") on Form 10-Q for the period ended September 30, 2021 as filed with the Securities and Exchange Commission on the date hereof (the "Report"), we, Paul J. Hastings, Chief Executive Officer of the Company, and Nadir Mahmood, Chief Financial and Business Officer, certify, pursuant to 18 U.S.C. 1350, as adopted pursuant to Section 906 of the Sarbanes-Oxley Act of 2002, that:</w:t>
      </w:r>
    </w:p>
    <w:p>
      <w:pPr>
        <w:spacing w:after="0" w:line="144" w:lineRule="exact"/>
        <w:rPr>
          <w:sz w:val="20"/>
          <w:szCs w:val="20"/>
          <w:color w:val="auto"/>
        </w:rPr>
      </w:pPr>
    </w:p>
    <w:p>
      <w:pPr>
        <w:ind w:left="1020" w:hanging="513"/>
        <w:spacing w:after="0"/>
        <w:tabs>
          <w:tab w:leader="none" w:pos="10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of the Securities Exchange Act of 1934; and</w:t>
      </w:r>
    </w:p>
    <w:p>
      <w:pPr>
        <w:spacing w:after="0" w:line="200" w:lineRule="exact"/>
        <w:rPr>
          <w:rFonts w:ascii="Arial" w:cs="Arial" w:eastAsia="Arial" w:hAnsi="Arial"/>
          <w:sz w:val="17"/>
          <w:szCs w:val="17"/>
          <w:color w:val="auto"/>
        </w:rPr>
      </w:pPr>
    </w:p>
    <w:p>
      <w:pPr>
        <w:ind w:left="1020" w:hanging="513"/>
        <w:spacing w:after="0"/>
        <w:tabs>
          <w:tab w:leader="none" w:pos="10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4" w:lineRule="exact"/>
        <w:rPr>
          <w:sz w:val="20"/>
          <w:szCs w:val="20"/>
          <w:color w:val="auto"/>
        </w:rPr>
      </w:pPr>
    </w:p>
    <w:p>
      <w:pPr>
        <w:spacing w:after="0"/>
        <w:tabs>
          <w:tab w:leader="none" w:pos="5660" w:val="left"/>
          <w:tab w:leader="none" w:pos="7980" w:val="left"/>
        </w:tabs>
        <w:rPr>
          <w:sz w:val="20"/>
          <w:szCs w:val="20"/>
          <w:color w:val="auto"/>
        </w:rPr>
      </w:pPr>
      <w:r>
        <w:rPr>
          <w:rFonts w:ascii="Arial" w:cs="Arial" w:eastAsia="Arial" w:hAnsi="Arial"/>
          <w:sz w:val="17"/>
          <w:szCs w:val="17"/>
          <w:color w:val="auto"/>
        </w:rPr>
        <w:t>Date: November 10,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4"/>
          <w:szCs w:val="14"/>
          <w:color w:val="auto"/>
        </w:rPr>
        <w:t>/s/ Paul J. Hastings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9525</wp:posOffset>
            </wp:positionV>
            <wp:extent cx="331216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3312160" cy="7620"/>
                    </a:xfrm>
                    <a:prstGeom prst="rect">
                      <a:avLst/>
                    </a:prstGeom>
                    <a:noFill/>
                  </pic:spPr>
                </pic:pic>
              </a:graphicData>
            </a:graphic>
          </wp:anchor>
        </w:drawing>
      </w:r>
    </w:p>
    <w:p>
      <w:pPr>
        <w:spacing w:after="0" w:line="4" w:lineRule="exact"/>
        <w:rPr>
          <w:sz w:val="20"/>
          <w:szCs w:val="20"/>
          <w:color w:val="auto"/>
        </w:rPr>
      </w:pPr>
    </w:p>
    <w:p>
      <w:pPr>
        <w:jc w:val="center"/>
        <w:ind w:left="6000"/>
        <w:spacing w:after="0"/>
        <w:rPr>
          <w:sz w:val="20"/>
          <w:szCs w:val="20"/>
          <w:color w:val="auto"/>
        </w:rPr>
      </w:pPr>
      <w:r>
        <w:rPr>
          <w:rFonts w:ascii="Arial" w:cs="Arial" w:eastAsia="Arial" w:hAnsi="Arial"/>
          <w:sz w:val="17"/>
          <w:szCs w:val="17"/>
          <w:b w:val="1"/>
          <w:bCs w:val="1"/>
          <w:color w:val="auto"/>
        </w:rPr>
        <w:t>Paul J. Hastings</w:t>
      </w:r>
    </w:p>
    <w:p>
      <w:pPr>
        <w:spacing w:after="0" w:line="18" w:lineRule="exact"/>
        <w:rPr>
          <w:sz w:val="20"/>
          <w:szCs w:val="20"/>
          <w:color w:val="auto"/>
        </w:rPr>
      </w:pPr>
    </w:p>
    <w:p>
      <w:pPr>
        <w:jc w:val="center"/>
        <w:ind w:left="6000"/>
        <w:spacing w:after="0"/>
        <w:rPr>
          <w:sz w:val="20"/>
          <w:szCs w:val="20"/>
          <w:color w:val="auto"/>
        </w:rPr>
      </w:pPr>
      <w:r>
        <w:rPr>
          <w:rFonts w:ascii="Arial" w:cs="Arial" w:eastAsia="Arial" w:hAnsi="Arial"/>
          <w:sz w:val="17"/>
          <w:szCs w:val="17"/>
          <w:b w:val="1"/>
          <w:bCs w:val="1"/>
          <w:color w:val="auto"/>
        </w:rPr>
        <w:t>Chief Executive Officer</w:t>
      </w:r>
    </w:p>
    <w:p>
      <w:pPr>
        <w:spacing w:after="0" w:line="200" w:lineRule="exact"/>
        <w:rPr>
          <w:sz w:val="20"/>
          <w:szCs w:val="20"/>
          <w:color w:val="auto"/>
        </w:rPr>
      </w:pPr>
    </w:p>
    <w:p>
      <w:pPr>
        <w:spacing w:after="0" w:line="263" w:lineRule="exact"/>
        <w:rPr>
          <w:sz w:val="20"/>
          <w:szCs w:val="20"/>
          <w:color w:val="auto"/>
        </w:rPr>
      </w:pPr>
    </w:p>
    <w:p>
      <w:pPr>
        <w:spacing w:after="0"/>
        <w:tabs>
          <w:tab w:leader="none" w:pos="5660" w:val="left"/>
          <w:tab w:leader="none" w:pos="7960" w:val="left"/>
        </w:tabs>
        <w:rPr>
          <w:sz w:val="20"/>
          <w:szCs w:val="20"/>
          <w:color w:val="auto"/>
        </w:rPr>
      </w:pPr>
      <w:r>
        <w:rPr>
          <w:rFonts w:ascii="Arial" w:cs="Arial" w:eastAsia="Arial" w:hAnsi="Arial"/>
          <w:sz w:val="17"/>
          <w:szCs w:val="17"/>
          <w:color w:val="auto"/>
        </w:rPr>
        <w:t>Date: November 10,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Nadir Mahmood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9525</wp:posOffset>
            </wp:positionV>
            <wp:extent cx="331216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3312160" cy="7620"/>
                    </a:xfrm>
                    <a:prstGeom prst="rect">
                      <a:avLst/>
                    </a:prstGeom>
                    <a:noFill/>
                  </pic:spPr>
                </pic:pic>
              </a:graphicData>
            </a:graphic>
          </wp:anchor>
        </w:drawing>
      </w:r>
    </w:p>
    <w:p>
      <w:pPr>
        <w:spacing w:after="0" w:line="4" w:lineRule="exact"/>
        <w:rPr>
          <w:sz w:val="20"/>
          <w:szCs w:val="20"/>
          <w:color w:val="auto"/>
        </w:rPr>
      </w:pPr>
    </w:p>
    <w:p>
      <w:pPr>
        <w:jc w:val="center"/>
        <w:ind w:left="6000"/>
        <w:spacing w:after="0"/>
        <w:rPr>
          <w:sz w:val="20"/>
          <w:szCs w:val="20"/>
          <w:color w:val="auto"/>
        </w:rPr>
      </w:pPr>
      <w:r>
        <w:rPr>
          <w:rFonts w:ascii="Arial" w:cs="Arial" w:eastAsia="Arial" w:hAnsi="Arial"/>
          <w:sz w:val="17"/>
          <w:szCs w:val="17"/>
          <w:b w:val="1"/>
          <w:bCs w:val="1"/>
          <w:color w:val="auto"/>
        </w:rPr>
        <w:t>Nadir Mahmood</w:t>
      </w:r>
    </w:p>
    <w:p>
      <w:pPr>
        <w:spacing w:after="0" w:line="18" w:lineRule="exact"/>
        <w:rPr>
          <w:sz w:val="20"/>
          <w:szCs w:val="20"/>
          <w:color w:val="auto"/>
        </w:rPr>
      </w:pPr>
    </w:p>
    <w:p>
      <w:pPr>
        <w:jc w:val="center"/>
        <w:ind w:left="6000"/>
        <w:spacing w:after="0"/>
        <w:rPr>
          <w:sz w:val="20"/>
          <w:szCs w:val="20"/>
          <w:color w:val="auto"/>
        </w:rPr>
      </w:pPr>
      <w:r>
        <w:rPr>
          <w:rFonts w:ascii="Arial" w:cs="Arial" w:eastAsia="Arial" w:hAnsi="Arial"/>
          <w:sz w:val="17"/>
          <w:szCs w:val="17"/>
          <w:b w:val="1"/>
          <w:bCs w:val="1"/>
          <w:color w:val="auto"/>
        </w:rPr>
        <w:t>Chief Financial and Business Officer</w:t>
      </w:r>
    </w:p>
    <w:sectPr>
      <w:pgSz w:w="11900" w:h="16838" w:orient="portrait"/>
      <w:cols w:equalWidth="0" w:num="1">
        <w:col w:w="11240"/>
      </w:cols>
      <w:pgMar w:left="320" w:top="3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1)"/>
      <w:numFmt w:val="lowerRoman"/>
      <w:start w:val="2"/>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1"/>
      <w:numFmt w:val="decimal"/>
      <w:start w:val="104"/>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1."/>
      <w:numFmt w:val="decimal"/>
      <w:start w:val="1"/>
    </w:lvl>
  </w:abstractNum>
  <w:abstractNum w:abstractNumId="40">
    <w:nsid w:val="2A487CB0"/>
    <w:multiLevelType w:val="hybridMultilevel"/>
    <w:lvl w:ilvl="0">
      <w:lvlJc w:val="left"/>
      <w:lvlText w:val="%1."/>
      <w:numFmt w:val="decimal"/>
      <w:start w:val="5"/>
    </w:lvl>
  </w:abstractNum>
  <w:abstractNum w:abstractNumId="41">
    <w:nsid w:val="1D4ED43B"/>
    <w:multiLevelType w:val="hybridMultilevel"/>
    <w:lvl w:ilvl="0">
      <w:lvlJc w:val="left"/>
      <w:lvlText w:val="%1."/>
      <w:numFmt w:val="decimal"/>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94" Type="http://schemas.openxmlformats.org/officeDocument/2006/relationships/hyperlink" Target="http://www.sec.gov/Archives/edgar/data/1787400/000119312520192614/d62111dex31.htm" TargetMode="External"/><Relationship Id="rId95" Type="http://schemas.openxmlformats.org/officeDocument/2006/relationships/hyperlink" Target="http://www.sec.gov/Archives/edgar/data/1787400/000119312520192614/d62111dex32.htm" TargetMode="External"/><Relationship Id="rId96" Type="http://schemas.openxmlformats.org/officeDocument/2006/relationships/hyperlink" Target="http://www.sec.gov/Archives/edgar/data/0001787400/000156459021051572/nktx-ex101_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2021-11-10T16:02:19Z</dcterms:created>
  <dcterms:modified xsi:type="dcterms:W3CDTF">2021-11-10T16:02:19Z</dcterms:modified>
</cp:coreProperties>
</file>