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ktx-20250331.htm"/>
      <w:bookmarkStart w:id="1" w:name="ksnktx20250331"/>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001-39370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(925) 407-1049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9, 2025,</w:t>
      </w:r>
      <w:r>
        <w:rPr>
          <w:rFonts w:ascii="Times New Roman" w:hAnsi="Times New Roman"/>
          <w:color w:val="000000"/>
          <w:sz w:val="20"/>
        </w:rPr>
        <w:t xml:space="preserve"> </w:t>
      </w:r>
      <w:r>
        <w:rPr>
          <w:rFonts w:ascii="Times New Roman" w:hAnsi="Times New Roman"/>
          <w:color w:val="000000"/>
          <w:sz w:val="18"/>
        </w:rPr>
        <w:t>the registrant had 70,957,554</w:t>
      </w:r>
      <w:r>
        <w:rPr>
          <w:rFonts w:ascii="Times New Roman" w:hAnsi="Times New Roman"/>
          <w:color w:val="000000"/>
          <w:sz w:val="20"/>
        </w:rPr>
        <w:t xml:space="preserve"> </w:t>
      </w:r>
      <w:r>
        <w:rPr>
          <w:rFonts w:ascii="Times New Roman" w:hAnsi="Times New Roman"/>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1"/>
        <w:gridCol w:w="8695"/>
        <w:gridCol w:w="649"/>
      </w:tblGrid>
      <w:tr>
        <w:trPr/>
        <w:tc>
          <w:tcPr>
            <w:tcW w:w="861" w:type="dxa"/>
            <w:tcBorders/>
            <w:vAlign w:val="center"/>
          </w:tcPr>
          <w:p>
            <w:pPr>
              <w:pStyle w:val="TableContents"/>
              <w:bidi w:val="0"/>
              <w:spacing w:before="0" w:after="283"/>
              <w:jc w:val="left"/>
              <w:rPr>
                <w:sz w:val="4"/>
                <w:szCs w:val="4"/>
              </w:rPr>
            </w:pPr>
            <w:r>
              <w:rPr>
                <w:sz w:val="4"/>
                <w:szCs w:val="4"/>
              </w:rPr>
            </w:r>
          </w:p>
        </w:tc>
        <w:tc>
          <w:tcPr>
            <w:tcW w:w="869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80"/>
                  <w:sz w:val="20"/>
                  <w:u w:val="single"/>
                </w:rPr>
                <w:t>Financial Statements (unaudited)</w:t>
              </w:r>
            </w:hyperlink>
            <w:r>
              <w:rPr>
                <w:rFonts w:ascii="Times New Roman" w:hAnsi="Times New Roman"/>
                <w:color w:val="0000FF"/>
                <w:sz w:val="20"/>
                <w:u w:val="single"/>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March 31, 2025 and December 31, 2024</w:t>
              </w:r>
            </w:hyperlink>
            <w:r>
              <w:rPr>
                <w:rFonts w:ascii="Times New Roman" w:hAnsi="Times New Roman"/>
                <w:color w:val="0000FF"/>
                <w:sz w:val="20"/>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months ended March 31,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nvertible_preferr">
              <w:r>
                <w:rPr>
                  <w:rStyle w:val="InternetLink"/>
                  <w:rFonts w:ascii="Times New Roman" w:hAnsi="Times New Roman"/>
                  <w:color w:val="0000FF"/>
                  <w:sz w:val="20"/>
                  <w:u w:val="single"/>
                </w:rPr>
                <w:t>Condensed Statements of Stockholders’ Equity for the three months ended March 31,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cash_flows">
              <w:r>
                <w:rPr>
                  <w:rStyle w:val="InternetLink"/>
                  <w:rFonts w:ascii="Times New Roman" w:hAnsi="Times New Roman"/>
                  <w:color w:val="0000FF"/>
                  <w:sz w:val="20"/>
                  <w:u w:val="single"/>
                </w:rPr>
                <w:t>Condensed Statements of Cash Flows for the three months ended March 31,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information incorporated herein by reference, particularly in the sections captioned “Management’s Discussion and Analysis of Financial Condition and Results of Operations” under Part I, Item 2 and “Risk Factors” under Part II, Item 1A,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the potential impact of modified lymphodepleting conditioning on our clinical trials, initiation of further clinical trials and the availability of disclosure of clinical data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As a result of these factors, we cannot assure you that the forward-looking statements in this Quarterly Report on Form 10-Q will prove to be accurate.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 limited operating history and do not have any products approved for sale</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depends upon the success of our CAR NK-cell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business is highly dependent on the clinical success of our product candidates, and on the clinical success of NKX019, in particular, and we may fail to develop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reliant on a sole supplier for certain steps of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license agreement with National University of Singapore and St. Jude Children’s Research Hospital, Inc. is terminated, we could lose our rights to key components enabling our NK-cell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product candidates, including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017" w:type="dxa"/>
        <w:jc w:val="left"/>
        <w:tblInd w:w="0" w:type="dxa"/>
        <w:tblLayout w:type="fixed"/>
        <w:tblCellMar>
          <w:top w:w="28" w:type="dxa"/>
          <w:left w:w="28" w:type="dxa"/>
          <w:bottom w:w="28" w:type="dxa"/>
          <w:right w:w="28" w:type="dxa"/>
        </w:tblCellMar>
      </w:tblPr>
      <w:tblGrid>
        <w:gridCol w:w="4021"/>
        <w:gridCol w:w="146"/>
        <w:gridCol w:w="211"/>
        <w:gridCol w:w="841"/>
        <w:gridCol w:w="166"/>
        <w:gridCol w:w="146"/>
        <w:gridCol w:w="219"/>
        <w:gridCol w:w="876"/>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jc w:val="left"/>
        <w:rPr/>
      </w:pPr>
      <w:r>
        <w:rPr/>
        <w:t> </w:t>
      </w:r>
    </w:p>
    <w:tbl>
      <w:tblPr>
        <w:tblW w:w="7725" w:type="dxa"/>
        <w:jc w:val="left"/>
        <w:tblInd w:w="0" w:type="dxa"/>
        <w:tblLayout w:type="fixed"/>
        <w:tblCellMar>
          <w:top w:w="28" w:type="dxa"/>
          <w:left w:w="28" w:type="dxa"/>
          <w:bottom w:w="28" w:type="dxa"/>
          <w:right w:w="28" w:type="dxa"/>
        </w:tblCellMar>
      </w:tblPr>
      <w:tblGrid>
        <w:gridCol w:w="4216"/>
        <w:gridCol w:w="146"/>
        <w:gridCol w:w="211"/>
        <w:gridCol w:w="1036"/>
        <w:gridCol w:w="166"/>
        <w:gridCol w:w="146"/>
        <w:gridCol w:w="211"/>
        <w:gridCol w:w="1036"/>
        <w:gridCol w:w="16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loss </w:t>
              <w:br/>
              <w:t>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73,916,477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50,682,469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314"/>
        <w:gridCol w:w="602"/>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70,645,139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407,976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70,957,554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378,805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961" w:type="dxa"/>
        <w:jc w:val="left"/>
        <w:tblInd w:w="0" w:type="dxa"/>
        <w:tblLayout w:type="fixed"/>
        <w:tblCellMar>
          <w:top w:w="28" w:type="dxa"/>
          <w:left w:w="28" w:type="dxa"/>
          <w:bottom w:w="28" w:type="dxa"/>
          <w:right w:w="28" w:type="dxa"/>
        </w:tblCellMar>
      </w:tblPr>
      <w:tblGrid>
        <w:gridCol w:w="2566"/>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49,181,295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273,285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and pre-funded </w:t>
              <w:br/>
              <w:t>warrants, net of issuance costs of $15,027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70,453,561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938,723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(464,952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473,651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97"/>
        <w:gridCol w:w="146"/>
        <w:gridCol w:w="211"/>
        <w:gridCol w:w="736"/>
        <w:gridCol w:w="166"/>
        <w:gridCol w:w="146"/>
        <w:gridCol w:w="211"/>
        <w:gridCol w:w="781"/>
        <w:gridCol w:w="611"/>
      </w:tblGrid>
      <w:tr>
        <w:trPr/>
        <w:tc>
          <w:tcPr>
            <w:tcW w:w="7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and amortization of premiums and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and pre-funded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226,266</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cash, cash equivalents and restricted cash to the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issuance costs included in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 in accounts payable and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financial_statements"/>
      <w:bookmarkEnd w:id="8"/>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Nkarta, Inc. ("Nkarta" or the "Company") was incorporated in the State of Delaware in July 2015. The Company is a biopharmaceutical company developing engineered natural killer ("NK") cell therapies to treat autoimmune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revenues from its planned principal operations. In addition, the Company has incurred operating losses since inception and expects that it will continue to incur net losses into the foreseeable future as it continues its research and development activities. As of March 31, 2025, the Company had an accumulated deficit of $576.2 million and cash, cash equivalents, restricted cash and investments of $351.9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plans to continue to incur substantial costs in order to conduct research and development activities for which additional capital will be needed. The Company intends to raise such capital through debt or equity financings or other arrangements, as it has primarily done to date to fund its operations. Management believes that the Company’s current cash, cash equivalents, restricted cash and investments will provide sufficient funds to enable the Company to meet its obligations for at least twelve months from the filing date of this report.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as of March 31, 2025 and for the three months ended March 31, 2025 and 2024 have been prepared in accordance with U.S. generally accepted accounting principle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for the three months ended March 31, 2025 are not necessarily indicative of the results expected for the full year or any subsequent interim period. The condensed balance sheet as of December 31, 2024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2024 and the notes accompanying them, contained in the Company’s Annual Report on Form 10-K for the year ended December 31, 2024 filed by the Company with the SEC on March 26,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but not limited to, those related to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assesses the impairment of long-lived assets whenever events or changes in business circumstances indicate that the carrying amounts of the asset or group of assets may not be fully recoverable. In the case of property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w:t>
      </w:r>
    </w:p>
    <w:p>
      <w:pPr>
        <w:pStyle w:val="TextBody"/>
        <w:bidi w:val="0"/>
        <w:spacing w:before="36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Employee severance costs are recorded based on whether the termination benefits are provided under an on-going benefit arrangement or under a one-time benefit arrangement. The Company accounts for on-going termination benefit arrangements, such as those arising from employment agreements, applicable regulations or past practices, in accordance with Accounting Standards Codification (“ASC”) Topic 712, </w:t>
      </w:r>
      <w:r>
        <w:rPr>
          <w:rFonts w:ascii="Times New Roman" w:hAnsi="Times New Roman"/>
          <w:i/>
          <w:color w:val="000000"/>
          <w:sz w:val="20"/>
        </w:rPr>
        <w:t>Compensation-Nonretirement Postemployment Benefits</w:t>
      </w:r>
      <w:r>
        <w:rPr>
          <w:rFonts w:ascii="Times New Roman" w:hAnsi="Times New Roman"/>
          <w:color w:val="000000"/>
          <w:sz w:val="20"/>
        </w:rPr>
        <w:t xml:space="preserve"> (“ASC 712”). Under ASC 712, liabilities for post-employment benefits related to past services and that vest or are accumulated over time are recorded at the time the obligations are probable of being incurred and can be reasonably estimated. The Company accounts for one-time employment benefit arrangements in accordance with ASC Topic 420, </w:t>
      </w:r>
      <w:r>
        <w:rPr>
          <w:rFonts w:ascii="Times New Roman" w:hAnsi="Times New Roman"/>
          <w:i/>
          <w:color w:val="000000"/>
          <w:sz w:val="20"/>
        </w:rPr>
        <w:t>Exit or Disposal Cost Obligations</w:t>
      </w:r>
      <w:r>
        <w:rPr>
          <w:rFonts w:ascii="Times New Roman" w:hAnsi="Times New Roman"/>
          <w:color w:val="000000"/>
          <w:sz w:val="20"/>
        </w:rPr>
        <w:t xml:space="preserve"> (“ASC 420”).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 See Note 12 for additional information on the severance expense that the Company recognized for employees terminated in connection with the reduction in force.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 Board ("FASB") issued Accounting Standards Update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 xml:space="preserve">(“ASU 2024-03"). ASU 2024-03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requires public entities to disclose specified information about certain costs and expenses on an interim and annual basis and is effective for annual reporting periods beginning after December 15, 2026 and interim periods beginning after December 15, 2027, with early adoption permitted. The new standard is expected to be applied prospectively, but retrospective application is permitted. The Company is currently evaluating the impact of ASU 2024-03 on the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computation of the basic and diluted net loss per share (in thousands except share and per share data): </w:t>
      </w:r>
    </w:p>
    <w:p>
      <w:pPr>
        <w:pStyle w:val="TextBody"/>
        <w:bidi w:val="0"/>
        <w:jc w:val="left"/>
        <w:rPr/>
      </w:pPr>
      <w:r>
        <w:rPr/>
        <w:t> </w:t>
      </w:r>
    </w:p>
    <w:tbl>
      <w:tblPr>
        <w:tblW w:w="7789" w:type="dxa"/>
        <w:jc w:val="left"/>
        <w:tblInd w:w="0" w:type="dxa"/>
        <w:tblLayout w:type="fixed"/>
        <w:tblCellMar>
          <w:top w:w="28" w:type="dxa"/>
          <w:left w:w="28" w:type="dxa"/>
          <w:bottom w:w="28" w:type="dxa"/>
          <w:right w:w="28" w:type="dxa"/>
        </w:tblCellMar>
      </w:tblPr>
      <w:tblGrid>
        <w:gridCol w:w="4446"/>
        <w:gridCol w:w="146"/>
        <w:gridCol w:w="211"/>
        <w:gridCol w:w="1036"/>
        <w:gridCol w:w="166"/>
        <w:gridCol w:w="146"/>
        <w:gridCol w:w="211"/>
        <w:gridCol w:w="1036"/>
        <w:gridCol w:w="39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70,916,446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50,517,632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weighted average of common stock</w:t>
              <w:br/>
              <w:t>   to be issued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w:t>
              <w:br/>
              <w:t>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73,916,477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50,682,469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outstanding potentially dilutive securities that have been excluded in the calculation of diluted net loss per share because their inclusion would be antidilutive: </w:t>
      </w:r>
    </w:p>
    <w:p>
      <w:pPr>
        <w:pStyle w:val="TextBody"/>
        <w:bidi w:val="0"/>
        <w:jc w:val="left"/>
        <w:rPr/>
      </w:pPr>
      <w:r>
        <w:rPr/>
        <w:t> </w:t>
      </w:r>
    </w:p>
    <w:tbl>
      <w:tblPr>
        <w:tblW w:w="4899" w:type="dxa"/>
        <w:jc w:val="left"/>
        <w:tblInd w:w="0" w:type="dxa"/>
        <w:tblLayout w:type="fixed"/>
        <w:tblCellMar>
          <w:top w:w="28" w:type="dxa"/>
          <w:left w:w="28" w:type="dxa"/>
          <w:bottom w:w="28" w:type="dxa"/>
          <w:right w:w="28" w:type="dxa"/>
        </w:tblCellMar>
      </w:tblPr>
      <w:tblGrid>
        <w:gridCol w:w="2011"/>
        <w:gridCol w:w="146"/>
        <w:gridCol w:w="146"/>
        <w:gridCol w:w="1036"/>
        <w:gridCol w:w="146"/>
        <w:gridCol w:w="146"/>
        <w:gridCol w:w="146"/>
        <w:gridCol w:w="93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8,261,949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11,033,640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9,478,766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instruments measured at fair value on a recurring basis by level within the fair value hierarchy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1549"/>
        <w:gridCol w:w="146"/>
        <w:gridCol w:w="211"/>
        <w:gridCol w:w="781"/>
        <w:gridCol w:w="146"/>
        <w:gridCol w:w="146"/>
        <w:gridCol w:w="318"/>
        <w:gridCol w:w="568"/>
        <w:gridCol w:w="166"/>
        <w:gridCol w:w="146"/>
        <w:gridCol w:w="295"/>
        <w:gridCol w:w="591"/>
        <w:gridCol w:w="146"/>
        <w:gridCol w:w="146"/>
        <w:gridCol w:w="211"/>
        <w:gridCol w:w="781"/>
        <w:gridCol w:w="792"/>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51,859</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124,869</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348,419</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1549"/>
        <w:gridCol w:w="146"/>
        <w:gridCol w:w="211"/>
        <w:gridCol w:w="781"/>
        <w:gridCol w:w="146"/>
        <w:gridCol w:w="146"/>
        <w:gridCol w:w="270"/>
        <w:gridCol w:w="616"/>
        <w:gridCol w:w="166"/>
        <w:gridCol w:w="146"/>
        <w:gridCol w:w="295"/>
        <w:gridCol w:w="591"/>
        <w:gridCol w:w="146"/>
        <w:gridCol w:w="146"/>
        <w:gridCol w:w="211"/>
        <w:gridCol w:w="781"/>
        <w:gridCol w:w="792"/>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92,113</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377,185</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are classified as Level 1 within the fair value hierarchy if their quoted prices are available in active markets for identical securities. Investments in money market funds of $30.7 million and $25.6 million as of March 31, 2025 and December 31, 2024, respectively, were classified as Level 1 instruments and were included in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in corporate debt securities, commercial paper and government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interest receivable related to investments was $2.4 million and $2.5 million as of March 31, 2025 and December 31, 2024, respectively, and included as part of prepaid expenses and other current assets in the condensed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whether unrealized losses have resulted from a credit loss or other factors. The unrealized losses on the Company’s available-for-sale securities as of March 31, 2025 and December 31, 2024 were caused by fluctuations in market value and interest rates as a result of the economic environment and not credit risk. The Company concluded that an allowance for credit losses was unnecessary as of March 31, 2025 and December 31, 2024.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realized gain or loss on available-for-sale securities in the periods presented. The Company uses the specific identification method to determine the cost basis of investments sold.</w:t>
      </w:r>
    </w:p>
    <w:p>
      <w:pPr>
        <w:pStyle w:val="TextBody"/>
        <w:bidi w:val="0"/>
        <w:spacing w:before="1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44"/>
        <w:gridCol w:w="851"/>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was $2.3 million for each of the three months ended March 31, 2025 and 2024.</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are comprised of the following (in thousands): </w:t>
      </w:r>
    </w:p>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its current corporate offices, laboratory space, manufacturing facility, and dedicated space in a vivarium in South San Francisco, California. Rent expense was $2.4 million and $2.7 million for the three months ended March 31, 2025 and 2024, respectively. The total cash paid for operating leases included in the operating cash flows was $3.3 million for each of the three months ended March 31, 2025 and 2024. The weighted average remaining lease term was 8.8 years for the corporate office, laboratory space leases, and additional facility as of March 31, 2025. The weighted average discount rate was 9.7% as of March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Lease Agreement</w:t>
      </w:r>
    </w:p>
    <w:p>
      <w:pPr>
        <w:pStyle w:val="TextBody"/>
        <w:bidi w:val="0"/>
        <w:jc w:val="left"/>
        <w:rPr>
          <w:rFonts w:ascii="Times New Roman" w:hAnsi="Times New Roman"/>
          <w:sz w:val="20"/>
        </w:rPr>
      </w:pPr>
      <w:r>
        <w:rPr>
          <w:rFonts w:ascii="Times New Roman" w:hAnsi="Times New Roman"/>
          <w:color w:val="000000"/>
          <w:sz w:val="20"/>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w:t>
      </w:r>
      <w:r>
        <w:rPr>
          <w:rFonts w:ascii="Times New Roman" w:hAnsi="Times New Roman"/>
          <w:color w:val="FF0000"/>
          <w:sz w:val="20"/>
        </w:rPr>
        <w:t xml:space="preserve"> </w:t>
      </w:r>
      <w:r>
        <w:rPr>
          <w:rFonts w:ascii="Times New Roman" w:hAnsi="Times New Roman"/>
          <w:color w:val="000000"/>
          <w:sz w:val="20"/>
        </w:rPr>
        <w:t xml:space="preserve">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 In December 2024, the Company executed a sixth amendment to the Initial Lease Agreement, which updated the lease termination date for one of the spaces in the same building to July 31,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Additional Lease Agreement</w:t>
      </w:r>
    </w:p>
    <w:p>
      <w:pPr>
        <w:pStyle w:val="TextBody"/>
        <w:bidi w:val="0"/>
        <w:jc w:val="left"/>
        <w:rPr>
          <w:rFonts w:ascii="Times New Roman" w:hAnsi="Times New Roman"/>
          <w:sz w:val="20"/>
        </w:rPr>
      </w:pPr>
      <w:r>
        <w:rPr>
          <w:rFonts w:ascii="Times New Roman" w:hAnsi="Times New Roman"/>
          <w:color w:val="000000"/>
          <w:sz w:val="20"/>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hAnsi="Times New Roman"/>
          <w:color w:val="212529"/>
          <w:sz w:val="20"/>
        </w:rPr>
        <w:t>se rent, the Company is responsible for payment of direct expenses, which include operating, insurance and tax expenses. The Additional Lease 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operating lease liabilities under existing operating leases as of March 31, 2025 were as follows (in thousands): </w:t>
      </w:r>
    </w:p>
    <w:p>
      <w:pPr>
        <w:pStyle w:val="TextBody"/>
        <w:bidi w:val="0"/>
        <w:jc w:val="left"/>
        <w:rPr/>
      </w:pPr>
      <w:r>
        <w:rPr/>
        <w:t> </w:t>
      </w:r>
    </w:p>
    <w:tbl>
      <w:tblPr>
        <w:tblW w:w="6085" w:type="dxa"/>
        <w:jc w:val="left"/>
        <w:tblInd w:w="0" w:type="dxa"/>
        <w:tblLayout w:type="fixed"/>
        <w:tblCellMar>
          <w:top w:w="28" w:type="dxa"/>
          <w:left w:w="28" w:type="dxa"/>
          <w:bottom w:w="28" w:type="dxa"/>
          <w:right w:w="28" w:type="dxa"/>
        </w:tblCellMar>
      </w:tblPr>
      <w:tblGrid>
        <w:gridCol w:w="4536"/>
        <w:gridCol w:w="146"/>
        <w:gridCol w:w="211"/>
        <w:gridCol w:w="78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Sublease Agreements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2024 and November 2024, the Company entered into agreements to sublease a portion of the Company's leased office space through November 2027 and July 2030, respectively. The sublease agreements both commenced during the fourth quarter of 2024 and rent payments will commence in the second quarter of 2025. The Company accounts for the sublease agreements in accordance with ASC 842, </w:t>
      </w:r>
      <w:r>
        <w:rPr>
          <w:rFonts w:ascii="Times New Roman" w:hAnsi="Times New Roman"/>
          <w:i/>
          <w:color w:val="000000"/>
          <w:sz w:val="20"/>
        </w:rPr>
        <w:t>Leases</w:t>
      </w:r>
      <w:r>
        <w:rPr>
          <w:rFonts w:ascii="Times New Roman" w:hAnsi="Times New Roman"/>
          <w:color w:val="000000"/>
          <w:sz w:val="20"/>
        </w:rPr>
        <w:t xml:space="preserve">. Sublease income during the three months ended March 31, 2025, was not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March 31, 2025, and December 31, 2024.</w:t>
      </w:r>
    </w:p>
    <w:p>
      <w:pPr>
        <w:pStyle w:val="TextBody"/>
        <w:bidi w:val="0"/>
        <w:spacing w:before="36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8. CRISPR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2021, the Company entered into a research collaboration agreement (as amended, the "CRISPR Agreement") with CRISPR Therapeutics AG ("CRISPR") to co-develop and co-commercialize an allogeneic, off-the-shelf CAR NK product candidate targeting the CD70 tumor antigen ("NKX070") and an allogeneic, off-the-shelf product candidate that comprises both engineered NK cells and engineered T cells ("NK+T"). The Company and CRISPR have entered into a number of amendments to the CRISPR Agreement to, among other things, revise the transfer of materials, nomination provisions,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five CRISPR-Cas9 gene editing targets that can be engineered into an unlimited number of its own NK cell products. CRISPR also has an option to co-develop and co-commercialize a future CAR NK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CRISPR Agreement, the Company and CRISPR share equally in all research and development costs and potential profits worldwide related to the NKX070 product candidate, NK+T product candidate, and the potential future CAR NK program. The related impact of the cost sharing activities are included in research and development expense on the condensed statements of operations and comprehensive loss. Expenses related to services performed by the Company are classified as research and development expenses. Payments received from CRISPR for partial reimbursement of expenses are recorded as a reduction of research and development expenses. Reduction of research and development expense resulting from partial reimbursement from CRISPR was immaterial for the three months ended March 31, 2025 and 2024. The Company has deprioritized further development of NKX070 and NK+T.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March 31, 2025, the Company has not paid any amounts nor are any amounts owed by the Company under the CRISPR Agreement, and no milestones have been achieved or are probable.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a total of 14,380,237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4,292,076 shares were available for issuance under the 2020 Plan as of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option activity under the 2020 Plan and 2015 Plan during the three months ended March 31, 2025:</w:t>
      </w:r>
    </w:p>
    <w:tbl>
      <w:tblPr>
        <w:tblW w:w="9485" w:type="dxa"/>
        <w:jc w:val="left"/>
        <w:tblInd w:w="0" w:type="dxa"/>
        <w:tblLayout w:type="fixed"/>
        <w:tblCellMar>
          <w:top w:w="28" w:type="dxa"/>
          <w:left w:w="28" w:type="dxa"/>
          <w:bottom w:w="28" w:type="dxa"/>
          <w:right w:w="28" w:type="dxa"/>
        </w:tblCellMar>
      </w:tblPr>
      <w:tblGrid>
        <w:gridCol w:w="3916"/>
        <w:gridCol w:w="146"/>
        <w:gridCol w:w="170"/>
        <w:gridCol w:w="1210"/>
        <w:gridCol w:w="166"/>
        <w:gridCol w:w="146"/>
        <w:gridCol w:w="226"/>
        <w:gridCol w:w="614"/>
        <w:gridCol w:w="146"/>
        <w:gridCol w:w="146"/>
        <w:gridCol w:w="272"/>
        <w:gridCol w:w="674"/>
        <w:gridCol w:w="146"/>
        <w:gridCol w:w="146"/>
        <w:gridCol w:w="389"/>
        <w:gridCol w:w="781"/>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5,356,639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stock option grants was $2.00 and $4.98 per share for the three months ended March 31, 2025 and 2024, respectively.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restricted stock unit activity under the 2020 Plan during the three months ended March 31, 2025: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48" w:type="dxa"/>
        <w:jc w:val="left"/>
        <w:tblInd w:w="0" w:type="dxa"/>
        <w:tblLayout w:type="fixed"/>
        <w:tblCellMar>
          <w:top w:w="28" w:type="dxa"/>
          <w:left w:w="28" w:type="dxa"/>
          <w:bottom w:w="28" w:type="dxa"/>
          <w:right w:w="28" w:type="dxa"/>
        </w:tblCellMar>
      </w:tblPr>
      <w:tblGrid>
        <w:gridCol w:w="2941"/>
        <w:gridCol w:w="146"/>
        <w:gridCol w:w="187"/>
        <w:gridCol w:w="1193"/>
        <w:gridCol w:w="166"/>
        <w:gridCol w:w="146"/>
        <w:gridCol w:w="729"/>
        <w:gridCol w:w="1611"/>
        <w:gridCol w:w="146"/>
        <w:gridCol w:w="146"/>
        <w:gridCol w:w="272"/>
        <w:gridCol w:w="67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restricted stock units was $2.50 and $6.01 per share for the three months ended March 31, 2025 and 2024,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March 31, 2025, 2,269,200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March 31, 2025, employee contributions to the ESPP were $0.2 million and included as part of accrued and other current liabilities in the condensed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for the three months ended March 31, 2025 and 2024 was as follows (in thousands): </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931"/>
        <w:gridCol w:w="146"/>
        <w:gridCol w:w="211"/>
        <w:gridCol w:w="571"/>
        <w:gridCol w:w="146"/>
        <w:gridCol w:w="146"/>
        <w:gridCol w:w="211"/>
        <w:gridCol w:w="571"/>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stock options was $16.6 million, which is expected to be recognized over a weighted average remaining service period of 2.9 years as of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restricted stock units was $3.5 million, which is expected to be recognized over a weighted average remaining service period of 3.1 years as of March 31,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of Common Stock and Pre-funded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the Company completed an underwritten public offering utilizing the Shelf Registration Statement,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March 31, 2025, none of the pre-funded warrants have been exercised. The Company raised $240.1 million in gross proceeds before underwriting discounts and commissions of $14.4 million and other offering expenses of $0.6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and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There was no provision for income taxes recorded during the three months ended March 31, 2025, and 2024. The Company’s deferred tax assets continue to be fully offset by a valuation allowance</w:t>
      </w:r>
      <w:r>
        <w:rPr>
          <w:rFonts w:ascii="Times New Roman" w:hAnsi="Times New Roman"/>
          <w:color w:val="212529"/>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11.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reporting segment, focused on the research and development of cell therapies for patients with autoimmune diseases. The Company's measure of segment profit or loss is net loss. The Chief Executive Officer, as the CODM, manages and allocates resources to the operations of the Company on a total company basis. The Company monitors its cash, cash equivalents, and investments as reported on the Company's Balance Sheets to determine funding for its research and development. The measure of segment assets is reported on the balance sheets as total assets.</w:t>
      </w:r>
    </w:p>
    <w:p>
      <w:pPr>
        <w:pStyle w:val="TextBody"/>
        <w:bidi w:val="0"/>
        <w:jc w:val="left"/>
        <w:rPr>
          <w:rFonts w:ascii="Times New Roman" w:hAnsi="Times New Roman"/>
          <w:color w:val="000000"/>
          <w:sz w:val="20"/>
        </w:rPr>
      </w:pPr>
      <w:r>
        <w:rPr>
          <w:rFonts w:ascii="Times New Roman" w:hAnsi="Times New Roman"/>
          <w:color w:val="000000"/>
          <w:sz w:val="20"/>
        </w:rPr>
        <w:t>As the Company is not yet generating revenue, the CODM evaluates its performance based on progress in pre-clinical and clinical research objectives. Along with the Company’s Statement of Operations and Comprehensive Loss, the CODM regularly reviews budgeted and forecasted expenses to assess liquidity requirements and allocate cash accordingly.</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is representative of the significant expense categories regularly provided to the CODM when managing the Company's single reporting segment.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to the net loss for the three months ended March 31, 2025 and 2024 is included at the bottom of the table below. </w:t>
      </w:r>
    </w:p>
    <w:tbl>
      <w:tblPr>
        <w:tblW w:w="8714" w:type="dxa"/>
        <w:jc w:val="left"/>
        <w:tblInd w:w="0" w:type="dxa"/>
        <w:tblLayout w:type="fixed"/>
        <w:tblCellMar>
          <w:top w:w="28" w:type="dxa"/>
          <w:left w:w="28" w:type="dxa"/>
          <w:bottom w:w="28" w:type="dxa"/>
          <w:right w:w="28" w:type="dxa"/>
        </w:tblCellMar>
      </w:tblPr>
      <w:tblGrid>
        <w:gridCol w:w="5851"/>
        <w:gridCol w:w="146"/>
        <w:gridCol w:w="211"/>
        <w:gridCol w:w="736"/>
        <w:gridCol w:w="166"/>
        <w:gridCol w:w="146"/>
        <w:gridCol w:w="211"/>
        <w:gridCol w:w="736"/>
        <w:gridCol w:w="5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Personnel related expenses, excluding share-based compensation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Facilities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Personnel related expenses include $5.1 million of severance and other benefits expense. </w:t>
      </w:r>
    </w:p>
    <w:p>
      <w:pPr>
        <w:pStyle w:val="TextBody"/>
        <w:bidi w:val="0"/>
        <w:jc w:val="left"/>
        <w:rPr>
          <w:rFonts w:ascii="Times New Roman" w:hAnsi="Times New Roman"/>
          <w:color w:val="000000"/>
          <w:sz w:val="20"/>
        </w:rPr>
      </w:pPr>
      <w:r>
        <w:rPr>
          <w:rFonts w:ascii="Times New Roman" w:hAnsi="Times New Roman"/>
          <w:color w:val="000000"/>
          <w:sz w:val="20"/>
        </w:rPr>
        <w:t xml:space="preserve">(2) Other segment items include consultants and contractor, lab supplies, and general business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12. Reduction in Force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26, 2025, the Company announced a reduction in force (the "Reduction") that resulted in a reduction of 53 positions, representing approximately 34% of the Company’s workforce. The Company undertook the Reduction to decrease its costs and create a more streamlined organization to focus on upcoming clinical data updates.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Employees affected by the Reduction were entitled to receive severance payments and certain Company funded benefits totaling approximately $5.4 million in costs. The Company recognized severance and benefit expense in full for employees who were notified of their termination in March 2025 and had no requirements for future service. The Company is recognizing expense for employees who are required to render services to receive their severance and benefits ratably over the service period from April 2025 to October 31, 2025. These charges were recorded pursuant to </w:t>
      </w:r>
      <w:r>
        <w:rPr>
          <w:rFonts w:ascii="Times New Roman" w:hAnsi="Times New Roman"/>
          <w:i/>
          <w:color w:val="000000"/>
          <w:sz w:val="20"/>
        </w:rPr>
        <w:t xml:space="preserve">ASC 712 </w:t>
      </w:r>
      <w:r>
        <w:rPr>
          <w:rFonts w:ascii="Times New Roman" w:hAnsi="Times New Roman"/>
          <w:color w:val="000000"/>
          <w:sz w:val="20"/>
        </w:rPr>
        <w:t xml:space="preserve">or </w:t>
      </w:r>
      <w:r>
        <w:rPr>
          <w:rFonts w:ascii="Times New Roman" w:hAnsi="Times New Roman"/>
          <w:i/>
          <w:color w:val="000000"/>
          <w:sz w:val="20"/>
        </w:rPr>
        <w:t xml:space="preserve">ASC 420, </w:t>
      </w:r>
      <w:r>
        <w:rPr>
          <w:rFonts w:ascii="Times New Roman" w:hAnsi="Times New Roman"/>
          <w:color w:val="000000"/>
          <w:sz w:val="20"/>
        </w:rPr>
        <w:t>depending on the agreements with the impacted employees</w:t>
      </w:r>
      <w:r>
        <w:rPr>
          <w:rFonts w:ascii="Times New Roman" w:hAnsi="Times New Roman"/>
          <w:i/>
          <w:color w:val="000000"/>
          <w:sz w:val="20"/>
        </w:rPr>
        <w:t xml:space="preserve">. </w:t>
      </w:r>
      <w:r>
        <w:rPr>
          <w:rFonts w:ascii="Times New Roman" w:hAnsi="Times New Roman"/>
          <w:color w:val="000000"/>
          <w:sz w:val="20"/>
        </w:rPr>
        <w:t xml:space="preserve">The expense was recognized in general and administrative operating expenses in the condensed statement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details of the severance and other termination benefit expense with the remaining balance of the liability recorded in accrued and other current liabilities on the condensed balance sheets as of March 31,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7"/>
        <w:gridCol w:w="146"/>
        <w:gridCol w:w="621"/>
        <w:gridCol w:w="1859"/>
        <w:gridCol w:w="166"/>
        <w:gridCol w:w="146"/>
        <w:gridCol w:w="746"/>
        <w:gridCol w:w="1496"/>
        <w:gridCol w:w="146"/>
        <w:gridCol w:w="146"/>
        <w:gridCol w:w="211"/>
        <w:gridCol w:w="631"/>
        <w:gridCol w:w="214"/>
      </w:tblGrid>
      <w:tr>
        <w:trPr/>
        <w:tc>
          <w:tcPr>
            <w:tcW w:w="3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severance and other benefits,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financial statements and related notes included in Part I, Item 1 of this Quarterly Report on Form 10-Q and with the audited financial statements and the related notes included in our Annual Report on Form 10-K filed with the SEC on March 26, 2025 for the fiscal year ended December 31, 2024, including information with respect to our plans and strategy for our business and related financing. The discussion and analysis below includes forward-looking statements that involve risks and uncertainties, including those risks and uncertainties set forth in the section titled “Risk Factors” under Part II, Item 1A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natural killer ("NK") cell therapies.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that enable us to generate an abundant supply of NK cells, increase NK-cell recognition of target antigens, enhance NK-cell fitness and freeze, store, and thaw our engineered NK cells for off-the-shelf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generally consist of an NK cell engineered with a targeting receptor, OX40 costimulatory domain, CD3ζ(zeta) signaling moiety, and a membrane-bound form of the cytokine IL(interleukin)-15 ("mbIL-15").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we approved a reduction in workforce as a result of a review of current strategic priorities and resource allocation with the intent to decrease our costs and create a more streamlined organization to support our operations and reprioritized product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we announced the addition of primary membranous nephropathy ("pMN") as an indication to our Ntrust-1 clinical trial ("Ntrust-1"), a multi-center, open-label, dose-escalation Phase 1 clinical trial of NKX019 for lupus nephritis ("LN"). In order to maximize the success of our clinical trials, we also announced the modification of the lymphodepleting conditioning ("LD") prior to administration of NKX019 to use a combination of fludarabine ("Flu") and cyclophosphamide ("Cy"), with the option for patients with cytopenias to continue to receive Cy alone as modified LD, in both our Ntrust-1 clinical trial and our Ntrust-2 clinical trial ("Ntrust-2"). Ntrust-2 is a multi-center, open-label, dose-escalation Phase 1 clinical trial of NKX019 for systemic sclerosis ("scleroderma"), idiopathic inflammatory myopathy ("myositis") and antineutrophil cytoplasmic antibody (ANCA)-associated vasculitis ("AAV"). At that time, we also announced that researchers at the University of California, Irvine initiated an investigator-sponsored trial ("IST") of NKX019 in patients with myasthenia gravis ("MG"). NKX019 is also being studied in an IST at Columbia University Irving Medical Center in patients with systemic lupus erythematosus ("SLE") and in another multi-center Phase 1 clinical trial for the treatment of a variety of B-cell malignancies, which evaluates the safety, pharmacology, and preliminary anti-tumor activity of NKX019.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consist primarily of costs incurred for the discovery and clinical development of our drug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consultants engaged in research and development related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annual license fees under our third-party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cost containment measures undertaken by us, early discovery and preclinical programs have been deprioritized with less personnel and funding allocated to advancing these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March 31, 2025 and 2024.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654" w:type="dxa"/>
        <w:jc w:val="left"/>
        <w:tblInd w:w="0" w:type="dxa"/>
        <w:tblLayout w:type="fixed"/>
        <w:tblCellMar>
          <w:top w:w="28" w:type="dxa"/>
          <w:left w:w="28" w:type="dxa"/>
          <w:bottom w:w="28" w:type="dxa"/>
          <w:right w:w="28" w:type="dxa"/>
        </w:tblCellMar>
      </w:tblPr>
      <w:tblGrid>
        <w:gridCol w:w="4851"/>
        <w:gridCol w:w="146"/>
        <w:gridCol w:w="211"/>
        <w:gridCol w:w="676"/>
        <w:gridCol w:w="146"/>
        <w:gridCol w:w="146"/>
        <w:gridCol w:w="211"/>
        <w:gridCol w:w="676"/>
        <w:gridCol w:w="59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internal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pMN, Ntrust-2, our clinical trial of NKX019 for the treatment of scleroderma, myositis, and AAV, and the ISTs for the treatment of MG and SLE.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continue to closely manage our expenditures, including following our recent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cash equivalents and short-term and long-term investments and adjustments related to amortization of purchase premiums and accretion of discounts of cash equivalents, short-term and long-term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6503"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11"/>
        <w:gridCol w:w="631"/>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were $24.2 million and $25.2 million for the three months ended March 31, 2025 and 2024,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of $1.1 million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$1.2 million decrease in program costs primarily from lower manufacturing, materials, and clinical expenses related to NKX101 as the program was deprioritized, which was partially offset by higher manufacturing, materials, and clinical spending related to NKX019 to support Phase I clinical trials in autoimmune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$1.0 million decrease in personnel costs primarily from lower share based compensation expense and lower bonus expense recognized due to lower headcount as a result of the reduction in force in March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$1.1 million increase in other research costs, primarily consisting of additional research and laboratory supplies purchased and higher consulting expenses.</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General and administrative expenses were $12.4 million and $7.5 million for the three months ended March 31, 2025 and 2024, respectively. The increase of $4.9 million was primarily due to the $5.1 million severance expenses resulting from the reduction in force completed in March 2025 and a $0.4 million increase in legal and consulting expenses, which was partially offset by a $0.6 million decrease in personnel and facilities expenses.</w:t>
      </w:r>
    </w:p>
    <w:p>
      <w:pPr>
        <w:pStyle w:val="TextBody"/>
        <w:bidi w:val="0"/>
        <w:spacing w:before="240" w:after="283"/>
        <w:jc w:val="left"/>
        <w:rPr>
          <w:rFonts w:ascii="Times New Roman" w:hAnsi="Times New Roman"/>
          <w:sz w:val="20"/>
        </w:rPr>
      </w:pPr>
      <w:r>
        <w:rPr>
          <w:rFonts w:ascii="Times New Roman" w:hAnsi="Times New Roman"/>
          <w:b/>
          <w:color w:val="000000"/>
          <w:sz w:val="20"/>
        </w:rPr>
        <w:t>Interest income</w:t>
      </w:r>
      <w:r>
        <w:rPr>
          <w:rFonts w:ascii="Times New Roman" w:hAnsi="Times New Roman"/>
          <w:color w:val="000000"/>
          <w:sz w:val="20"/>
        </w:rPr>
        <w:t>. Interest income was $4.4 million and $3.2 million for the three months ended March 31, 2025 and 2024, respectively. The increase of $1.1 million was primarily due to higher average investment balances in the current period. Interest income includes interest earned from investments, partially offset by amortization of purchase premiums and accretion of discounts of investments.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we had cash, cash equivalents, restricted cash and investments of $351.9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Commission (the "SEC") on September 2, 2021 (the "Prior Registration Statement") that had not yet been sold. The Shelf Registration Statement was declared effective by the SEC on May 5,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March 31, 2025, none of the pre-funded warrants have been exercised. We raised $240.1 million in gross proceeds before underwriting discounts, commissions and other expenses of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August 27, 2024, the Company and Cowen and Company, LLC mutually terminated the sales agreement entered into on August 12, 2021 related to the Company’s $150.0 million “at-the-market” equity offering program, pursuant to the terms of the sales agreement. Prior to the termination of the sales agreement, $1.8 million of shares of common stock had been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As of March 31, 2025, we had an accumulated deficit of $576.2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recent and any future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current cash, cash equivalents and investments as of March 31, 2025 will be sufficient to meet our cash needs for at least 12 months following the date of this Quarterly Report on Form 10-Q.</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rPr/>
      </w:pPr>
      <w:r>
        <w:rPr/>
        <w:t> </w:t>
      </w:r>
    </w:p>
    <w:tbl>
      <w:tblPr>
        <w:tblW w:w="6454" w:type="dxa"/>
        <w:jc w:val="left"/>
        <w:tblInd w:w="0" w:type="dxa"/>
        <w:tblLayout w:type="fixed"/>
        <w:tblCellMar>
          <w:top w:w="28" w:type="dxa"/>
          <w:left w:w="28" w:type="dxa"/>
          <w:bottom w:w="28" w:type="dxa"/>
          <w:right w:w="28" w:type="dxa"/>
        </w:tblCellMar>
      </w:tblPr>
      <w:tblGrid>
        <w:gridCol w:w="3666"/>
        <w:gridCol w:w="146"/>
        <w:gridCol w:w="211"/>
        <w:gridCol w:w="736"/>
        <w:gridCol w:w="166"/>
        <w:gridCol w:w="146"/>
        <w:gridCol w:w="211"/>
        <w:gridCol w:w="781"/>
        <w:gridCol w:w="39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2025 was $29.6 million primarily due to a net loss of $32.0 million adjusted for a decrease in net change in operating assets and liabilities of $1.7 million, which was offset by an increase in net non-cash charges of $4.1 million. The change in net operating assets and liabilities was primarily due to an increase in accounts payable and prepaid expenses, and a decrease in operating lease liability. Cash flows from operations are generally impacted by the timing of payments to vendors and vendor payment terms. The non-cash charges primarily consisted of stock-based compensation of $2.8 million, depreciation and amortization of $2.3 million, which was offset by investment accretion and amortization of $1.6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2024 was $28.5 million primarily due to a net loss of $29.5 million adjusted for a decrease in net change in operating assets and liabilities of $4.6 million, which was offset by an increase in net non-cash charges of $5.6 million. The change in net operating assets and liabilities was primarily due to a decrease in accrued liabilities of $3.0 million and operating lease liabilities of $1.2 million. Cash flows from operations are generally impacted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payments to vendors and vendor payment terms. The non-cash charges primarily consisted of stock-based compensation of $4.4 million, depreciation and amortization of $2.3 million, which was offset by investment accretion and amortization of $1.6 million.</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three months ended March 31, 2025 was $54.3 million, which consisted primarily of proceeds from the maturities of marketable securities of $75.4 million, partially offset by the purchase of marketable securities of $20.6 million and the purchase of property and equipment of $0.5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three months ended March 31, 2024 was $21.5 million, which consisted primarily of proceeds from the maturities of marketable securities of $61.7 million, partially offset by the purchase of marketable securities of $40.0 million.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net cash provided by financing activities for the three months ended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three months ended March 31, 2024, was $226.3 million, which primarily consisted of net proceeds from our underwritten public offering of $225.1 million that closed in March 2024.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enrollment rate,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the continuation of our preclinical and clinical activities, including as a result of any delays or an increase in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or ability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therapeutic product candidates, if ever, we expect to finance our cash needs through public or private equity, debt financings or other capital sources, including potential collaborations, licenses and other similar arrangements. We may be unable to raise additional funds or enter into such other arrangements when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March 31, 2025, there have been no material changes from the contractual obligations and commitments previously disclosed in our Annual Report on Form 10-K for the year ended December 31, 2024.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See Note 6 to our condensed financial statements included elsewhere in this Quarterly Report on Form 10-Q for additional information regarding our lease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our policy for restructuring as discussed in Notes 1 and 12 to our condensed financial statements, there have been no significant changes in our critical accounting policies and estimates during the three months ended March 31, 2025, as compared to the critical accounting policies and estimates disclosed in “Management’s Discussion and Analysis of Financial Condition and Results of Operations” included in our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2025 and December 31, 2024.</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business activity and operate in one reportable segment. </w:t>
      </w:r>
    </w:p>
    <w:p>
      <w:pPr>
        <w:pStyle w:val="TextBody"/>
        <w:bidi w:val="0"/>
        <w:spacing w:before="36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president, evaluated the effectiveness of our disclosures controls and procedures, as defined in Rules 13a-15(e) and 15d-15(e) under the Exchange Act,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2025, our chief executive officer and president concluded that, as of such date, our disclosure controls and procedures were effective at a reasonable assurance level.</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determined that, as of March 31, 2025,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2024 and filed with the Securities and Exchange Commission ("SEC") on March 26, 2025, are set forth below and are unchanged substantively as of the date of this Quarterly Report on Form 10-Q, except for those risks designated by an asterisk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disclose further changes to the factors below or disclose additional factors from time to time in our future filings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various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incurred significant operating losses. Our net losses were $32.0 million, $108.8 million and $117.5 million for the three months ended March 31, 2025 and the years ended December 31, 2024 and 2023, respectively. Our accumulated deficit was $576.2 million as of March 31, 2025. We expect to continue to incur increasing operating losses for the foreseeable future as we continue to develop NKX019 and any future product candidates. In addition,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clinical development of NKX019, including in new indications, or restart the clinical development of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scale up and optimization of manufacturing process and prepare for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to clinical trials, including any product candidates that may be advanced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current product candidates for additional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qualify our own clinical- and commercial-scale current good manufacturing practice ("cGMP")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 biologics license application ("BLA") or marketing authorization application ("MAA") for NKX019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product candidates in various jurisdictions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 our employee headcount to support the foregoing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incur significant research and development and other expenses related to ongoing operations and the development of NKX019. All of our product candidates, including NKX019,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NKX019 or any other product candidates of ours, and we do not anticipate generating revenues from product sales unless and until such time as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other product candidate into pivotal trials will require us to raise additional capital. As of March 31, 2025, we had cash, cash equivalents, restricted cash, and investments of $351.9 million. Our research and development expenses were $96.8 million for the year ended December 31, 2023, $96.7 million for the year ended December 31, 2024, $25.2 million for the three months ended March 31, 2024, and $24.2 million for the three months ended March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including those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our Ntrust-1 clinical trial ("Ntrust-1"), a multi-center, open-label, dose-escalation Phase 1 clinical trial to evaluate NKX019, our lead CAR NK-cell product candidate, in humans with lupus nephritis ("LN") and primary membranous nephropathy ("pMN"). We are also enrolling patients in our Ntrust-2 clinical trial ("Ntrust-2"), a multi-center, open-label, dose-escalation Phase 1 clinical trial that will evaluate the safety and clinical activity of NKX019 in humans with systemic sclerosis ("scleroderma"), idiopathic inflammatory myopathy ("myositis"), and antineutrophil cytoplasmic antibody (ANCA)-associated vasculitis ("AAV"). Although both NKX019 and another product candidate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utilizing CAR NK cells as an immunotherapy for the treatment of certain diseases, initially cancers and, most recently, autoimmune diseases. To date, the FDA has not approved any cell-based therapies for commercial use for the treatment of an autoimmune diseases,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CAR NK-cell therapies may not gain the acceptance of the public or the medical community, especially for the treatment of autoimmune diseases. The patients with autoimmune diseases that we are targeting with NKX019 are typically not at risk of near-term death, even if they may suffer life-threatening symptoms, so the patients will need to deem the benefits of cell therapy to be worth the risk of unknown potential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a sufficient number of medical personnel on how to properly thaw and administer our cells, especially in any solid tumor trial wherein the cells are given through a procedure by trained medical doctors;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cryopreservation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sourcing starting material suitable for clinical and commercial manufacturing;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be able to overcome these challenges in order for us to develop, commercialize and manufacture our product candidates utilizing CAR NK cells.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clinical trial sites or CROs, the terms of which can be subject to extensive negotiation and may vary significantly among different trial sites and CROs, including delays due to administrative hurdles, lack of significant prior experience with cell therapy for autoimmune diseases, or competition between cell therapy companies for prospective clinical trial sites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achieving a sufficient number of clinical trial sites or obtaining the required institutional review board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long-term follow-up data due to patient drop out or in cases where patients elect to receive post-protocol treatment for their disease before it progresses;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due to additional regulatory, site and clinical trial participant approvals required if a product candidate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may require us to amend or submit new clinical protocols,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or treatment landscape on which a clinical development plan was based, which may require new or additional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after initially studying NKX019 and a second product candidate, NKX101, in Phase 1 clinical trials for hematologic malignancies, we deprioritized development of the product candidates for the treatment of hematologic malignancies to focus our research and development activities on NKX019 for the treatment of autoimmune diseases. Following an interim evaluation of response data in our NKX101 clinical trial for the treatment of relapsed or refractory acute myeloid leukemia ("r/r AML") or higher risk myelodysplastic syndromes ("MDS"), we decided to deprioritize our NKX101 program. In November 2024, we announced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We do not plan to enroll further patients in our clinical trials for hematologic malignancies, and we cannot guarantee that we will pursue any further development of NKX019 for the treatment of hematologic malignancies in the near future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caused by or related to pandemics, epidemics, or outbreaks of infectious disease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then we may experience delays in obtaining periodic advice which may affect our ability to move our clinical programs forward into the next phase of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such as for our Ntrust-1 clinical trial, establish partnerships in relation to our clinical trials, receiving advisory services and other support from third parties. For example, we continue to partner with Lupus Therapeutics, the clinical research affiliate of the Lupus Research Alliance, to accelerate development of NKX019 through select sites of the Lupus Clinical Investigators Network ("LuCIN").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 In addition, actions by the new Presidential administration to limit federal agency budgets or personnel may result in reductions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FDA’s budget, employees and operations, which may lead to slower responses times and longer review periods, potentially affecting our ability to progress development of our product candidates or obtain regulatory approval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which would negatively impact our financial results, and slow down our product candidate development and approval process.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color w:val="000000"/>
          <w:sz w:val="20"/>
        </w:rPr>
        <w:t>We cannot guarantee that NKX019 or any other product candidates, that we might develop,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NK-cell therapies for cancer. The FDA, and other comparable global regulatory authorities can delay, limit or deny approval of a product candidate for many reasons. For further details about such reasons, see “—</w:t>
      </w: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Any delay in obtaining, or inability to obtain, applicable regulatory approval will delay or harm our ability to successfully commercialize NKX019 or any of our other product candidates, especially and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is in Phase 1 clinical development and subject to the risks inherent in drug development. In October 2023, we announced that we had received clearance of an Investigational New Drug ("IND") application by the FDA to evaluate NKX019 for the treatment of LN in our Ntrust-1 clinical trial, and in May 2025, we announced the addition of pMN as an indication to our Ntrust-1 clinical trial, which is a multi-center, open-label, dose-escalation Phase 1 clinical trial that evaluates the safety and clinical activity of NKX019 in humans with refractory LN. In June 2024, we announced we had received clearance of an IND by the FDA to evaluate NKX019 for the treatment of scleroderma, myositis, and AAV in our Ntrust-2 clinical trial, which is a multi-center, open-label, dose-escalation Phase 1 clinical trial that evaluates the safety and clinical activity of NKX019 in humans with scleroderma, myositis, and AAV. In May 2025, we announced the modification of the lymphodepleting conditioning ("LD") prior to the administration of NKX019 in our Ntrust-1 and Ntrust-2 clinical trials to use a combination of Flu and Cy, with the option for patients with cytopenias to continue to receive Cy alone as modified LD. There are no cell therapies licensed to date in the United States or elsewhere to treat autoimmune diseases and we have no prior experience in developing treatments for autoimmune diseases. We cannot guarantee that our development of NKX019 for the treatment of LN, pMN, scleroderma, myositis, or AAV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pMN, scleroderma, myositis, AAV, or any additional indications, NKX019 for any of these indications may not be successfully commercialized, widely accepted in the marketplace or more effective than other commercially available alternatives. If we are unable to successfully develop and commercialize NKX019 for LN, pMN, scleroderma, myositis, AAV, or these additional autoimmune indications, our commercial opportunity will be limited, and our business, financial condition and growth prospects will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Multiple commercially available therapeutic agents that target CD19, as well as others that are in various stages of development, are now being evaluated in clinical trials for the treatment of various autoimmune diseases including in the indications in which we are developing NKX019, thereby providing significant competition for clinical trial sites, investigators, and patients. The newness of cell therapy as a potential treatment for autoimmune patients at sites has also contributed to, and may continue to contribute to, delays in the initiation of clinical trial sites and in the enrollment of patients in our NKX019 autoimmune trials. We have had significant enrollment challenges and may continue to have significant enrollment challenges in our Ntrust-1 clinical trial. We may also have enrollment challenges in our other autoimmune trials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has also been studied in a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decided to focus our research and development activities on autoimmune disease and plan for no further investment in the clinical development of NKX019 for the treatment of B-cell malignancies.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second product candidate, NKX101, was also formerly studied in a Phase 1 clinical trial for the treatment of certain hematological malignancies. Following an interim evaluation of the clinical response data, we deprioritized the clinical development of NKX101 and plan for no further development of NKX101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NKX019 is our most advanced product candidate, and because our other product candidates in clinical development in the future will be based on similar technology, if our current clinical trials of NKX019 or any future clinical trials of NKX019 experience any of the foregoing issues, our development plans for other product candidates in our pipeline could also be significantly impaired, which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our allogeneic CD19-targeting CAR NK-cell product candidate NKX019 may have disease-modifying potential in autoimmune diseases, such as LN, the use of CD19-targeted CAR cell therapies, and, in particular, allogeneic CD19 CAR NK-cell therapies, represents a novel approach for the treatment of autoimmune diseases, and is supported by limited clinical data. To date, no cell therapies have been approved by the FDA for the treatment of autoimmune diseases. We cannot guarantee that Ntrust-1, our clinical trial for NKX019 in LN and pMN, Ntrust-2, our clinical trial for NKX019 in scleroderma, myositis, and AAV, or any other future clinical development of NKX019 for the treatment of autoimmune diseases will be successful. Our belief that NKX019 may be effective as a treatment for autoimmune diseases is based largely on our understanding of the mechanism behind the positive clinical data reported by certain academic groups and other companies studying CAR NK-cell therapies for the use of a CD19 CAR T-cell therapy in a limited number of patients with autoimmune diseases, as well as on our own in vitro studies showing that NKX019 can kill B-cells in peripheral blood mononuclear cells ("PBMCs") obtained from patients with autoimmune diseases and observations regarding the effect of NKX019 on B 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plan to use Cy alone as an option for LD in our current, planned and future NKX019 clinical trials for the treatment of autoimmune diseases, but there is a risk that Cy alone will not be effective as LD prior to NKX019 in patients with autoimmune diseases. We cannot know with any certainty whether NKX019 will be effective against B-cell mediated autoimmune diseases, or whether NKX019 will be competitive as a treatment for such indications against CD19 CAR T-cell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color w:val="000000"/>
          <w:sz w:val="20"/>
        </w:rPr>
        <w:t>” and “—</w:t>
      </w: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hAnsi="Times New Roman"/>
          <w:color w:val="000000"/>
          <w:sz w:val="20"/>
        </w:rPr>
        <w:t xml:space="preserve">.” The competition for clinical trial sites, investigators or patients may also lead to increased development costs. If NKX019 is shown to not be sufficiently effective against LN, pMN, scleroderma, myositis, AAV, or other B-cell mediated autoimmune diseases in clinical trials, we experience delays in our ability to advance NKX019 through clinical development for LN, pMN, scleroderma, myositis, AAV, or other B-cell mediated autoimmune diseases, or we are unable to successfully compete against other companies in the development and commercialization of NKX019, the commercial prospects of NKX019, as well as our business, financial condition and growth prospects,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open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resources at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medical practice patterns or guidelines related to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including as a result of adverse effects observed in similar or competing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or die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the requisite supply of our product candidates for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had significant difficulty in our now deprioritized Phase 1 NKX019 program for the treatment of B-cell malignancies enrolling patients who have not previously been exposed to a CD19-directed cellular therapy. We have also had, and may continue to have in the future, significant difficulty in enrolling patients in our Ntrust-1 clinical trial, and we may also have significant difficulty in enrolling patients in our Ntrust-2 clinical trial. A number of cell therapy companies and companies with other CD19-targeted therapeutics have initiated or announced initiation of plans for clinical trials for the treatment of B-cell mediated autoimmune diseases including in indications in which we are developing NKX019, which has resulted in increased competition, and may continue to increase competition in the future, for clinical trial sites and/or patients for our Ntrust-1 and Ntrust-2 clinical trials and any other NKX019 clinical trials that we may initiate in the future for the treatment of other B-cell mediated autoimmune diseases. With respect to our Ntrust-1 and Ntrust-2 clinical trials and any future NKX019 clinical trials of ours for the treatment of other B-cell mediated autoimmune diseases, the number of qualified clinical investigators is limited, so we are conducting, and may continue to conduct, some of our clinical trials at the same clinical trial sites that some of our competitors use, which reduces the number of patients who are available for our clinical trials at such clinical trial site.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challenges at clinical trial sites have also contributed to delays in site initiation and/or enrollment in our NKX019 autoimmune clinical trials, and may continue to contribute to delays in site initiation and/or enrollment in our NKX019 clinical trials for the treatment of autoimmune diseases in the future. For example, the administration of cell therapies to patients with autoimmune disease is new, and in some instances, sites may not yet be efficient in facilitating such clinical trials. Although we have taken steps to mitigate the enrollment challenges, if we are unable to enroll a sufficient number of patients in our clinical trials in a timely manner and any future clinical trials for the treatment of autoimmune diseases,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announced the modification of the LD prior to administration with NKX019 in our Ntrust-1 and Ntrust-2 clinical trials to use a combination of Flu and Cy, with the option for patients with cytopenias to continue to receive Cy alone as modified LD. As a result, physicians may choose to not enroll patients in our clinical trials and/or refer patients to other clinical trials conducted by one of our competitors. In addition, as the current administration continues to pursue cost-cutting measures, including reducing funding to academic research centers, the impact on industry-sponsored clinical research, as a result, and our business is currently unclear. A reduction of resources at these clinical sites also is likely to have an impact on patient enrollment as academic research centers decide how to allocate limited resources.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sz w:val="20"/>
        </w:rPr>
      </w:pPr>
      <w:r>
        <w:rPr>
          <w:rFonts w:ascii="Times New Roman" w:hAnsi="Times New Roman"/>
          <w:color w:val="000000"/>
          <w:sz w:val="20"/>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hAnsi="Times New Roman"/>
          <w:i/>
          <w:color w:val="000000"/>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hAnsi="Times New Roman"/>
          <w:color w:val="000000"/>
          <w:sz w:val="20"/>
        </w:rPr>
        <w:t>The clinical development of our product candidates also depends on the availability of a sufficient supply of certain other materials and agents used in our clinical trials. For example,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 In addition, any such delays could require us to incur additional costs as we work to identify potential patients to enroll and to continue the development of our product candidates generally, which would have a negative impact on our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 NK-cell therapy is a relatively new field. To date, no cell therapies of any type have been licensed for the treatment of autoimmune diseases. The history of manufacturing CAR NK cells for clinical use is limited. Our understanding of NK-cell biology is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clinical experience with NK-cell therapy has been predominantly based on cells from haplo-matched donors, i.e., at least half of the major Human Leukocyte Antigen ("HLA") types matched between donor and recipient. Our Phase 1 clinical trials, however, are currently evaluating product candidates manufactured from unrelated donors (i.e. used "off-the-shelf"). There is a risk that our early clinical results from our Phase 1 clinical trials using our off-the-shelf product candidates, including NKX019, may not be reflective of future clinical trial results which may require us to re-evaluate the need for HLA matching. If it becomes apparent through future preclinical testing or clinical trials that such matching is required,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killer immunoglobulin-like receptor ("KIR") is found on the surface of NK cells and recognizes certain HLA types. If there is a match between certain KIR molecules and the HLA type, KIR acts as a natural inhibitor of NK activity, thereby serving to prevent immune reactions against an individual’s own cells. In our Phase 1 clinical trials, the product candidate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Scaled manufacturing can broaden patient access to off-the-shelf product candidates without requiring additional donors. However, as our product candidates are not genetically modified to reduce naturally occurring cell surface antigens, potential patients may have antibodies against such antigens. We may choose to continue to diversify donor selection with the goal of ensuring we have suitable drug product for broad access. We also continue to analyze donor characteristics that correlate with clinical activity and we may decide to select for donors to enhance activity of our product candidates in the clinic.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reengineering of our product candidates or change to the processes we use to manufacture our product candidates could require the redesign of our clinical protocols and clinical trials for our product candidates,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our most recent cohort in our Phase 1 NKX019 clinical trial for the treatment of B-cell malignancies did not meet expectations. Based on these data and the highly competitive landscape for treatments of B-cell malignancies, in 2024 we decided to refocus our research and development activities on autoimmune diseases and deprioritized further development of NKX019 for the treatment of B-cell malignancies. Also, we deprioritized further development of another product candidate, NKX101, following an interim evaluation of the data from the most recent dose-expansion cohort of our NKX101 Phase 1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that may be caused by our product candidates could negatively affect patient recruitment and retention in our clinical trials, cause us or regulatory authorities to interrupt, delay or halt clinical trials, and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We may also pause our clinical trials if patients exhibit adverse side effects, until such time as we can determine the cause of such side effects, which would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Updated data from the dose-escalation portion of our NKX019 Phase 1 clinical trial in B-cell malignancies were reported in December 2022.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While the interim data reported to date from our NKX019 Phase 1 clinical trials indicate that NK cell-based therapies may be better-tolerated as compared to T-cell-based therapies due to biologic differences between these cell types, there can be no assurance that patients will not experience CRS, neurotoxicity, Graft-versus-host disease ("GvHD"), or other serious adverse events associated with NKX019, any other product candidates we may advance in clinical studies in the future, or the LD administered to patients prior to administration of NKX019 or other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deprioritized oncology programs or the oncology programs of others. Multiple companies are investigating the potential use of various other CD19-targeted therapeutic candidates, including other cell therapies, in clinical trials for the treatment of patients with autoimmune diseases, including in indications in which we are developing NKX019. If serious adverse events are reported from those clinical trials for these competing product candidates, patient recruitment and retention in our own clinical trials may be impacted, we may face additional scrutiny or restrictions from the FDA or other relevant regulatory entities, which could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negatively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cellular immunotherapy products is highly competitive. We face competition from existing and future competitors with respect to our product candidate, NKX019, and will face competition with respect to product candidates that we may seek to develop or commercialize in the future. A large number of biopharmaceutical companies and academic institutions are advancing development programs in B-cell mediated autoimmune diseases. The approaches of these development programs are numerous and diverse, and include cell therapies, T-cell engagers, NK-cell engagers and monoclonal antibodies.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FDA or other regulatory authority approval to market a new biological product we must demonstrate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NKX019 is our only product candidate currently in clinical development. Since NKX101 and NKX070 have been deprioritized, all of our other active programs are currently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we may in the future enter into, research collaborations with third parties to develop or commercialize potential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diseases, oncology, or infectious disease up to the filing of an application to a regulatory authority to request the ability to start a clinical trial. The first product candidate being developed in partnership with CRISPR was NKX070, and together with CRISPR, we had planned to advance NKX070 in clinical development for the treatment of solid tumors and blood cancers. The second product candidate being developed in partnership with CRISPR was NK+T. Both the NKX070 and NK+T programs have been deprioritized, however, to allow us to focus our resources on developing NKX019 for the treatment of B-cell mediated autoimmune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collaboration partners do not perform in the manner that we expect or fulfill their responsibilities in a timely manner or at all, the research, clinical development, regulatory approval and commercialization efforts related to the product candidates that are the subject of the collaboration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Future collaboration agreements may have similar terms.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enter into collaborations with third parties, we could face the following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including CRISPR, our collaborators may act in a manner adverse to us and could limit our ability to implement our strategies. Our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initiated an IST of NKX019 in patients with systemic lupus erythematosus, and in November 2024, we announced that the first patient had been dosed in the IST. Additionally, in December 2024, we announced the IND clearance of an IST led by researchers at the University of California, Irvine and the University of Kansas Medical Center to evaluate NKX019 in patients with myasthenia gravis, and in May 2025, we announced enrollment in the IST had been initiated.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Their failure to comply could expose us to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type of autoimmune diseases,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rely on medical institutions, contract laboratories, and other third parties, such as CROs to advise on or otherwise support our Ntrust-1 and Ntrust-2 clinical trials and clinical investigators to conduct ISTs. We rely heavily on these parties for execution of clinical trials for our product candidates and control only certain aspects of their activities. Nevertheless, we are responsible for ensuring that each of our sponsored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While we must rely on the clinical investigators to ensure their compliance with clinical and regulatory requirements when using our product candidates for ISTs, their failure to comply could jeopardize the validity of the clinical data generated, identify significant concerns with respect to our product candidates that could impact our findings or clinical trials, and could adversely affect our ability to obtain marketing approval from the FDA or other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could result in similar disruptions.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operations, as well as the operations of some of our contract research organizations ("CROs"), contract development and manufacturing organizations ("CDMOs"), and clinical trial sites, may be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cannot predict the potential future impacts of the emergence of another pandemic, epidemic, or outbreak of infectious disease on us, our research or collaboration partners, and other third parties with whom we conduct business. We may experience disruptions as a result of a pandemic, epidemic, or outbreak of infectious disease that could severely impact our business, preclinical studies and clinical trials,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including our ongoing NKX019 clinical trial for LN and pMN and NKX019 clinical trial for scleroderma, myositis, and AAV;</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to our discovery and clinical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increase the size of our organization, and we may experience difficulties in managing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2025, following the completion of our March 2025 reduction in workforce, we had 109 full-time employees. Our operation may require us to expand our managerial, operational, clinical, quality, human resources, legal, manufacturing, supply chain, finance, commercial and/or other resources in the future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a reduction in force may have on potential employees’ perception of our company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attract skilled employees or manage our future growth effectively, it will impair our ability to execute our business strategy and our business, financial condition, results of operations and growth prospects will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biotechnology and pharmaceuticals field is intense due to the limited number of individuals who possess the skills and experience required by our industry. Implementing certain cost containment measures may have a detrimental impact on company culture and employee morale, which may hurt our ability to attract and retain employees. In March 2025, management approved a reduction in workforce, which included members of our senior management team, to decrease our costs and create a more streamlined organization to support our operations and reprioritized product pipeline. This reduction makes retention of our current personnel, including our senior management team, both more important and more challenging and may require the reallocation and the combination of certain roles and responsibilities across the organization, all of which could adversely affect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outcomes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evolving environmental, social, and corporate governance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has been increased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required to make changes to our operations in order to comply with any new regulations and to significantly increase our compliance and reporting costs. Regardless of these efforts,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recent change in Presidential administration has created regulatory uncertainty with respect to the U.S.’s climate change policy. In March 2022, the SEC proposed new rules relating to the disclosure of a range of climate-related risks and final rules were adopted in March 2024. The climate-related disclosure rules have been stayed by the SEC pending litigation challenging the rules and there is uncertainty as to whether the SEC will continue to defend the implementation of these rules. In addition, in October 2023, California issued the Climate Corporate Data Accountability Act (SB 253) and the Climate Related Financial Risk Act (SB 261) (the "California Bills") which require corporations doing business in California to annually report their greenhouse gas emissions and disclose climate-related financial risks and risk mitigation strategies. Complying with the California Bills may be costly, difficult and time consuming, and our business may be negatively impacted due to potential legal liability or by potential competitive disadvantage if our competitors are not subject to the California Bills. In January 2025, an executive order was signed to withdraw the U.S. from the Paris Agreement, marking a significant shift in U.S. climate policy. It remains unclear what further actions may be taken with respect to domestic and international programs and initiatives, what support the Presidential administration would have for any potential changes to such legislative programs and initiatives and what the impact of any such changes might be.</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cells"), and viral vector is generally higher than traditional small-molecule chemical compounds or biologics, and the manufacturing process is presently less reliable and more difficult to reproduce.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For example, as part of ongoing scale up and optimization of manufacturing across our platform, we previously filed a manufacturing process change amendment with the FDA in our then-enrolling NKX101 Phase 1 clinical trial in AML. After we began dosing patients with NKX101 product that had been generated with the amended manufacturing process, an interim review of the clinical response data from the cohort indicated that the aggregate response rate for the 20 patients in total in the cohort was meaningfully lower than what had been observed and previously reported for the first six patients in the cohort. We subsequently closed enrollment in the clinical trial and deprioritized the NKX101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manufacturing in our own internal manufacturing facility to supply drug product for our NKX019 Phase 1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although we currently manufacture our early-stage clinical supply of NKX019 at one of our own cGMP facilities, we currently outsource manufacturing of certain critical materials necessary for production of our product candidates, including NKSTIM cells and viral vectors. Even though we are currently manufacturing NKX019 at one of our own cGMP facilities, and even if we are successful at manufacturing NKX019 or other product candidates on a commercial scale at one of our own cGMP facilities, we expect to continue to outsource manufacturing of certain materials necessary for production of our product candidates. For instance, we currently manufacture clinical supply of NKSTIM cells and the gamma-retrovirus at third-party contract manufacturing sites. Although we intend to manufacture NKSTIM cells in house in the future, we may not be able to successfully do so.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reliant on a sole supplier for certain steps of our manufacturing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long-term strategy to mitigate against the risk of shortage due to disruption of the supply chain, including as a result from technical or regulatory constraints or changes in international trade policies. As a result of the current tariffs, we are likely to experience increased costs to procure these reagents as our current supplies are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including as a result of current or future tariffs, be subject to delays in shipment, result in lower yields or not be as suitable for our purposes. In addition, some of the raw materials that we use are complex materials, which may be more difficult to substitute. Therefore, supply disruptions could result in delays and additional regulatory submissions, prevent us from being able to manufacture our product candidates due to the unsuitability of the substituted reagent or consumable that we are able to procure, and impact our ability to maintain our development timelines and remain competitive.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in supply of these instruments and reagents could also result in delays in our clinical trials, which would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fully qualify, a facility for the commercial-scale manufacture of our product candidates. The qualification, regulatory approvals and maintenance of such facilities require substantial capital and technical expertise and any delay would limit our development activities and our opportunities for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manufacturing facilities will be subject to ongoing, periodic inspection by the FDA and other comparable regulatory agencies to ensure compliance with cGMP. In the event of reductions to the FDA’s budget, employees and operations, we may experience delays in scheduling inspections by the FDA.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with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regulations regarding evolving donor infectious disease testing, traceability, manufacturing, release of product candidates and other requirements from regulatory authorities at the state or federal level or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raw materials or key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or sufficient supply of our product candidates with the desired parameters, for our current, planned, or future clinical trials, the clinical development and potential eventual commercialization of may be delayed, and we may be materially harmed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cells,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 NK cells, the viral vector, and the master and working cell banks of NKSTIM cells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NK-cell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current and future product candidates, such as NKX019.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subject to any patent term adjustments or extensions.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to or necessary for the development or production of our current and future product candidates, including NKX019, which could impede or prevent our successful commercialization of such product candidates and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that may relate to the areas in which we are developing product candidates. For example, under the CRISPR Agreement, we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may have relied on third-party consultants or collaborators or on funds from third parties such that our licensors are not the sole and exclusive owners of the patents we in-licensed. For example,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including issued patents and patent applications related to NKX019 and our NK cell engineering platform. Our portfolio of issued patents, excluding pending patent applications, has estimated expiration dates between 2024 and 2041, subject to any patent terms adjustments or extensions. Our portfolio, including issued patents, and including pending applications, to the extent they issue as patents or are used to establish nonprovisional patent applications that issue as patents, is expected to have estimated expiration dates between 2024 and 2045, subject to any patent terms adjustments or extensions. For instance, composition-of-matter claims in our licensed patent portfolio that relate to our NKSTIM cells are estimated to have expired in Q4 2024, subject to any patent terms adjustments or extensions. We plan to file additional patent applications that could potentially allow for further increase of the exclusive market protection for certain uses of NKX019.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patents are determined to be valid and enforceable, they may not be interpreted sufficiently broadly to prevent others from marketing products similar to ours or designing around our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obtain or enforce assignments of intellectual property rights from our employees and contractors.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has certain rights in some of our licensed patents (including U.S. Patent Nos. 7,435,596, 8,026,097, and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NKX019, could be subject to regulatory limitations following approval, if and when such approval is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Ntrust-1 clinical trial has been evaluating NKX019 in patients with refractory LN and will evaluate patients with pMN. Our Ntrust-2 clinical trial has been evaluating NKX019 in patients with refractory scleroderma, patients with myositis who have failed at least one treatment, and patients with relapsed or refractory AAV. We do not know at this time whether either NKX019 or any of our product candidates will be safe for use in humans or whether they will demonstrate any efficacy against autoimmune diseases. If the efficacy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and the availability of coverage or reimbursements by government and private payors to enable patients to afford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marketing and distribution efforts;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The change in the Presidential administration, including new leadership of CMS, may result in a change in priorities, and prior rulemaking may be materially altered or abandoned. Moreover, reimbursement agencies in other countries, such as those in Europe, may be more conservative than CMS.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("HHS")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the ACA will be subject to further legislative, judicial, and executive challenges in the future. Even if the ACA is not amended or repealed, the President and the executive branch of the federal government, as well as CMS, have a significant impact on the implementation of the provisions of the ACA. It is expected that the new Presidential administration will make changes impacting the implementation and enforcement of the ACA, however it is unclear how and to what extent any such challenges and reform measures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In addition, the current administration is pursuing other measures to reduce the cost of drugs in the United States. For example, in April 2025, an executive order was signed directing the Secretary of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and in May 2025, an executive order was signed, among other things, directing the Secretary of HHS to propose rules that impose “most-favored-nation” pricing and take other measures to reduce the cost of prescription drugs.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such as those intended to more closely align U.S. drug prices with international drug prices (often referred to as "reference" or "international price index" drug pricing).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market approved products outside the United States, we expect that we will be subject to additional risks in commercialization,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fires, and other public health crises, illnesses, epidemics or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evolving global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which became operative on January 1, 2023, expanded the CCPA, including by expanding consumers’ rights with respect to certain sensitive personal data. The CPRA also created the new California Privacy Protection Agency to implement and enforce the CCPA and the CPRA, which could increase compliance costs. Similar laws have been passed in Colorado, Connecticut, Delaware, Florida, Indiana, Iowa, Kentucky, Maryland, Minnesota, Montana, Nebraska, New Hampshire, New Jersey, Oregon, Rhode Island, Tennessee, Texas, Utah and Virginia,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subject to wide fluctuations in response to various factors, some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affecting the trading price of our common stock may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strategy, including decisions to deprioritize certain product candidates or change our pipeline focus in the future, as well as cost-containment or cost-optimization initiatives we may undertake;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discussed in these risk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May 9, 2025, our directors and executive officers, and entities affiliated with them, as well as holders of more than 5% of our outstanding shares of common stock, in the aggregate beneficially own 59% of our common stock (based on 70,957,554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May 9, 2025, we had 73,957,585 shares of common stock outstanding (including pre-funded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At December 31, 2024, we had federal and state net operating losses ("NOLs") carryforwards of approximately $233.2 million and $65.1 million, respectively. Federal NOLs generated in periods after December 31, 2017 may be carried forward indefinitely but may only be used to offset 80% of our taxable income in years beginning after December 31, 2020. As described above under “We have incurred significant losses since our inception, and we expect to continue to incu</w:t>
      </w:r>
      <w:r>
        <w:rPr>
          <w:rFonts w:ascii="Times New Roman" w:hAnsi="Times New Roman"/>
          <w:i/>
          <w:color w:val="000000"/>
          <w:sz w:val="20"/>
        </w:rPr>
        <w:t>r significant losses for the foreseeable future</w:t>
      </w:r>
      <w:r>
        <w:rPr>
          <w:rFonts w:ascii="Times New Roman" w:hAnsi="Times New Roman"/>
          <w:color w:val="000000"/>
          <w:sz w:val="20"/>
        </w:rPr>
        <w:t xml:space="preserve">,” we have incurred net losses since our inception and anticipate that we will continue to incur significant losses for the foreseeable future. Under the Internal Revenue Code of 1986 (the "Code"), a corporation is generally allowed a deduction for NOLs carried over from a prior taxable year. Under that provision, we can carry forward our NOLs to offset our future taxable income, if any, until such NOLs are used or expire, in the case of federal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federal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action or proceeding brought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affected by macroeconomic conditions, including rising inflation, interest rates and supply chain constraints.*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as well as from the implementation of policies by the new Presidential administration. Economic tensions and changes in international trade policies, including, for example, the recent widespread tariffs announced by the U.S. on its major trading partners, higher tariffs on imported goods and materials, and actions taken in response (such as retaliatory tariffs or other trade protectionist measures or the renegotiation of free trade agreements), have increased inflationary pressures and recessionary fears.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 Further changes in U.S. and international governmental policies on a variety of matters such as trade, tariffs and manufacturing policies may further exacerbate an uncertain macroeconomic environment, which would adversely affect the U.S. economy and financial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scrutiny by the Federal Trade Commission ("FTC") and the Department of Justice ("DOJ"), including the potential challenge of a proposed merger or acquisition by the FTC or DOJ;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or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of Shares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March 31, 2025, none of our directors or officers adopted, modified or terminated a "Rule 10b5-1 trading arrangement" or a "non-rule 10b5-1 trading arrangement," as each item is defined in Item 408(a)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6637"/>
        <w:gridCol w:w="511"/>
        <w:gridCol w:w="761"/>
        <w:gridCol w:w="631"/>
        <w:gridCol w:w="72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8" w:type="dxa"/>
            <w:gridSpan w:val="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9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Amended and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6/9/2023</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
              <w:r>
                <w:rPr>
                  <w:rStyle w:val="InternetLink"/>
                  <w:rFonts w:ascii="Times New Roman" w:hAnsi="Times New Roman"/>
                  <w:color w:val="0000FF"/>
                  <w:sz w:val="20"/>
                  <w:u w:val="single"/>
                </w:rPr>
                <w:t>Second 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6/13/2024</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5">
              <w:r>
                <w:rPr>
                  <w:rStyle w:val="InternetLink"/>
                  <w:rFonts w:ascii="Times New Roman" w:hAnsi="Times New Roman"/>
                  <w:color w:val="0000FF"/>
                  <w:sz w:val="20"/>
                  <w:u w:val="single"/>
                </w:rPr>
                <w:t>Amended and Restated Bylaws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10_1.htm">
              <w:r>
                <w:rPr>
                  <w:rStyle w:val="InternetLink"/>
                  <w:rFonts w:ascii="Times New Roman" w:hAnsi="Times New Roman"/>
                  <w:color w:val="0000FF"/>
                  <w:sz w:val="20"/>
                  <w:u w:val="single"/>
                </w:rPr>
                <w:t>Separation and General Release Agreement between Nkarta, Inc. and Alyssa Levin.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#Indicates management contract or compensatory plan.</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bookmarkStart w:id="20" w:name="signatures"/>
      <w:bookmarkEnd w:id="20"/>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439" w:type="dxa"/>
        <w:jc w:val="left"/>
        <w:tblInd w:w="0" w:type="dxa"/>
        <w:tblLayout w:type="fixed"/>
        <w:tblCellMar>
          <w:top w:w="28" w:type="dxa"/>
          <w:left w:w="28" w:type="dxa"/>
          <w:bottom w:w="28" w:type="dxa"/>
          <w:right w:w="28" w:type="dxa"/>
        </w:tblCellMar>
      </w:tblPr>
      <w:tblGrid>
        <w:gridCol w:w="1741"/>
        <w:gridCol w:w="146"/>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nktx-ex10_1.htm"/>
      <w:bookmarkStart w:id="22" w:name="ksnktxex10_1"/>
      <w:bookmarkEnd w:id="21"/>
      <w:bookmarkEnd w:id="22"/>
      <w:r>
        <w:rPr>
          <w:rFonts w:ascii="Times New Roman" w:hAnsi="Times New Roman"/>
          <w:b/>
          <w:color w:val="000000"/>
          <w:sz w:val="20"/>
        </w:rPr>
        <w:t>Exhibit 10.1</w:t>
      </w:r>
      <w:r>
        <w:br w:type="page"/>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SEPARATION AND GENERAL RELEASE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Separation and General Release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entered into by and between Nkarta,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Alyssa Levin (“</w:t>
      </w:r>
      <w:r>
        <w:rPr>
          <w:rFonts w:ascii="Times New Roman" w:hAnsi="Times New Roman"/>
          <w:b/>
          <w:i/>
          <w:color w:val="000000"/>
          <w:sz w:val="22"/>
        </w:rPr>
        <w:t>you</w:t>
      </w:r>
      <w:r>
        <w:rPr>
          <w:rFonts w:ascii="Times New Roman" w:hAnsi="Times New Roman"/>
          <w:color w:val="000000"/>
          <w:sz w:val="20"/>
        </w:rPr>
        <w:t>”</w:t>
      </w:r>
      <w:r>
        <w:rPr>
          <w:rFonts w:ascii="Times New Roman" w:hAnsi="Times New Roman"/>
          <w:color w:val="000000"/>
          <w:sz w:val="22"/>
        </w:rPr>
        <w:t>) based on the following terms, conditions, covenants, representations, warranties, releases, and consideration.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b/>
          <w:i/>
          <w:color w:val="000000"/>
          <w:sz w:val="22"/>
        </w:rPr>
        <w:t>Effective Date</w:t>
      </w:r>
      <w:r>
        <w:rPr>
          <w:rFonts w:ascii="Times New Roman" w:hAnsi="Times New Roman"/>
          <w:color w:val="000000"/>
          <w:sz w:val="22"/>
        </w:rPr>
        <w:t>. This Agreement shall become effective on the eighth (8</w:t>
      </w:r>
      <w:r>
        <w:rPr>
          <w:rFonts w:ascii="Times New Roman" w:hAnsi="Times New Roman"/>
          <w:color w:val="000000"/>
          <w:sz w:val="15"/>
        </w:rPr>
        <w:t>th</w:t>
      </w:r>
      <w:r>
        <w:rPr>
          <w:rFonts w:ascii="Times New Roman" w:hAnsi="Times New Roman"/>
          <w:color w:val="000000"/>
          <w:sz w:val="22"/>
        </w:rPr>
        <w:t>) day after you deliver this Agreement to the Company signed by you (the “</w:t>
      </w:r>
      <w:r>
        <w:rPr>
          <w:rFonts w:ascii="Times New Roman" w:hAnsi="Times New Roman"/>
          <w:b/>
          <w:i/>
          <w:color w:val="000000"/>
          <w:sz w:val="22"/>
        </w:rPr>
        <w:t>Effective Date</w:t>
      </w:r>
      <w:r>
        <w:rPr>
          <w:color w:val="000000"/>
        </w:rPr>
        <w:t>”</w:t>
      </w:r>
      <w:r>
        <w:rPr>
          <w:rFonts w:ascii="Times New Roman" w:hAnsi="Times New Roman"/>
          <w:color w:val="000000"/>
          <w:sz w:val="22"/>
        </w:rPr>
        <w:t xml:space="preserve">), provided that (a) you sign this Agreement and deliver it to the Company via DocuSign by no earlier than the Separation Date (as defined below) and by no later than 5:00pm (PT) on </w:t>
      </w:r>
      <w:r>
        <w:rPr>
          <w:rFonts w:ascii="Times New Roman" w:hAnsi="Times New Roman"/>
          <w:b/>
          <w:i/>
          <w:color w:val="000000"/>
          <w:sz w:val="22"/>
        </w:rPr>
        <w:t>May 15, 2025</w:t>
      </w:r>
      <w:r>
        <w:rPr>
          <w:rFonts w:ascii="Times New Roman" w:hAnsi="Times New Roman"/>
          <w:color w:val="000000"/>
          <w:sz w:val="22"/>
        </w:rPr>
        <w:t xml:space="preserve">, and (b) you do not revoke the Agreement during the seven (7) day period after you sign it pursuant to Section 9.d below.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b/>
          <w:i/>
          <w:color w:val="000000"/>
          <w:sz w:val="22"/>
        </w:rPr>
        <w:t>Termination of Employment; Acknowledgement of Payment of Employee Compensation</w:t>
      </w:r>
      <w:r>
        <w:rPr>
          <w:rFonts w:ascii="Times New Roman" w:hAnsi="Times New Roman"/>
          <w:color w:val="000000"/>
          <w:sz w:val="22"/>
        </w:rPr>
        <w:t>. By signing below, you acknowledge and agree that: (a) your employment with the Company and any of its parent, subsidiaries and affiliates terminated in any capacity, effective as of March 31, 2025 (the “</w:t>
      </w:r>
      <w:r>
        <w:rPr>
          <w:rFonts w:ascii="Times New Roman" w:hAnsi="Times New Roman"/>
          <w:b/>
          <w:i/>
          <w:color w:val="000000"/>
          <w:sz w:val="22"/>
        </w:rPr>
        <w:t>Separation Date</w:t>
      </w:r>
      <w:r>
        <w:rPr>
          <w:color w:val="000000"/>
        </w:rPr>
        <w:t>”</w:t>
      </w:r>
      <w:r>
        <w:rPr>
          <w:rFonts w:ascii="Times New Roman" w:hAnsi="Times New Roman"/>
          <w:color w:val="000000"/>
          <w:sz w:val="22"/>
        </w:rPr>
        <w:t xml:space="preserve">); (b) as of the Separation Date, the Company has paid to you all base salary, bonuses, accrued but unused vacation and all other wages and compensation that you earned through the Separation Date; (c) following the Separation Date, you will not be entitled to receive any further wages, vacation, bonuses or other compensation arising out of your employment with the Company, except for the Severance Benefits described below in Section 3; and (d) by no later than seven (7) days following the Separation Date, you will submit any previously unreimbursed business expenses you incurred during your employment with the Company through the Separation Date, which the Company will reimburse in accordance with its expense reimbursement policy.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b/>
          <w:i/>
          <w:color w:val="000000"/>
          <w:sz w:val="22"/>
        </w:rPr>
        <w:t>Severance Benefits</w:t>
      </w:r>
      <w:r>
        <w:rPr>
          <w:rFonts w:ascii="Times New Roman" w:hAnsi="Times New Roman"/>
          <w:color w:val="000000"/>
          <w:sz w:val="22"/>
        </w:rPr>
        <w:t>. Provided that you deliver this signed Agreement to the Company on a timely basis, do not revoke it, and comply with all of its terms, the Company shall provide you the following severance benefits (collectively, the “</w:t>
      </w:r>
      <w:r>
        <w:rPr>
          <w:rFonts w:ascii="Times New Roman" w:hAnsi="Times New Roman"/>
          <w:b/>
          <w:i/>
          <w:color w:val="000000"/>
          <w:sz w:val="22"/>
        </w:rPr>
        <w:t>Severance Benefits</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Consulting Engagement</w:t>
      </w:r>
      <w:r>
        <w:rPr>
          <w:rFonts w:ascii="Times New Roman" w:hAnsi="Times New Roman"/>
          <w:color w:val="000000"/>
          <w:sz w:val="22"/>
        </w:rPr>
        <w:t xml:space="preserve">. Subject to you signing the Consulting Agreement attached hereto as </w:t>
      </w:r>
      <w:r>
        <w:rPr>
          <w:rFonts w:ascii="Times New Roman" w:hAnsi="Times New Roman"/>
          <w:b/>
          <w:color w:val="000000"/>
          <w:sz w:val="22"/>
          <w:u w:val="single"/>
        </w:rPr>
        <w:t>Exhibit A</w:t>
      </w:r>
      <w:r>
        <w:rPr>
          <w:color w:val="000000"/>
        </w:rPr>
        <w:t xml:space="preserve"> </w:t>
      </w:r>
      <w:r>
        <w:rPr>
          <w:rFonts w:ascii="Times New Roman" w:hAnsi="Times New Roman"/>
          <w:color w:val="000000"/>
          <w:sz w:val="22"/>
        </w:rPr>
        <w:t>(the “</w:t>
      </w:r>
      <w:r>
        <w:rPr>
          <w:rFonts w:ascii="Times New Roman" w:hAnsi="Times New Roman"/>
          <w:b/>
          <w:i/>
          <w:color w:val="000000"/>
          <w:sz w:val="22"/>
        </w:rPr>
        <w:t>Consulting Agreement</w:t>
      </w:r>
      <w:r>
        <w:rPr>
          <w:color w:val="000000"/>
        </w:rPr>
        <w:t>”</w:t>
      </w:r>
      <w:r>
        <w:rPr>
          <w:rFonts w:ascii="Times New Roman" w:hAnsi="Times New Roman"/>
          <w:color w:val="000000"/>
          <w:sz w:val="22"/>
        </w:rPr>
        <w:t>), the Company will engage you as a consultant pursuant to the terms and conditions of the Consulting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Severance Payment</w:t>
      </w:r>
      <w:r>
        <w:rPr>
          <w:rFonts w:ascii="Times New Roman" w:hAnsi="Times New Roman"/>
          <w:color w:val="000000"/>
          <w:sz w:val="22"/>
        </w:rPr>
        <w:t>. The Company shall pay you the equivalent of nine (9) months of your base salary at the monthly rate in effect as of the Separation Date, less any authorized and/or required withholdings and deductions, including federal, state, and local taxes (the “</w:t>
      </w:r>
      <w:r>
        <w:rPr>
          <w:rFonts w:ascii="Times New Roman" w:hAnsi="Times New Roman"/>
          <w:b/>
          <w:i/>
          <w:color w:val="000000"/>
          <w:sz w:val="22"/>
        </w:rPr>
        <w:t>Severance Payment</w:t>
      </w:r>
      <w:r>
        <w:rPr>
          <w:color w:val="000000"/>
        </w:rPr>
        <w:t>”</w:t>
      </w:r>
      <w:r>
        <w:rPr>
          <w:rFonts w:ascii="Times New Roman" w:hAnsi="Times New Roman"/>
          <w:color w:val="000000"/>
          <w:sz w:val="22"/>
        </w:rPr>
        <w:t>). The Severance Payment will be paid in installments over the 9-month period following the Separation Date in accordance with the Company’s standard payroll schedule (the “</w:t>
      </w:r>
      <w:r>
        <w:rPr>
          <w:rFonts w:ascii="Times New Roman" w:hAnsi="Times New Roman"/>
          <w:b/>
          <w:i/>
          <w:color w:val="000000"/>
          <w:sz w:val="22"/>
        </w:rPr>
        <w:t>Severance Period</w:t>
      </w:r>
      <w:r>
        <w:rPr>
          <w:color w:val="000000"/>
        </w:rPr>
        <w:t>”</w:t>
      </w:r>
      <w:r>
        <w:rPr>
          <w:rFonts w:ascii="Times New Roman" w:hAnsi="Times New Roman"/>
          <w:color w:val="000000"/>
          <w:sz w:val="22"/>
        </w:rPr>
        <w:t xml:space="preserve">), with the first such payment made within ten (10) business days following the Effective Date and being inclusive of any installment scheduled to have been paid following the Separation date and prior to the initial payment.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COBRA Reimbursement</w:t>
      </w:r>
      <w:r>
        <w:rPr>
          <w:rFonts w:ascii="Times New Roman" w:hAnsi="Times New Roman"/>
          <w:color w:val="000000"/>
          <w:sz w:val="22"/>
        </w:rPr>
        <w:t>. The Company will reimburse you for the monthly premiums necessary to continue coverage for you and, if applicable, your eligible dependents under the Company’s group healthcare insurance plans pursuant to the Consolidated Omnibus Budget Reconciliation Act or similar state law (“</w:t>
      </w:r>
      <w:r>
        <w:rPr>
          <w:rFonts w:ascii="Times New Roman" w:hAnsi="Times New Roman"/>
          <w:b/>
          <w:i/>
          <w:color w:val="000000"/>
          <w:sz w:val="22"/>
        </w:rPr>
        <w:t>COBRA</w:t>
      </w:r>
      <w:r>
        <w:rPr>
          <w:color w:val="000000"/>
        </w:rPr>
        <w:t>”</w:t>
      </w:r>
      <w:r>
        <w:rPr>
          <w:rFonts w:ascii="Times New Roman" w:hAnsi="Times New Roman"/>
          <w:color w:val="000000"/>
          <w:sz w:val="22"/>
        </w:rPr>
        <w:t>) for the period (the “</w:t>
      </w:r>
      <w:r>
        <w:rPr>
          <w:rFonts w:ascii="Times New Roman" w:hAnsi="Times New Roman"/>
          <w:b/>
          <w:i/>
          <w:color w:val="000000"/>
          <w:sz w:val="22"/>
        </w:rPr>
        <w:t>COBRA Premium Period</w:t>
      </w:r>
      <w:r>
        <w:rPr>
          <w:color w:val="000000"/>
        </w:rPr>
        <w:t>”</w:t>
      </w:r>
      <w:r>
        <w:rPr>
          <w:rFonts w:ascii="Times New Roman" w:hAnsi="Times New Roman"/>
          <w:color w:val="000000"/>
          <w:sz w:val="22"/>
        </w:rPr>
        <w:t xml:space="preserve">) commencing on June 1, 2025 through the earlier to occur of (i) nine (9) months thereafter; (ii) the date you become eligible for healthcare coverage from a subsequent employer or otherwise; or (iii) the date you cease to be eligible for COBRA continuation coverage for any reason, including plan termination. You agree to advise the Company in writing at people@nkartatx.com within five (5) business days if during the COBRA Premium Period you become eligible for healthcare coverage from a subsequent employer or otherwise or cease to be eligible for COBRA. The Company will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reimburse you for the COBRA premiums you pay pursuant to this Section 3.c within thirty (30) days of you presenting proof of payment of such COBRA premiums.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Vested Options Exercise Extension</w:t>
      </w:r>
      <w:r>
        <w:rPr>
          <w:rFonts w:ascii="Times New Roman" w:hAnsi="Times New Roman"/>
          <w:color w:val="000000"/>
          <w:sz w:val="22"/>
        </w:rPr>
        <w:t>. The deadline for you to exercise the Vested Options (as defined below in Section 5) shall be extended to the one year anniversary of the Separation Date (or the one year anniversary of the expiration or earlier termination of the “Term” provided for in your Consulting Agreement), subject to earlier termination upon a change of control of the Company (or similar event) as provided in the Equity Award Agreements (as defined below in Section 5) or last date of the maximum term of the grant (the “</w:t>
      </w:r>
      <w:r>
        <w:rPr>
          <w:rFonts w:ascii="Times New Roman" w:hAnsi="Times New Roman"/>
          <w:b/>
          <w:i/>
          <w:color w:val="000000"/>
          <w:sz w:val="22"/>
        </w:rPr>
        <w:t>Extended Exercise Period</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Outplacement Services</w:t>
      </w:r>
      <w:r>
        <w:rPr>
          <w:rFonts w:ascii="Times New Roman" w:hAnsi="Times New Roman"/>
          <w:color w:val="000000"/>
          <w:sz w:val="22"/>
        </w:rPr>
        <w:t>. The Company will provide you with outplacement services through Waldron d/b/a Torchiana (“</w:t>
      </w:r>
      <w:r>
        <w:rPr>
          <w:rFonts w:ascii="Times New Roman" w:hAnsi="Times New Roman"/>
          <w:b/>
          <w:i/>
          <w:color w:val="000000"/>
          <w:sz w:val="22"/>
        </w:rPr>
        <w:t>Torchiana</w:t>
      </w:r>
      <w:r>
        <w:rPr>
          <w:color w:val="000000"/>
        </w:rPr>
        <w:t>”</w:t>
      </w:r>
      <w:r>
        <w:rPr>
          <w:rFonts w:ascii="Times New Roman" w:hAnsi="Times New Roman"/>
          <w:color w:val="000000"/>
          <w:sz w:val="22"/>
        </w:rPr>
        <w:t xml:space="preserve">), with an aggregate value of $1,100 as of the date you are provided with this Agreement. To receive these outplacement services, you must enroll when contacted by Torchiana and engage in the services within ninety (90) days of the Effective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acknowledge and agree that the Severance Benefits (i) represent payments and benefits that you would not otherwise be entitled to receive without entering into this Agreement, (ii) fully satisfy all severance benefits due to you under the Severance Agreement, dated January 12, 2021, between the Company and you, and (iii) constitute sufficient consideration for the releases, covenants and promises provided by you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b/>
          <w:i/>
          <w:color w:val="000000"/>
          <w:sz w:val="22"/>
        </w:rPr>
        <w:t>Health Insurance</w:t>
      </w:r>
      <w:r>
        <w:rPr>
          <w:rFonts w:ascii="Times New Roman" w:hAnsi="Times New Roman"/>
          <w:color w:val="000000"/>
          <w:sz w:val="22"/>
        </w:rPr>
        <w:t xml:space="preserve">. Your coverage under the Company’s group healthcare insurance plan will end on March 31, 2025; provided, however, that you will be eligible to continue healthcare coverage for you and your eligible dependents under the Company’s group health insurance plans in accordance with COBRA, commencing on April 1, 2025, provided that you make a timely election for COBRA coverage and you pay the monthly COBRA premiums necessary to continue such coverage.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b/>
          <w:i/>
          <w:color w:val="000000"/>
          <w:sz w:val="22"/>
        </w:rPr>
        <w:t>Equity</w:t>
      </w:r>
      <w:r>
        <w:rPr>
          <w:rFonts w:ascii="Times New Roman" w:hAnsi="Times New Roman"/>
          <w:color w:val="000000"/>
          <w:sz w:val="22"/>
        </w:rPr>
        <w:t>. You acknowledge and agree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Company previously awarded you grants of stock options and/or restricted stock units as summarized in </w:t>
      </w:r>
      <w:r>
        <w:rPr>
          <w:rFonts w:ascii="Times New Roman" w:hAnsi="Times New Roman"/>
          <w:b/>
          <w:color w:val="000000"/>
          <w:sz w:val="22"/>
          <w:u w:val="single"/>
        </w:rPr>
        <w:t>Exhibit B</w:t>
      </w:r>
      <w:r>
        <w:rPr>
          <w:color w:val="000000"/>
        </w:rPr>
        <w:t xml:space="preserve"> </w:t>
      </w:r>
      <w:r>
        <w:rPr>
          <w:rFonts w:ascii="Times New Roman" w:hAnsi="Times New Roman"/>
          <w:color w:val="000000"/>
          <w:sz w:val="22"/>
        </w:rPr>
        <w:t>hereto (the “</w:t>
      </w:r>
      <w:r>
        <w:rPr>
          <w:rFonts w:ascii="Times New Roman" w:hAnsi="Times New Roman"/>
          <w:b/>
          <w:i/>
          <w:color w:val="000000"/>
          <w:sz w:val="22"/>
        </w:rPr>
        <w:t>Closing Statement</w:t>
      </w:r>
      <w:r>
        <w:rPr>
          <w:color w:val="000000"/>
        </w:rPr>
        <w:t>”</w:t>
      </w:r>
      <w:r>
        <w:rPr>
          <w:rFonts w:ascii="Times New Roman" w:hAnsi="Times New Roman"/>
          <w:color w:val="000000"/>
          <w:sz w:val="22"/>
        </w:rPr>
        <w:t>, and such awards, your “</w:t>
      </w:r>
      <w:r>
        <w:rPr>
          <w:rFonts w:ascii="Times New Roman" w:hAnsi="Times New Roman"/>
          <w:b/>
          <w:i/>
          <w:color w:val="000000"/>
          <w:sz w:val="22"/>
        </w:rPr>
        <w:t>Awards</w:t>
      </w:r>
      <w:r>
        <w:rPr>
          <w:color w:val="000000"/>
        </w:rPr>
        <w:t>”</w:t>
      </w:r>
      <w:r>
        <w:rPr>
          <w:rFonts w:ascii="Times New Roman" w:hAnsi="Times New Roman"/>
          <w:color w:val="000000"/>
          <w:sz w:val="22"/>
        </w:rPr>
        <w:t>). The award agreements from the Company that evidenced such awards and that you entered into (or electronically accepted, as the case may be) in connection with receiving such awards are referred to herein as the “</w:t>
      </w:r>
      <w:r>
        <w:rPr>
          <w:rFonts w:ascii="Times New Roman" w:hAnsi="Times New Roman"/>
          <w:b/>
          <w:i/>
          <w:color w:val="000000"/>
          <w:sz w:val="22"/>
        </w:rPr>
        <w:t>Equity Award Agreements</w:t>
      </w:r>
      <w:r>
        <w:rPr>
          <w:color w:val="000000"/>
        </w:rPr>
        <w:t>”</w:t>
      </w:r>
      <w:r>
        <w:rPr>
          <w:rFonts w:ascii="Times New Roman" w:hAnsi="Times New Roman"/>
          <w:color w:val="000000"/>
          <w:sz w:val="22"/>
        </w:rPr>
        <w:t>. In the event of a conflict between the Closing Statement and the applicable Equity Award Agreement, the Equity Award Agreement controls.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may otherwise be provided in your Consulting Agreement, you ceased vesting in any Awards as of the Separation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with respect to any Awards that are vested and outstanding as of the Separation Date (or as may become vested after the Separation Date in accordance with your Consulting Agreement), you do not own and you do not have any right to purchase, acquire or possess any security, derivative security or any other form of equity in the Company or any of its parent, subsidiaries or affiliates.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Pursuant to the terms of Section 3 above, provided that you timely sign and return this Agreement, do not revoke it, and comply with all of its terms, you will have the Extended Exercise Period to exercise any stock options previously granted to you by the Company that were outstanding and vested in accordance with their terms on the expiration or earlier termination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the Term provided for in your Consulting Agreement (the “</w:t>
      </w:r>
      <w:r>
        <w:rPr>
          <w:rFonts w:ascii="Times New Roman" w:hAnsi="Times New Roman"/>
          <w:b/>
          <w:i/>
          <w:color w:val="000000"/>
          <w:sz w:val="22"/>
        </w:rPr>
        <w:t>Vested Options</w:t>
      </w:r>
      <w:r>
        <w:rPr>
          <w:color w:val="000000"/>
        </w:rPr>
        <w:t>”</w:t>
      </w:r>
      <w:r>
        <w:rPr>
          <w:rFonts w:ascii="Times New Roman" w:hAnsi="Times New Roman"/>
          <w:color w:val="000000"/>
          <w:sz w:val="22"/>
        </w:rPr>
        <w:t>), with your Vested Options as reflected in the Closing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that any of your Vested Options were otherwise intended to be “incentive stock options” under Section 422 of the U.S. Internal Revenue Code, the modification of such Vested Options to provide the Extended Exercise Period results in such Vested Options now being treated as nonqualified stock options under the tax laws and therefore subject to taxation as ordinary wage income (and subject to applicable withholding) at the time of exercise. You are hereby advised to consult with your own tax advisor for more information on the effect of the Extended Exercise Period, and you hereby accept such change in tax treatment as to any such Vested Options that were otherwise intended as incentive stock options.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b/>
          <w:i/>
          <w:color w:val="000000"/>
          <w:sz w:val="22"/>
        </w:rPr>
        <w:t>Return of Property; Confidentiality Agreement</w:t>
      </w:r>
      <w:r>
        <w:rPr>
          <w:rFonts w:ascii="Times New Roman" w:hAnsi="Times New Roman"/>
          <w:color w:val="000000"/>
          <w:sz w:val="22"/>
        </w:rPr>
        <w:t>. You hereby confirm that you will comply with your obligations under the At-Will Employment, Confidential Information, Invention Assignment and Arbitration Agreement between the Company and you (the “</w:t>
      </w:r>
      <w:r>
        <w:rPr>
          <w:rFonts w:ascii="Times New Roman" w:hAnsi="Times New Roman"/>
          <w:b/>
          <w:i/>
          <w:color w:val="000000"/>
          <w:sz w:val="22"/>
        </w:rPr>
        <w:t>Confidentiality Agreement</w:t>
      </w:r>
      <w:r>
        <w:rPr>
          <w:color w:val="000000"/>
        </w:rPr>
        <w:t>”</w:t>
      </w:r>
      <w:r>
        <w:rPr>
          <w:rFonts w:ascii="Times New Roman" w:hAnsi="Times New Roman"/>
          <w:color w:val="000000"/>
          <w:sz w:val="22"/>
        </w:rPr>
        <w:t xml:space="preserve">) that survive the termination of your employment with the Company, specifically including the provisions therein regarding nondisclosure of the Company’s trade secrets and confidential and proprietary information.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b/>
          <w:i/>
          <w:color w:val="000000"/>
          <w:sz w:val="22"/>
        </w:rPr>
        <w:t xml:space="preserve">Release of Claims. </w:t>
      </w:r>
      <w:r>
        <w:rPr>
          <w:rFonts w:ascii="Times New Roman" w:hAnsi="Times New Roman"/>
          <w:color w:val="000000"/>
          <w:sz w:val="22"/>
        </w:rPr>
        <w:t>You agree that the foregoing consideration represents settlement in full of all outstanding obligations owed to you by the Company and is satisfactory consideration for the Release of Claims set forth herein. On behalf of yourself, and each of your heirs, family members, executors and assigns, you hereby fully and forever release the Company, its parent, subsidiary and affiliated companies, past and present, and their successors, and each of its and their respective officers, agents, directors, employees, investors, stockholders, administrators, affiliates, divisions, subsidiaries, parents, predecessor and successor corporations, assigns and professional employer organizations utilized by the Company (the “</w:t>
      </w:r>
      <w:r>
        <w:rPr>
          <w:rFonts w:ascii="Times New Roman" w:hAnsi="Times New Roman"/>
          <w:b/>
          <w:i/>
          <w:color w:val="000000"/>
          <w:sz w:val="22"/>
        </w:rPr>
        <w:t>Releasees</w:t>
      </w:r>
      <w:r>
        <w:rPr>
          <w:color w:val="000000"/>
        </w:rPr>
        <w:t>”</w:t>
      </w:r>
      <w:r>
        <w:rPr>
          <w:rFonts w:ascii="Times New Roman" w:hAnsi="Times New Roman"/>
          <w:color w:val="000000"/>
          <w:sz w:val="22"/>
        </w:rPr>
        <w:t>), from, and agree not to sue concerning, or in any manner to institute, prosecute or pursue, or cause to be instituted, prosecuted, or pursued, any claim, charge or cause of action relating to any matters of any kind, whether presently known or unknown, suspected or unsuspected, that you may possess against any of the Releasees arising from any omissions, acts or facts that have occurred up until and including the date you sign this Agreement (collectively, “</w:t>
      </w:r>
      <w:r>
        <w:rPr>
          <w:rFonts w:ascii="Times New Roman" w:hAnsi="Times New Roman"/>
          <w:b/>
          <w:i/>
          <w:color w:val="000000"/>
          <w:sz w:val="22"/>
        </w:rPr>
        <w:t>Claims</w:t>
      </w:r>
      <w:r>
        <w:rPr>
          <w:color w:val="000000"/>
        </w:rPr>
        <w:t>”</w:t>
      </w:r>
      <w:r>
        <w:rPr>
          <w:rFonts w:ascii="Times New Roman" w:hAnsi="Times New Roman"/>
          <w:color w:val="000000"/>
          <w:sz w:val="22"/>
        </w:rPr>
        <w:t xml:space="preserve">) including, without limitation, (a) any and all Claims relating to or arising from your employment relationship with the Company and the termination of that relationship; (b) any and all Claims for wrongful discharge of employment; termination in violation of public policy; discrimination; harassment; retaliation; breach of contract, both express and implied (including but not limited to the offer letter between the Company and you),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 (c) any and all Claims for or arising out of any violation of any federal, state or municipal law, regulation, ordinance, constitution or common law, including, but not limited to, Title VII of the Civil Rights Act of 1964; the Civil Rights Act of 1991; the Age Discrimination in Employment Act of 1967; the Americans with Disabilities Act of 1990; the Fair Labor Standards Act; the Family Medical Leave Act; the Employee Retirement Income Security Act of 1974; the Worker Adjustment and Retraining Notification Act; the Sarbanes-Oxley Act; the California Labor Code; the California Fair Employment and Housing Act; the California Family Rights Act, the California Government Code, and the California Business and Professions Code; (d) any Claims for severance pay, bonus, commissions sick leave, holiday pay, vacation pay, paid time off, equity compensation, life insurance, health and/or medical insurance or any other fringe benefit; and (e) any and all Claims for attorneys' fees, costs and penalties. This release does not extend to any claims that cannot be released as a matter of applicable law, any claims for any breach of any obligations of the Company arising under this Agreement or any claims arising after the date of this Agreement. Notwithstanding anything to the contrary herein, the release does not waive any rights or claims that cannot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be waived as a matter of law, including claims for unemployment insurance and/or workers’ compensation benefits.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b/>
          <w:i/>
          <w:color w:val="000000"/>
          <w:sz w:val="22"/>
        </w:rPr>
        <w:t>Waiver of Unknown Claims</w:t>
      </w:r>
      <w:r>
        <w:rPr>
          <w:rFonts w:ascii="Times New Roman" w:hAnsi="Times New Roman"/>
          <w:color w:val="000000"/>
          <w:sz w:val="22"/>
        </w:rPr>
        <w:t xml:space="preserve">. You acknowledge that, by signing this Agreement, you intend for the general release of claims in Section 7 above to extend to each and every Claim, demand and cause of action hereinabove specified, including but not limited to claims that are unknown or unsuspected by you. In so doing, you expressly acknowledge that you are knowingly waiving rights you may have under any applicable state, federal or local law that restricts the right of a person to waive unknown or unsuspected claims, including but not limited to California Civil Code Section 1542, which provides as follows: </w:t>
      </w:r>
    </w:p>
    <w:p>
      <w:pPr>
        <w:pStyle w:val="TextBody"/>
        <w:bidi w:val="0"/>
        <w:spacing w:before="0" w:after="240"/>
        <w:jc w:val="both"/>
        <w:rPr>
          <w:rFonts w:ascii="Times New Roman" w:hAnsi="Times New Roman"/>
          <w:sz w:val="20"/>
        </w:rPr>
      </w:pP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b/>
          <w:i/>
          <w:color w:val="000000"/>
          <w:sz w:val="22"/>
        </w:rPr>
        <w:t>Waiver Of Age Discrimination Claims</w:t>
      </w:r>
      <w:r>
        <w:rPr>
          <w:rFonts w:ascii="Times New Roman" w:hAnsi="Times New Roman"/>
          <w:color w:val="000000"/>
          <w:sz w:val="22"/>
        </w:rPr>
        <w:t>. You expressly acknowledge and agree that, by entering into this Agreement, you are waiving any and all rights or claims that you may have arising under the Age Discrimination in Employment Act of 1967, as amended (the “</w:t>
      </w:r>
      <w:r>
        <w:rPr>
          <w:rFonts w:ascii="Times New Roman" w:hAnsi="Times New Roman"/>
          <w:b/>
          <w:i/>
          <w:color w:val="000000"/>
          <w:sz w:val="22"/>
        </w:rPr>
        <w:t>ADEA</w:t>
      </w:r>
      <w:r>
        <w:rPr>
          <w:color w:val="000000"/>
        </w:rPr>
        <w:t>”</w:t>
      </w:r>
      <w:r>
        <w:rPr>
          <w:rFonts w:ascii="Times New Roman" w:hAnsi="Times New Roman"/>
          <w:color w:val="000000"/>
          <w:sz w:val="22"/>
        </w:rPr>
        <w:t>), which have arisen on or before the date that you sign this Agreement. You further expressly acknowledge and agree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return for this Agreement, you will receive consideration, i.e., something of value, beyond that which you were already entitled to receive before entering into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are hereby advised in writing to consult with an attorney before signing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are hereby advised that (i) you have forty-five (45) days within which to consider this Agreement from the date it was first provided to you on March 26, 2025, (ii) the 45-day period to consider this Agreement will not re-start or be extended if any changes (whether material or immaterial) are made to this Agreement after the date it is first provided to you, and (iii) if you sign this Agreement before the end of such 45-day period, you acknowledge and agree that you will have done so voluntarily and with full knowledge that you are waiving your right to have 45 days to consider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are hereby advised that you have seven (7) days following the date that you sign this Agreement in which to revoke the Agreement, and that this Agreement will become null and void if you elect revocation during that time. Any revocation must be in writing and must be received by the Company (delivered to Bridgette Housley at bhousley@nkartatx.com) during the seven-day revocation period. In the event that you timely exercise your right of revocation, neither the Company nor you will have any obligations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You have been informed in writing of the eligibility factors for the Company’s severance program in connection with the pending reduction in force that is being implemented by the Company (the “</w:t>
      </w:r>
      <w:r>
        <w:rPr>
          <w:rFonts w:ascii="Times New Roman" w:hAnsi="Times New Roman"/>
          <w:b/>
          <w:i/>
          <w:color w:val="000000"/>
          <w:sz w:val="22"/>
        </w:rPr>
        <w:t>Program</w:t>
      </w:r>
      <w:r>
        <w:rPr>
          <w:color w:val="000000"/>
        </w:rPr>
        <w:t>”</w:t>
      </w:r>
      <w:r>
        <w:rPr>
          <w:rFonts w:ascii="Times New Roman" w:hAnsi="Times New Roman"/>
          <w:color w:val="000000"/>
          <w:sz w:val="22"/>
        </w:rPr>
        <w:t xml:space="preserve">), any time limits applicable to the Program, the job titles and ages of all employees selected for the Program, and the ages and job titles of the employees in the same decisional unit or job classification as you who were not selected for the Program, as set forth in </w:t>
      </w:r>
      <w:r>
        <w:rPr>
          <w:rFonts w:ascii="Times New Roman" w:hAnsi="Times New Roman"/>
          <w:b/>
          <w:color w:val="000000"/>
          <w:sz w:val="22"/>
          <w:u w:val="single"/>
        </w:rPr>
        <w:t>Exhibit C</w:t>
      </w:r>
      <w:r>
        <w:rPr>
          <w:color w:val="000000"/>
        </w:rPr>
        <w:t xml:space="preserve"> </w:t>
      </w:r>
      <w:r>
        <w:rPr>
          <w:rFonts w:ascii="Times New Roman" w:hAnsi="Times New Roman"/>
          <w:color w:val="000000"/>
          <w:sz w:val="22"/>
        </w:rPr>
        <w:t>to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in this Agreement prevents or precludes you from challenging or seeking a determination in good faith of the validity of this waiver under the ADEA, nor does it impose any condition precedent, penalties or costs from doing so, unless specifically authorized by federal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b/>
          <w:i/>
          <w:color w:val="000000"/>
          <w:sz w:val="22"/>
        </w:rPr>
        <w:t>No Pending or Future Lawsuits</w:t>
      </w:r>
      <w:r>
        <w:rPr>
          <w:rFonts w:ascii="Times New Roman" w:hAnsi="Times New Roman"/>
          <w:color w:val="000000"/>
          <w:sz w:val="22"/>
        </w:rPr>
        <w:t>. You represent that you have no lawsuits, claims, or actions pending in your name, or on behalf of any other person or entity, against the Company or any of the Releasees. You also represent that you do not intend to bring any claims on your</w:t>
      </w:r>
      <w:r>
        <w:rPr>
          <w:color w:val="000000"/>
        </w:rPr>
        <w:t xml:space="preserve"> </w:t>
      </w:r>
      <w:r>
        <w:rPr>
          <w:rFonts w:ascii="Times New Roman" w:hAnsi="Times New Roman"/>
          <w:color w:val="000000"/>
          <w:sz w:val="22"/>
        </w:rPr>
        <w:t xml:space="preserve">own behalf or on behalf of any other person or entity against the Company or any of the Releasees.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b/>
          <w:i/>
          <w:color w:val="000000"/>
          <w:sz w:val="22"/>
        </w:rPr>
        <w:t>Cooperation</w:t>
      </w:r>
      <w:r>
        <w:rPr>
          <w:rFonts w:ascii="Times New Roman" w:hAnsi="Times New Roman"/>
          <w:color w:val="000000"/>
          <w:sz w:val="22"/>
        </w:rPr>
        <w:t xml:space="preserve">. You hereby agree that, following the Separation Date, you will reasonably cooperate with the Company in connection with the defense of, or prosecution by, the Company or any of its parents, subsidiaries or affiliates with respect to any threatened or pending litigation or in any investigation or proceeding by any governmental agency or body that relates to any events or actions which occurred during the term of your employment with the Company. The Company agrees that it will allow you to invoice for time spent at the hourly rate as stated in your Consulting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b/>
          <w:i/>
          <w:color w:val="000000"/>
          <w:sz w:val="22"/>
        </w:rPr>
        <w:t>Protected Rights</w:t>
      </w:r>
      <w:r>
        <w:rPr>
          <w:rFonts w:ascii="Times New Roman" w:hAnsi="Times New Roman"/>
          <w:color w:val="000000"/>
          <w:sz w:val="22"/>
        </w:rPr>
        <w:t>. Notwithstanding any provision to the contrary in this Agreement or your Confidentiality Agreement, you are hereby provided notice, and you acknowledge and understand that nothing in this Agreement or the Confidentiality Agreement limits your ability to (a) file a charge or complaint with the Equal Employment Opportunity Commission, the National Labor Relations Board, the Occupational Safety and Health Administration, the Securities and Exchange Commission, a state or federal attorney general or any other federal, state or local government agency or commission (“</w:t>
      </w:r>
      <w:r>
        <w:rPr>
          <w:rFonts w:ascii="Times New Roman" w:hAnsi="Times New Roman"/>
          <w:b/>
          <w:i/>
          <w:color w:val="000000"/>
          <w:sz w:val="22"/>
        </w:rPr>
        <w:t>Government Agencies</w:t>
      </w:r>
      <w:r>
        <w:rPr>
          <w:color w:val="000000"/>
        </w:rPr>
        <w:t>”</w:t>
      </w:r>
      <w:r>
        <w:rPr>
          <w:rFonts w:ascii="Times New Roman" w:hAnsi="Times New Roman"/>
          <w:color w:val="000000"/>
          <w:sz w:val="22"/>
        </w:rPr>
        <w:t>); (b) communicate with any Government Agencies or otherwise participate in any investigation or proceeding that may be conducted by any Government Agency, including providing documents or other information, without notice to the Company; (c) provide truthful information as may be required by law or by any court, arbitrator or administrative of legislative body (including any committee thereof) with actual or apparent jurisdiction to order you to disclose or make accessible such information; (d) exercise your rights (if any) under Section 7 of the National Labor Relations Act; or (e) discuss or disclose information about unlawful acts in the workplace, such as harassment or discrimination or any other conduct that you have reason to believe is unlawful. However, by signing this Agreement you waive your right to recover individual relief based on any claims asserted in any charge or complaint filed with or submitted to a Government Agency with the exception that this Agreement does not limit your right to receive an award for information provided to any Government Agencies authorized to provide monetary or other awards to eligible individuals who come forward with information that leads to an agency enforcement action. You are hereby provided notice that under the 2016 Defend Trade Secrets Act (“</w:t>
      </w:r>
      <w:r>
        <w:rPr>
          <w:rFonts w:ascii="Times New Roman" w:hAnsi="Times New Roman"/>
          <w:b/>
          <w:i/>
          <w:color w:val="000000"/>
          <w:sz w:val="22"/>
        </w:rPr>
        <w:t>DTSA</w:t>
      </w:r>
      <w:r>
        <w:rPr>
          <w:color w:val="000000"/>
        </w:rPr>
        <w:t>”</w:t>
      </w:r>
      <w:r>
        <w:rPr>
          <w:rFonts w:ascii="Times New Roman" w:hAnsi="Times New Roman"/>
          <w:color w:val="000000"/>
          <w:sz w:val="22"/>
        </w:rPr>
        <w:t>): (a) no individual will be held criminally or civilly liable under Federal or State trade secret law for the disclosure of a trade secret (as defined in the Economic Espionage Act) that: (i) is made in confidence to a federal, state, or local government official, either directly or indirectly, or to an attorney; and made solely for the purpose of reporting or investigating a suspected violation of law; or (ii) is made in a complaint or other document filed in a lawsuit or other proceeding, if such filing is made under seal so that it is not made public; and (b)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b/>
          <w:i/>
          <w:color w:val="000000"/>
          <w:sz w:val="22"/>
        </w:rPr>
        <w:t>Successors and Assigns</w:t>
      </w:r>
      <w:r>
        <w:rPr>
          <w:rFonts w:ascii="Times New Roman" w:hAnsi="Times New Roman"/>
          <w:color w:val="000000"/>
          <w:sz w:val="22"/>
        </w:rPr>
        <w:t xml:space="preserve">. This Agreement shall be binding upon each of the parties and upon their respective heirs, administrators, representatives, executors, successors and assigns, and shall inure to the benefit of each party and to their heirs, administrators, representatives, executors, successors, and assigns. This Agreement may be assigned by the Company without restriction (including but not limited to, in connection with any merger, reorganization, sale of assets or securities of the Company,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otherwise). Because this Agreement contains obligations that are personal to you, you are not entitled to assign this Agreement.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b/>
          <w:i/>
          <w:color w:val="000000"/>
          <w:sz w:val="22"/>
        </w:rPr>
        <w:t>No Admission of Liability</w:t>
      </w:r>
      <w:r>
        <w:rPr>
          <w:rFonts w:ascii="Times New Roman" w:hAnsi="Times New Roman"/>
          <w:color w:val="000000"/>
          <w:sz w:val="22"/>
        </w:rPr>
        <w:t xml:space="preserve">. You understand and acknowledge that this Agreement constitutes a compromise and settlement of any and all potential disputed claims. No action taken by the Company hereto, either previously or in connection with this Agreement, shall be deemed or construed to be: (a) an admission of the truth or falsity of any potential claims; or (b) an acknowledgment or admission by the Company of any fault or liability whatsoever to you or to any third party.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rFonts w:ascii="Times New Roman" w:hAnsi="Times New Roman"/>
          <w:b/>
          <w:i/>
          <w:color w:val="000000"/>
          <w:sz w:val="22"/>
        </w:rPr>
        <w:t>Tax Matters</w:t>
      </w:r>
      <w:r>
        <w:rPr>
          <w:rFonts w:ascii="Times New Roman" w:hAnsi="Times New Roman"/>
          <w:color w:val="000000"/>
          <w:sz w:val="22"/>
        </w:rPr>
        <w:t>. Other than the Company’s obligation and right to make applicable tax withholdings from the wages paid to you through the Separation Date and the Severance Payment, you will be responsible for any and all taxes, interest, and penalties that may be imposed with respect to the payments and benefits provided to you as contemplated by this Agreement (including, but not limited to, those that may be imposed on you under Internal Revenue Code Section 409A). You acknowledge and agree that (i) you have had the opportunity to consult with accountants and financial advisors of your own choosing with respect to any tax obligations that may be imposed on you as a result of any payment or benefit received or provided under this Agreement or the transactions contemplated by this Agreement and (ii) you have neither received nor relied upon any tax advice from the Company or its attorneys or accountants with respect to any tax obligations that may be imposed on you as a result of any payment or benefit received or provided under this Agreement or the transactions contemplated by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pPr>
      <w:r>
        <w:rPr>
          <w:rFonts w:ascii="Times New Roman" w:hAnsi="Times New Roman"/>
          <w:b/>
          <w:i/>
          <w:color w:val="000000"/>
          <w:sz w:val="22"/>
        </w:rPr>
        <w:t>Governing Law; Severability; Modifications; Non-Waiver</w:t>
      </w:r>
      <w:r>
        <w:rPr>
          <w:rFonts w:ascii="Times New Roman" w:hAnsi="Times New Roman"/>
          <w:color w:val="000000"/>
          <w:sz w:val="22"/>
        </w:rPr>
        <w:t>. The laws of the State of California govern this Agreement, regardless of the laws that might otherwise govern under applicable principles of conflict of law thereof. In the event that any portion of this Agreement or the application thereof, becomes or is declared by a court of competent jurisdiction to be illegal, void or unenforceable, the remainder of this Agreement will continue in full force and effect and the application of such portion to other persons or circumstances will be interpreted so as reasonable to effect the intent of the parties hereto. This Agreement may not be modified, amended, altered or supplemented except by the execution and delivery of a written agreement executed by you and an authorized representative of the Company or by a court of competent jurisdiction. No waiver of any breach of any term or provision of this Agreement shall be construed to be, nor shall be, a waiver of any other breach of this Agreement. No waiver shall be binding unless in writing and signed by the party waiving the breach.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240"/>
        <w:jc w:val="both"/>
        <w:rPr/>
      </w:pPr>
      <w:r>
        <w:rPr>
          <w:rFonts w:ascii="Times New Roman" w:hAnsi="Times New Roman"/>
          <w:b/>
          <w:i/>
          <w:color w:val="000000"/>
          <w:sz w:val="22"/>
        </w:rPr>
        <w:t>Arbitration</w:t>
      </w:r>
      <w:r>
        <w:rPr>
          <w:rFonts w:ascii="Times New Roman" w:hAnsi="Times New Roman"/>
          <w:color w:val="000000"/>
          <w:sz w:val="22"/>
        </w:rPr>
        <w:t xml:space="preserve">. Any controversy or claim that either the Company or you may have arising out of or relating to this Agreement, or the breach thereof, shall be settled by final and binding arbitration in accordance with terms set forth in the Confidentiality Agreement. The judgment on the award rendered by the arbitrator may be entered in any court having jurisdiction thereof, provided however, that each party will have a right to seek provisional injunctive or other provisional equitable relief in a court of law. </w:t>
      </w:r>
      <w:r>
        <w:rPr>
          <w:rFonts w:ascii="Times New Roman" w:hAnsi="Times New Roman"/>
          <w:b/>
          <w:i/>
          <w:color w:val="000000"/>
          <w:sz w:val="22"/>
        </w:rPr>
        <w:t>By executing this Agreement, the Company and you are waiving their respective rights to a jury trial.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w:t>
      </w:r>
    </w:p>
    <w:p>
      <w:pPr>
        <w:pStyle w:val="TextBody"/>
        <w:bidi w:val="0"/>
        <w:spacing w:before="0" w:after="240"/>
        <w:jc w:val="both"/>
        <w:rPr/>
      </w:pPr>
      <w:r>
        <w:rPr>
          <w:rFonts w:ascii="Times New Roman" w:hAnsi="Times New Roman"/>
          <w:b/>
          <w:i/>
          <w:color w:val="000000"/>
          <w:sz w:val="22"/>
        </w:rPr>
        <w:t>Voluntary Execution of Agreement</w:t>
      </w:r>
      <w:r>
        <w:rPr>
          <w:rFonts w:ascii="Times New Roman" w:hAnsi="Times New Roman"/>
          <w:color w:val="000000"/>
          <w:sz w:val="22"/>
        </w:rPr>
        <w:t xml:space="preserve">. You acknowledge and agree that (a) you have signed this Agreement voluntarily and without any duress or undue influence with the full intent of releasing all claims in favor of the Releasees; (b) you have read this Agreement; (c) you have had the opportunity to seek and be represented by legal counsel of your own choice in the negotiation and preparation of this Agreement; (d) you understand the terms and consequences of this Agreement and of the releases it contains; (e) you are fully aware of the legal and binding effect of this Agreement; and (f) this Agreement has been mutually drafted by the parties and shall not be construed against either party as the drafter.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19.</w:t>
      </w:r>
    </w:p>
    <w:p>
      <w:pPr>
        <w:pStyle w:val="TextBody"/>
        <w:bidi w:val="0"/>
        <w:spacing w:before="0" w:after="240"/>
        <w:jc w:val="both"/>
        <w:rPr/>
      </w:pPr>
      <w:r>
        <w:rPr>
          <w:rFonts w:ascii="Times New Roman" w:hAnsi="Times New Roman"/>
          <w:b/>
          <w:i/>
          <w:color w:val="000000"/>
          <w:sz w:val="22"/>
        </w:rPr>
        <w:t>Entire Agreement.</w:t>
      </w:r>
      <w:r>
        <w:rPr>
          <w:color w:val="000000"/>
        </w:rPr>
        <w:t xml:space="preserve"> </w:t>
      </w:r>
      <w:r>
        <w:rPr>
          <w:rFonts w:ascii="Times New Roman" w:hAnsi="Times New Roman"/>
          <w:color w:val="000000"/>
          <w:sz w:val="22"/>
        </w:rPr>
        <w:t xml:space="preserve">This Agreement, along with the Confidentiality Agreement and the Equity Award Agreements, constitute and contain the entire agreement and final understanding concerning your employment with the Company, the termination of your employment, and the other subject matters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addressed herein between the parties. It is intended by the parties as a complete and exclusive statement of the terms of their agreement. It supersedes and replaces all prior negotiations and all agreements proposed or otherwise, whether written or oral, concerning the subject matters hereof. Any representation, promise or agreement not specifically included in this Agreement shall not be binding upon or enforceable against either party. This is a fully integrated agreement.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20.</w:t>
      </w:r>
    </w:p>
    <w:p>
      <w:pPr>
        <w:pStyle w:val="TextBody"/>
        <w:bidi w:val="0"/>
        <w:spacing w:before="0" w:after="240"/>
        <w:jc w:val="both"/>
        <w:rPr/>
      </w:pPr>
      <w:r>
        <w:rPr>
          <w:rFonts w:ascii="Times New Roman" w:hAnsi="Times New Roman"/>
          <w:b/>
          <w:i/>
          <w:color w:val="000000"/>
          <w:sz w:val="22"/>
        </w:rPr>
        <w:t>Counterparts</w:t>
      </w:r>
      <w:r>
        <w:rPr>
          <w:rFonts w:ascii="Times New Roman" w:hAnsi="Times New Roman"/>
          <w:color w:val="000000"/>
          <w:sz w:val="22"/>
        </w:rPr>
        <w:t xml:space="preserve">. This Agreement may be executed in counterparts, and each counterpart shall have the same force and effect as an original and shall constitute an effective, binding agreement on the part of each of the undersigned. Either party may execute this letter agreement by signing on the designated signature block below, and by transmitting such signature page via e-mail (via PDF format) or any electronic signing services to the other party. Any signature made and transmitted by e-mail (via PDF format) or any electronic signing services for the purpose of executing this letter agreement shall be deemed an original signature for purposes of this letter agreement, and shall be binding upon the party transmitting his/her signature by e-mail (via PDF format) or any electronic signing services. </w:t>
      </w:r>
    </w:p>
    <w:p>
      <w:pPr>
        <w:pStyle w:val="TextBody"/>
        <w:bidi w:val="0"/>
        <w:spacing w:before="0" w:after="160"/>
        <w:jc w:val="center"/>
        <w:rPr>
          <w:rFonts w:ascii="Times New Roman" w:hAnsi="Times New Roman"/>
          <w:sz w:val="20"/>
        </w:rPr>
      </w:pPr>
      <w:r>
        <w:rPr>
          <w:rFonts w:ascii="Times New Roman" w:hAnsi="Times New Roman"/>
          <w:color w:val="000000"/>
          <w:sz w:val="22"/>
        </w:rPr>
        <w:t>[</w:t>
      </w:r>
      <w:r>
        <w:rPr>
          <w:rFonts w:ascii="Times New Roman" w:hAnsi="Times New Roman"/>
          <w:b/>
          <w:i/>
          <w:color w:val="000000"/>
          <w:sz w:val="22"/>
        </w:rPr>
        <w:t>Signature page to follow</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color w:val="000000"/>
          <w:sz w:val="22"/>
        </w:rPr>
        <w:t>WHEREAS, the Parties hereby enter into this Separation and General Release Agreement as of the Effective Date.</w:t>
      </w:r>
      <w:r>
        <w:rPr>
          <w:rFonts w:ascii="Times New Roman" w:hAnsi="Times New Roman"/>
          <w:color w:val="000000"/>
          <w:sz w:val="20"/>
        </w:rPr>
        <w:t xml:space="preserve"> </w:t>
      </w:r>
    </w:p>
    <w:p>
      <w:pPr>
        <w:pStyle w:val="TextBody"/>
        <w:bidi w:val="0"/>
        <w:spacing w:before="0" w:after="96"/>
        <w:jc w:val="center"/>
        <w:rPr>
          <w:rFonts w:ascii="Times New Roman" w:hAnsi="Times New Roman"/>
          <w:sz w:val="20"/>
        </w:rPr>
      </w:pPr>
      <w:r>
        <w:rPr>
          <w:rFonts w:ascii="Times New Roman" w:hAnsi="Times New Roman"/>
          <w:color w:val="000000"/>
          <w:sz w:val="22"/>
        </w:rPr>
        <w:t>[</w:t>
      </w:r>
      <w:r>
        <w:rPr>
          <w:rFonts w:ascii="Times New Roman" w:hAnsi="Times New Roman"/>
          <w:b/>
          <w:i/>
          <w:color w:val="000000"/>
          <w:sz w:val="22"/>
        </w:rPr>
        <w:t>This Agreement must be signed by no later than 5:00 pm on May 15, 2025</w:t>
      </w:r>
      <w:r>
        <w:rPr>
          <w:rFonts w:ascii="Times New Roman" w:hAnsi="Times New Roman"/>
          <w:color w:val="000000"/>
          <w:sz w:val="22"/>
        </w:rPr>
        <w:t>]</w:t>
      </w:r>
    </w:p>
    <w:p>
      <w:pPr>
        <w:pStyle w:val="TextBody"/>
        <w:bidi w:val="0"/>
        <w:spacing w:before="0" w:after="96"/>
        <w:jc w:val="left"/>
        <w:rPr/>
      </w:pPr>
      <w:r>
        <w:rPr/>
        <w:t> </w:t>
      </w:r>
    </w:p>
    <w:p>
      <w:pPr>
        <w:pStyle w:val="TextBody"/>
        <w:bidi w:val="0"/>
        <w:spacing w:before="0" w:after="96"/>
        <w:jc w:val="left"/>
        <w:rPr>
          <w:rFonts w:ascii="Times New Roman" w:hAnsi="Times New Roman"/>
          <w:b/>
          <w:color w:val="000000"/>
          <w:sz w:val="22"/>
        </w:rPr>
      </w:pPr>
      <w:r>
        <w:rPr>
          <w:rFonts w:ascii="Times New Roman" w:hAnsi="Times New Roman"/>
          <w:b/>
          <w:color w:val="000000"/>
          <w:sz w:val="22"/>
        </w:rPr>
        <w:t>ALYSSA LEVIN</w:t>
      </w:r>
    </w:p>
    <w:p>
      <w:pPr>
        <w:pStyle w:val="TextBody"/>
        <w:bidi w:val="0"/>
        <w:spacing w:before="0" w:after="96"/>
        <w:jc w:val="left"/>
        <w:rPr/>
      </w:pPr>
      <w:r>
        <w:rPr/>
        <w:t> </w:t>
      </w:r>
    </w:p>
    <w:p>
      <w:pPr>
        <w:pStyle w:val="TextBody"/>
        <w:bidi w:val="0"/>
        <w:spacing w:before="0" w:after="3"/>
        <w:jc w:val="left"/>
        <w:rPr>
          <w:rFonts w:ascii="Times New Roman" w:hAnsi="Times New Roman"/>
          <w:sz w:val="20"/>
        </w:rPr>
      </w:pPr>
      <w:r>
        <w:rPr>
          <w:rFonts w:ascii="Times New Roman" w:hAnsi="Times New Roman"/>
          <w:color w:val="000000"/>
          <w:sz w:val="22"/>
          <w:u w:val="single"/>
        </w:rPr>
        <w:t xml:space="preserve">/s/ Alyssa Levin </w:t>
      </w:r>
      <w:r>
        <w:rPr>
          <w:rFonts w:ascii="Times New Roman" w:hAnsi="Times New Roman"/>
          <w:color w:val="000000"/>
          <w:sz w:val="22"/>
        </w:rPr>
        <w:t xml:space="preserve">Date: </w:t>
      </w:r>
      <w:r>
        <w:rPr>
          <w:rFonts w:ascii="Times New Roman" w:hAnsi="Times New Roman"/>
          <w:color w:val="000000"/>
          <w:sz w:val="22"/>
          <w:u w:val="single"/>
        </w:rPr>
        <w:t>4/2/2025</w:t>
      </w:r>
      <w:r>
        <w:rPr>
          <w:rFonts w:ascii="Times New Roman" w:hAnsi="Times New Roman"/>
          <w:color w:val="000000"/>
          <w:sz w:val="20"/>
        </w:rPr>
        <w:t xml:space="preserve"> </w:t>
      </w:r>
    </w:p>
    <w:p>
      <w:pPr>
        <w:pStyle w:val="TextBody"/>
        <w:bidi w:val="0"/>
        <w:spacing w:before="0" w:after="3"/>
        <w:jc w:val="left"/>
        <w:rPr>
          <w:rFonts w:ascii="Times New Roman" w:hAnsi="Times New Roman"/>
          <w:color w:val="000000"/>
          <w:sz w:val="22"/>
        </w:rPr>
      </w:pPr>
      <w:r>
        <w:rPr>
          <w:rFonts w:ascii="Times New Roman" w:hAnsi="Times New Roman"/>
          <w:color w:val="000000"/>
          <w:sz w:val="22"/>
        </w:rPr>
        <w:t>Alyssa Levin</w:t>
      </w:r>
    </w:p>
    <w:p>
      <w:pPr>
        <w:pStyle w:val="TextBody"/>
        <w:bidi w:val="0"/>
        <w:spacing w:before="0" w:after="96"/>
        <w:jc w:val="left"/>
        <w:rPr>
          <w:rFonts w:ascii="Times New Roman" w:hAnsi="Times New Roman"/>
          <w:b/>
          <w:color w:val="000000"/>
          <w:sz w:val="22"/>
        </w:rPr>
      </w:pPr>
      <w:r>
        <w:rPr>
          <w:rFonts w:ascii="Times New Roman" w:hAnsi="Times New Roman"/>
          <w:b/>
          <w:color w:val="000000"/>
          <w:sz w:val="22"/>
        </w:rPr>
        <w:t>NKARTA, INC.</w:t>
      </w:r>
    </w:p>
    <w:p>
      <w:pPr>
        <w:pStyle w:val="TextBody"/>
        <w:bidi w:val="0"/>
        <w:spacing w:before="0" w:after="3"/>
        <w:jc w:val="left"/>
        <w:rPr>
          <w:rFonts w:ascii="Times New Roman" w:hAnsi="Times New Roman"/>
          <w:sz w:val="20"/>
        </w:rPr>
      </w:pPr>
      <w:r>
        <w:rPr>
          <w:rFonts w:ascii="Times New Roman" w:hAnsi="Times New Roman"/>
          <w:color w:val="000000"/>
          <w:sz w:val="22"/>
          <w:u w:val="single"/>
        </w:rPr>
        <w:t xml:space="preserve">/s/ Nadir Mahmood </w:t>
      </w:r>
      <w:r>
        <w:rPr>
          <w:rFonts w:ascii="Times New Roman" w:hAnsi="Times New Roman"/>
          <w:color w:val="000000"/>
          <w:sz w:val="22"/>
        </w:rPr>
        <w:t xml:space="preserve">Date: </w:t>
      </w:r>
      <w:r>
        <w:rPr>
          <w:rFonts w:ascii="Times New Roman" w:hAnsi="Times New Roman"/>
          <w:color w:val="000000"/>
          <w:sz w:val="22"/>
          <w:u w:val="single"/>
        </w:rPr>
        <w:t>4/2/2025</w:t>
      </w:r>
      <w:r>
        <w:rPr>
          <w:rFonts w:ascii="Times New Roman" w:hAnsi="Times New Roman"/>
          <w:color w:val="000000"/>
          <w:sz w:val="20"/>
        </w:rPr>
        <w:t xml:space="preserve"> </w:t>
      </w:r>
    </w:p>
    <w:p>
      <w:pPr>
        <w:pStyle w:val="TextBody"/>
        <w:bidi w:val="0"/>
        <w:spacing w:before="0" w:after="3"/>
        <w:jc w:val="left"/>
        <w:rPr>
          <w:rFonts w:ascii="Times New Roman" w:hAnsi="Times New Roman"/>
          <w:color w:val="000000"/>
          <w:sz w:val="22"/>
        </w:rPr>
      </w:pPr>
      <w:r>
        <w:rPr>
          <w:rFonts w:ascii="Times New Roman" w:hAnsi="Times New Roman"/>
          <w:color w:val="000000"/>
          <w:sz w:val="22"/>
        </w:rPr>
        <w:t>By: Nadir Mahmood</w:t>
      </w:r>
    </w:p>
    <w:p>
      <w:pPr>
        <w:pStyle w:val="TextBody"/>
        <w:bidi w:val="0"/>
        <w:spacing w:before="0" w:after="3"/>
        <w:jc w:val="left"/>
        <w:rPr>
          <w:rFonts w:ascii="Times New Roman" w:hAnsi="Times New Roman"/>
          <w:color w:val="000000"/>
          <w:sz w:val="22"/>
        </w:rPr>
      </w:pPr>
      <w:r>
        <w:rPr>
          <w:rFonts w:ascii="Times New Roman" w:hAnsi="Times New Roman"/>
          <w:color w:val="000000"/>
          <w:sz w:val="22"/>
        </w:rPr>
        <w:t>Its: President</w:t>
      </w:r>
    </w:p>
    <w:p>
      <w:pPr>
        <w:pStyle w:val="TextBody"/>
        <w:bidi w:val="0"/>
        <w:spacing w:before="0" w:after="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3"/>
        <w:jc w:val="center"/>
        <w:rPr/>
      </w:pPr>
      <w:r>
        <w:rPr/>
        <w:t> </w:t>
      </w:r>
    </w:p>
    <w:p>
      <w:pPr>
        <w:pStyle w:val="TextBody"/>
        <w:bidi w:val="0"/>
        <w:spacing w:before="0" w:after="3"/>
        <w:jc w:val="center"/>
        <w:rPr>
          <w:rFonts w:ascii="Times New Roman" w:hAnsi="Times New Roman"/>
          <w:b/>
          <w:color w:val="000000"/>
          <w:sz w:val="22"/>
        </w:rPr>
      </w:pPr>
      <w:r>
        <w:rPr>
          <w:rFonts w:ascii="Times New Roman" w:hAnsi="Times New Roman"/>
          <w:b/>
          <w:color w:val="000000"/>
          <w:sz w:val="22"/>
        </w:rPr>
        <w:t>CONSULTING AGREEMENT</w:t>
      </w:r>
    </w:p>
    <w:p>
      <w:pPr>
        <w:pStyle w:val="TextBody"/>
        <w:bidi w:val="0"/>
        <w:spacing w:before="0" w:after="3"/>
        <w:jc w:val="left"/>
        <w:rPr/>
      </w:pPr>
      <w:r>
        <w:rPr/>
        <w:t> </w:t>
      </w:r>
    </w:p>
    <w:p>
      <w:pPr>
        <w:pStyle w:val="TextBody"/>
        <w:bidi w:val="0"/>
        <w:spacing w:before="0" w:after="3"/>
        <w:jc w:val="left"/>
        <w:rPr/>
      </w:pPr>
      <w:r>
        <w:rPr/>
        <w:t> </w:t>
      </w:r>
    </w:p>
    <w:p>
      <w:pPr>
        <w:pStyle w:val="TextBody"/>
        <w:bidi w:val="0"/>
        <w:spacing w:before="0" w:after="3"/>
        <w:jc w:val="center"/>
        <w:rPr>
          <w:rFonts w:ascii="Times New Roman" w:hAnsi="Times New Roman"/>
          <w:b/>
          <w:i/>
          <w:color w:val="000000"/>
          <w:sz w:val="22"/>
        </w:rPr>
      </w:pPr>
      <w:r>
        <w:rPr>
          <w:rFonts w:ascii="Times New Roman" w:hAnsi="Times New Roman"/>
          <w:b/>
          <w:i/>
          <w:color w:val="000000"/>
          <w:sz w:val="22"/>
        </w:rPr>
        <w:t>[Attached]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NKARTA, INC.</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CONSULTING AGREEMENT</w:t>
      </w:r>
    </w:p>
    <w:p>
      <w:pPr>
        <w:pStyle w:val="TextBody"/>
        <w:bidi w:val="0"/>
        <w:spacing w:before="240" w:after="283"/>
        <w:jc w:val="both"/>
        <w:rPr>
          <w:rFonts w:ascii="Times New Roman" w:hAnsi="Times New Roman"/>
          <w:sz w:val="20"/>
        </w:rPr>
      </w:pPr>
      <w:r>
        <w:rPr>
          <w:rFonts w:ascii="Times New Roman" w:hAnsi="Times New Roman"/>
          <w:color w:val="000000"/>
          <w:sz w:val="22"/>
        </w:rPr>
        <w:t>This Consulting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effective as of April 1, 2025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by and between Nkarta, Inc., a Delaware corporation with its principal place of business at 1150 Veterans Boulevard, South San Francisco, CA 94080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Alyssa Levin, an individual located at [***] (“</w:t>
      </w:r>
      <w:r>
        <w:rPr>
          <w:rFonts w:ascii="Times New Roman" w:hAnsi="Times New Roman"/>
          <w:b/>
          <w:color w:val="000000"/>
          <w:sz w:val="22"/>
        </w:rPr>
        <w:t>Consultant</w:t>
      </w:r>
      <w:r>
        <w:rPr>
          <w:rFonts w:ascii="Times New Roman" w:hAnsi="Times New Roman"/>
          <w:color w:val="000000"/>
          <w:sz w:val="20"/>
        </w:rPr>
        <w:t>”</w:t>
      </w:r>
      <w:r>
        <w:rPr>
          <w:rFonts w:ascii="Times New Roman" w:hAnsi="Times New Roman"/>
          <w:color w:val="000000"/>
          <w:sz w:val="22"/>
        </w:rPr>
        <w:t>) (each herein referred to individually as a “</w:t>
      </w:r>
      <w:r>
        <w:rPr>
          <w:rFonts w:ascii="Times New Roman" w:hAnsi="Times New Roman"/>
          <w:b/>
          <w:color w:val="000000"/>
          <w:sz w:val="22"/>
        </w:rPr>
        <w:t>Party</w:t>
      </w:r>
      <w:r>
        <w:rPr>
          <w:rFonts w:ascii="Times New Roman" w:hAnsi="Times New Roman"/>
          <w:color w:val="000000"/>
          <w:sz w:val="22"/>
        </w:rPr>
        <w:t>,” or collectively as the “</w:t>
      </w:r>
      <w:r>
        <w:rPr>
          <w:rFonts w:ascii="Times New Roman" w:hAnsi="Times New Roman"/>
          <w:b/>
          <w:color w:val="000000"/>
          <w:sz w:val="22"/>
        </w:rPr>
        <w:t>Parties</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A. Company may wish to retain Consultant as an independent contractor from time to time to perform certain consulting services as set forth in this Agreement; and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B. Consultant</w:t>
      </w:r>
      <w:r>
        <w:rPr>
          <w:rFonts w:ascii="Times New Roman" w:hAnsi="Times New Roman"/>
          <w:color w:val="000000"/>
          <w:sz w:val="20"/>
        </w:rPr>
        <w:t xml:space="preserve"> </w:t>
      </w:r>
      <w:r>
        <w:rPr>
          <w:rFonts w:ascii="Times New Roman" w:hAnsi="Times New Roman"/>
          <w:color w:val="000000"/>
          <w:sz w:val="22"/>
        </w:rPr>
        <w:t>wishes to provide such consulting services to Company in accordance with the terms and conditions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mutual promises contained herein, the Parties agree as follows: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Services and Compensation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rPr>
        <w:t>During the Term (as defined in Section 7), Consultant shall provide such support as the Company may request with respect to the transition of the Consultant’s former duties and responsibilities as an officer of the Company, and with respect to such other matters as the Company may reasonably request and with which Consultant is familiar given Consultant’s past employment with the Company (the “</w:t>
      </w:r>
      <w:r>
        <w:rPr>
          <w:rFonts w:ascii="Times New Roman" w:hAnsi="Times New Roman"/>
          <w:b/>
          <w:color w:val="000000"/>
          <w:sz w:val="22"/>
        </w:rPr>
        <w:t>Services</w:t>
      </w:r>
      <w:r>
        <w:rPr>
          <w:color w:val="000000"/>
        </w:rPr>
        <w:t>”</w:t>
      </w:r>
      <w:r>
        <w:rPr>
          <w:rFonts w:ascii="Times New Roman" w:hAnsi="Times New Roman"/>
          <w:color w:val="000000"/>
          <w:sz w:val="22"/>
        </w:rPr>
        <w:t>). Consultant shall perform the Services in good faith, to the highest degree of professional skill and expertise, and in accordance with all laws, rules and regulations that are applicable to the performance of the Services (“</w:t>
      </w:r>
      <w:r>
        <w:rPr>
          <w:rFonts w:ascii="Times New Roman" w:hAnsi="Times New Roman"/>
          <w:b/>
          <w:color w:val="000000"/>
          <w:sz w:val="22"/>
        </w:rPr>
        <w:t>Applicable Law</w:t>
      </w:r>
      <w:r>
        <w:rPr>
          <w:color w:val="000000"/>
        </w:rPr>
        <w:t>”</w:t>
      </w:r>
      <w:r>
        <w:rPr>
          <w:rFonts w:ascii="Times New Roman" w:hAnsi="Times New Roman"/>
          <w:color w:val="000000"/>
          <w:sz w:val="22"/>
        </w:rPr>
        <w:t>). The manner and means used by Consultant to perform the Services desired by the Company are in the reasonable discretion and control of Consultant, subject to consultation with the Company from time to time.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left"/>
        <w:rPr/>
      </w:pPr>
      <w:r>
        <w:rPr>
          <w:rFonts w:ascii="Times New Roman" w:hAnsi="Times New Roman"/>
          <w:b/>
          <w:color w:val="000000"/>
          <w:sz w:val="22"/>
        </w:rPr>
        <w:t>Monitoring</w:t>
      </w:r>
      <w:r>
        <w:rPr>
          <w:rFonts w:ascii="Times New Roman" w:hAnsi="Times New Roman"/>
          <w:color w:val="000000"/>
          <w:sz w:val="22"/>
        </w:rPr>
        <w:t>. The Consultant will cooperate with any requests by the Company to monitor the Services in order to verify that such Services performed in accordance with this Agreement and in a timely and satisfactory manner. The Consultant will facilitate such monitoring. All documents and materials stored at the Company’s facilities by Consultant will be stored in a safe manner in accordance with all Applicable Law and subject to inspection by the Company at any time without notice.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w:t>
      </w:r>
    </w:p>
    <w:p>
      <w:pPr>
        <w:pStyle w:val="TextBody"/>
        <w:bidi w:val="0"/>
        <w:spacing w:before="240" w:after="283"/>
        <w:jc w:val="left"/>
        <w:rPr/>
      </w:pPr>
      <w:r>
        <w:rPr>
          <w:rFonts w:ascii="Times New Roman" w:hAnsi="Times New Roman"/>
          <w:b/>
          <w:color w:val="000000"/>
          <w:sz w:val="22"/>
        </w:rPr>
        <w:t xml:space="preserve">No Debarment. </w:t>
      </w:r>
      <w:r>
        <w:rPr>
          <w:rFonts w:ascii="Times New Roman" w:hAnsi="Times New Roman"/>
          <w:color w:val="000000"/>
          <w:sz w:val="22"/>
        </w:rPr>
        <w:t>The Consultant represents and warrants to Company that Consultant has not been debarred by the FDA under 21 U.S.C. 335a (Section 306, Federal Food, Drug and Cosmetic Act). Consultant further agrees that Consultant will notify Company immediately in the event of any debarment or threat of debarment occurring during the period in which Consultant is performing Services or thereafter.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w:t>
      </w:r>
    </w:p>
    <w:p>
      <w:pPr>
        <w:pStyle w:val="TextBody"/>
        <w:bidi w:val="0"/>
        <w:spacing w:before="240" w:after="283"/>
        <w:jc w:val="left"/>
        <w:rPr/>
      </w:pPr>
      <w:r>
        <w:rPr>
          <w:rFonts w:ascii="Times New Roman" w:hAnsi="Times New Roman"/>
          <w:b/>
          <w:color w:val="000000"/>
          <w:sz w:val="22"/>
        </w:rPr>
        <w:t>Compensation</w:t>
      </w:r>
      <w:r>
        <w:rPr>
          <w:rFonts w:ascii="Times New Roman" w:hAnsi="Times New Roman"/>
          <w:color w:val="000000"/>
          <w:sz w:val="22"/>
        </w:rPr>
        <w:t xml:space="preserve">. As consideration for Consultant entering into this Agreement and providing the Services, the Company will pay Consultant $350 per hour spent by Consultant in performing the Services during the Term (up to a maximum of $50,000). Promptly after the end of each calendar month that occurs during the Term, Consultant shall send an invoice to the Company at </w:t>
      </w:r>
      <w:r>
        <w:rPr>
          <w:rFonts w:ascii="Times New Roman" w:hAnsi="Times New Roman"/>
          <w:color w:val="000000"/>
          <w:sz w:val="22"/>
          <w:u w:val="single"/>
        </w:rPr>
        <w:t>accounting@nkartatx.com</w:t>
      </w:r>
      <w:r>
        <w:rPr>
          <w:rFonts w:ascii="Times New Roman" w:hAnsi="Times New Roman"/>
          <w:color w:val="000000"/>
          <w:sz w:val="22"/>
        </w:rPr>
        <w:t xml:space="preserve">. Such invoice shall include the time spent by Consultant in performing the Services during the portion of the Term that occurred during such month as well as any expenses reimbursable by the Company pursuant to this Section 1.D that were incurred by Consultant during such month, with reasonable detail regarding the nature of such Services and expenses (and, in the case of expenses, the required documentation to support the same). The Company shall pay each undisputed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rFonts w:ascii="Times New Roman" w:hAnsi="Times New Roman"/>
          <w:color w:val="000000"/>
          <w:sz w:val="22"/>
        </w:rPr>
        <w:t>invoice no later than thirty (30) days following its receipt thereof, subject to the $50,000 maximum on the aggregate consulting fees set forth above. The Company will reimburse Consultant, in accordance with Company policy, for all reasonable expenses incurred by Consultant in performing the Services pursuant to this Agreement, if Consultant receives written consent from an authorized agent of the Company prior to incurring such expenses and submits receipts for such expenses to the Company in accordance with Company policy. In addition, Consultant was previously granted certain stock options and/or stock unit awards by the Company. To the extent any such options or stock unit awards granted by the Company to Consultant were outstanding immediately prior to the Effective Date, such awards shall be treated as follows: (i) any such Awards that were unvested in accordance with their terms immediately prior to the Effective Date shall continue to vest in accordance with their terms during the Term; (ii) at the expiration or earlier termination of the Term, any such Awards that remain unvested in accordance with their terms shall terminate effective as of such expiration or termination of the Term and Consultant shall have no further right with respect thereto or in respect thereof; and (iii) as to the stock options previously granted by the Company to Consultant that are outstanding and vested in accordance with their terms at the expiration or earlier termination of the Term, the period of time Consultant has to exercise such vested options following a termination of Consultant’s employment or service in accordance with the terms of such vested options (which, subject to the terms of Consultant’s separation agreement with the Company, has been extended from 90 days to one year, subject, in all cases, to the applicable maximum term of the option and further subject to the Company’s ability to terminate or settle the option in accordance with the applicable award terms in connection with certain change in control or other events affecting the Company) shall commence as of such expiration or earlier termination of the Term (the “</w:t>
      </w:r>
      <w:r>
        <w:rPr>
          <w:rFonts w:ascii="Times New Roman" w:hAnsi="Times New Roman"/>
          <w:b/>
          <w:color w:val="000000"/>
          <w:sz w:val="22"/>
        </w:rPr>
        <w:t>Extended Exercise Period</w:t>
      </w:r>
      <w:r>
        <w:rPr>
          <w:color w:val="000000"/>
        </w:rPr>
        <w:t>”</w:t>
      </w:r>
      <w:r>
        <w:rPr>
          <w:rFonts w:ascii="Times New Roman" w:hAnsi="Times New Roman"/>
          <w:color w:val="000000"/>
          <w:sz w:val="22"/>
        </w:rPr>
        <w: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Confidentiality</w:t>
      </w:r>
    </w:p>
    <w:p>
      <w:pPr>
        <w:pStyle w:val="TextBody"/>
        <w:bidi w:val="0"/>
        <w:spacing w:before="240" w:after="283"/>
        <w:jc w:val="both"/>
        <w:rPr>
          <w:rFonts w:ascii="Times New Roman" w:hAnsi="Times New Roman"/>
          <w:sz w:val="20"/>
        </w:rPr>
      </w:pPr>
      <w:r>
        <w:rPr>
          <w:rFonts w:ascii="Times New Roman" w:hAnsi="Times New Roman"/>
          <w:color w:val="000000"/>
          <w:sz w:val="22"/>
        </w:rPr>
        <w:t>Consultant is a party to an At-Will Employment, Confidential Information, Invention Assignment, and Arbitration Agreement with the Company dated June 29, 2023 (the “Confidentiality Agreement”). Consultant agrees to treat any trade secrets or other confidential information of the Company, as well as any other trade secrets or other confidential information received by Consultant in the course of performing the Services, as confidential information under the Confidentiality Agreement to the same extent as had such information been provided to Consultant in the course of Consultant’s former employment with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Ownership</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left"/>
        <w:rPr/>
      </w:pPr>
      <w:r>
        <w:rPr>
          <w:rFonts w:ascii="Times New Roman" w:hAnsi="Times New Roman"/>
          <w:b/>
          <w:color w:val="000000"/>
          <w:sz w:val="22"/>
        </w:rPr>
        <w:t>Assignment of Inventions.</w:t>
      </w:r>
      <w:r>
        <w:rPr>
          <w:rFonts w:ascii="Times New Roman" w:hAnsi="Times New Roman"/>
          <w:color w:val="000000"/>
          <w:sz w:val="22"/>
        </w:rPr>
        <w:t>Consultant agrees that all right, title, and interest in and to the following (collectively, “</w:t>
      </w:r>
      <w:r>
        <w:rPr>
          <w:rFonts w:ascii="Times New Roman" w:hAnsi="Times New Roman"/>
          <w:b/>
          <w:color w:val="000000"/>
          <w:sz w:val="22"/>
        </w:rPr>
        <w:t>Inventions</w:t>
      </w:r>
      <w:r>
        <w:rPr>
          <w:color w:val="000000"/>
        </w:rPr>
        <w:t>”</w:t>
      </w:r>
      <w:r>
        <w:rPr>
          <w:rFonts w:ascii="Times New Roman" w:hAnsi="Times New Roman"/>
          <w:color w:val="000000"/>
          <w:sz w:val="22"/>
        </w:rPr>
        <w:t>) are the sole property of the Company: (i) any work product from performance of the Services; (ii) any copyrightable material, notes, records, drawings, designs, inventions (whether patentable or not), improvements, developments, discoveries, ideas and trade secrets, in each case that are conceived, discovered, authored, invented, developed or reduced to practice by Consultant, solely or in collaboration with others, under this Agreement; and (iii) any copyrights, patent applications, patents, trade secrets, mask work rights or other intellectual property rights relating to the foregoing described in (i) or (ii). Accordingly, Consultant hereby irrevocably assigns fully to the Company all right, title and interest in and to the Inventions (without any additional consideration). Consultant agrees to promptly make full written disclosure to the Company of any Inventions.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left"/>
        <w:rPr/>
      </w:pPr>
      <w:r>
        <w:rPr>
          <w:rFonts w:ascii="Times New Roman" w:hAnsi="Times New Roman"/>
          <w:b/>
          <w:color w:val="000000"/>
          <w:sz w:val="22"/>
        </w:rPr>
        <w:t>Pre-Existing Materials.</w:t>
      </w:r>
      <w:r>
        <w:rPr>
          <w:color w:val="000000"/>
        </w:rPr>
        <w:t xml:space="preserve"> </w:t>
      </w:r>
      <w:r>
        <w:rPr>
          <w:rFonts w:ascii="Times New Roman" w:hAnsi="Times New Roman"/>
          <w:color w:val="000000"/>
          <w:sz w:val="22"/>
        </w:rPr>
        <w:t xml:space="preserve">Subject to Section 3.A, Consultant will provide the Company with prior written notice if, in the course of 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rFonts w:ascii="Times New Roman" w:hAnsi="Times New Roman"/>
          <w:color w:val="000000"/>
          <w:sz w:val="22"/>
        </w:rPr>
        <w:t>separate from, performing the Services under this Agreement (“</w:t>
      </w:r>
      <w:r>
        <w:rPr>
          <w:rFonts w:ascii="Times New Roman" w:hAnsi="Times New Roman"/>
          <w:b/>
          <w:color w:val="000000"/>
          <w:sz w:val="22"/>
        </w:rPr>
        <w:t>Prior Inventions</w:t>
      </w:r>
      <w:r>
        <w:rPr>
          <w:color w:val="000000"/>
        </w:rPr>
        <w:t>”</w:t>
      </w:r>
      <w:r>
        <w:rPr>
          <w:rFonts w:ascii="Times New Roman" w:hAnsi="Times New Roman"/>
          <w:color w:val="000000"/>
          <w:sz w:val="22"/>
        </w:rPr>
        <w:t>), and Consulting hereby grants Company a nonexclusive, royalty-free, perpetual, irrevocable, transferable, worldwide license (with the right to grant sublicenses through multiple tiers)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w:t>
      </w:r>
    </w:p>
    <w:p>
      <w:pPr>
        <w:pStyle w:val="TextBody"/>
        <w:bidi w:val="0"/>
        <w:spacing w:before="240" w:after="283"/>
        <w:jc w:val="left"/>
        <w:rPr/>
      </w:pPr>
      <w:r>
        <w:rPr>
          <w:rFonts w:ascii="Times New Roman" w:hAnsi="Times New Roman"/>
          <w:b/>
          <w:color w:val="000000"/>
          <w:sz w:val="22"/>
        </w:rPr>
        <w:t>Moral Rights.</w:t>
      </w:r>
      <w:r>
        <w:rPr>
          <w:color w:val="000000"/>
        </w:rPr>
        <w:t xml:space="preserve"> </w:t>
      </w:r>
      <w:r>
        <w:rPr>
          <w:rFonts w:ascii="Times New Roman" w:hAnsi="Times New Roman"/>
          <w:color w:val="000000"/>
          <w:sz w:val="22"/>
        </w:rPr>
        <w:t>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hAnsi="Times New Roman"/>
          <w:b/>
          <w:color w:val="000000"/>
          <w:sz w:val="22"/>
        </w:rPr>
        <w:t>Moral Rights</w:t>
      </w:r>
      <w:r>
        <w:rPr>
          <w:color w:val="000000"/>
        </w:rPr>
        <w:t>”</w:t>
      </w:r>
      <w:r>
        <w:rPr>
          <w:rFonts w:ascii="Times New Roman" w:hAnsi="Times New Roman"/>
          <w:color w:val="000000"/>
          <w:sz w:val="22"/>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w:t>
      </w:r>
    </w:p>
    <w:p>
      <w:pPr>
        <w:pStyle w:val="TextBody"/>
        <w:bidi w:val="0"/>
        <w:spacing w:before="240" w:after="283"/>
        <w:jc w:val="left"/>
        <w:rPr/>
      </w:pPr>
      <w:r>
        <w:rPr>
          <w:rFonts w:ascii="Times New Roman" w:hAnsi="Times New Roman"/>
          <w:b/>
          <w:color w:val="000000"/>
          <w:sz w:val="22"/>
        </w:rPr>
        <w:t xml:space="preserve">Maintenance of Records. </w:t>
      </w:r>
      <w:r>
        <w:rPr>
          <w:rFonts w:ascii="Times New Roman" w:hAnsi="Times New Roman"/>
          <w:color w:val="000000"/>
          <w:sz w:val="22"/>
        </w:rPr>
        <w:t>Consultant agrees to keep and maintain adequate, current, accurate, and authentic written records of all Inventions made by Consultant (solely or jointly with others) during the Term,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w:t>
      </w:r>
    </w:p>
    <w:p>
      <w:pPr>
        <w:pStyle w:val="TextBody"/>
        <w:bidi w:val="0"/>
        <w:spacing w:before="240" w:after="283"/>
        <w:jc w:val="left"/>
        <w:rPr/>
      </w:pPr>
      <w:r>
        <w:rPr>
          <w:rFonts w:ascii="Times New Roman" w:hAnsi="Times New Roman"/>
          <w:b/>
          <w:color w:val="000000"/>
          <w:sz w:val="22"/>
        </w:rPr>
        <w:t xml:space="preserve">Further Assurances. </w:t>
      </w:r>
      <w:r>
        <w:rPr>
          <w:rFonts w:ascii="Times New Roman" w:hAnsi="Times New Roman"/>
          <w:color w:val="000000"/>
          <w:sz w:val="22"/>
        </w:rPr>
        <w:t>Consultant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declarations,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3.E shall continue after the termination of this Agreement.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w:t>
      </w:r>
    </w:p>
    <w:p>
      <w:pPr>
        <w:pStyle w:val="TextBody"/>
        <w:bidi w:val="0"/>
        <w:spacing w:before="240" w:after="283"/>
        <w:jc w:val="left"/>
        <w:rPr/>
      </w:pPr>
      <w:r>
        <w:rPr>
          <w:rFonts w:ascii="Times New Roman" w:hAnsi="Times New Roman"/>
          <w:b/>
          <w:color w:val="000000"/>
          <w:sz w:val="22"/>
        </w:rPr>
        <w:t>Attorney-in-Fact.</w:t>
      </w:r>
      <w:r>
        <w:rPr>
          <w:color w:val="000000"/>
        </w:rPr>
        <w:t xml:space="preserve"> </w:t>
      </w:r>
      <w:r>
        <w:rPr>
          <w:rFonts w:ascii="Times New Roman" w:hAnsi="Times New Roman"/>
          <w:color w:val="000000"/>
          <w:sz w:val="22"/>
        </w:rPr>
        <w:t>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IV.</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 xml:space="preserve">Conflicting Obligations </w:t>
      </w:r>
    </w:p>
    <w:p>
      <w:pPr>
        <w:pStyle w:val="TextBody"/>
        <w:bidi w:val="0"/>
        <w:spacing w:before="240" w:after="283"/>
        <w:jc w:val="both"/>
        <w:rPr>
          <w:rFonts w:ascii="Times New Roman" w:hAnsi="Times New Roman"/>
          <w:sz w:val="20"/>
        </w:rPr>
      </w:pPr>
      <w:r>
        <w:rPr>
          <w:rFonts w:ascii="Times New Roman" w:hAnsi="Times New Roman"/>
          <w:color w:val="000000"/>
          <w:sz w:val="22"/>
        </w:rPr>
        <w:t>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For clarity, however, nothing in this Agreement precludes Consultant from accepting other work from, including employment with, a third party, so long as Consultant does not breach any of Consultant’s obligations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V.</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Return of Company Materials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termination or expiration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VI.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Reports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Consultant agrees that Consultant will periodically keep the Company advised as to Consultant’s progress in performing the Services under this Agreement. Consultant further agrees that Consultant will, as requested by the Company, prepare written reports with respect to such progress. The Company and Consultant agree that the reasonable time expended in preparing such written reports will be considered time devoted to the performance of the Services.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VII.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Term and Termination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left"/>
        <w:rPr/>
      </w:pPr>
      <w:r>
        <w:rPr>
          <w:rFonts w:ascii="Times New Roman" w:hAnsi="Times New Roman"/>
          <w:b/>
          <w:color w:val="000000"/>
          <w:sz w:val="22"/>
        </w:rPr>
        <w:t>Term.</w:t>
      </w:r>
      <w:r>
        <w:rPr>
          <w:color w:val="000000"/>
        </w:rPr>
        <w:t xml:space="preserve"> </w:t>
      </w:r>
      <w:r>
        <w:rPr>
          <w:rFonts w:ascii="Times New Roman" w:hAnsi="Times New Roman"/>
          <w:color w:val="000000"/>
          <w:sz w:val="22"/>
        </w:rPr>
        <w:t>Unless earlier terminated in accordance with Section 7.B below and subject to the following sentence, this Agreement shall be in effect until June 30, 2025 (the “</w:t>
      </w:r>
      <w:r>
        <w:rPr>
          <w:rFonts w:ascii="Times New Roman" w:hAnsi="Times New Roman"/>
          <w:b/>
          <w:color w:val="000000"/>
          <w:sz w:val="22"/>
        </w:rPr>
        <w:t>Term</w:t>
      </w:r>
      <w:r>
        <w:rPr>
          <w:color w:val="000000"/>
        </w:rPr>
        <w:t>”</w:t>
      </w:r>
      <w:r>
        <w:rPr>
          <w:rFonts w:ascii="Times New Roman" w:hAnsi="Times New Roman"/>
          <w:color w:val="000000"/>
          <w:sz w:val="22"/>
        </w:rPr>
        <w:t>). The parties may extend the term by express written agreement, executed by both the Company and Consultant.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left"/>
        <w:rPr/>
      </w:pPr>
      <w:r>
        <w:rPr>
          <w:rFonts w:ascii="Times New Roman" w:hAnsi="Times New Roman"/>
          <w:b/>
          <w:color w:val="000000"/>
          <w:sz w:val="22"/>
        </w:rPr>
        <w:t>Termination.</w:t>
      </w:r>
      <w:r>
        <w:rPr>
          <w:color w:val="000000"/>
        </w:rPr>
        <w:t xml:space="preserve"> </w:t>
      </w:r>
      <w:r>
        <w:rPr>
          <w:rFonts w:ascii="Times New Roman" w:hAnsi="Times New Roman"/>
          <w:color w:val="000000"/>
          <w:sz w:val="22"/>
        </w:rPr>
        <w:t>The Company or Consultant may terminate the Term at will upon giving the other party at least thirty (30) days prior written notice of such termination pursuant to Section 12.G of this Agreement.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w:t>
      </w:r>
    </w:p>
    <w:p>
      <w:pPr>
        <w:pStyle w:val="TextBody"/>
        <w:bidi w:val="0"/>
        <w:spacing w:before="240" w:after="283"/>
        <w:jc w:val="left"/>
        <w:rPr/>
      </w:pPr>
      <w:r>
        <w:rPr>
          <w:rFonts w:ascii="Times New Roman" w:hAnsi="Times New Roman"/>
          <w:b/>
          <w:color w:val="000000"/>
          <w:sz w:val="22"/>
        </w:rPr>
        <w:t>Survival.</w:t>
      </w:r>
      <w:r>
        <w:rPr>
          <w:color w:val="000000"/>
        </w:rPr>
        <w:t xml:space="preserve"> </w:t>
      </w:r>
      <w:r>
        <w:rPr>
          <w:rFonts w:ascii="Times New Roman" w:hAnsi="Times New Roman"/>
          <w:color w:val="000000"/>
          <w:sz w:val="22"/>
        </w:rPr>
        <w:t>Upon any expiration or termination of the Term, all rights and duties of the Company and Consultant toward each other under this Agreement shall cease except: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Consultant shall have the Extended Exercise Period as to any stock options previously granted by the Company to Consultant that are outstanding and vested in accordance with their terms at the expiration or earlier termination of the Term;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2 (Confidentiality), Section 3 (Ownership), Section 4 (Conflicting Obligations), Section 5 (Return of Company Materials), Section 7 (Term and Termination), Section 8 (Independent Contractor; Benefits), Section 9 (Nonsolicitation), Section 10 (Limitation of Liability), Section 11 (Dispute Resolution), and Section 12 (Miscellaneous) will survive termination or expiration of the Term in accordance with their terms.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VIII.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Independent Contractor; Benefits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left"/>
        <w:rPr/>
      </w:pPr>
      <w:r>
        <w:rPr>
          <w:rFonts w:ascii="Times New Roman" w:hAnsi="Times New Roman"/>
          <w:b/>
          <w:color w:val="000000"/>
          <w:sz w:val="22"/>
        </w:rPr>
        <w:t>Independent Contractor.</w:t>
      </w:r>
      <w:r>
        <w:rPr>
          <w:color w:val="000000"/>
        </w:rPr>
        <w:t xml:space="preserve"> </w:t>
      </w:r>
      <w:r>
        <w:rPr>
          <w:rFonts w:ascii="Times New Roman" w:hAnsi="Times New Roman"/>
          <w:color w:val="000000"/>
          <w:sz w:val="22"/>
        </w:rPr>
        <w:t>It is the express intention of the Company and Consultant that Consultant perform the Services as an 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left"/>
        <w:rPr/>
      </w:pPr>
      <w:r>
        <w:rPr>
          <w:rFonts w:ascii="Times New Roman" w:hAnsi="Times New Roman"/>
          <w:b/>
          <w:color w:val="000000"/>
          <w:sz w:val="22"/>
        </w:rPr>
        <w:t>Benefits.</w:t>
      </w:r>
      <w:r>
        <w:rPr>
          <w:color w:val="000000"/>
        </w:rPr>
        <w:t xml:space="preserve"> </w:t>
      </w:r>
      <w:r>
        <w:rPr>
          <w:rFonts w:ascii="Times New Roman" w:hAnsi="Times New Roman"/>
          <w:color w:val="000000"/>
          <w:sz w:val="22"/>
        </w:rPr>
        <w:t>The Company and Consultant agree that Consultant will receive no Company-sponsored benefits from the Company where 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IX.</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Nonsolicitation</w:t>
      </w:r>
    </w:p>
    <w:p>
      <w:pPr>
        <w:pStyle w:val="TextBody"/>
        <w:bidi w:val="0"/>
        <w:spacing w:before="240" w:after="283"/>
        <w:jc w:val="both"/>
        <w:rPr>
          <w:rFonts w:ascii="Times New Roman" w:hAnsi="Times New Roman"/>
          <w:sz w:val="20"/>
        </w:rPr>
      </w:pPr>
      <w:r>
        <w:rPr>
          <w:rFonts w:ascii="Times New Roman" w:hAnsi="Times New Roman"/>
          <w:color w:val="000000"/>
          <w:sz w:val="22"/>
        </w:rPr>
        <w:t>To the fullest extent permitted under governing law, from the date of this Agreement until twelve (12) months after the expiration or termination of the Term for any reason (the “</w:t>
      </w:r>
      <w:r>
        <w:rPr>
          <w:rFonts w:ascii="Times New Roman" w:hAnsi="Times New Roman"/>
          <w:b/>
          <w:color w:val="000000"/>
          <w:sz w:val="22"/>
        </w:rPr>
        <w:t>Restricted Period</w:t>
      </w:r>
      <w:r>
        <w:rPr>
          <w:rFonts w:ascii="Times New Roman" w:hAnsi="Times New Roman"/>
          <w:color w:val="000000"/>
          <w:sz w:val="20"/>
        </w:rPr>
        <w:t>”</w:t>
      </w:r>
      <w:r>
        <w:rPr>
          <w:rFonts w:ascii="Times New Roman" w:hAnsi="Times New Roman"/>
          <w:color w:val="000000"/>
          <w:sz w:val="22"/>
        </w:rPr>
        <w:t>),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Section 9 shall affect Consultant’s continuing obligations under this Agreement during and after this twelve (12) month period, including, without limitation, Consultant’s obligations under the Confidentiality Agreement and Section 2.</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X.</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Limitation of Liability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MAXIMUM EXTENT PERMITTED BY GOVERNING LAW, COMPANY SHALL NOT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TO THE MAXIMUM EXTENT PERMITTED BY GOVERNING LAW, IN NO EVENT SHALL COMPANY’S LIABILITY ARISING OUT OF OR IN CONNECTION WITH THIS AGREEMENT EXCEED THE AMOUNTS PAID BY COMPANY TO CONSULTANT UNDER THIS AGREEMENT FOR THE SERVICES, DELIVERABLES OR INVENTION GIVING RISE TO SUCH LIABILITY.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XI.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Dispute Resolution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left"/>
        <w:rPr/>
      </w:pPr>
      <w:r>
        <w:rPr>
          <w:rFonts w:ascii="Times New Roman" w:hAnsi="Times New Roman"/>
          <w:b/>
          <w:color w:val="000000"/>
          <w:sz w:val="22"/>
        </w:rPr>
        <w:t>Disputes.</w:t>
      </w:r>
      <w:r>
        <w:rPr>
          <w:caps/>
          <w:color w:val="000000"/>
        </w:rPr>
        <w:t xml:space="preserve"> </w:t>
      </w:r>
      <w:r>
        <w:rPr>
          <w:rFonts w:ascii="Times New Roman" w:hAnsi="Times New Roman"/>
          <w:color w:val="000000"/>
          <w:sz w:val="22"/>
        </w:rPr>
        <w:t>Subject to Section 11.B, the Company and Consultant will first attempt to settle any dispute, claim or controversy arising out of this Agreement (“</w:t>
      </w:r>
      <w:r>
        <w:rPr>
          <w:rFonts w:ascii="Times New Roman" w:hAnsi="Times New Roman"/>
          <w:b/>
          <w:color w:val="000000"/>
          <w:sz w:val="22"/>
        </w:rPr>
        <w:t>Dispute</w:t>
      </w:r>
      <w:r>
        <w:rPr>
          <w:color w:val="000000"/>
        </w:rPr>
        <w:t>”</w:t>
      </w:r>
      <w:r>
        <w:rPr>
          <w:rFonts w:ascii="Times New Roman" w:hAnsi="Times New Roman"/>
          <w:color w:val="000000"/>
          <w:sz w:val="22"/>
        </w:rPr>
        <w:t>) through good-faith negotiation, and the Parties will submit the Dispute in writing to a senior executive from each Party. Subject to Section 11.B, if the Dispute is not resolved within thirty (30) days after such submission, the Dispute shall be resolved in a competent state or federal court in California, which will have the exclusive jurisdiction and venue for any such Dispute, and each Party will pay its own attorney’s fees. If a Dispute arises, Consultant will not interrupt or delay performance under this Agreement, unless authorized in writing by a court of competent jurisdiction or by Company.</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left"/>
        <w:rPr/>
      </w:pPr>
      <w:r>
        <w:rPr>
          <w:rFonts w:ascii="Times New Roman" w:hAnsi="Times New Roman"/>
          <w:b/>
          <w:color w:val="000000"/>
          <w:sz w:val="22"/>
        </w:rPr>
        <w:t>Equitable Relief</w:t>
      </w:r>
      <w:r>
        <w:rPr>
          <w:rFonts w:ascii="Times New Roman" w:hAnsi="Times New Roman"/>
          <w:color w:val="000000"/>
          <w:sz w:val="22"/>
        </w:rPr>
        <w:t>. Either Party may resort to judicial proceedings for disputes involving Inventions or if interim or equitable relief is necessary to prevent serious and irreparable injury. The Consultant’s performance under this Agreement will not be suspended during the pendency of any such judicial proceeding or interim or equitable relief.</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XII.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Miscellaneous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left"/>
        <w:rPr/>
      </w:pPr>
      <w:r>
        <w:rPr>
          <w:rFonts w:ascii="Times New Roman" w:hAnsi="Times New Roman"/>
          <w:b/>
          <w:color w:val="000000"/>
          <w:sz w:val="22"/>
        </w:rPr>
        <w:t>Governing Law; Consent to Personal Jurisdiction.</w:t>
      </w:r>
      <w:r>
        <w:rPr>
          <w:color w:val="000000"/>
        </w:rPr>
        <w:t xml:space="preserve"> </w:t>
      </w:r>
      <w:r>
        <w:rPr>
          <w:rFonts w:ascii="Times New Roman" w:hAnsi="Times New Roman"/>
          <w:color w:val="000000"/>
          <w:sz w:val="22"/>
        </w:rPr>
        <w:t>This Agreement shall be governed by the laws of the State of California, without regard to the conflicts of law provisions of any jurisdiction. To the extent that any lawsuit is permitted under this Agreement, the Parties hereby expressly consent to the personal and exclusive jurisdiction and venue of the state and federal courts located in California.</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left"/>
        <w:rPr/>
      </w:pPr>
      <w:r>
        <w:rPr>
          <w:rFonts w:ascii="Times New Roman" w:hAnsi="Times New Roman"/>
          <w:b/>
          <w:color w:val="000000"/>
          <w:sz w:val="22"/>
        </w:rPr>
        <w:t>Assignability.</w:t>
      </w:r>
      <w:r>
        <w:rPr>
          <w:color w:val="000000"/>
        </w:rPr>
        <w:t xml:space="preserve"> </w:t>
      </w:r>
      <w:r>
        <w:rPr>
          <w:rFonts w:ascii="Times New Roman" w:hAnsi="Times New Roman"/>
          <w:color w:val="000000"/>
          <w:sz w:val="22"/>
        </w:rPr>
        <w:t>This Agreement will be binding upon Consultant’s heirs, executors, assigns, administrators, and other legal representatives, and will be for the benefit of the Company, its successors, and its assigns. There are no intended third-party beneficiaries to this Agreement, except as expressly stated. Consultant may not sell, assign or delegate any rights or obligations under this Agreement without Company’s prior written consent. Any assignment in violation of the foregoing shall be null and void. Notwithstanding anything to the contrary herein, Company may assign this Agreement and its rights and obligations under this Agreement without Consultant’s prior written consent to: (i) any affiliate; or (ii) any successor-in-interest (whether by merger, consolidation, reorganization, reincorporation, sale of assets or stock, change of control or otherwise).</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w:t>
      </w:r>
    </w:p>
    <w:p>
      <w:pPr>
        <w:pStyle w:val="TextBody"/>
        <w:bidi w:val="0"/>
        <w:spacing w:before="240" w:after="283"/>
        <w:jc w:val="left"/>
        <w:rPr/>
      </w:pPr>
      <w:r>
        <w:rPr>
          <w:rFonts w:ascii="Times New Roman" w:hAnsi="Times New Roman"/>
          <w:b/>
          <w:color w:val="000000"/>
          <w:sz w:val="22"/>
        </w:rPr>
        <w:t>Entire Agreement.</w:t>
      </w:r>
      <w:r>
        <w:rPr>
          <w:color w:val="000000"/>
        </w:rPr>
        <w:t xml:space="preserve"> </w:t>
      </w:r>
      <w:r>
        <w:rPr>
          <w:rFonts w:ascii="Times New Roman" w:hAnsi="Times New Roman"/>
          <w:color w:val="000000"/>
          <w:sz w:val="22"/>
        </w:rPr>
        <w:t>This Agreement constitutes the entire agreement and understanding between the Parties with respect to the subject matter herein and supersedes all prior written and oral agreements, discussions, or representations between the Parties. Consultant represents and warrants that he/she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 Notwithstanding the foregoing, each of the following is outside of the scope of the integration provisions of this Section 12.C and continues in effect in accordance with its terms: (i) the Confidentiality Agreement and (ii) Consultant’s Separation Agreement with the Company entered into or to be entered into in connection with this Agreement. This Agreement shall be null and void if Consultant does not timely execute and deliver the Separation Agreement to the Company, or should Consultant revoke the Separation Agreement (or any portion thereof) in accordance with its terms.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D.</w:t>
      </w:r>
    </w:p>
    <w:p>
      <w:pPr>
        <w:pStyle w:val="TextBody"/>
        <w:bidi w:val="0"/>
        <w:spacing w:before="240" w:after="283"/>
        <w:jc w:val="left"/>
        <w:rPr/>
      </w:pPr>
      <w:r>
        <w:rPr>
          <w:rFonts w:ascii="Times New Roman" w:hAnsi="Times New Roman"/>
          <w:b/>
          <w:color w:val="000000"/>
          <w:sz w:val="22"/>
        </w:rPr>
        <w:t>Interpretation.</w:t>
      </w:r>
      <w:r>
        <w:rPr>
          <w:color w:val="000000"/>
        </w:rPr>
        <w:t xml:space="preserve"> </w:t>
      </w:r>
      <w:r>
        <w:rPr>
          <w:rFonts w:ascii="Times New Roman" w:hAnsi="Times New Roman"/>
          <w:color w:val="000000"/>
          <w:sz w:val="22"/>
        </w:rPr>
        <w:t xml:space="preserve">Except where the context expressly requires otherwise: (i) the use of any gender herein shall be deemed to encompass references to either or both genders, and the use of the singular shall be deemed to include the plural (and vice versa); (ii) the words “include”, “includes” and “including” shall be deemed to be followed by the phrase “without limitation”; (iii) the word “will”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shall be construed to have the same meaning and effect as the word “shall”; (iv)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 any reference herein to any person or entity shall be construed to include the person’s or entity’s successors and assigns; (vi) the words “herein”, “hereof” and “hereunder”, and words of similar import, shall be construed to refer to this Agreement in its entirety and not to any particular provision hereof; (vii) all references herein to Sections or Exhibits shall be construed to refer to Sections or Exhibits of this Agreement, and references to this Agreement include all Exhibits hereto; (viii) the word “notice” means notice in writing (whether or not specifically stated) and shall include notices, consents, approvals and other written communications contemplated under this Agreement; (ix) provisions that require that a Party or the Parties “agree,” “consent” or “approve” or the like shall require that such agreement, consent or approval be specific and in writing, whether by written agreement, letter, approved minutes or otherwise, including by e-mail; (x) unless stated otherwise, references to any specific law, rule or regulation, or article, section or other division thereof, shall be deemed to include the then-current amendments thereto or any replacement or successor law, rule or regulation thereof; (xi) the term “or” shall be interpreted in the inclusive sense commonly associated with the term “and/or”; and (xii) each Party has used its legal counsel in the negotiation of this Agreement, and the Agreement will not be construed against either Party as the drafter.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w:t>
      </w:r>
    </w:p>
    <w:p>
      <w:pPr>
        <w:pStyle w:val="TextBody"/>
        <w:bidi w:val="0"/>
        <w:spacing w:before="240" w:after="283"/>
        <w:jc w:val="left"/>
        <w:rPr/>
      </w:pPr>
      <w:r>
        <w:rPr>
          <w:rFonts w:ascii="Times New Roman" w:hAnsi="Times New Roman"/>
          <w:b/>
          <w:color w:val="000000"/>
          <w:sz w:val="22"/>
        </w:rPr>
        <w:t>Severability.</w:t>
      </w:r>
      <w:r>
        <w:rPr>
          <w:color w:val="000000"/>
        </w:rPr>
        <w:t xml:space="preserve"> </w:t>
      </w:r>
      <w:r>
        <w:rPr>
          <w:rFonts w:ascii="Times New Roman" w:hAnsi="Times New Roman"/>
          <w:color w:val="000000"/>
          <w:sz w:val="22"/>
        </w:rPr>
        <w:t>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w:t>
      </w:r>
    </w:p>
    <w:p>
      <w:pPr>
        <w:pStyle w:val="TextBody"/>
        <w:bidi w:val="0"/>
        <w:spacing w:before="240" w:after="283"/>
        <w:jc w:val="left"/>
        <w:rPr/>
      </w:pPr>
      <w:r>
        <w:rPr>
          <w:rFonts w:ascii="Times New Roman" w:hAnsi="Times New Roman"/>
          <w:b/>
          <w:color w:val="000000"/>
          <w:sz w:val="22"/>
        </w:rPr>
        <w:t>Modification, Waiver.</w:t>
      </w:r>
      <w:r>
        <w:rPr>
          <w:color w:val="000000"/>
        </w:rPr>
        <w:t xml:space="preserve"> </w:t>
      </w:r>
      <w:r>
        <w:rPr>
          <w:rFonts w:ascii="Times New Roman" w:hAnsi="Times New Roman"/>
          <w:color w:val="000000"/>
          <w:sz w:val="22"/>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G.</w:t>
      </w:r>
    </w:p>
    <w:p>
      <w:pPr>
        <w:pStyle w:val="TextBody"/>
        <w:bidi w:val="0"/>
        <w:spacing w:before="240" w:after="283"/>
        <w:jc w:val="left"/>
        <w:rPr/>
      </w:pPr>
      <w:r>
        <w:rPr>
          <w:rFonts w:ascii="Times New Roman" w:hAnsi="Times New Roman"/>
          <w:b/>
          <w:color w:val="000000"/>
          <w:sz w:val="22"/>
        </w:rPr>
        <w:t>Notices.</w:t>
      </w:r>
      <w:r>
        <w:rPr>
          <w:color w:val="000000"/>
        </w:rPr>
        <w:t xml:space="preserve"> </w:t>
      </w:r>
      <w:r>
        <w:rPr>
          <w:rFonts w:ascii="Times New Roman" w:hAnsi="Times New Roman"/>
          <w:color w:val="000000"/>
          <w:sz w:val="22"/>
        </w:rPr>
        <w:t>Any notice or other communication required or permitted by this Agreement to be given to a Party shall be in writing and shall be deemed given: (i) if delivered personally or by commercial messenger or courier service; (ii) when sent by confirmed facsimile or confirmed email;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to the Company, to:</w:t>
      </w:r>
    </w:p>
    <w:p>
      <w:pPr>
        <w:pStyle w:val="TextBody"/>
        <w:bidi w:val="0"/>
        <w:jc w:val="both"/>
        <w:rPr>
          <w:rFonts w:ascii="Times New Roman" w:hAnsi="Times New Roman"/>
          <w:color w:val="000000"/>
          <w:sz w:val="22"/>
        </w:rPr>
      </w:pPr>
      <w:r>
        <w:rPr>
          <w:rFonts w:ascii="Times New Roman" w:hAnsi="Times New Roman"/>
          <w:color w:val="000000"/>
          <w:sz w:val="22"/>
        </w:rPr>
        <w:t>1150 Veterans Boulevard</w:t>
      </w:r>
    </w:p>
    <w:p>
      <w:pPr>
        <w:pStyle w:val="TextBody"/>
        <w:bidi w:val="0"/>
        <w:jc w:val="both"/>
        <w:rPr>
          <w:rFonts w:ascii="Times New Roman" w:hAnsi="Times New Roman"/>
          <w:color w:val="000000"/>
          <w:sz w:val="22"/>
        </w:rPr>
      </w:pPr>
      <w:r>
        <w:rPr>
          <w:rFonts w:ascii="Times New Roman" w:hAnsi="Times New Roman"/>
          <w:color w:val="000000"/>
          <w:sz w:val="22"/>
        </w:rPr>
        <w:t>South San Francisco, CA 94080</w:t>
      </w:r>
    </w:p>
    <w:p>
      <w:pPr>
        <w:pStyle w:val="TextBody"/>
        <w:bidi w:val="0"/>
        <w:jc w:val="both"/>
        <w:rPr>
          <w:rFonts w:ascii="Times New Roman" w:hAnsi="Times New Roman"/>
          <w:color w:val="000000"/>
          <w:sz w:val="22"/>
        </w:rPr>
      </w:pPr>
      <w:r>
        <w:rPr>
          <w:rFonts w:ascii="Times New Roman" w:hAnsi="Times New Roman"/>
          <w:color w:val="000000"/>
          <w:sz w:val="22"/>
        </w:rPr>
        <w:t>Attn: Legal Department</w:t>
      </w:r>
    </w:p>
    <w:p>
      <w:pPr>
        <w:pStyle w:val="TextBody"/>
        <w:bidi w:val="0"/>
        <w:jc w:val="both"/>
        <w:rPr>
          <w:rFonts w:ascii="Times New Roman" w:hAnsi="Times New Roman"/>
          <w:color w:val="000000"/>
          <w:sz w:val="22"/>
        </w:rPr>
      </w:pPr>
      <w:r>
        <w:rPr>
          <w:rFonts w:ascii="Times New Roman" w:hAnsi="Times New Roman"/>
          <w:color w:val="000000"/>
          <w:sz w:val="22"/>
        </w:rPr>
        <w:t>contractnotices@nkartatx.com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to Consultant, to Consultant’s last address reflected in the Company’s payroll records.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H.</w:t>
      </w:r>
    </w:p>
    <w:p>
      <w:pPr>
        <w:pStyle w:val="TextBody"/>
        <w:bidi w:val="0"/>
        <w:spacing w:before="240" w:after="283"/>
        <w:jc w:val="left"/>
        <w:rPr/>
      </w:pPr>
      <w:r>
        <w:rPr>
          <w:rFonts w:ascii="Times New Roman" w:hAnsi="Times New Roman"/>
          <w:b/>
          <w:color w:val="000000"/>
          <w:sz w:val="22"/>
        </w:rPr>
        <w:t>Attorneys’ Fees.</w:t>
      </w:r>
      <w:r>
        <w:rPr>
          <w:color w:val="000000"/>
        </w:rPr>
        <w:t xml:space="preserve"> </w:t>
      </w:r>
      <w:r>
        <w:rPr>
          <w:rFonts w:ascii="Times New Roman" w:hAnsi="Times New Roman"/>
          <w:color w:val="000000"/>
          <w:sz w:val="22"/>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w:t>
      </w:r>
    </w:p>
    <w:p>
      <w:pPr>
        <w:pStyle w:val="TextBody"/>
        <w:bidi w:val="0"/>
        <w:spacing w:before="240" w:after="283"/>
        <w:jc w:val="left"/>
        <w:rPr/>
      </w:pPr>
      <w:r>
        <w:rPr>
          <w:rFonts w:ascii="Times New Roman" w:hAnsi="Times New Roman"/>
          <w:b/>
          <w:color w:val="000000"/>
          <w:sz w:val="22"/>
        </w:rPr>
        <w:t>Signatures.</w:t>
      </w:r>
      <w:r>
        <w:rPr>
          <w:color w:val="000000"/>
        </w:rPr>
        <w:t xml:space="preserve"> </w:t>
      </w:r>
      <w:r>
        <w:rPr>
          <w:rFonts w:ascii="Times New Roman" w:hAnsi="Times New Roman"/>
          <w:color w:val="000000"/>
          <w:sz w:val="22"/>
        </w:rPr>
        <w:t>This Agreement may be signed in two (2) counterparts, each of which shall be deemed an original, with the same force and effectiveness as though executed in a single document.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WITNESS WHEREOF, the Parties hereto have executed this Consulting Agreement as of the Effective Date.</w:t>
      </w:r>
    </w:p>
    <w:p>
      <w:pPr>
        <w:pStyle w:val="TextBody"/>
        <w:bidi w:val="0"/>
        <w:spacing w:before="480" w:after="240"/>
        <w:jc w:val="left"/>
        <w:rPr>
          <w:rFonts w:ascii="Times New Roman" w:hAnsi="Times New Roman"/>
          <w:sz w:val="20"/>
        </w:rPr>
      </w:pPr>
      <w:r>
        <w:rPr>
          <w:rFonts w:ascii="Times New Roman" w:hAnsi="Times New Roman"/>
          <w:b/>
          <w:color w:val="000000"/>
          <w:sz w:val="22"/>
        </w:rPr>
        <w:t>CONSULTANT</w:t>
      </w:r>
      <w:r>
        <w:rPr>
          <w:rFonts w:ascii="Times New Roman" w:hAnsi="Times New Roman"/>
          <w:color w:val="000000"/>
          <w:sz w:val="20"/>
        </w:rPr>
        <w:t xml:space="preserve"> </w:t>
      </w:r>
      <w:r>
        <w:rPr>
          <w:rFonts w:ascii="Times New Roman" w:hAnsi="Times New Roman"/>
          <w:b/>
          <w:caps/>
          <w:color w:val="000000"/>
          <w:sz w:val="22"/>
        </w:rPr>
        <w:t>NKARTA, INC.</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Alyssa Levin </w:t>
      </w:r>
      <w:r>
        <w:rPr>
          <w:rFonts w:ascii="Times New Roman" w:hAnsi="Times New Roman"/>
          <w:color w:val="000000"/>
          <w:sz w:val="22"/>
        </w:rPr>
        <w:t xml:space="preserve">By: </w:t>
      </w:r>
      <w:r>
        <w:rPr>
          <w:rFonts w:ascii="Times New Roman" w:hAnsi="Times New Roman"/>
          <w:color w:val="000000"/>
          <w:sz w:val="22"/>
          <w:u w:val="single"/>
        </w:rPr>
        <w:t>/s/ Nadir Mahmood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Name: Alyssa Levin</w:t>
      </w:r>
      <w:r>
        <w:rPr>
          <w:rFonts w:ascii="Times New Roman" w:hAnsi="Times New Roman"/>
          <w:color w:val="000000"/>
          <w:sz w:val="20"/>
        </w:rPr>
        <w:t xml:space="preserve"> </w:t>
      </w:r>
      <w:r>
        <w:rPr>
          <w:rFonts w:ascii="Times New Roman" w:hAnsi="Times New Roman"/>
          <w:color w:val="000000"/>
          <w:sz w:val="22"/>
        </w:rPr>
        <w:t>Name: Nadir Mahmood</w:t>
      </w:r>
    </w:p>
    <w:p>
      <w:pPr>
        <w:pStyle w:val="TextBody"/>
        <w:bidi w:val="0"/>
        <w:spacing w:before="240" w:after="283"/>
        <w:jc w:val="left"/>
        <w:rPr>
          <w:rFonts w:ascii="Times New Roman" w:hAnsi="Times New Roman"/>
          <w:sz w:val="20"/>
        </w:rPr>
      </w:pPr>
      <w:r>
        <w:rPr>
          <w:rFonts w:ascii="Times New Roman" w:hAnsi="Times New Roman"/>
          <w:color w:val="000000"/>
          <w:sz w:val="22"/>
        </w:rPr>
        <w:t>Title: Consultant</w:t>
      </w:r>
      <w:r>
        <w:rPr>
          <w:rFonts w:ascii="Times New Roman" w:hAnsi="Times New Roman"/>
          <w:color w:val="000000"/>
          <w:sz w:val="20"/>
        </w:rPr>
        <w:t xml:space="preserve"> </w:t>
      </w:r>
      <w:r>
        <w:rPr>
          <w:rFonts w:ascii="Times New Roman" w:hAnsi="Times New Roman"/>
          <w:color w:val="000000"/>
          <w:sz w:val="22"/>
        </w:rPr>
        <w:t>Title: President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Date: </w:t>
      </w:r>
      <w:r>
        <w:rPr>
          <w:rFonts w:ascii="Times New Roman" w:hAnsi="Times New Roman"/>
          <w:color w:val="000000"/>
          <w:sz w:val="22"/>
          <w:u w:val="single"/>
        </w:rPr>
        <w:t xml:space="preserve">4/2/2025 </w:t>
      </w:r>
      <w:r>
        <w:rPr>
          <w:rFonts w:ascii="Times New Roman" w:hAnsi="Times New Roman"/>
          <w:color w:val="000000"/>
          <w:sz w:val="22"/>
        </w:rPr>
        <w:t xml:space="preserve">Date: </w:t>
      </w:r>
      <w:r>
        <w:rPr>
          <w:rFonts w:ascii="Times New Roman" w:hAnsi="Times New Roman"/>
          <w:color w:val="000000"/>
          <w:sz w:val="22"/>
          <w:u w:val="single"/>
        </w:rPr>
        <w:t>4/2/2025</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spacing w:before="0" w:after="3"/>
        <w:jc w:val="center"/>
        <w:rPr/>
      </w:pPr>
      <w:r>
        <w:rPr/>
        <w:t> </w:t>
      </w:r>
    </w:p>
    <w:p>
      <w:pPr>
        <w:pStyle w:val="TextBody"/>
        <w:bidi w:val="0"/>
        <w:spacing w:before="0" w:after="3"/>
        <w:jc w:val="center"/>
        <w:rPr>
          <w:rFonts w:ascii="Times New Roman" w:hAnsi="Times New Roman"/>
          <w:b/>
          <w:color w:val="000000"/>
          <w:sz w:val="22"/>
        </w:rPr>
      </w:pPr>
      <w:r>
        <w:rPr>
          <w:rFonts w:ascii="Times New Roman" w:hAnsi="Times New Roman"/>
          <w:b/>
          <w:color w:val="000000"/>
          <w:sz w:val="22"/>
        </w:rPr>
        <w:t>CLOSING STATEMENT</w:t>
      </w:r>
    </w:p>
    <w:p>
      <w:pPr>
        <w:pStyle w:val="TextBody"/>
        <w:bidi w:val="0"/>
        <w:spacing w:before="0" w:after="3"/>
        <w:jc w:val="left"/>
        <w:rPr/>
      </w:pPr>
      <w:r>
        <w:rPr/>
        <w:t> </w:t>
      </w:r>
    </w:p>
    <w:p>
      <w:pPr>
        <w:pStyle w:val="TextBody"/>
        <w:bidi w:val="0"/>
        <w:spacing w:before="0" w:after="3"/>
        <w:jc w:val="left"/>
        <w:rPr/>
      </w:pPr>
      <w:r>
        <w:rPr/>
        <w:t> </w:t>
      </w:r>
    </w:p>
    <w:p>
      <w:pPr>
        <w:pStyle w:val="TextBody"/>
        <w:bidi w:val="0"/>
        <w:spacing w:before="0" w:after="3"/>
        <w:jc w:val="center"/>
        <w:rPr>
          <w:rFonts w:ascii="Times New Roman" w:hAnsi="Times New Roman"/>
          <w:b/>
          <w:i/>
          <w:color w:val="000000"/>
          <w:sz w:val="22"/>
        </w:rPr>
      </w:pPr>
      <w:r>
        <w:rPr>
          <w:rFonts w:ascii="Times New Roman" w:hAnsi="Times New Roman"/>
          <w:b/>
          <w:i/>
          <w:color w:val="000000"/>
          <w:sz w:val="22"/>
        </w:rPr>
        <w:t>[Attached]</w:t>
      </w:r>
    </w:p>
    <w:p>
      <w:pPr>
        <w:pStyle w:val="TextBody"/>
        <w:bidi w:val="0"/>
        <w:spacing w:before="0" w:after="3"/>
        <w:jc w:val="center"/>
        <w:rPr/>
      </w:pPr>
      <w:r>
        <w:rPr/>
        <w:t> </w:t>
      </w:r>
    </w:p>
    <w:p>
      <w:pPr>
        <w:pStyle w:val="TextBody"/>
        <w:bidi w:val="0"/>
        <w:jc w:val="both"/>
        <w:rPr/>
      </w:pPr>
      <w:r>
        <w:rPr/>
        <w:t> </w:t>
      </w:r>
    </w:p>
    <w:p>
      <w:pPr>
        <w:pStyle w:val="TextBody"/>
        <w:bidi w:val="0"/>
        <w:jc w:val="left"/>
        <w:rPr/>
      </w:pPr>
      <w:r>
        <w:rPr/>
        <w:t> </w:t>
      </w:r>
    </w:p>
    <w:p>
      <w:pPr>
        <w:pStyle w:val="TextBody"/>
        <w:bidi w:val="0"/>
        <w:spacing w:before="192"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rFonts w:ascii="Arial" w:hAnsi="Arial"/>
          <w:b/>
          <w:color w:val="000000"/>
          <w:sz w:val="20"/>
        </w:rPr>
      </w:pPr>
      <w:r>
        <w:rPr>
          <w:rFonts w:ascii="Arial" w:hAnsi="Arial"/>
          <w:b/>
          <w:color w:val="000000"/>
          <w:sz w:val="20"/>
        </w:rPr>
        <w:t>Alyssa Levin</w:t>
      </w:r>
    </w:p>
    <w:p>
      <w:pPr>
        <w:pStyle w:val="TextBody"/>
        <w:bidi w:val="0"/>
        <w:jc w:val="left"/>
        <w:rPr>
          <w:rFonts w:ascii="Arial" w:hAnsi="Arial"/>
          <w:b/>
          <w:color w:val="000000"/>
          <w:sz w:val="22"/>
        </w:rPr>
      </w:pPr>
      <w:r>
        <w:rPr>
          <w:rFonts w:ascii="Arial" w:hAnsi="Arial"/>
          <w:b/>
          <w:color w:val="000000"/>
          <w:sz w:val="22"/>
        </w:rPr>
        <w:t>[***]</w:t>
      </w:r>
    </w:p>
    <w:p>
      <w:pPr>
        <w:pStyle w:val="TextBody"/>
        <w:bidi w:val="0"/>
        <w:jc w:val="left"/>
        <w:rPr/>
      </w:pPr>
      <w:r>
        <w:rPr/>
        <w:t> </w:t>
      </w:r>
    </w:p>
    <w:p>
      <w:pPr>
        <w:pStyle w:val="TextBody"/>
        <w:bidi w:val="0"/>
        <w:spacing w:before="13" w:after="283"/>
        <w:jc w:val="left"/>
        <w:rPr/>
      </w:pPr>
      <w:r>
        <w:rPr/>
        <w:t> </w:t>
      </w:r>
    </w:p>
    <w:p>
      <w:pPr>
        <w:pStyle w:val="TextBody"/>
        <w:bidi w:val="0"/>
        <w:spacing w:before="1" w:after="283"/>
        <w:jc w:val="left"/>
        <w:rPr>
          <w:rFonts w:ascii="Arial" w:hAnsi="Arial"/>
          <w:b/>
          <w:color w:val="000000"/>
          <w:sz w:val="20"/>
        </w:rPr>
      </w:pPr>
      <w:r>
        <w:rPr>
          <w:rFonts w:ascii="Arial" w:hAnsi="Arial"/>
          <w:b/>
          <w:color w:val="000000"/>
          <w:sz w:val="20"/>
        </w:rPr>
        <w:t>Exercisable Options</w:t>
      </w:r>
    </w:p>
    <w:p>
      <w:pPr>
        <w:pStyle w:val="TextBody"/>
        <w:bidi w:val="0"/>
        <w:jc w:val="left"/>
        <w:rPr/>
      </w:pPr>
      <w:r>
        <w:rPr/>
        <w:t> </w:t>
      </w:r>
    </w:p>
    <w:p>
      <w:pPr>
        <w:pStyle w:val="TextBody"/>
        <w:bidi w:val="0"/>
        <w:spacing w:before="156" w:after="1"/>
        <w:jc w:val="left"/>
        <w:rPr/>
      </w:pPr>
      <w:r>
        <w:rPr/>
        <w:t> </w:t>
      </w:r>
    </w:p>
    <w:tbl>
      <w:tblPr>
        <w:tblW w:w="10342" w:type="dxa"/>
        <w:jc w:val="left"/>
        <w:tblInd w:w="0" w:type="dxa"/>
        <w:tblLayout w:type="fixed"/>
        <w:tblCellMar>
          <w:top w:w="28" w:type="dxa"/>
          <w:left w:w="28" w:type="dxa"/>
          <w:bottom w:w="28" w:type="dxa"/>
          <w:right w:w="28" w:type="dxa"/>
        </w:tblCellMar>
      </w:tblPr>
      <w:tblGrid>
        <w:gridCol w:w="841"/>
        <w:gridCol w:w="147"/>
        <w:gridCol w:w="527"/>
        <w:gridCol w:w="183"/>
        <w:gridCol w:w="752"/>
        <w:gridCol w:w="146"/>
        <w:gridCol w:w="601"/>
        <w:gridCol w:w="148"/>
        <w:gridCol w:w="708"/>
        <w:gridCol w:w="148"/>
        <w:gridCol w:w="843"/>
        <w:gridCol w:w="196"/>
        <w:gridCol w:w="147"/>
        <w:gridCol w:w="962"/>
        <w:gridCol w:w="147"/>
        <w:gridCol w:w="881"/>
        <w:gridCol w:w="201"/>
        <w:gridCol w:w="647"/>
        <w:gridCol w:w="147"/>
        <w:gridCol w:w="916"/>
        <w:gridCol w:w="202"/>
        <w:gridCol w:w="852"/>
      </w:tblGrid>
      <w:tr>
        <w:trPr/>
        <w:tc>
          <w:tcPr>
            <w:tcW w:w="8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p>
            <w:pPr>
              <w:pStyle w:val="TableContents"/>
              <w:bidi w:val="0"/>
              <w:spacing w:before="1" w:after="283"/>
              <w:jc w:val="left"/>
              <w:rPr>
                <w:rFonts w:ascii="Arial" w:hAnsi="Arial"/>
                <w:color w:val="000000"/>
                <w:sz w:val="16"/>
              </w:rPr>
            </w:pPr>
            <w:r>
              <w:rPr>
                <w:rFonts w:ascii="Arial" w:hAnsi="Arial"/>
                <w:color w:val="000000"/>
                <w:sz w:val="16"/>
              </w:rPr>
              <w:t>Number</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pPr>
            <w:r>
              <w:rPr/>
              <w:t> </w:t>
            </w:r>
          </w:p>
        </w:tc>
        <w:tc>
          <w:tcPr>
            <w:tcW w:w="52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rFonts w:ascii="Arial" w:hAnsi="Arial"/>
                <w:color w:val="000000"/>
                <w:sz w:val="16"/>
              </w:rPr>
            </w:pPr>
            <w:r>
              <w:rPr>
                <w:rFonts w:ascii="Arial" w:hAnsi="Arial"/>
                <w:color w:val="000000"/>
                <w:sz w:val="16"/>
              </w:rPr>
              <w:t>Grant Date</w:t>
            </w:r>
          </w:p>
        </w:tc>
        <w:tc>
          <w:tcPr>
            <w:tcW w:w="183" w:type="dxa"/>
            <w:tcBorders>
              <w:bottom w:val="single" w:sz="4" w:space="0" w:color="000000"/>
            </w:tcBorders>
            <w:tcMar>
              <w:top w:w="0" w:type="dxa"/>
              <w:left w:w="0" w:type="dxa"/>
              <w:right w:w="0" w:type="dxa"/>
            </w:tcMar>
            <w:vAlign w:val="center"/>
          </w:tcPr>
          <w:p>
            <w:pPr>
              <w:pStyle w:val="TableContents"/>
              <w:bidi w:val="0"/>
              <w:spacing w:before="0" w:after="283"/>
              <w:ind w:left="0" w:right="0" w:firstLine="37"/>
              <w:jc w:val="left"/>
              <w:rPr/>
            </w:pPr>
            <w:r>
              <w:rPr/>
              <w:t> </w:t>
            </w:r>
          </w:p>
        </w:tc>
        <w:tc>
          <w:tcPr>
            <w:tcW w:w="752" w:type="dxa"/>
            <w:tcBorders>
              <w:bottom w:val="single" w:sz="4" w:space="0" w:color="000000"/>
            </w:tcBorders>
            <w:tcMar>
              <w:top w:w="0" w:type="dxa"/>
              <w:left w:w="0" w:type="dxa"/>
              <w:right w:w="0" w:type="dxa"/>
            </w:tcMar>
            <w:vAlign w:val="center"/>
          </w:tcPr>
          <w:p>
            <w:pPr>
              <w:pStyle w:val="TableContents"/>
              <w:bidi w:val="0"/>
              <w:spacing w:before="0" w:after="283"/>
              <w:ind w:left="0" w:right="0" w:firstLine="37"/>
              <w:jc w:val="left"/>
              <w:rPr>
                <w:rFonts w:ascii="Arial" w:hAnsi="Arial"/>
                <w:color w:val="000000"/>
                <w:sz w:val="16"/>
              </w:rPr>
            </w:pPr>
            <w:r>
              <w:rPr>
                <w:rFonts w:ascii="Arial" w:hAnsi="Arial"/>
                <w:color w:val="000000"/>
                <w:sz w:val="16"/>
              </w:rPr>
              <w:t>Plan/ Type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16" w:after="283"/>
              <w:jc w:val="left"/>
              <w:rPr/>
            </w:pPr>
            <w:r>
              <w:rPr/>
              <w:t> </w:t>
            </w:r>
          </w:p>
          <w:p>
            <w:pPr>
              <w:pStyle w:val="TableContents"/>
              <w:bidi w:val="0"/>
              <w:spacing w:before="1" w:after="283"/>
              <w:jc w:val="left"/>
              <w:rPr>
                <w:rFonts w:ascii="Arial" w:hAnsi="Arial"/>
                <w:color w:val="000000"/>
                <w:sz w:val="16"/>
              </w:rPr>
            </w:pPr>
            <w:r>
              <w:rPr>
                <w:rFonts w:ascii="Arial" w:hAnsi="Arial"/>
                <w:color w:val="000000"/>
                <w:sz w:val="16"/>
              </w:rPr>
              <w:t>Price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ind w:left="0" w:right="0" w:firstLine="2"/>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ind w:left="0" w:right="0" w:firstLine="2"/>
              <w:jc w:val="left"/>
              <w:rPr>
                <w:rFonts w:ascii="Arial" w:hAnsi="Arial"/>
                <w:color w:val="000000"/>
                <w:sz w:val="16"/>
              </w:rPr>
            </w:pPr>
            <w:r>
              <w:rPr>
                <w:rFonts w:ascii="Arial" w:hAnsi="Arial"/>
                <w:color w:val="000000"/>
                <w:sz w:val="16"/>
              </w:rPr>
              <w:t>Shares Granted</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ind w:left="0" w:right="0" w:firstLine="2"/>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283"/>
              <w:ind w:left="0" w:right="0" w:firstLine="2"/>
              <w:jc w:val="left"/>
              <w:rPr>
                <w:rFonts w:ascii="Arial" w:hAnsi="Arial"/>
                <w:color w:val="000000"/>
                <w:sz w:val="16"/>
              </w:rPr>
            </w:pPr>
            <w:r>
              <w:rPr>
                <w:rFonts w:ascii="Arial" w:hAnsi="Arial"/>
                <w:color w:val="000000"/>
                <w:sz w:val="16"/>
              </w:rPr>
              <w:t>Shares Exercised</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pPr>
            <w:r>
              <w:rPr/>
              <w:t> </w:t>
            </w:r>
          </w:p>
        </w:tc>
        <w:tc>
          <w:tcPr>
            <w:tcW w:w="962"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rFonts w:ascii="Arial" w:hAnsi="Arial"/>
                <w:color w:val="000000"/>
                <w:sz w:val="16"/>
              </w:rPr>
            </w:pPr>
            <w:r>
              <w:rPr>
                <w:rFonts w:ascii="Arial" w:hAnsi="Arial"/>
                <w:color w:val="000000"/>
                <w:sz w:val="16"/>
              </w:rPr>
              <w:t>Shares Exercisable</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0" w:after="283"/>
              <w:ind w:left="0" w:right="0" w:firstLine="55"/>
              <w:jc w:val="left"/>
              <w:rPr>
                <w:rFonts w:ascii="Arial" w:hAnsi="Arial"/>
                <w:color w:val="000000"/>
                <w:sz w:val="16"/>
              </w:rPr>
            </w:pPr>
            <w:r>
              <w:rPr>
                <w:rFonts w:ascii="Arial" w:hAnsi="Arial"/>
                <w:color w:val="000000"/>
                <w:sz w:val="16"/>
              </w:rPr>
              <w:t>Shares Cancelled</w:t>
            </w:r>
          </w:p>
        </w:tc>
        <w:tc>
          <w:tcPr>
            <w:tcW w:w="201" w:type="dxa"/>
            <w:tcBorders>
              <w:bottom w:val="single" w:sz="4" w:space="0" w:color="000000"/>
            </w:tcBorders>
            <w:tcMar>
              <w:top w:w="0" w:type="dxa"/>
              <w:left w:w="0" w:type="dxa"/>
              <w:right w:w="0" w:type="dxa"/>
            </w:tcMar>
            <w:vAlign w:val="center"/>
          </w:tcPr>
          <w:p>
            <w:pPr>
              <w:pStyle w:val="TableContents"/>
              <w:bidi w:val="0"/>
              <w:spacing w:before="0" w:after="283"/>
              <w:ind w:left="0" w:right="0" w:firstLine="55"/>
              <w:jc w:val="left"/>
              <w:rPr/>
            </w:pPr>
            <w:r>
              <w:rPr/>
              <w:t> </w:t>
            </w:r>
          </w:p>
        </w:tc>
        <w:tc>
          <w:tcPr>
            <w:tcW w:w="64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rFonts w:ascii="Arial" w:hAnsi="Arial"/>
                <w:color w:val="000000"/>
                <w:sz w:val="16"/>
              </w:rPr>
            </w:pPr>
            <w:r>
              <w:rPr>
                <w:rFonts w:ascii="Arial" w:hAnsi="Arial"/>
                <w:color w:val="000000"/>
                <w:sz w:val="16"/>
              </w:rPr>
              <w:t>Vesting Stop Date</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ind w:left="0" w:right="0" w:firstLine="56"/>
              <w:jc w:val="left"/>
              <w:rPr>
                <w:rFonts w:ascii="Arial" w:hAnsi="Arial"/>
                <w:color w:val="000000"/>
                <w:sz w:val="16"/>
              </w:rPr>
            </w:pPr>
            <w:r>
              <w:rPr>
                <w:rFonts w:ascii="Arial" w:hAnsi="Arial"/>
                <w:color w:val="000000"/>
                <w:sz w:val="16"/>
              </w:rPr>
              <w:t>Total Price ($)</w:t>
            </w:r>
          </w:p>
        </w:tc>
        <w:tc>
          <w:tcPr>
            <w:tcW w:w="202" w:type="dxa"/>
            <w:tcBorders>
              <w:bottom w:val="single" w:sz="4" w:space="0" w:color="000000"/>
            </w:tcBorders>
            <w:tcMar>
              <w:top w:w="0" w:type="dxa"/>
              <w:left w:w="0" w:type="dxa"/>
              <w:right w:w="0" w:type="dxa"/>
            </w:tcMar>
            <w:vAlign w:val="center"/>
          </w:tcPr>
          <w:p>
            <w:pPr>
              <w:pStyle w:val="TableContents"/>
              <w:bidi w:val="0"/>
              <w:spacing w:before="0" w:after="283"/>
              <w:ind w:left="0" w:right="0" w:firstLine="56"/>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283"/>
              <w:ind w:left="0" w:right="0" w:firstLine="56"/>
              <w:jc w:val="left"/>
              <w:rPr>
                <w:rFonts w:ascii="Arial" w:hAnsi="Arial"/>
                <w:color w:val="000000"/>
                <w:sz w:val="16"/>
              </w:rPr>
            </w:pPr>
            <w:r>
              <w:rPr>
                <w:rFonts w:ascii="Arial" w:hAnsi="Arial"/>
                <w:color w:val="000000"/>
                <w:sz w:val="16"/>
              </w:rPr>
              <w:t>Last Date To Exercise</w:t>
            </w:r>
          </w:p>
        </w:tc>
      </w:tr>
      <w:tr>
        <w:trPr/>
        <w:tc>
          <w:tcPr>
            <w:tcW w:w="841"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center"/>
              <w:rPr>
                <w:rFonts w:ascii="Arial" w:hAnsi="Arial"/>
                <w:color w:val="000000"/>
                <w:sz w:val="16"/>
              </w:rPr>
            </w:pPr>
            <w:r>
              <w:rPr>
                <w:rFonts w:ascii="Arial" w:hAnsi="Arial"/>
                <w:color w:val="000000"/>
                <w:sz w:val="16"/>
              </w:rPr>
              <w:t>10001793</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center"/>
              <w:rPr>
                <w:rFonts w:ascii="Arial" w:hAnsi="Arial"/>
                <w:color w:val="000000"/>
                <w:sz w:val="16"/>
              </w:rPr>
            </w:pPr>
            <w:r>
              <w:rPr>
                <w:rFonts w:ascii="Arial" w:hAnsi="Arial"/>
                <w:color w:val="000000"/>
                <w:sz w:val="16"/>
              </w:rPr>
              <w:t>01-Jul-23</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left"/>
              <w:rPr>
                <w:rFonts w:ascii="Arial" w:hAnsi="Arial"/>
                <w:color w:val="000000"/>
                <w:sz w:val="16"/>
              </w:rPr>
            </w:pPr>
            <w:r>
              <w:rPr>
                <w:rFonts w:ascii="Arial" w:hAnsi="Arial"/>
                <w:color w:val="000000"/>
                <w:sz w:val="16"/>
              </w:rPr>
              <w:t>2020/NQ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2.1900</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442,400</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0</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211,983</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230,417</w:t>
            </w:r>
          </w:p>
        </w:tc>
        <w:tc>
          <w:tcPr>
            <w:tcW w:w="201" w:type="dxa"/>
            <w:tcBorders/>
            <w:tcMar>
              <w:top w:w="0" w:type="dxa"/>
              <w:left w:w="0" w:type="dxa"/>
              <w:bottom w:w="0" w:type="dxa"/>
              <w:right w:w="0" w:type="dxa"/>
            </w:tcMar>
            <w:vAlign w:val="center"/>
          </w:tcPr>
          <w:p>
            <w:pPr>
              <w:pStyle w:val="TableContents"/>
              <w:bidi w:val="0"/>
              <w:spacing w:before="66" w:after="283"/>
              <w:jc w:val="left"/>
              <w:rPr/>
            </w:pPr>
            <w:r>
              <w:rPr/>
              <w:t> </w:t>
            </w:r>
          </w:p>
        </w:tc>
        <w:tc>
          <w:tcPr>
            <w:tcW w:w="647"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30-Jun-25</w:t>
            </w:r>
          </w:p>
        </w:tc>
        <w:tc>
          <w:tcPr>
            <w:tcW w:w="147" w:type="dxa"/>
            <w:tcBorders/>
            <w:tcMar>
              <w:top w:w="0" w:type="dxa"/>
              <w:left w:w="0" w:type="dxa"/>
              <w:bottom w:w="0" w:type="dxa"/>
              <w:right w:w="0" w:type="dxa"/>
            </w:tcMar>
            <w:vAlign w:val="center"/>
          </w:tcPr>
          <w:p>
            <w:pPr>
              <w:pStyle w:val="TableContents"/>
              <w:bidi w:val="0"/>
              <w:spacing w:before="66" w:after="283"/>
              <w:jc w:val="left"/>
              <w:rPr/>
            </w:pPr>
            <w:r>
              <w:rPr/>
              <w:t> </w:t>
            </w:r>
          </w:p>
        </w:tc>
        <w:tc>
          <w:tcPr>
            <w:tcW w:w="916"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464,242.77</w:t>
            </w:r>
          </w:p>
        </w:tc>
        <w:tc>
          <w:tcPr>
            <w:tcW w:w="202" w:type="dxa"/>
            <w:tcBorders/>
            <w:tcMar>
              <w:top w:w="0" w:type="dxa"/>
              <w:left w:w="0" w:type="dxa"/>
              <w:bottom w:w="0" w:type="dxa"/>
              <w:right w:w="0" w:type="dxa"/>
            </w:tcMar>
            <w:vAlign w:val="center"/>
          </w:tcPr>
          <w:p>
            <w:pPr>
              <w:pStyle w:val="TableContents"/>
              <w:bidi w:val="0"/>
              <w:spacing w:before="65" w:after="283"/>
              <w:jc w:val="left"/>
              <w:rPr/>
            </w:pPr>
            <w:r>
              <w:rPr/>
              <w:t> </w:t>
            </w:r>
          </w:p>
        </w:tc>
        <w:tc>
          <w:tcPr>
            <w:tcW w:w="852" w:type="dxa"/>
            <w:tcBorders/>
            <w:tcMar>
              <w:top w:w="0" w:type="dxa"/>
              <w:left w:w="0" w:type="dxa"/>
              <w:bottom w:w="0" w:type="dxa"/>
              <w:right w:w="0" w:type="dxa"/>
            </w:tcMar>
            <w:vAlign w:val="center"/>
          </w:tcPr>
          <w:p>
            <w:pPr>
              <w:pStyle w:val="TableContents"/>
              <w:bidi w:val="0"/>
              <w:spacing w:before="65" w:after="283"/>
              <w:jc w:val="left"/>
              <w:rPr/>
            </w:pPr>
            <w:r>
              <w:rPr/>
              <w:t> </w:t>
            </w:r>
          </w:p>
          <w:p>
            <w:pPr>
              <w:pStyle w:val="TableContents"/>
              <w:bidi w:val="0"/>
              <w:spacing w:before="1" w:after="283"/>
              <w:jc w:val="right"/>
              <w:rPr>
                <w:rFonts w:ascii="Arial" w:hAnsi="Arial"/>
                <w:color w:val="000000"/>
                <w:sz w:val="16"/>
              </w:rPr>
            </w:pPr>
            <w:r>
              <w:rPr>
                <w:rFonts w:ascii="Arial" w:hAnsi="Arial"/>
                <w:color w:val="000000"/>
                <w:sz w:val="16"/>
              </w:rPr>
              <w:t>30-Jun-26</w:t>
            </w:r>
          </w:p>
        </w:tc>
      </w:tr>
      <w:tr>
        <w:trPr/>
        <w:tc>
          <w:tcPr>
            <w:tcW w:w="841" w:type="dxa"/>
            <w:tcBorders/>
            <w:tcMar>
              <w:top w:w="0" w:type="dxa"/>
              <w:left w:w="0" w:type="dxa"/>
              <w:bottom w:w="0" w:type="dxa"/>
              <w:right w:w="0" w:type="dxa"/>
            </w:tcMar>
            <w:vAlign w:val="center"/>
          </w:tcPr>
          <w:p>
            <w:pPr>
              <w:pStyle w:val="TableContents"/>
              <w:bidi w:val="0"/>
              <w:spacing w:before="8" w:after="283"/>
              <w:jc w:val="center"/>
              <w:rPr>
                <w:rFonts w:ascii="Arial" w:hAnsi="Arial"/>
                <w:color w:val="000000"/>
                <w:sz w:val="16"/>
              </w:rPr>
            </w:pPr>
            <w:r>
              <w:rPr>
                <w:rFonts w:ascii="Arial" w:hAnsi="Arial"/>
                <w:color w:val="000000"/>
                <w:sz w:val="16"/>
              </w:rPr>
              <w:t>10001998</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8" w:after="283"/>
              <w:jc w:val="center"/>
              <w:rPr>
                <w:rFonts w:ascii="Arial" w:hAnsi="Arial"/>
                <w:color w:val="000000"/>
                <w:sz w:val="16"/>
              </w:rPr>
            </w:pPr>
            <w:r>
              <w:rPr>
                <w:rFonts w:ascii="Arial" w:hAnsi="Arial"/>
                <w:color w:val="000000"/>
                <w:sz w:val="16"/>
              </w:rPr>
              <w:t>04-Jan-24</w:t>
            </w:r>
          </w:p>
        </w:tc>
        <w:tc>
          <w:tcPr>
            <w:tcW w:w="183" w:type="dxa"/>
            <w:tcBorders/>
            <w:tcMar>
              <w:top w:w="0" w:type="dxa"/>
              <w:left w:w="0" w:type="dxa"/>
              <w:bottom w:w="0" w:type="dxa"/>
              <w:right w:w="0" w:type="dxa"/>
            </w:tcMar>
            <w:vAlign w:val="center"/>
          </w:tcPr>
          <w:p>
            <w:pPr>
              <w:pStyle w:val="TableContents"/>
              <w:bidi w:val="0"/>
              <w:spacing w:before="0" w:after="283"/>
              <w:ind w:left="0" w:right="0" w:firstLine="37"/>
              <w:jc w:val="left"/>
              <w:rPr/>
            </w:pPr>
            <w:r>
              <w:rPr/>
              <w:t> </w:t>
            </w:r>
          </w:p>
        </w:tc>
        <w:tc>
          <w:tcPr>
            <w:tcW w:w="752" w:type="dxa"/>
            <w:tcBorders/>
            <w:tcMar>
              <w:top w:w="0" w:type="dxa"/>
              <w:left w:w="0" w:type="dxa"/>
              <w:bottom w:w="0" w:type="dxa"/>
              <w:right w:w="0" w:type="dxa"/>
            </w:tcMar>
            <w:vAlign w:val="center"/>
          </w:tcPr>
          <w:p>
            <w:pPr>
              <w:pStyle w:val="TableContents"/>
              <w:bidi w:val="0"/>
              <w:spacing w:before="8" w:after="283"/>
              <w:ind w:left="0" w:right="0" w:firstLine="37"/>
              <w:jc w:val="left"/>
              <w:rPr>
                <w:rFonts w:ascii="Arial" w:hAnsi="Arial"/>
                <w:color w:val="000000"/>
                <w:sz w:val="16"/>
              </w:rPr>
            </w:pPr>
            <w:r>
              <w:rPr>
                <w:rFonts w:ascii="Arial" w:hAnsi="Arial"/>
                <w:color w:val="000000"/>
                <w:sz w:val="16"/>
              </w:rPr>
              <w:t>2020/NQ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6.0100</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112,500</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0</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39,844</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72,656</w:t>
            </w:r>
          </w:p>
        </w:tc>
        <w:tc>
          <w:tcPr>
            <w:tcW w:w="201" w:type="dxa"/>
            <w:tcBorders/>
            <w:tcMar>
              <w:top w:w="0" w:type="dxa"/>
              <w:left w:w="0" w:type="dxa"/>
              <w:bottom w:w="0" w:type="dxa"/>
              <w:right w:w="0" w:type="dxa"/>
            </w:tcMar>
            <w:vAlign w:val="center"/>
          </w:tcPr>
          <w:p>
            <w:pPr>
              <w:pStyle w:val="TableContents"/>
              <w:bidi w:val="0"/>
              <w:spacing w:before="8" w:after="283"/>
              <w:jc w:val="right"/>
              <w:rPr/>
            </w:pPr>
            <w:r>
              <w:rPr/>
              <w:t> </w:t>
            </w:r>
          </w:p>
        </w:tc>
        <w:tc>
          <w:tcPr>
            <w:tcW w:w="647"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30-Jun-25</w:t>
            </w:r>
          </w:p>
        </w:tc>
        <w:tc>
          <w:tcPr>
            <w:tcW w:w="147" w:type="dxa"/>
            <w:tcBorders/>
            <w:tcMar>
              <w:top w:w="0" w:type="dxa"/>
              <w:left w:w="0" w:type="dxa"/>
              <w:bottom w:w="0" w:type="dxa"/>
              <w:right w:w="0" w:type="dxa"/>
            </w:tcMar>
            <w:vAlign w:val="center"/>
          </w:tcPr>
          <w:p>
            <w:pPr>
              <w:pStyle w:val="TableContents"/>
              <w:bidi w:val="0"/>
              <w:spacing w:before="8" w:after="283"/>
              <w:jc w:val="right"/>
              <w:rPr/>
            </w:pPr>
            <w:r>
              <w:rPr/>
              <w:t> </w:t>
            </w:r>
          </w:p>
        </w:tc>
        <w:tc>
          <w:tcPr>
            <w:tcW w:w="916"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239,462.44</w:t>
            </w:r>
          </w:p>
        </w:tc>
        <w:tc>
          <w:tcPr>
            <w:tcW w:w="202" w:type="dxa"/>
            <w:tcBorders/>
            <w:tcMar>
              <w:top w:w="0" w:type="dxa"/>
              <w:left w:w="0" w:type="dxa"/>
              <w:bottom w:w="0" w:type="dxa"/>
              <w:right w:w="0" w:type="dxa"/>
            </w:tcMar>
            <w:vAlign w:val="center"/>
          </w:tcPr>
          <w:p>
            <w:pPr>
              <w:pStyle w:val="TableContents"/>
              <w:bidi w:val="0"/>
              <w:spacing w:before="8" w:after="283"/>
              <w:jc w:val="right"/>
              <w:rPr/>
            </w:pPr>
            <w:r>
              <w:rPr/>
              <w:t> </w:t>
            </w:r>
          </w:p>
        </w:tc>
        <w:tc>
          <w:tcPr>
            <w:tcW w:w="852"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30-Jun-26</w:t>
            </w:r>
          </w:p>
        </w:tc>
      </w:tr>
      <w:tr>
        <w:trPr/>
        <w:tc>
          <w:tcPr>
            <w:tcW w:w="841" w:type="dxa"/>
            <w:tcBorders/>
            <w:tcMar>
              <w:top w:w="0" w:type="dxa"/>
              <w:left w:w="0" w:type="dxa"/>
              <w:bottom w:w="0" w:type="dxa"/>
              <w:right w:w="0" w:type="dxa"/>
            </w:tcMar>
            <w:vAlign w:val="center"/>
          </w:tcPr>
          <w:p>
            <w:pPr>
              <w:pStyle w:val="TableContents"/>
              <w:bidi w:val="0"/>
              <w:spacing w:before="8" w:after="283"/>
              <w:jc w:val="center"/>
              <w:rPr>
                <w:rFonts w:ascii="Arial" w:hAnsi="Arial"/>
                <w:color w:val="000000"/>
                <w:sz w:val="16"/>
              </w:rPr>
            </w:pPr>
            <w:r>
              <w:rPr>
                <w:rFonts w:ascii="Arial" w:hAnsi="Arial"/>
                <w:color w:val="000000"/>
                <w:sz w:val="16"/>
              </w:rPr>
              <w:t>10002491</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8" w:after="283"/>
              <w:jc w:val="center"/>
              <w:rPr>
                <w:rFonts w:ascii="Arial" w:hAnsi="Arial"/>
                <w:color w:val="000000"/>
                <w:sz w:val="16"/>
              </w:rPr>
            </w:pPr>
            <w:r>
              <w:rPr>
                <w:rFonts w:ascii="Arial" w:hAnsi="Arial"/>
                <w:color w:val="000000"/>
                <w:sz w:val="16"/>
              </w:rPr>
              <w:t>03-Jan-25</w:t>
            </w:r>
          </w:p>
        </w:tc>
        <w:tc>
          <w:tcPr>
            <w:tcW w:w="183" w:type="dxa"/>
            <w:tcBorders/>
            <w:tcMar>
              <w:top w:w="0" w:type="dxa"/>
              <w:left w:w="0" w:type="dxa"/>
              <w:bottom w:w="0" w:type="dxa"/>
              <w:right w:w="0" w:type="dxa"/>
            </w:tcMar>
            <w:vAlign w:val="center"/>
          </w:tcPr>
          <w:p>
            <w:pPr>
              <w:pStyle w:val="TableContents"/>
              <w:bidi w:val="0"/>
              <w:spacing w:before="0" w:after="283"/>
              <w:ind w:left="0" w:right="0" w:firstLine="37"/>
              <w:jc w:val="left"/>
              <w:rPr/>
            </w:pPr>
            <w:r>
              <w:rPr/>
              <w:t> </w:t>
            </w:r>
          </w:p>
        </w:tc>
        <w:tc>
          <w:tcPr>
            <w:tcW w:w="752" w:type="dxa"/>
            <w:tcBorders/>
            <w:tcMar>
              <w:top w:w="0" w:type="dxa"/>
              <w:left w:w="0" w:type="dxa"/>
              <w:bottom w:w="0" w:type="dxa"/>
              <w:right w:w="0" w:type="dxa"/>
            </w:tcMar>
            <w:vAlign w:val="center"/>
          </w:tcPr>
          <w:p>
            <w:pPr>
              <w:pStyle w:val="TableContents"/>
              <w:bidi w:val="0"/>
              <w:spacing w:before="8" w:after="283"/>
              <w:ind w:left="0" w:right="0" w:firstLine="37"/>
              <w:jc w:val="left"/>
              <w:rPr>
                <w:rFonts w:ascii="Arial" w:hAnsi="Arial"/>
                <w:color w:val="000000"/>
                <w:sz w:val="16"/>
              </w:rPr>
            </w:pPr>
            <w:r>
              <w:rPr>
                <w:rFonts w:ascii="Arial" w:hAnsi="Arial"/>
                <w:color w:val="000000"/>
                <w:sz w:val="16"/>
              </w:rPr>
              <w:t>2020/NQ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2.5000</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105,000</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0</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tcMar>
              <w:top w:w="0" w:type="dxa"/>
              <w:left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10,938</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94,062</w:t>
            </w:r>
          </w:p>
        </w:tc>
        <w:tc>
          <w:tcPr>
            <w:tcW w:w="201" w:type="dxa"/>
            <w:tcBorders>
              <w:bottom w:val="single" w:sz="4" w:space="0" w:color="000000"/>
            </w:tcBorders>
            <w:tcMar>
              <w:top w:w="0" w:type="dxa"/>
              <w:left w:w="0" w:type="dxa"/>
              <w:right w:w="0" w:type="dxa"/>
            </w:tcMar>
            <w:vAlign w:val="center"/>
          </w:tcPr>
          <w:p>
            <w:pPr>
              <w:pStyle w:val="TableContents"/>
              <w:bidi w:val="0"/>
              <w:spacing w:before="8" w:after="283"/>
              <w:jc w:val="right"/>
              <w:rPr/>
            </w:pPr>
            <w:r>
              <w:rPr/>
              <w:t> </w:t>
            </w:r>
          </w:p>
        </w:tc>
        <w:tc>
          <w:tcPr>
            <w:tcW w:w="647"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30-Jun-25</w:t>
            </w:r>
          </w:p>
        </w:tc>
        <w:tc>
          <w:tcPr>
            <w:tcW w:w="147" w:type="dxa"/>
            <w:tcBorders/>
            <w:tcMar>
              <w:top w:w="0" w:type="dxa"/>
              <w:left w:w="0" w:type="dxa"/>
              <w:bottom w:w="0" w:type="dxa"/>
              <w:right w:w="0" w:type="dxa"/>
            </w:tcMar>
            <w:vAlign w:val="center"/>
          </w:tcPr>
          <w:p>
            <w:pPr>
              <w:pStyle w:val="TableContents"/>
              <w:bidi w:val="0"/>
              <w:spacing w:before="8" w:after="283"/>
              <w:jc w:val="righ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27,345.00</w:t>
            </w:r>
          </w:p>
        </w:tc>
        <w:tc>
          <w:tcPr>
            <w:tcW w:w="202" w:type="dxa"/>
            <w:tcBorders>
              <w:bottom w:val="single" w:sz="4" w:space="0" w:color="000000"/>
            </w:tcBorders>
            <w:tcMar>
              <w:top w:w="0" w:type="dxa"/>
              <w:left w:w="0" w:type="dxa"/>
              <w:right w:w="0" w:type="dxa"/>
            </w:tcMar>
            <w:vAlign w:val="center"/>
          </w:tcPr>
          <w:p>
            <w:pPr>
              <w:pStyle w:val="TableContents"/>
              <w:bidi w:val="0"/>
              <w:spacing w:before="8" w:after="283"/>
              <w:jc w:val="right"/>
              <w:rPr/>
            </w:pPr>
            <w:r>
              <w:rPr/>
              <w:t> </w:t>
            </w:r>
          </w:p>
        </w:tc>
        <w:tc>
          <w:tcPr>
            <w:tcW w:w="852"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30-Jun-26</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c>
          <w:tcPr>
            <w:tcW w:w="752" w:type="dxa"/>
            <w:tcBorders/>
            <w:tcMar>
              <w:top w:w="0" w:type="dxa"/>
              <w:left w:w="0" w:type="dxa"/>
              <w:bottom w:w="0" w:type="dxa"/>
              <w:right w:w="0" w:type="dxa"/>
            </w:tcMar>
            <w:vAlign w:val="center"/>
          </w:tcPr>
          <w:p>
            <w:pPr>
              <w:pStyle w:val="TableContents"/>
              <w:bidi w:val="0"/>
              <w:spacing w:before="24" w:after="283"/>
              <w:ind w:left="0" w:right="0" w:firstLine="1"/>
              <w:jc w:val="left"/>
              <w:rPr>
                <w:rFonts w:ascii="Arial" w:hAnsi="Arial"/>
                <w:color w:val="000000"/>
                <w:sz w:val="16"/>
              </w:rPr>
            </w:pPr>
            <w:r>
              <w:rPr>
                <w:rFonts w:ascii="Arial" w:hAnsi="Arial"/>
                <w:color w:val="000000"/>
                <w:sz w:val="16"/>
              </w:rPr>
              <w:t>TOTALS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24" w:after="283"/>
              <w:jc w:val="right"/>
              <w:rPr>
                <w:rFonts w:ascii="Arial" w:hAnsi="Arial"/>
                <w:color w:val="000000"/>
                <w:sz w:val="16"/>
              </w:rPr>
            </w:pPr>
            <w:r>
              <w:rPr>
                <w:rFonts w:ascii="Arial" w:hAnsi="Arial"/>
                <w:color w:val="000000"/>
                <w:sz w:val="16"/>
              </w:rPr>
              <w:t>659,900</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843"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24" w:after="283"/>
              <w:jc w:val="right"/>
              <w:rPr>
                <w:rFonts w:ascii="Arial" w:hAnsi="Arial"/>
                <w:color w:val="000000"/>
                <w:sz w:val="16"/>
              </w:rPr>
            </w:pPr>
            <w:r>
              <w:rPr>
                <w:rFonts w:ascii="Arial" w:hAnsi="Arial"/>
                <w:color w:val="000000"/>
                <w:sz w:val="16"/>
              </w:rPr>
              <w:t>0</w:t>
            </w:r>
          </w:p>
        </w:tc>
        <w:tc>
          <w:tcPr>
            <w:tcW w:w="147" w:type="dxa"/>
            <w:tcBorders/>
            <w:tcMar>
              <w:top w:w="0" w:type="dxa"/>
              <w:left w:w="0" w:type="dxa"/>
              <w:bottom w:w="0" w:type="dxa"/>
              <w:right w:w="0" w:type="dxa"/>
            </w:tcMar>
            <w:vAlign w:val="center"/>
          </w:tcPr>
          <w:p>
            <w:pPr>
              <w:pStyle w:val="TableContents"/>
              <w:bidi w:val="0"/>
              <w:spacing w:before="0" w:after="283"/>
              <w:jc w:val="right"/>
              <w:rPr/>
            </w:pPr>
            <w:r>
              <w:rPr/>
              <w:t> </w:t>
            </w:r>
          </w:p>
        </w:tc>
        <w:tc>
          <w:tcPr>
            <w:tcW w:w="962" w:type="dxa"/>
            <w:tcBorders/>
            <w:tcMar>
              <w:top w:w="0" w:type="dxa"/>
              <w:left w:w="0" w:type="dxa"/>
              <w:bottom w:w="0" w:type="dxa"/>
              <w:right w:w="0" w:type="dxa"/>
            </w:tcMar>
            <w:vAlign w:val="center"/>
          </w:tcPr>
          <w:p>
            <w:pPr>
              <w:pStyle w:val="TableContents"/>
              <w:bidi w:val="0"/>
              <w:spacing w:before="24" w:after="283"/>
              <w:jc w:val="right"/>
              <w:rPr>
                <w:rFonts w:ascii="Arial" w:hAnsi="Arial"/>
                <w:color w:val="000000"/>
                <w:sz w:val="16"/>
              </w:rPr>
            </w:pPr>
            <w:r>
              <w:rPr>
                <w:rFonts w:ascii="Arial" w:hAnsi="Arial"/>
                <w:color w:val="000000"/>
                <w:sz w:val="16"/>
              </w:rPr>
              <w:t>262,765</w:t>
            </w:r>
          </w:p>
        </w:tc>
        <w:tc>
          <w:tcPr>
            <w:tcW w:w="147" w:type="dxa"/>
            <w:tcBorders/>
            <w:tcMar>
              <w:top w:w="0" w:type="dxa"/>
              <w:left w:w="0" w:type="dxa"/>
              <w:bottom w:w="0" w:type="dxa"/>
              <w:right w:w="0" w:type="dxa"/>
            </w:tcMar>
            <w:vAlign w:val="center"/>
          </w:tcPr>
          <w:p>
            <w:pPr>
              <w:pStyle w:val="TableContents"/>
              <w:bidi w:val="0"/>
              <w:spacing w:before="0" w:after="283"/>
              <w:jc w:val="right"/>
              <w:rPr/>
            </w:pPr>
            <w:r>
              <w:rPr/>
              <w:t> </w:t>
            </w:r>
          </w:p>
        </w:tc>
        <w:tc>
          <w:tcPr>
            <w:tcW w:w="881" w:type="dxa"/>
            <w:tcBorders/>
            <w:tcMar>
              <w:top w:w="0" w:type="dxa"/>
              <w:left w:w="0" w:type="dxa"/>
              <w:bottom w:w="0" w:type="dxa"/>
              <w:right w:w="0" w:type="dxa"/>
            </w:tcMar>
            <w:vAlign w:val="center"/>
          </w:tcPr>
          <w:p>
            <w:pPr>
              <w:pStyle w:val="TableContents"/>
              <w:bidi w:val="0"/>
              <w:spacing w:before="24" w:after="283"/>
              <w:jc w:val="right"/>
              <w:rPr>
                <w:rFonts w:ascii="Arial" w:hAnsi="Arial"/>
                <w:color w:val="000000"/>
                <w:sz w:val="16"/>
              </w:rPr>
            </w:pPr>
            <w:r>
              <w:rPr>
                <w:rFonts w:ascii="Arial" w:hAnsi="Arial"/>
                <w:color w:val="000000"/>
                <w:sz w:val="16"/>
              </w:rPr>
              <w:t>397,135</w:t>
            </w:r>
          </w:p>
        </w:tc>
        <w:tc>
          <w:tcPr>
            <w:tcW w:w="20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tcMar>
              <w:top w:w="0" w:type="dxa"/>
              <w:left w:w="0" w:type="dxa"/>
              <w:bottom w:w="0" w:type="dxa"/>
              <w:right w:w="0" w:type="dxa"/>
            </w:tcMar>
            <w:vAlign w:val="center"/>
          </w:tcPr>
          <w:p>
            <w:pPr>
              <w:pStyle w:val="TableContents"/>
              <w:bidi w:val="0"/>
              <w:spacing w:before="24" w:after="283"/>
              <w:jc w:val="right"/>
              <w:rPr/>
            </w:pPr>
            <w:r>
              <w:rPr/>
              <w:t> </w:t>
            </w:r>
          </w:p>
        </w:tc>
        <w:tc>
          <w:tcPr>
            <w:tcW w:w="916" w:type="dxa"/>
            <w:tcBorders/>
            <w:tcMar>
              <w:top w:w="0" w:type="dxa"/>
              <w:left w:w="0" w:type="dxa"/>
              <w:bottom w:w="0" w:type="dxa"/>
              <w:right w:w="0" w:type="dxa"/>
            </w:tcMar>
            <w:vAlign w:val="center"/>
          </w:tcPr>
          <w:p>
            <w:pPr>
              <w:pStyle w:val="TableContents"/>
              <w:bidi w:val="0"/>
              <w:spacing w:before="24" w:after="283"/>
              <w:jc w:val="right"/>
              <w:rPr>
                <w:rFonts w:ascii="Arial" w:hAnsi="Arial"/>
                <w:color w:val="000000"/>
                <w:sz w:val="16"/>
              </w:rPr>
            </w:pPr>
            <w:r>
              <w:rPr>
                <w:rFonts w:ascii="Arial" w:hAnsi="Arial"/>
                <w:color w:val="000000"/>
                <w:sz w:val="16"/>
              </w:rPr>
              <w:t>731,050.21</w:t>
            </w:r>
          </w:p>
        </w:tc>
        <w:tc>
          <w:tcPr>
            <w:tcW w:w="202" w:type="dxa"/>
            <w:tcBorders/>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92"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rFonts w:ascii="Arial" w:hAnsi="Arial"/>
          <w:b/>
          <w:color w:val="000000"/>
          <w:sz w:val="20"/>
        </w:rPr>
      </w:pPr>
      <w:r>
        <w:rPr>
          <w:rFonts w:ascii="Arial" w:hAnsi="Arial"/>
          <w:b/>
          <w:color w:val="000000"/>
          <w:sz w:val="20"/>
        </w:rPr>
        <w:t>Alyssa Levin</w:t>
      </w:r>
    </w:p>
    <w:p>
      <w:pPr>
        <w:pStyle w:val="TextBody"/>
        <w:bidi w:val="0"/>
        <w:jc w:val="left"/>
        <w:rPr>
          <w:rFonts w:ascii="Arial" w:hAnsi="Arial"/>
          <w:b/>
          <w:color w:val="000000"/>
          <w:sz w:val="22"/>
        </w:rPr>
      </w:pPr>
      <w:r>
        <w:rPr>
          <w:rFonts w:ascii="Arial" w:hAnsi="Arial"/>
          <w:b/>
          <w:color w:val="000000"/>
          <w:sz w:val="22"/>
        </w:rPr>
        <w:t>[***]</w:t>
      </w:r>
    </w:p>
    <w:p>
      <w:pPr>
        <w:pStyle w:val="TextBody"/>
        <w:bidi w:val="0"/>
        <w:jc w:val="left"/>
        <w:rPr/>
      </w:pPr>
      <w:r>
        <w:rPr/>
        <w:t> </w:t>
      </w:r>
    </w:p>
    <w:p>
      <w:pPr>
        <w:pStyle w:val="TextBody"/>
        <w:bidi w:val="0"/>
        <w:spacing w:before="13" w:after="283"/>
        <w:jc w:val="left"/>
        <w:rPr/>
      </w:pPr>
      <w:r>
        <w:rPr/>
        <w:t> </w:t>
      </w:r>
    </w:p>
    <w:p>
      <w:pPr>
        <w:pStyle w:val="TextBody"/>
        <w:bidi w:val="0"/>
        <w:spacing w:before="1" w:after="283"/>
        <w:jc w:val="left"/>
        <w:rPr>
          <w:rFonts w:ascii="Arial" w:hAnsi="Arial"/>
          <w:b/>
          <w:color w:val="000000"/>
          <w:sz w:val="20"/>
        </w:rPr>
      </w:pPr>
      <w:r>
        <w:rPr>
          <w:rFonts w:ascii="Arial" w:hAnsi="Arial"/>
          <w:b/>
          <w:color w:val="000000"/>
          <w:sz w:val="20"/>
        </w:rPr>
        <w:t>Releasable Restricted Stock Awards</w:t>
      </w:r>
    </w:p>
    <w:p>
      <w:pPr>
        <w:pStyle w:val="TextBody"/>
        <w:bidi w:val="0"/>
        <w:jc w:val="left"/>
        <w:rPr/>
      </w:pPr>
      <w:r>
        <w:rPr/>
        <w:t> </w:t>
      </w:r>
    </w:p>
    <w:p>
      <w:pPr>
        <w:pStyle w:val="TextBody"/>
        <w:bidi w:val="0"/>
        <w:spacing w:before="156" w:after="1"/>
        <w:jc w:val="left"/>
        <w:rPr/>
      </w:pPr>
      <w:r>
        <w:rPr/>
        <w:t> </w:t>
      </w:r>
    </w:p>
    <w:tbl>
      <w:tblPr>
        <w:tblW w:w="9289" w:type="dxa"/>
        <w:jc w:val="left"/>
        <w:tblInd w:w="0" w:type="dxa"/>
        <w:tblLayout w:type="fixed"/>
        <w:tblCellMar>
          <w:top w:w="28" w:type="dxa"/>
          <w:left w:w="28" w:type="dxa"/>
          <w:bottom w:w="28" w:type="dxa"/>
          <w:right w:w="28" w:type="dxa"/>
        </w:tblCellMar>
      </w:tblPr>
      <w:tblGrid>
        <w:gridCol w:w="841"/>
        <w:gridCol w:w="146"/>
        <w:gridCol w:w="856"/>
        <w:gridCol w:w="183"/>
        <w:gridCol w:w="893"/>
        <w:gridCol w:w="147"/>
        <w:gridCol w:w="737"/>
        <w:gridCol w:w="146"/>
        <w:gridCol w:w="706"/>
        <w:gridCol w:w="691"/>
        <w:gridCol w:w="148"/>
        <w:gridCol w:w="798"/>
        <w:gridCol w:w="601"/>
        <w:gridCol w:w="147"/>
        <w:gridCol w:w="917"/>
        <w:gridCol w:w="315"/>
        <w:gridCol w:w="146"/>
        <w:gridCol w:w="87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9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Grant</w:t>
            </w:r>
          </w:p>
        </w:tc>
        <w:tc>
          <w:tcPr>
            <w:tcW w:w="183" w:type="dxa"/>
            <w:tcBorders/>
            <w:tcMar>
              <w:top w:w="0" w:type="dxa"/>
              <w:left w:w="0" w:type="dxa"/>
              <w:bottom w:w="0" w:type="dxa"/>
              <w:right w:w="0" w:type="dxa"/>
            </w:tcMar>
            <w:vAlign w:val="center"/>
          </w:tcPr>
          <w:p>
            <w:pPr>
              <w:pStyle w:val="TableContents"/>
              <w:bidi w:val="0"/>
              <w:spacing w:before="0" w:after="283"/>
              <w:ind w:left="0" w:right="0" w:firstLine="37"/>
              <w:jc w:val="left"/>
              <w:rPr/>
            </w:pPr>
            <w:r>
              <w:rPr/>
              <w:t> </w:t>
            </w:r>
          </w:p>
        </w:tc>
        <w:tc>
          <w:tcPr>
            <w:tcW w:w="893" w:type="dxa"/>
            <w:tcBorders/>
            <w:tcMar>
              <w:top w:w="0" w:type="dxa"/>
              <w:left w:w="0" w:type="dxa"/>
              <w:bottom w:w="0" w:type="dxa"/>
              <w:right w:w="0" w:type="dxa"/>
            </w:tcMar>
            <w:vAlign w:val="center"/>
          </w:tcPr>
          <w:p>
            <w:pPr>
              <w:pStyle w:val="TableContents"/>
              <w:bidi w:val="0"/>
              <w:spacing w:before="0" w:after="283"/>
              <w:ind w:left="0" w:right="0" w:firstLine="37"/>
              <w:jc w:val="left"/>
              <w:rPr>
                <w:rFonts w:ascii="Arial" w:hAnsi="Arial"/>
                <w:color w:val="000000"/>
                <w:sz w:val="16"/>
              </w:rPr>
            </w:pPr>
            <w:r>
              <w:rPr>
                <w:rFonts w:ascii="Arial" w:hAnsi="Arial"/>
                <w:color w:val="000000"/>
                <w:sz w:val="16"/>
              </w:rPr>
              <w:t>Plan/</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Shares</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ind w:left="0" w:right="0" w:firstLine="2"/>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2"/>
              <w:jc w:val="left"/>
              <w:rPr>
                <w:rFonts w:ascii="Arial" w:hAnsi="Arial"/>
                <w:color w:val="000000"/>
                <w:sz w:val="16"/>
              </w:rPr>
            </w:pPr>
            <w:r>
              <w:rPr>
                <w:rFonts w:ascii="Arial" w:hAnsi="Arial"/>
                <w:color w:val="000000"/>
                <w:sz w:val="16"/>
              </w:rPr>
              <w:t>Shares</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ind w:left="0" w:right="0" w:firstLine="1"/>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ind w:left="0" w:right="0" w:firstLine="1"/>
              <w:jc w:val="left"/>
              <w:rPr>
                <w:rFonts w:ascii="Arial" w:hAnsi="Arial"/>
                <w:color w:val="000000"/>
                <w:sz w:val="16"/>
              </w:rPr>
            </w:pPr>
            <w:r>
              <w:rPr>
                <w:rFonts w:ascii="Arial" w:hAnsi="Arial"/>
                <w:color w:val="000000"/>
                <w:sz w:val="16"/>
              </w:rPr>
              <w:t>Shares</w:t>
            </w:r>
          </w:p>
        </w:tc>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Shares</w:t>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8" w:after="283"/>
              <w:jc w:val="center"/>
              <w:rPr>
                <w:rFonts w:ascii="Arial" w:hAnsi="Arial"/>
                <w:color w:val="000000"/>
                <w:sz w:val="16"/>
              </w:rPr>
            </w:pPr>
            <w:r>
              <w:rPr>
                <w:rFonts w:ascii="Arial" w:hAnsi="Arial"/>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8" w:after="283"/>
              <w:jc w:val="left"/>
              <w:rPr>
                <w:rFonts w:ascii="Arial" w:hAnsi="Arial"/>
                <w:color w:val="000000"/>
                <w:sz w:val="16"/>
              </w:rPr>
            </w:pPr>
            <w:r>
              <w:rPr>
                <w:rFonts w:ascii="Arial" w:hAnsi="Arial"/>
                <w:color w:val="000000"/>
                <w:sz w:val="16"/>
              </w:rPr>
              <w:t>Date</w:t>
            </w:r>
          </w:p>
        </w:tc>
        <w:tc>
          <w:tcPr>
            <w:tcW w:w="183" w:type="dxa"/>
            <w:tcBorders>
              <w:bottom w:val="single" w:sz="4" w:space="0" w:color="000000"/>
            </w:tcBorders>
            <w:tcMar>
              <w:top w:w="0" w:type="dxa"/>
              <w:left w:w="0" w:type="dxa"/>
              <w:right w:w="0" w:type="dxa"/>
            </w:tcMar>
            <w:vAlign w:val="center"/>
          </w:tcPr>
          <w:p>
            <w:pPr>
              <w:pStyle w:val="TableContents"/>
              <w:bidi w:val="0"/>
              <w:spacing w:before="0" w:after="283"/>
              <w:ind w:left="0" w:right="0" w:firstLine="37"/>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8" w:after="283"/>
              <w:ind w:left="0" w:right="0" w:firstLine="37"/>
              <w:jc w:val="left"/>
              <w:rPr>
                <w:rFonts w:ascii="Arial" w:hAnsi="Arial"/>
                <w:color w:val="000000"/>
                <w:sz w:val="16"/>
              </w:rPr>
            </w:pPr>
            <w:r>
              <w:rPr>
                <w:rFonts w:ascii="Arial" w:hAnsi="Arial"/>
                <w:color w:val="000000"/>
                <w:sz w:val="16"/>
              </w:rPr>
              <w:t>Type</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8" w:after="283"/>
              <w:ind w:left="0" w:right="0" w:firstLine="1"/>
              <w:jc w:val="left"/>
              <w:rPr>
                <w:rFonts w:ascii="Arial" w:hAnsi="Arial"/>
                <w:color w:val="000000"/>
                <w:sz w:val="16"/>
              </w:rPr>
            </w:pPr>
            <w:r>
              <w:rPr>
                <w:rFonts w:ascii="Arial" w:hAnsi="Arial"/>
                <w:color w:val="000000"/>
                <w:sz w:val="16"/>
              </w:rPr>
              <w:t>Price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8" w:after="283"/>
              <w:jc w:val="center"/>
              <w:rPr>
                <w:rFonts w:ascii="Arial" w:hAnsi="Arial"/>
                <w:color w:val="000000"/>
                <w:sz w:val="16"/>
              </w:rPr>
            </w:pPr>
            <w:r>
              <w:rPr>
                <w:rFonts w:ascii="Arial" w:hAnsi="Arial"/>
                <w:color w:val="000000"/>
                <w:sz w:val="16"/>
              </w:rPr>
              <w:t>Granted</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ind w:left="0" w:right="0" w:firstLine="2"/>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8" w:after="283"/>
              <w:ind w:left="0" w:right="0" w:firstLine="2"/>
              <w:jc w:val="left"/>
              <w:rPr>
                <w:rFonts w:ascii="Arial" w:hAnsi="Arial"/>
                <w:color w:val="000000"/>
                <w:sz w:val="16"/>
              </w:rPr>
            </w:pPr>
            <w:r>
              <w:rPr>
                <w:rFonts w:ascii="Arial" w:hAnsi="Arial"/>
                <w:color w:val="000000"/>
                <w:sz w:val="16"/>
              </w:rPr>
              <w:t>Released</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pPr>
            <w:r>
              <w:rPr/>
              <w:t> </w:t>
            </w:r>
          </w:p>
        </w:tc>
        <w:tc>
          <w:tcPr>
            <w:tcW w:w="917" w:type="dxa"/>
            <w:tcBorders>
              <w:bottom w:val="single" w:sz="4" w:space="0" w:color="000000"/>
            </w:tcBorders>
            <w:tcMar>
              <w:top w:w="0" w:type="dxa"/>
              <w:left w:w="0" w:type="dxa"/>
              <w:right w:w="0" w:type="dxa"/>
            </w:tcMar>
            <w:vAlign w:val="center"/>
          </w:tcPr>
          <w:p>
            <w:pPr>
              <w:pStyle w:val="TableContents"/>
              <w:bidi w:val="0"/>
              <w:spacing w:before="8" w:after="283"/>
              <w:ind w:left="0" w:right="0" w:firstLine="1"/>
              <w:jc w:val="left"/>
              <w:rPr>
                <w:rFonts w:ascii="Arial" w:hAnsi="Arial"/>
                <w:color w:val="000000"/>
                <w:sz w:val="16"/>
              </w:rPr>
            </w:pPr>
            <w:r>
              <w:rPr>
                <w:rFonts w:ascii="Arial" w:hAnsi="Arial"/>
                <w:color w:val="000000"/>
                <w:sz w:val="16"/>
              </w:rPr>
              <w:t>Releasable</w:t>
            </w:r>
          </w:p>
        </w:tc>
        <w:tc>
          <w:tcPr>
            <w:tcW w:w="3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8" w:after="283"/>
              <w:jc w:val="left"/>
              <w:rPr>
                <w:rFonts w:ascii="Arial" w:hAnsi="Arial"/>
                <w:color w:val="000000"/>
                <w:sz w:val="16"/>
              </w:rPr>
            </w:pPr>
            <w:r>
              <w:rPr>
                <w:rFonts w:ascii="Arial" w:hAnsi="Arial"/>
                <w:color w:val="000000"/>
                <w:sz w:val="16"/>
              </w:rPr>
              <w:t>Cancelled</w:t>
            </w:r>
          </w:p>
        </w:tc>
      </w:tr>
      <w:tr>
        <w:trPr/>
        <w:tc>
          <w:tcPr>
            <w:tcW w:w="841"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center"/>
              <w:rPr>
                <w:rFonts w:ascii="Arial" w:hAnsi="Arial"/>
                <w:color w:val="000000"/>
                <w:sz w:val="16"/>
              </w:rPr>
            </w:pPr>
            <w:r>
              <w:rPr>
                <w:rFonts w:ascii="Arial" w:hAnsi="Arial"/>
                <w:color w:val="000000"/>
                <w:sz w:val="16"/>
              </w:rPr>
              <w:t>10002338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left"/>
              <w:rPr>
                <w:rFonts w:ascii="Arial" w:hAnsi="Arial"/>
                <w:color w:val="000000"/>
                <w:sz w:val="16"/>
              </w:rPr>
            </w:pPr>
            <w:r>
              <w:rPr>
                <w:rFonts w:ascii="Arial" w:hAnsi="Arial"/>
                <w:color w:val="000000"/>
                <w:sz w:val="16"/>
              </w:rPr>
              <w:t>03-Jan-25</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left"/>
              <w:rPr>
                <w:rFonts w:ascii="Arial" w:hAnsi="Arial"/>
                <w:color w:val="000000"/>
                <w:sz w:val="16"/>
              </w:rPr>
            </w:pPr>
            <w:r>
              <w:rPr>
                <w:rFonts w:ascii="Arial" w:hAnsi="Arial"/>
                <w:color w:val="000000"/>
                <w:sz w:val="16"/>
              </w:rPr>
              <w:t>2020/RSU</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0.0000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center"/>
              <w:rPr>
                <w:rFonts w:ascii="Arial" w:hAnsi="Arial"/>
                <w:color w:val="000000"/>
                <w:sz w:val="16"/>
              </w:rPr>
            </w:pPr>
            <w:r>
              <w:rPr>
                <w:rFonts w:ascii="Arial" w:hAnsi="Arial"/>
                <w:color w:val="000000"/>
                <w:sz w:val="16"/>
              </w:rPr>
              <w:t>52,500</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0</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center"/>
              <w:rPr>
                <w:rFonts w:ascii="Arial" w:hAnsi="Arial"/>
                <w:color w:val="000000"/>
                <w:sz w:val="16"/>
              </w:rPr>
            </w:pPr>
            <w:r>
              <w:rPr>
                <w:rFonts w:ascii="Arial" w:hAnsi="Arial"/>
                <w:color w:val="000000"/>
                <w:sz w:val="16"/>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66" w:after="283"/>
              <w:jc w:val="left"/>
              <w:rPr/>
            </w:pPr>
            <w:r>
              <w:rPr/>
              <w:t> </w:t>
            </w:r>
          </w:p>
          <w:p>
            <w:pPr>
              <w:pStyle w:val="TableContents"/>
              <w:bidi w:val="0"/>
              <w:spacing w:before="0" w:after="283"/>
              <w:jc w:val="right"/>
              <w:rPr>
                <w:rFonts w:ascii="Arial" w:hAnsi="Arial"/>
                <w:color w:val="000000"/>
                <w:sz w:val="16"/>
              </w:rPr>
            </w:pPr>
            <w:r>
              <w:rPr>
                <w:rFonts w:ascii="Arial" w:hAnsi="Arial"/>
                <w:color w:val="000000"/>
                <w:sz w:val="16"/>
              </w:rPr>
              <w:t>52,500</w:t>
            </w:r>
          </w:p>
        </w:tc>
      </w:tr>
      <w:tr>
        <w:trPr/>
        <w:tc>
          <w:tcPr>
            <w:tcW w:w="841" w:type="dxa"/>
            <w:tcBorders/>
            <w:tcMar>
              <w:top w:w="0" w:type="dxa"/>
              <w:left w:w="0" w:type="dxa"/>
              <w:bottom w:w="0" w:type="dxa"/>
              <w:right w:w="0" w:type="dxa"/>
            </w:tcMar>
            <w:vAlign w:val="center"/>
          </w:tcPr>
          <w:p>
            <w:pPr>
              <w:pStyle w:val="TableContents"/>
              <w:bidi w:val="0"/>
              <w:spacing w:before="8" w:after="283"/>
              <w:jc w:val="center"/>
              <w:rPr>
                <w:rFonts w:ascii="Arial" w:hAnsi="Arial"/>
                <w:color w:val="000000"/>
                <w:sz w:val="16"/>
              </w:rPr>
            </w:pPr>
            <w:r>
              <w:rPr>
                <w:rFonts w:ascii="Arial" w:hAnsi="Arial"/>
                <w:color w:val="000000"/>
                <w:sz w:val="16"/>
              </w:rPr>
              <w:t>10001852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8" w:after="283"/>
              <w:jc w:val="left"/>
              <w:rPr>
                <w:rFonts w:ascii="Arial" w:hAnsi="Arial"/>
                <w:color w:val="000000"/>
                <w:sz w:val="16"/>
              </w:rPr>
            </w:pPr>
            <w:r>
              <w:rPr>
                <w:rFonts w:ascii="Arial" w:hAnsi="Arial"/>
                <w:color w:val="000000"/>
                <w:sz w:val="16"/>
              </w:rPr>
              <w:t>04-Jan-24</w:t>
            </w:r>
          </w:p>
        </w:tc>
        <w:tc>
          <w:tcPr>
            <w:tcW w:w="183" w:type="dxa"/>
            <w:tcBorders/>
            <w:tcMar>
              <w:top w:w="0" w:type="dxa"/>
              <w:left w:w="0" w:type="dxa"/>
              <w:bottom w:w="0" w:type="dxa"/>
              <w:right w:w="0" w:type="dxa"/>
            </w:tcMar>
            <w:vAlign w:val="center"/>
          </w:tcPr>
          <w:p>
            <w:pPr>
              <w:pStyle w:val="TableContents"/>
              <w:bidi w:val="0"/>
              <w:spacing w:before="0" w:after="283"/>
              <w:ind w:left="0" w:right="0" w:firstLine="37"/>
              <w:jc w:val="left"/>
              <w:rPr/>
            </w:pPr>
            <w:r>
              <w:rPr/>
              <w:t> </w:t>
            </w:r>
          </w:p>
        </w:tc>
        <w:tc>
          <w:tcPr>
            <w:tcW w:w="893" w:type="dxa"/>
            <w:tcBorders/>
            <w:tcMar>
              <w:top w:w="0" w:type="dxa"/>
              <w:left w:w="0" w:type="dxa"/>
              <w:bottom w:w="0" w:type="dxa"/>
              <w:right w:w="0" w:type="dxa"/>
            </w:tcMar>
            <w:vAlign w:val="center"/>
          </w:tcPr>
          <w:p>
            <w:pPr>
              <w:pStyle w:val="TableContents"/>
              <w:bidi w:val="0"/>
              <w:spacing w:before="8" w:after="283"/>
              <w:ind w:left="0" w:right="0" w:firstLine="37"/>
              <w:jc w:val="left"/>
              <w:rPr>
                <w:rFonts w:ascii="Arial" w:hAnsi="Arial"/>
                <w:color w:val="000000"/>
                <w:sz w:val="16"/>
              </w:rPr>
            </w:pPr>
            <w:r>
              <w:rPr>
                <w:rFonts w:ascii="Arial" w:hAnsi="Arial"/>
                <w:color w:val="000000"/>
                <w:sz w:val="16"/>
              </w:rPr>
              <w:t>2020/RSU</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0.0000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0" w:right="0" w:firstLine="86"/>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8" w:after="283"/>
              <w:ind w:left="0" w:right="0" w:firstLine="86"/>
              <w:jc w:val="center"/>
              <w:rPr>
                <w:rFonts w:ascii="Arial" w:hAnsi="Arial"/>
                <w:color w:val="000000"/>
                <w:sz w:val="16"/>
              </w:rPr>
            </w:pPr>
            <w:r>
              <w:rPr>
                <w:rFonts w:ascii="Arial" w:hAnsi="Arial"/>
                <w:color w:val="000000"/>
                <w:sz w:val="16"/>
              </w:rPr>
              <w:t>56,000</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14,000</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tcMar>
              <w:top w:w="0" w:type="dxa"/>
              <w:left w:w="0" w:type="dxa"/>
              <w:right w:w="0" w:type="dxa"/>
            </w:tcMar>
            <w:vAlign w:val="center"/>
          </w:tcPr>
          <w:p>
            <w:pPr>
              <w:pStyle w:val="TableContents"/>
              <w:bidi w:val="0"/>
              <w:spacing w:before="0" w:after="283"/>
              <w:ind w:left="0" w:right="0" w:firstLine="119"/>
              <w:jc w:val="left"/>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8" w:after="283"/>
              <w:ind w:left="0" w:right="0" w:firstLine="119"/>
              <w:jc w:val="center"/>
              <w:rPr>
                <w:rFonts w:ascii="Arial" w:hAnsi="Arial"/>
                <w:color w:val="000000"/>
                <w:sz w:val="16"/>
              </w:rPr>
            </w:pPr>
            <w:r>
              <w:rPr>
                <w:rFonts w:ascii="Arial" w:hAnsi="Arial"/>
                <w:color w:val="000000"/>
                <w:sz w:val="16"/>
              </w:rPr>
              <w:t>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8" w:after="283"/>
              <w:jc w:val="right"/>
              <w:rPr>
                <w:rFonts w:ascii="Arial" w:hAnsi="Arial"/>
                <w:color w:val="000000"/>
                <w:sz w:val="16"/>
              </w:rPr>
            </w:pPr>
            <w:r>
              <w:rPr>
                <w:rFonts w:ascii="Arial" w:hAnsi="Arial"/>
                <w:color w:val="000000"/>
                <w:sz w:val="16"/>
              </w:rPr>
              <w:t>42,000</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tcMar>
              <w:top w:w="0" w:type="dxa"/>
              <w:left w:w="0" w:type="dxa"/>
              <w:bottom w:w="0" w:type="dxa"/>
              <w:right w:w="0" w:type="dxa"/>
            </w:tcMar>
            <w:vAlign w:val="center"/>
          </w:tcPr>
          <w:p>
            <w:pPr>
              <w:pStyle w:val="TableContents"/>
              <w:bidi w:val="0"/>
              <w:spacing w:before="24" w:after="283"/>
              <w:jc w:val="left"/>
              <w:rPr>
                <w:rFonts w:ascii="Arial" w:hAnsi="Arial"/>
                <w:color w:val="000000"/>
                <w:sz w:val="16"/>
              </w:rPr>
            </w:pPr>
            <w:r>
              <w:rPr>
                <w:rFonts w:ascii="Arial" w:hAnsi="Arial"/>
                <w:color w:val="000000"/>
                <w:sz w:val="16"/>
              </w:rPr>
              <w:t>TOTALS</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24" w:after="283"/>
              <w:jc w:val="center"/>
              <w:rPr>
                <w:rFonts w:ascii="Arial" w:hAnsi="Arial"/>
                <w:color w:val="000000"/>
                <w:sz w:val="16"/>
              </w:rPr>
            </w:pPr>
            <w:r>
              <w:rPr>
                <w:rFonts w:ascii="Arial" w:hAnsi="Arial"/>
                <w:color w:val="000000"/>
                <w:sz w:val="16"/>
              </w:rPr>
              <w:t>108,500</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24" w:after="283"/>
              <w:jc w:val="right"/>
              <w:rPr>
                <w:rFonts w:ascii="Arial" w:hAnsi="Arial"/>
                <w:color w:val="000000"/>
                <w:sz w:val="16"/>
              </w:rPr>
            </w:pPr>
            <w:r>
              <w:rPr>
                <w:rFonts w:ascii="Arial" w:hAnsi="Arial"/>
                <w:color w:val="000000"/>
                <w:sz w:val="16"/>
              </w:rPr>
              <w:t>14,000</w:t>
            </w:r>
          </w:p>
        </w:tc>
        <w:tc>
          <w:tcPr>
            <w:tcW w:w="147"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ind w:left="0" w:right="0" w:firstLine="119"/>
              <w:jc w:val="left"/>
              <w:rPr/>
            </w:pPr>
            <w:r>
              <w:rPr/>
              <w:t> </w:t>
            </w:r>
          </w:p>
        </w:tc>
        <w:tc>
          <w:tcPr>
            <w:tcW w:w="315" w:type="dxa"/>
            <w:tcBorders/>
            <w:tcMar>
              <w:top w:w="0" w:type="dxa"/>
              <w:left w:w="0" w:type="dxa"/>
              <w:bottom w:w="0" w:type="dxa"/>
              <w:right w:w="0" w:type="dxa"/>
            </w:tcMar>
            <w:vAlign w:val="center"/>
          </w:tcPr>
          <w:p>
            <w:pPr>
              <w:pStyle w:val="TableContents"/>
              <w:bidi w:val="0"/>
              <w:spacing w:before="24" w:after="283"/>
              <w:ind w:left="0" w:right="0" w:firstLine="119"/>
              <w:jc w:val="center"/>
              <w:rPr>
                <w:rFonts w:ascii="Arial" w:hAnsi="Arial"/>
                <w:color w:val="000000"/>
                <w:sz w:val="16"/>
              </w:rPr>
            </w:pPr>
            <w:r>
              <w:rPr>
                <w:rFonts w:ascii="Arial" w:hAnsi="Arial"/>
                <w:color w:val="000000"/>
                <w:sz w:val="16"/>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4" w:after="283"/>
              <w:jc w:val="right"/>
              <w:rPr>
                <w:rFonts w:ascii="Arial" w:hAnsi="Arial"/>
                <w:color w:val="000000"/>
                <w:sz w:val="16"/>
              </w:rPr>
            </w:pPr>
            <w:r>
              <w:rPr>
                <w:rFonts w:ascii="Arial" w:hAnsi="Arial"/>
                <w:color w:val="000000"/>
                <w:sz w:val="16"/>
              </w:rPr>
              <w:t>94,500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
        <w:jc w:val="center"/>
        <w:rPr>
          <w:rFonts w:ascii="Times New Roman" w:hAnsi="Times New Roman"/>
          <w:b/>
          <w:color w:val="000000"/>
          <w:sz w:val="22"/>
          <w:u w:val="single"/>
        </w:rPr>
      </w:pPr>
      <w:r>
        <w:rPr>
          <w:rFonts w:ascii="Times New Roman" w:hAnsi="Times New Roman"/>
          <w:b/>
          <w:color w:val="000000"/>
          <w:sz w:val="22"/>
          <w:u w:val="single"/>
        </w:rPr>
        <w:t>EXHIBIT C</w:t>
      </w:r>
    </w:p>
    <w:p>
      <w:pPr>
        <w:pStyle w:val="TextBody"/>
        <w:bidi w:val="0"/>
        <w:spacing w:before="0" w:after="3"/>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ADEA Disclosure Under Title 29 U.S. Code Section 626(f)(1)(H)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nktx-ex31_1.htm"/>
      <w:bookmarkStart w:id="24" w:name="ksnktxex31_1"/>
      <w:bookmarkEnd w:id="23"/>
      <w:bookmarkEnd w:id="24"/>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nktx-ex31_2.htm"/>
      <w:bookmarkStart w:id="26" w:name="ksnktx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Nadir Mahmood,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982" w:type="dxa"/>
        <w:jc w:val="left"/>
        <w:tblInd w:w="0" w:type="dxa"/>
        <w:tblLayout w:type="fixed"/>
        <w:tblCellMar>
          <w:top w:w="28" w:type="dxa"/>
          <w:left w:w="28" w:type="dxa"/>
          <w:bottom w:w="28" w:type="dxa"/>
          <w:right w:w="28" w:type="dxa"/>
        </w:tblCellMar>
      </w:tblPr>
      <w:tblGrid>
        <w:gridCol w:w="1741"/>
        <w:gridCol w:w="109"/>
        <w:gridCol w:w="406"/>
        <w:gridCol w:w="172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nktx-ex32.htm"/>
      <w:bookmarkStart w:id="28" w:name="ksnktxex3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March 31, 2025 of Nkarta, Inc. (the "Company") as filed with the Securities and Exchange Commission on the date hereof (the "Report"), we, Paul J. Hastings, Chief Executive Officer of the Company, and Nadir Mahmood, President of the Company,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tbl>
      <w:tblPr>
        <w:tblW w:w="3982" w:type="dxa"/>
        <w:jc w:val="left"/>
        <w:tblInd w:w="0" w:type="dxa"/>
        <w:tblLayout w:type="fixed"/>
        <w:tblCellMar>
          <w:top w:w="28" w:type="dxa"/>
          <w:left w:w="28" w:type="dxa"/>
          <w:bottom w:w="28" w:type="dxa"/>
          <w:right w:w="28" w:type="dxa"/>
        </w:tblCellMar>
      </w:tblPr>
      <w:tblGrid>
        <w:gridCol w:w="1741"/>
        <w:gridCol w:w="109"/>
        <w:gridCol w:w="406"/>
        <w:gridCol w:w="172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095017023027263/nktx-ex3_1.htm" TargetMode="External"/><Relationship Id="rId4" Type="http://schemas.openxmlformats.org/officeDocument/2006/relationships/hyperlink" Target="https://www.sec.gov/Archives/edgar/data/1787400/000095017024073046/nktx-ex3_1.htm" TargetMode="External"/><Relationship Id="rId5" Type="http://schemas.openxmlformats.org/officeDocument/2006/relationships/hyperlink" Target="https://www.sec.gov/Archives/edgar/data/1787400/000119312520192614/d62111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66768</Words>
  <Characters>372544</Characters>
  <CharactersWithSpaces>439504</CharactersWithSpaces>
  <Paragraphs>4879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