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820" w:right="1620" w:hanging="3812"/>
        <w:spacing w:after="0" w:line="391"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8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38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Nkarta,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8" w:lineRule="exact"/>
        <w:rPr>
          <w:sz w:val="24"/>
          <w:szCs w:val="24"/>
          <w:color w:val="auto"/>
        </w:rPr>
      </w:pPr>
    </w:p>
    <w:tbl>
      <w:tblPr>
        <w:tblLayout w:type="fixed"/>
        <w:tblInd w:w="1600" w:type="dxa"/>
        <w:tblCellMar>
          <w:top w:w="0" w:type="dxa"/>
          <w:left w:w="0" w:type="dxa"/>
          <w:bottom w:w="0" w:type="dxa"/>
          <w:right w:w="0" w:type="dxa"/>
        </w:tblCellMar>
      </w:tblPr>
      <w:tr>
        <w:trPr>
          <w:trHeight w:val="216"/>
        </w:trPr>
        <w:tc>
          <w:tcPr>
            <w:tcW w:w="2520" w:type="dxa"/>
            <w:vAlign w:val="bottom"/>
          </w:tcPr>
          <w:p>
            <w:pPr>
              <w:jc w:val="center"/>
              <w:ind w:right="4"/>
              <w:spacing w:after="0"/>
              <w:rPr>
                <w:sz w:val="20"/>
                <w:szCs w:val="20"/>
                <w:color w:val="auto"/>
              </w:rPr>
            </w:pPr>
            <w:r>
              <w:rPr>
                <w:rFonts w:ascii="Arial" w:cs="Arial" w:eastAsia="Arial" w:hAnsi="Arial"/>
                <w:sz w:val="18"/>
                <w:szCs w:val="18"/>
                <w:b w:val="1"/>
                <w:bCs w:val="1"/>
                <w:color w:val="auto"/>
                <w:w w:val="91"/>
              </w:rPr>
              <w:t>Delaware</w:t>
            </w:r>
          </w:p>
        </w:tc>
        <w:tc>
          <w:tcPr>
            <w:tcW w:w="4800" w:type="dxa"/>
            <w:vAlign w:val="bottom"/>
          </w:tcPr>
          <w:p>
            <w:pPr>
              <w:jc w:val="right"/>
              <w:spacing w:after="0"/>
              <w:rPr>
                <w:sz w:val="20"/>
                <w:szCs w:val="20"/>
                <w:color w:val="auto"/>
              </w:rPr>
            </w:pPr>
            <w:r>
              <w:rPr>
                <w:rFonts w:ascii="Arial" w:cs="Arial" w:eastAsia="Arial" w:hAnsi="Arial"/>
                <w:sz w:val="18"/>
                <w:szCs w:val="18"/>
                <w:b w:val="1"/>
                <w:bCs w:val="1"/>
                <w:color w:val="auto"/>
              </w:rPr>
              <w:t>47-4515206</w:t>
            </w:r>
          </w:p>
        </w:tc>
      </w:tr>
      <w:tr>
        <w:trPr>
          <w:trHeight w:val="135"/>
        </w:trPr>
        <w:tc>
          <w:tcPr>
            <w:tcW w:w="2520" w:type="dxa"/>
            <w:vAlign w:val="bottom"/>
          </w:tcPr>
          <w:p>
            <w:pPr>
              <w:jc w:val="center"/>
              <w:ind w:right="2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4800" w:type="dxa"/>
            <w:vAlign w:val="bottom"/>
          </w:tcPr>
          <w:p>
            <w:pPr>
              <w:jc w:val="center"/>
              <w:ind w:left="3745"/>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2520" w:type="dxa"/>
            <w:vAlign w:val="bottom"/>
          </w:tcPr>
          <w:p>
            <w:pPr>
              <w:jc w:val="center"/>
              <w:ind w:right="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4800" w:type="dxa"/>
            <w:vAlign w:val="bottom"/>
          </w:tcPr>
          <w:p>
            <w:pPr>
              <w:jc w:val="center"/>
              <w:ind w:left="3745"/>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2520" w:type="dxa"/>
            <w:vAlign w:val="bottom"/>
          </w:tcPr>
          <w:p>
            <w:pPr>
              <w:jc w:val="center"/>
              <w:ind w:right="4"/>
              <w:spacing w:after="0"/>
              <w:rPr>
                <w:sz w:val="20"/>
                <w:szCs w:val="20"/>
                <w:color w:val="auto"/>
              </w:rPr>
            </w:pPr>
            <w:r>
              <w:rPr>
                <w:rFonts w:ascii="Arial" w:cs="Arial" w:eastAsia="Arial" w:hAnsi="Arial"/>
                <w:sz w:val="18"/>
                <w:szCs w:val="18"/>
                <w:b w:val="1"/>
                <w:bCs w:val="1"/>
                <w:color w:val="auto"/>
                <w:w w:val="90"/>
              </w:rPr>
              <w:t>6000 Shoreline Court, Suite 102</w:t>
            </w:r>
          </w:p>
        </w:tc>
        <w:tc>
          <w:tcPr>
            <w:tcW w:w="4800" w:type="dxa"/>
            <w:vAlign w:val="bottom"/>
          </w:tcPr>
          <w:p>
            <w:pPr>
              <w:spacing w:after="0"/>
              <w:rPr>
                <w:sz w:val="18"/>
                <w:szCs w:val="18"/>
                <w:color w:val="auto"/>
              </w:rPr>
            </w:pPr>
          </w:p>
        </w:tc>
      </w:tr>
      <w:tr>
        <w:trPr>
          <w:trHeight w:val="216"/>
        </w:trPr>
        <w:tc>
          <w:tcPr>
            <w:tcW w:w="2520" w:type="dxa"/>
            <w:vAlign w:val="bottom"/>
          </w:tcPr>
          <w:p>
            <w:pPr>
              <w:jc w:val="center"/>
              <w:ind w:right="4"/>
              <w:spacing w:after="0"/>
              <w:rPr>
                <w:sz w:val="20"/>
                <w:szCs w:val="20"/>
                <w:color w:val="auto"/>
              </w:rPr>
            </w:pPr>
            <w:r>
              <w:rPr>
                <w:rFonts w:ascii="Arial" w:cs="Arial" w:eastAsia="Arial" w:hAnsi="Arial"/>
                <w:sz w:val="18"/>
                <w:szCs w:val="18"/>
                <w:b w:val="1"/>
                <w:bCs w:val="1"/>
                <w:color w:val="auto"/>
                <w:w w:val="89"/>
              </w:rPr>
              <w:t>South San Francisco, CA</w:t>
            </w:r>
          </w:p>
        </w:tc>
        <w:tc>
          <w:tcPr>
            <w:tcW w:w="4800" w:type="dxa"/>
            <w:vAlign w:val="bottom"/>
          </w:tcPr>
          <w:p>
            <w:pPr>
              <w:jc w:val="right"/>
              <w:ind w:right="185"/>
              <w:spacing w:after="0"/>
              <w:rPr>
                <w:sz w:val="20"/>
                <w:szCs w:val="20"/>
                <w:color w:val="auto"/>
              </w:rPr>
            </w:pPr>
            <w:r>
              <w:rPr>
                <w:rFonts w:ascii="Arial" w:cs="Arial" w:eastAsia="Arial" w:hAnsi="Arial"/>
                <w:sz w:val="18"/>
                <w:szCs w:val="18"/>
                <w:b w:val="1"/>
                <w:bCs w:val="1"/>
                <w:color w:val="auto"/>
              </w:rPr>
              <w:t>94080</w:t>
            </w:r>
          </w:p>
        </w:tc>
      </w:tr>
      <w:tr>
        <w:trPr>
          <w:trHeight w:val="164"/>
        </w:trPr>
        <w:tc>
          <w:tcPr>
            <w:tcW w:w="2520" w:type="dxa"/>
            <w:vAlign w:val="bottom"/>
          </w:tcPr>
          <w:p>
            <w:pPr>
              <w:jc w:val="center"/>
              <w:ind w:right="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800" w:type="dxa"/>
            <w:vAlign w:val="bottom"/>
          </w:tcPr>
          <w:p>
            <w:pPr>
              <w:jc w:val="center"/>
              <w:ind w:left="3745"/>
              <w:spacing w:after="0"/>
              <w:rPr>
                <w:sz w:val="20"/>
                <w:szCs w:val="20"/>
                <w:color w:val="auto"/>
              </w:rPr>
            </w:pPr>
            <w:r>
              <w:rPr>
                <w:rFonts w:ascii="Arial" w:cs="Arial" w:eastAsia="Arial" w:hAnsi="Arial"/>
                <w:sz w:val="13"/>
                <w:szCs w:val="13"/>
                <w:b w:val="1"/>
                <w:bCs w:val="1"/>
                <w:color w:val="auto"/>
                <w:w w:val="90"/>
              </w:rPr>
              <w:t>(Zip Code)</w:t>
            </w:r>
          </w:p>
        </w:tc>
      </w:tr>
      <w:tr>
        <w:trPr>
          <w:trHeight w:val="268"/>
        </w:trPr>
        <w:tc>
          <w:tcPr>
            <w:tcW w:w="2520" w:type="dxa"/>
            <w:vAlign w:val="bottom"/>
          </w:tcPr>
          <w:p>
            <w:pPr>
              <w:spacing w:after="0"/>
              <w:rPr>
                <w:sz w:val="23"/>
                <w:szCs w:val="23"/>
                <w:color w:val="auto"/>
              </w:rPr>
            </w:pPr>
          </w:p>
        </w:tc>
        <w:tc>
          <w:tcPr>
            <w:tcW w:w="4800" w:type="dxa"/>
            <w:vAlign w:val="bottom"/>
          </w:tcPr>
          <w:p>
            <w:pPr>
              <w:jc w:val="right"/>
              <w:ind w:right="2665"/>
              <w:spacing w:after="0"/>
              <w:rPr>
                <w:sz w:val="20"/>
                <w:szCs w:val="20"/>
                <w:color w:val="auto"/>
              </w:rPr>
            </w:pPr>
            <w:r>
              <w:rPr>
                <w:rFonts w:ascii="Arial" w:cs="Arial" w:eastAsia="Arial" w:hAnsi="Arial"/>
                <w:sz w:val="18"/>
                <w:szCs w:val="18"/>
                <w:b w:val="1"/>
                <w:bCs w:val="1"/>
                <w:color w:val="auto"/>
              </w:rPr>
              <w:t>(415) 582-4923</w:t>
            </w:r>
          </w:p>
        </w:tc>
      </w:tr>
      <w:tr>
        <w:trPr>
          <w:trHeight w:val="164"/>
        </w:trPr>
        <w:tc>
          <w:tcPr>
            <w:tcW w:w="2520" w:type="dxa"/>
            <w:vAlign w:val="bottom"/>
          </w:tcPr>
          <w:p>
            <w:pPr>
              <w:spacing w:after="0"/>
              <w:rPr>
                <w:sz w:val="14"/>
                <w:szCs w:val="14"/>
                <w:color w:val="auto"/>
              </w:rPr>
            </w:pPr>
          </w:p>
        </w:tc>
        <w:tc>
          <w:tcPr>
            <w:tcW w:w="4800" w:type="dxa"/>
            <w:vAlign w:val="bottom"/>
          </w:tcPr>
          <w:p>
            <w:pPr>
              <w:jc w:val="center"/>
              <w:ind w:right="1725"/>
              <w:spacing w:after="0"/>
              <w:rPr>
                <w:sz w:val="20"/>
                <w:szCs w:val="20"/>
                <w:color w:val="auto"/>
              </w:rPr>
            </w:pPr>
            <w:r>
              <w:rPr>
                <w:rFonts w:ascii="Arial" w:cs="Arial" w:eastAsia="Arial" w:hAnsi="Arial"/>
                <w:sz w:val="13"/>
                <w:szCs w:val="13"/>
                <w:b w:val="1"/>
                <w:bCs w:val="1"/>
                <w:color w:val="auto"/>
                <w:w w:val="86"/>
              </w:rPr>
              <w:t>(Registrant’s telephone number, including area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 $0.0001 par value per share</w:t>
            </w:r>
          </w:p>
        </w:tc>
        <w:tc>
          <w:tcPr>
            <w:tcW w:w="120" w:type="dxa"/>
            <w:vAlign w:val="bottom"/>
          </w:tcPr>
          <w:p>
            <w:pPr>
              <w:spacing w:after="0"/>
              <w:rPr>
                <w:sz w:val="16"/>
                <w:szCs w:val="16"/>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NKTX</w:t>
            </w:r>
          </w:p>
        </w:tc>
        <w:tc>
          <w:tcPr>
            <w:tcW w:w="100" w:type="dxa"/>
            <w:vAlign w:val="bottom"/>
          </w:tcPr>
          <w:p>
            <w:pPr>
              <w:spacing w:after="0"/>
              <w:rPr>
                <w:sz w:val="16"/>
                <w:szCs w:val="16"/>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206"/>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212529"/>
                <w:w w:val="92"/>
              </w:rPr>
              <w:t>(Nasdaq Global Select Market)</w:t>
            </w:r>
          </w:p>
        </w:tc>
        <w:tc>
          <w:tcPr>
            <w:tcW w:w="0" w:type="dxa"/>
            <w:vAlign w:val="bottom"/>
          </w:tcPr>
          <w:p>
            <w:pPr>
              <w:spacing w:after="0"/>
              <w:rPr>
                <w:sz w:val="1"/>
                <w:szCs w:val="1"/>
                <w:color w:val="auto"/>
              </w:rPr>
            </w:pPr>
          </w:p>
        </w:tc>
      </w:tr>
    </w:tbl>
    <w:p>
      <w:pPr>
        <w:spacing w:after="0" w:line="77"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600" w:right="2020"/>
        <w:spacing w:after="0" w:line="25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10, 2021, the registrant had 32,822,550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188595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9"/>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240" w:type="dxa"/>
            <w:vAlign w:val="bottom"/>
            <w:tcBorders>
              <w:top w:val="single" w:sz="8" w:color="0000EE"/>
            </w:tcBorders>
            <w:gridSpan w:val="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Financial Statements</w:t>
              </w:r>
            </w:hyperlink>
            <w:r>
              <w:rPr>
                <w:rFonts w:ascii="Arial" w:cs="Arial" w:eastAsia="Arial" w:hAnsi="Arial"/>
                <w:sz w:val="18"/>
                <w:szCs w:val="18"/>
                <w:u w:val="single" w:color="auto"/>
                <w:color w:val="000000"/>
              </w:rPr>
              <w:t>:</w:t>
            </w:r>
          </w:p>
        </w:tc>
        <w:tc>
          <w:tcPr>
            <w:tcW w:w="70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1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Balance Sheets as of March 31, 2021 (unaudited) and December 31, 2020</w:t>
              </w:r>
            </w:hyperlink>
          </w:p>
        </w:tc>
        <w:tc>
          <w:tcPr>
            <w:tcW w:w="31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9"/>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Statements of Operations and Comprehensive Loss for the three months ended March 31, 2021 and 2020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60" w:type="dxa"/>
            <w:vAlign w:val="bottom"/>
            <w:tcBorders>
              <w:top w:val="single" w:sz="8" w:color="0000EE"/>
            </w:tcBorders>
            <w:gridSpan w:val="18"/>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Condensed Statements of Convertible Preferred Stock and Stockholders’ Equity (Deficit) for the three months ended March 31,</w:t>
              </w:r>
            </w:hyperlink>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2021 and 2020 (unaudited)</w:t>
              </w:r>
            </w:hyperlink>
          </w:p>
        </w:tc>
        <w:tc>
          <w:tcPr>
            <w:tcW w:w="7240" w:type="dxa"/>
            <w:vAlign w:val="bottom"/>
            <w:tcBorders>
              <w:top w:val="single" w:sz="8" w:color="0000EE"/>
            </w:tcBorders>
            <w:gridSpan w:val="9"/>
          </w:tcPr>
          <w:p>
            <w:pPr>
              <w:spacing w:after="0"/>
              <w:rPr>
                <w:sz w:val="17"/>
                <w:szCs w:val="17"/>
                <w:color w:val="auto"/>
              </w:rPr>
            </w:pPr>
          </w:p>
        </w:tc>
        <w:tc>
          <w:tcPr>
            <w:tcW w:w="1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9"/>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Statements of Cash Flows for the three months ended March 31, 2021 and 2020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60" w:type="dxa"/>
            <w:vAlign w:val="bottom"/>
            <w:tcBorders>
              <w:top w:val="single" w:sz="8" w:color="0000EE"/>
            </w:tcBorders>
            <w:gridSpan w:val="1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Unaudited Condensed Financial Statements</w:t>
              </w:r>
            </w:hyperlink>
          </w:p>
        </w:tc>
        <w:tc>
          <w:tcPr>
            <w:tcW w:w="18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1">
              <w:r>
                <w:rPr>
                  <w:rFonts w:ascii="Arial" w:cs="Arial" w:eastAsia="Arial" w:hAnsi="Arial"/>
                  <w:sz w:val="18"/>
                  <w:szCs w:val="18"/>
                  <w:color w:val="0000EE"/>
                  <w:w w:val="95"/>
                </w:rPr>
                <w:t>OTHER INFORMATION</w:t>
              </w:r>
            </w:hyperlink>
          </w:p>
        </w:tc>
        <w:tc>
          <w:tcPr>
            <w:tcW w:w="7420" w:type="dxa"/>
            <w:vAlign w:val="bottom"/>
            <w:gridSpan w:val="12"/>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8"/>
                <w:szCs w:val="18"/>
                <w:color w:val="auto"/>
              </w:rPr>
            </w:pPr>
          </w:p>
        </w:tc>
        <w:tc>
          <w:tcPr>
            <w:tcW w:w="49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80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Quarterly Report on Form 10-Q, and the information incorporated herein by reference, particularly in the sections captioned “Risk Factors” under Part II, Item 1A, and “Management’s Discussion and Analysis of Financial Condition and Results of Operations” under Part I, Item 2,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Forward-looking statements are inherently subject to risks and uncertainties, some of which cannot be predicted or quantified. All statements other than statements of historical facts contained in this Quarterly Report on Form 10-Q are forward-looking statements, including statements about:</w:t>
      </w:r>
    </w:p>
    <w:p>
      <w:pPr>
        <w:spacing w:after="0" w:line="164" w:lineRule="exact"/>
        <w:rPr>
          <w:sz w:val="20"/>
          <w:szCs w:val="20"/>
          <w:color w:val="auto"/>
        </w:rPr>
      </w:pPr>
    </w:p>
    <w:p>
      <w:pPr>
        <w:ind w:left="740" w:right="400" w:hanging="368"/>
        <w:spacing w:after="0" w:line="258"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timing and potential indications of our product candidate development activities and clinical trials, including our currently planned and potential future clinical trials of NKX101 and NKX019;</w:t>
      </w:r>
    </w:p>
    <w:p>
      <w:pPr>
        <w:spacing w:after="0" w:line="1" w:lineRule="exact"/>
        <w:rPr>
          <w:rFonts w:ascii="Arial" w:cs="Arial" w:eastAsia="Arial" w:hAnsi="Arial"/>
          <w:sz w:val="18"/>
          <w:szCs w:val="18"/>
          <w:color w:val="auto"/>
        </w:rPr>
      </w:pPr>
    </w:p>
    <w:p>
      <w:pPr>
        <w:ind w:left="740" w:right="540" w:hanging="368"/>
        <w:spacing w:after="0" w:line="25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our milestones for development of our product candidates, including the timely conduct of our clinical trials and the availability of clinical data from those trials;</w:t>
      </w:r>
    </w:p>
    <w:p>
      <w:pPr>
        <w:ind w:left="740" w:right="80" w:hanging="368"/>
        <w:spacing w:after="0" w:line="265"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of our product candidates, including NKX101 and NKX019, for any of the indications for which we plan to develop them, and any related restrictions, limitations and/or warnings in the label of an approved product;</w:t>
      </w: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results of ongoing or later clinical trials, including of NKX101 and NKX019;</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complete the clinical trials of any of our product candidates;</w:t>
      </w:r>
    </w:p>
    <w:p>
      <w:pPr>
        <w:spacing w:after="0" w:line="20"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characterize, and control manufacturing processes for our product candidates;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COVID-19 pandemic, which may adversely impact our business, preclinical studies and clinical trials;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construction and qualification of manufacturing facilities to produce clinical and commercial products;</w:t>
      </w:r>
    </w:p>
    <w:p>
      <w:pPr>
        <w:spacing w:after="0" w:line="9" w:lineRule="exact"/>
        <w:rPr>
          <w:rFonts w:ascii="Arial" w:cs="Arial" w:eastAsia="Arial" w:hAnsi="Arial"/>
          <w:sz w:val="18"/>
          <w:szCs w:val="18"/>
          <w:color w:val="auto"/>
        </w:rPr>
      </w:pPr>
    </w:p>
    <w:p>
      <w:pPr>
        <w:ind w:left="740" w:right="500" w:hanging="368"/>
        <w:spacing w:after="0" w:line="25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products, and our ability to identify target patient populations and serve those markets, especially for diseases with low prevalence;</w:t>
      </w: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products, including obtaining reimbursement on favorable terms;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sales and marketing capabilities;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insurance coverage and reimbursement for our product candidates;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organization and increase the size of our facilities to meet our anticipated growth;</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strategic partners with development, regulatory and commercialization expertise;</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9" w:lineRule="exact"/>
        <w:rPr>
          <w:rFonts w:ascii="Arial" w:cs="Arial" w:eastAsia="Arial" w:hAnsi="Arial"/>
          <w:sz w:val="18"/>
          <w:szCs w:val="18"/>
          <w:color w:val="auto"/>
        </w:rPr>
      </w:pPr>
    </w:p>
    <w:p>
      <w:pPr>
        <w:ind w:left="740" w:right="480" w:hanging="368"/>
        <w:spacing w:after="0" w:line="25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products and our ability to operate our business without infringing on the intellectual property rights of others;</w:t>
      </w:r>
    </w:p>
    <w:p>
      <w:pPr>
        <w:ind w:left="740" w:right="260" w:hanging="368"/>
        <w:spacing w:after="0" w:line="25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 agreement with National University of Singapore and St. Jude Children’s Research Hospital with respect to certain rights to our product candidates, including NKX101 and NKX019;</w:t>
      </w: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commercial or management personnel;</w:t>
      </w:r>
    </w:p>
    <w:p>
      <w:pPr>
        <w:spacing w:after="0" w:line="9" w:lineRule="exact"/>
        <w:rPr>
          <w:rFonts w:ascii="Arial" w:cs="Arial" w:eastAsia="Arial" w:hAnsi="Arial"/>
          <w:sz w:val="18"/>
          <w:szCs w:val="18"/>
          <w:color w:val="auto"/>
        </w:rPr>
      </w:pPr>
    </w:p>
    <w:p>
      <w:pPr>
        <w:ind w:left="740" w:right="100" w:hanging="368"/>
        <w:spacing w:after="0" w:line="25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under the Jumpstart Our Business Startups Act, or the JOBS Act, as an emerging growth company or a smaller reporting company;</w:t>
      </w: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factors listed under “Risk Factors” and elsewhere in this Quarterly Report on Form 10-Q.</w:t>
      </w:r>
    </w:p>
    <w:p>
      <w:pPr>
        <w:spacing w:after="0" w:line="211" w:lineRule="exact"/>
        <w:rPr>
          <w:sz w:val="20"/>
          <w:szCs w:val="20"/>
          <w:color w:val="auto"/>
        </w:rPr>
      </w:pPr>
    </w:p>
    <w:p>
      <w:pPr>
        <w:ind w:right="60" w:firstLine="374"/>
        <w:spacing w:after="0" w:line="257" w:lineRule="auto"/>
        <w:rPr>
          <w:sz w:val="20"/>
          <w:szCs w:val="20"/>
          <w:color w:val="auto"/>
        </w:rPr>
      </w:pPr>
      <w:r>
        <w:rPr>
          <w:rFonts w:ascii="Arial" w:cs="Arial" w:eastAsia="Arial" w:hAnsi="Arial"/>
          <w:sz w:val="18"/>
          <w:szCs w:val="18"/>
          <w:color w:val="auto"/>
        </w:rPr>
        <w:t>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 w:name="page4"/>
    <w:bookmarkEnd w:id="3"/>
    <w:p>
      <w:pPr>
        <w:ind w:right="100" w:firstLine="374"/>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80" w:firstLine="374"/>
        <w:spacing w:after="0" w:line="293" w:lineRule="auto"/>
        <w:rPr>
          <w:sz w:val="20"/>
          <w:szCs w:val="20"/>
          <w:color w:val="auto"/>
        </w:rPr>
      </w:pPr>
      <w:r>
        <w:rPr>
          <w:rFonts w:ascii="Arial" w:cs="Arial" w:eastAsia="Arial" w:hAnsi="Arial"/>
          <w:sz w:val="16"/>
          <w:szCs w:val="16"/>
          <w:color w:val="auto"/>
        </w:rPr>
        <w:t>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64" w:lineRule="exact"/>
        <w:rPr>
          <w:sz w:val="20"/>
          <w:szCs w:val="20"/>
          <w:color w:val="auto"/>
        </w:rPr>
      </w:pPr>
    </w:p>
    <w:p>
      <w:pPr>
        <w:ind w:firstLine="374"/>
        <w:spacing w:after="0" w:line="277"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Part II, Item 1A, “Risk Factors” in this Quarterly Report on Form 10-Q. The below summary is qualified in its entirety by those more complete discussions of such risks and uncertainties. You should consider carefully the risks and uncertainties described under Part II, Item 1A, “Risk Factors” in this Quarterly Report on Form 10-Q as part of your evaluation of an investment in our common stock.</w:t>
      </w:r>
    </w:p>
    <w:p>
      <w:pPr>
        <w:spacing w:after="0" w:line="286"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have a limited operating history and do not have any products approved for sale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We have incurred significant losses since our inception and we expect to continue to incur significant losses for the foreseeable future.</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have never generated revenue from product sales and may never achieve or maintain profitability.</w:t>
      </w:r>
    </w:p>
    <w:p>
      <w:pPr>
        <w:spacing w:after="0" w:line="117"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will require additional capital, which, if available, may cause dilution to our stockholders, restrict our operations or require us to relinquish rights to our product candidates.</w:t>
      </w:r>
    </w:p>
    <w:p>
      <w:pPr>
        <w:spacing w:after="0" w:line="62" w:lineRule="exact"/>
        <w:rPr>
          <w:rFonts w:ascii="Arial" w:cs="Arial" w:eastAsia="Arial" w:hAnsi="Arial"/>
          <w:sz w:val="18"/>
          <w:szCs w:val="18"/>
          <w:color w:val="auto"/>
        </w:rPr>
      </w:pPr>
    </w:p>
    <w:p>
      <w:pPr>
        <w:ind w:left="1000" w:right="28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business and the business or operations of our research partners, including CRISPR, and other third parties with whom we conduct business could be adversely affected by the effects of health epidemics, including the recent COVID-19 pandemic, in regions where we or third parties on which we rely have business operations.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business depends upon the success of our chimeric antigen receptor-natural killer cell, or CAR-NK, cell technology platform.</w:t>
      </w:r>
    </w:p>
    <w:p>
      <w:pPr>
        <w:spacing w:after="0" w:line="128" w:lineRule="exact"/>
        <w:rPr>
          <w:rFonts w:ascii="Arial" w:cs="Arial" w:eastAsia="Arial" w:hAnsi="Arial"/>
          <w:sz w:val="17"/>
          <w:szCs w:val="17"/>
          <w:color w:val="auto"/>
        </w:rPr>
      </w:pPr>
    </w:p>
    <w:p>
      <w:pPr>
        <w:ind w:left="1000" w:right="38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Utilizing CAR-NK cells represents a novel approach to the treatment of cancer, and we must overcome significant challenges in order to develop, commercialize and manufacture our product candidates.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Clinical development involves a lengthy and expensive process with an uncertain outcome, and we may encounter substantial delays due to a variety of reasons outside our control.</w:t>
      </w:r>
    </w:p>
    <w:p>
      <w:pPr>
        <w:spacing w:after="0" w:line="62" w:lineRule="exact"/>
        <w:rPr>
          <w:rFonts w:ascii="Arial" w:cs="Arial" w:eastAsia="Arial" w:hAnsi="Arial"/>
          <w:sz w:val="18"/>
          <w:szCs w:val="18"/>
          <w:color w:val="auto"/>
        </w:rPr>
      </w:pPr>
    </w:p>
    <w:p>
      <w:pPr>
        <w:jc w:val="both"/>
        <w:ind w:left="1000" w:hanging="493"/>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p>
      <w:pPr>
        <w:spacing w:after="0" w:line="15" w:lineRule="exact"/>
        <w:rPr>
          <w:rFonts w:ascii="Arial" w:cs="Arial" w:eastAsia="Arial" w:hAnsi="Arial"/>
          <w:sz w:val="16"/>
          <w:szCs w:val="16"/>
          <w:color w:val="auto"/>
        </w:rPr>
      </w:pPr>
    </w:p>
    <w:p>
      <w:pPr>
        <w:ind w:left="1000" w:right="14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preclinical programs may experience delays or may never advance to clinical trials, which would adversely affect our ability to obtain regulatory approvals or commercialize these programs on a timely basis or at all.</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results of preclinical studies and early-stage clinical trials may not be predictive of future results. Initial success in any clinical trials may not be indicative of results obtained when these trials are completed or in later stage trials.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any of our product candidates, or any competing product candidates, demonstrate relevant, serious adverse events, we may be required to halt or delay further clinical development.</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62" w:lineRule="exact"/>
        <w:rPr>
          <w:rFonts w:ascii="Arial" w:cs="Arial" w:eastAsia="Arial" w:hAnsi="Arial"/>
          <w:sz w:val="18"/>
          <w:szCs w:val="18"/>
          <w:color w:val="auto"/>
        </w:rPr>
      </w:pPr>
    </w:p>
    <w:p>
      <w:pPr>
        <w:ind w:left="1000" w:right="30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75"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are reliant on a sole supplier for certain steps of our manufacturing process.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If our license agreement with National University of Singapore and St. Jude’s Children’s Research Hospital, Inc. is terminated, we could lose our rights to key components enabling our NK cell engineering platform.</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 w:name="page6"/>
    <w:bookmarkEnd w:id="5"/>
    <w:p>
      <w:pPr>
        <w:ind w:left="500" w:right="340" w:hanging="493"/>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If any patent protection we obtain is not sufficiently robust, our competitors could develop and commercialize products and technology similar or identical to ours.</w:t>
      </w:r>
    </w:p>
    <w:p>
      <w:pPr>
        <w:spacing w:after="0" w:line="62" w:lineRule="exact"/>
        <w:rPr>
          <w:rFonts w:ascii="Arial" w:cs="Arial" w:eastAsia="Arial" w:hAnsi="Arial"/>
          <w:sz w:val="18"/>
          <w:szCs w:val="18"/>
          <w:color w:val="auto"/>
        </w:rPr>
      </w:pPr>
    </w:p>
    <w:p>
      <w:pPr>
        <w:jc w:val="both"/>
        <w:ind w:left="500" w:hanging="493"/>
        <w:spacing w:after="0" w:line="263"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75" w:lineRule="exact"/>
        <w:rPr>
          <w:rFonts w:ascii="Arial" w:cs="Arial" w:eastAsia="Arial" w:hAnsi="Arial"/>
          <w:sz w:val="18"/>
          <w:szCs w:val="18"/>
          <w:color w:val="auto"/>
        </w:rPr>
      </w:pPr>
    </w:p>
    <w:p>
      <w:pPr>
        <w:ind w:left="500" w:right="160" w:hanging="493"/>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product candidates, including NKX101 and NKX019, could be subject to regulatory limitations following approval, if and when such approval is granted.</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market price for our common stock may be volatile, which could contribute to the loss of all or part of your investment.</w:t>
      </w:r>
    </w:p>
    <w:p>
      <w:pPr>
        <w:spacing w:after="0" w:line="117" w:lineRule="exact"/>
        <w:rPr>
          <w:rFonts w:ascii="Arial" w:cs="Arial" w:eastAsia="Arial" w:hAnsi="Arial"/>
          <w:sz w:val="18"/>
          <w:szCs w:val="18"/>
          <w:color w:val="auto"/>
        </w:rPr>
      </w:pPr>
    </w:p>
    <w:p>
      <w:pPr>
        <w:ind w:left="500" w:hanging="493"/>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60"/>
          </w:cols>
          <w:pgMar w:left="820" w:top="125" w:right="5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600" w:type="dxa"/>
            <w:vAlign w:val="bottom"/>
            <w:tcBorders>
              <w:bottom w:val="single" w:sz="8" w:color="CFF0FC"/>
            </w:tcBorders>
          </w:tcPr>
          <w:p>
            <w:pPr>
              <w:spacing w:after="0"/>
              <w:rPr>
                <w:sz w:val="14"/>
                <w:szCs w:val="14"/>
                <w:color w:val="auto"/>
              </w:rPr>
            </w:pPr>
          </w:p>
        </w:tc>
        <w:tc>
          <w:tcPr>
            <w:tcW w:w="2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62,608</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rPr>
              <w:t>Short-term investments, available-for-sale</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236,655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 current assets</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302,234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318,835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2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325,692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337,650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 portion</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and other current liabilities</w:t>
            </w:r>
          </w:p>
        </w:tc>
        <w:tc>
          <w:tcPr>
            <w:tcW w:w="2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 liabilities</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Stockholders’ equity</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paid-in capital</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443,347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439,235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Accumulated deficit</w:t>
            </w:r>
          </w:p>
        </w:tc>
        <w:tc>
          <w:tcPr>
            <w:tcW w:w="2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(137,394)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(118,021)</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305,990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321,220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325,692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337,650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16" w:lineRule="exact"/>
        <w:rPr>
          <w:sz w:val="20"/>
          <w:szCs w:val="20"/>
          <w:color w:val="auto"/>
        </w:rPr>
      </w:pPr>
    </w:p>
    <w:p>
      <w:pPr>
        <w:jc w:val="center"/>
        <w:ind w:left="7380"/>
        <w:spacing w:after="0"/>
        <w:rPr>
          <w:sz w:val="20"/>
          <w:szCs w:val="20"/>
          <w:color w:val="auto"/>
        </w:rPr>
      </w:pPr>
      <w:r>
        <w:rPr>
          <w:rFonts w:ascii="Arial" w:cs="Arial" w:eastAsia="Arial" w:hAnsi="Arial"/>
          <w:sz w:val="14"/>
          <w:szCs w:val="14"/>
          <w:b w:val="1"/>
          <w:bCs w:val="1"/>
          <w:color w:val="auto"/>
        </w:rPr>
        <w:t>Three Months Ended</w:t>
      </w:r>
    </w:p>
    <w:p>
      <w:pPr>
        <w:jc w:val="center"/>
        <w:ind w:left="73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54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preferred stock</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 right liability</w:t>
            </w:r>
          </w:p>
        </w:tc>
        <w:tc>
          <w:tcPr>
            <w:tcW w:w="3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(19,373)</w:t>
            </w:r>
          </w:p>
        </w:tc>
        <w:tc>
          <w:tcPr>
            <w:tcW w:w="50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(8,706)</w:t>
            </w:r>
          </w:p>
        </w:tc>
        <w:tc>
          <w:tcPr>
            <w:tcW w:w="0" w:type="dxa"/>
            <w:vAlign w:val="bottom"/>
          </w:tcPr>
          <w:p>
            <w:pPr>
              <w:spacing w:after="0"/>
              <w:rPr>
                <w:sz w:val="1"/>
                <w:szCs w:val="1"/>
                <w:color w:val="auto"/>
              </w:rPr>
            </w:pPr>
          </w:p>
        </w:tc>
      </w:tr>
      <w:tr>
        <w:trPr>
          <w:trHeight w:val="229"/>
        </w:trPr>
        <w:tc>
          <w:tcPr>
            <w:tcW w:w="7540" w:type="dxa"/>
            <w:vAlign w:val="bottom"/>
          </w:tcPr>
          <w:p>
            <w:pPr>
              <w:ind w:left="260"/>
              <w:spacing w:after="0"/>
              <w:rPr>
                <w:sz w:val="20"/>
                <w:szCs w:val="20"/>
                <w:color w:val="auto"/>
              </w:rPr>
            </w:pPr>
            <w:r>
              <w:rPr>
                <w:rFonts w:ascii="Arial" w:cs="Arial" w:eastAsia="Arial" w:hAnsi="Arial"/>
                <w:sz w:val="18"/>
                <w:szCs w:val="18"/>
                <w:color w:val="auto"/>
              </w:rPr>
              <w:t>Other comprehensive gain (loss)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(19,342)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FF0FC"/>
            </w:tcBorders>
            <w:vMerge w:val="continue"/>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5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 net loss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per share, basic and diluted</w:t>
            </w:r>
          </w:p>
        </w:tc>
        <w:tc>
          <w:tcPr>
            <w:tcW w:w="3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32,739,610</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1,609,184</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52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Convertible</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center"/>
              <w:ind w:right="1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gridSpan w:val="3"/>
            <w:vMerge w:val="restart"/>
          </w:tcPr>
          <w:p>
            <w:pPr>
              <w:jc w:val="right"/>
              <w:ind w:right="287"/>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5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95"/>
              </w:rPr>
              <w:t>Preferred Stock</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8"/>
              </w:rPr>
              <w:t>Paid-in</w:t>
            </w: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100" w:type="dxa"/>
            <w:vAlign w:val="bottom"/>
            <w:gridSpan w:val="3"/>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3"/>
                <w:szCs w:val="13"/>
                <w:color w:val="auto"/>
              </w:rPr>
            </w:pPr>
          </w:p>
        </w:tc>
        <w:tc>
          <w:tcPr>
            <w:tcW w:w="82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177"/>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36"/>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81"/>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181"/>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Balance, December 31, 2020</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32,627,963</w:t>
            </w:r>
          </w:p>
        </w:tc>
        <w:tc>
          <w:tcPr>
            <w:tcW w:w="2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439,235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(118,021)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321,220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20"/>
                <w:szCs w:val="20"/>
                <w:color w:val="auto"/>
              </w:rPr>
            </w:pPr>
            <w:r>
              <w:rPr>
                <w:rFonts w:ascii="Arial" w:cs="Arial" w:eastAsia="Arial" w:hAnsi="Arial"/>
                <w:sz w:val="18"/>
                <w:szCs w:val="18"/>
                <w:color w:val="auto"/>
                <w:w w:val="97"/>
              </w:rPr>
              <w:t>Vesting of shares of common</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w w:val="97"/>
              </w:rPr>
              <w:t>stock subject to repurchase</w:t>
            </w:r>
          </w:p>
        </w:tc>
        <w:tc>
          <w:tcPr>
            <w:tcW w:w="11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Borders>
              <w:right w:val="single" w:sz="8" w:color="auto"/>
            </w:tcBorders>
            <w:gridSpan w:val="3"/>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15,802</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upon</w:t>
            </w: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 of stock option,</w:t>
            </w: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of repurchase</w:t>
            </w:r>
          </w:p>
        </w:tc>
        <w:tc>
          <w:tcPr>
            <w:tcW w:w="1100" w:type="dxa"/>
            <w:vAlign w:val="bottom"/>
            <w:gridSpan w:val="3"/>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tcBorders>
              <w:right w:val="single" w:sz="8" w:color="auto"/>
            </w:tcBorders>
            <w:gridSpan w:val="3"/>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154,489</w:t>
            </w: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expense</w:t>
            </w:r>
          </w:p>
        </w:tc>
        <w:tc>
          <w:tcPr>
            <w:tcW w:w="11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Borders>
              <w:right w:val="single" w:sz="8" w:color="auto"/>
            </w:tcBorders>
            <w:gridSpan w:val="3"/>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short-</w:t>
            </w: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term</w:t>
            </w: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1100" w:type="dxa"/>
            <w:vAlign w:val="bottom"/>
            <w:gridSpan w:val="3"/>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tcBorders>
              <w:right w:val="single" w:sz="8" w:color="auto"/>
            </w:tcBorders>
            <w:gridSpan w:val="3"/>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30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Borders>
              <w:right w:val="single" w:sz="8" w:color="auto"/>
            </w:tcBorders>
            <w:gridSpan w:val="3"/>
          </w:tcPr>
          <w:p>
            <w:pPr>
              <w:ind w:lef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(19,373)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(19,373)</w:t>
            </w: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2021</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right w:val="single" w:sz="8" w:color="auto"/>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32,798,254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443,347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(137,394</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305,990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00" w:type="dxa"/>
            <w:vAlign w:val="bottom"/>
          </w:tcPr>
          <w:p>
            <w:pPr>
              <w:spacing w:after="0"/>
              <w:rPr>
                <w:sz w:val="24"/>
                <w:szCs w:val="24"/>
                <w:color w:val="auto"/>
              </w:rPr>
            </w:pPr>
          </w:p>
        </w:tc>
        <w:tc>
          <w:tcPr>
            <w:tcW w:w="1520" w:type="dxa"/>
            <w:vAlign w:val="bottom"/>
            <w:gridSpan w:val="5"/>
            <w:vMerge w:val="restart"/>
          </w:tcPr>
          <w:p>
            <w:pPr>
              <w:ind w:left="660"/>
              <w:spacing w:after="0"/>
              <w:rPr>
                <w:sz w:val="20"/>
                <w:szCs w:val="20"/>
                <w:color w:val="auto"/>
              </w:rPr>
            </w:pPr>
            <w:r>
              <w:rPr>
                <w:rFonts w:ascii="Arial" w:cs="Arial" w:eastAsia="Arial" w:hAnsi="Arial"/>
                <w:sz w:val="14"/>
                <w:szCs w:val="14"/>
                <w:b w:val="1"/>
                <w:bCs w:val="1"/>
                <w:color w:val="auto"/>
              </w:rPr>
              <w:t>Convertible</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24"/>
                <w:szCs w:val="24"/>
                <w:color w:val="auto"/>
              </w:rPr>
            </w:pPr>
          </w:p>
        </w:tc>
        <w:tc>
          <w:tcPr>
            <w:tcW w:w="11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vMerge w:val="restart"/>
          </w:tcPr>
          <w:p>
            <w:pPr>
              <w:jc w:val="center"/>
              <w:ind w:right="1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gridSpan w:val="3"/>
            <w:vMerge w:val="restart"/>
          </w:tcPr>
          <w:p>
            <w:pPr>
              <w:jc w:val="right"/>
              <w:ind w:right="267"/>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5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93"/>
              </w:rPr>
              <w:t>Preferred Stock</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8"/>
              </w:rPr>
              <w:t>Paid-in</w:t>
            </w: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5"/>
        </w:trPr>
        <w:tc>
          <w:tcPr>
            <w:tcW w:w="2300" w:type="dxa"/>
            <w:vAlign w:val="bottom"/>
            <w:vMerge w:val="restart"/>
          </w:tcPr>
          <w:p>
            <w:pPr>
              <w:spacing w:after="0"/>
              <w:rPr>
                <w:sz w:val="20"/>
                <w:szCs w:val="20"/>
                <w:color w:val="auto"/>
              </w:rPr>
            </w:pPr>
            <w:r>
              <w:rPr>
                <w:rFonts w:ascii="Arial" w:cs="Arial" w:eastAsia="Arial" w:hAnsi="Arial"/>
                <w:sz w:val="18"/>
                <w:szCs w:val="18"/>
                <w:color w:val="auto"/>
                <w:w w:val="97"/>
              </w:rPr>
              <w:t>Balance, December 31, 2019</w:t>
            </w:r>
          </w:p>
        </w:tc>
        <w:tc>
          <w:tcPr>
            <w:tcW w:w="940" w:type="dxa"/>
            <w:vAlign w:val="bottom"/>
            <w:tcBorders>
              <w:bottom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Borders>
              <w:bottom w:val="single" w:sz="8" w:color="auto"/>
            </w:tcBorders>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Borders>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94"/>
              <w:spacing w:after="0" w:line="155"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94"/>
              <w:spacing w:after="0" w:line="155" w:lineRule="exact"/>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300" w:type="dxa"/>
            <w:vAlign w:val="bottom"/>
            <w:vMerge w:val="continue"/>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27,283,973</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59,815</w:t>
            </w:r>
          </w:p>
        </w:tc>
        <w:tc>
          <w:tcPr>
            <w:tcW w:w="2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1,600,601</w:t>
            </w:r>
          </w:p>
        </w:tc>
        <w:tc>
          <w:tcPr>
            <w:tcW w:w="240" w:type="dxa"/>
            <w:vAlign w:val="bottom"/>
          </w:tcPr>
          <w:p>
            <w:pPr>
              <w:spacing w:after="0"/>
              <w:rPr>
                <w:sz w:val="19"/>
                <w:szCs w:val="19"/>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(25,482)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w w:val="97"/>
              </w:rPr>
              <w:t>Vesting of shares of common</w:t>
            </w: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stock subject to repurchase</w:t>
            </w:r>
          </w:p>
        </w:tc>
        <w:tc>
          <w:tcPr>
            <w:tcW w:w="11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tcBorders>
              <w:right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17,494</w:t>
            </w: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Stock option exercises</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2,871</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11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tcBorders>
              <w:right w:val="single" w:sz="8" w:color="auto"/>
            </w:tcBorders>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00" w:type="dxa"/>
            <w:vAlign w:val="bottom"/>
          </w:tcPr>
          <w:p>
            <w:pPr>
              <w:spacing w:after="0"/>
              <w:rPr>
                <w:sz w:val="20"/>
                <w:szCs w:val="20"/>
                <w:color w:val="auto"/>
              </w:rPr>
            </w:pPr>
            <w:r>
              <w:rPr>
                <w:rFonts w:ascii="Arial" w:cs="Arial" w:eastAsia="Arial" w:hAnsi="Arial"/>
                <w:sz w:val="18"/>
                <w:szCs w:val="18"/>
                <w:color w:val="auto"/>
                <w:w w:val="96"/>
              </w:rPr>
              <w:t>Unrealized loss on short-term</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3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(8,706)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(8,706)</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Balance, March 31, 2020</w:t>
            </w:r>
          </w:p>
        </w:tc>
        <w:tc>
          <w:tcPr>
            <w:tcW w:w="9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23"/>
        </w:trPr>
        <w:tc>
          <w:tcPr>
            <w:tcW w:w="2300" w:type="dxa"/>
            <w:vAlign w:val="bottom"/>
            <w:vMerge w:val="continue"/>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27,283,973</w:t>
            </w:r>
          </w:p>
        </w:tc>
        <w:tc>
          <w:tcPr>
            <w:tcW w:w="16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59,815</w:t>
            </w:r>
          </w:p>
        </w:tc>
        <w:tc>
          <w:tcPr>
            <w:tcW w:w="2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1,620,966</w:t>
            </w:r>
          </w:p>
        </w:tc>
        <w:tc>
          <w:tcPr>
            <w:tcW w:w="240" w:type="dxa"/>
            <w:vAlign w:val="bottom"/>
            <w:vMerge w:val="continue"/>
          </w:tcPr>
          <w:p>
            <w:pPr>
              <w:spacing w:after="0"/>
              <w:rPr>
                <w:sz w:val="19"/>
                <w:szCs w:val="19"/>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1,675</w:t>
            </w:r>
          </w:p>
        </w:tc>
        <w:tc>
          <w:tcPr>
            <w:tcW w:w="2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(35,366</w:t>
            </w:r>
          </w:p>
        </w:tc>
        <w:tc>
          <w:tcPr>
            <w:tcW w:w="2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(33,694</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Three Months Ended</w:t>
      </w:r>
    </w:p>
    <w:p>
      <w:pPr>
        <w:jc w:val="center"/>
        <w:ind w:left="75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676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90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(19,373)</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(8,706)</w:t>
            </w: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Share-based compensation expense</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Accretion and amortization of premium on investments, net</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lease expense</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500"/>
              <w:spacing w:after="0"/>
              <w:rPr>
                <w:sz w:val="20"/>
                <w:szCs w:val="20"/>
                <w:color w:val="auto"/>
              </w:rPr>
            </w:pPr>
            <w:r>
              <w:rPr>
                <w:rFonts w:ascii="Arial" w:cs="Arial" w:eastAsia="Arial" w:hAnsi="Arial"/>
                <w:sz w:val="18"/>
                <w:szCs w:val="18"/>
                <w:color w:val="auto"/>
              </w:rPr>
              <w:t>Change in fair value of preferred stock purchase right liability</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and other liabilities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(14,647)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(35,161)</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Maturities of short-term investments</w:t>
            </w:r>
          </w:p>
        </w:tc>
        <w:tc>
          <w:tcPr>
            <w:tcW w:w="9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(20,194)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stock option exercises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260"/>
              <w:spacing w:after="0"/>
              <w:rPr>
                <w:sz w:val="20"/>
                <w:szCs w:val="20"/>
                <w:color w:val="auto"/>
              </w:rPr>
            </w:pPr>
            <w:r>
              <w:rPr>
                <w:rFonts w:ascii="Arial" w:cs="Arial" w:eastAsia="Arial" w:hAnsi="Arial"/>
                <w:sz w:val="18"/>
                <w:szCs w:val="18"/>
                <w:color w:val="auto"/>
              </w:rPr>
              <w:t>Proceeds from early exercise of stock options</w:t>
            </w: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deferred offering costs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(34,084)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97,105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9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63,021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Reconciliation of cash, cash equivalents and restricted cash to the balance sheet:</w:t>
            </w:r>
          </w:p>
        </w:tc>
        <w:tc>
          <w:tcPr>
            <w:tcW w:w="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62,608</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Restricted cash</w:t>
            </w:r>
          </w:p>
        </w:tc>
        <w:tc>
          <w:tcPr>
            <w:tcW w:w="9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9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63,021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Nkarta, Inc. (“Nkarta” or the “Company”) was incorporated in the State of Delaware in July 2015. The Company is a biopharmaceutical company developing engineered natural killer (“NK”) cells to fight cancer. The Company is focused on leveraging the natural potent power of NK cells to identify and kill abnormal cells and recruit adaptive immune effectors to generate responses that are specific and durable. Nkarta is combining its NK expansion platform technology with proprietary cell engineering technologies to generate an abundant supply of NK cells, engineer enhanced NK cell recognition of tumor targets, and improve persistence for sustained activity in the body for the treatment of cancer. Nkarta’s goal is to develop off-the-shelf NK cell therapy product candidates to improve outcomes for patients. The Company’s operations are based in South San Francisco, California and it operates in one segment.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Management Plans</w:t>
      </w:r>
    </w:p>
    <w:p>
      <w:pPr>
        <w:spacing w:after="0" w:line="117"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The accompanying unaudited condensed financial statements have been prepared assuming that the Company will continue as a going concern. However, since inception, the Company has devoted substantially all of its efforts to organizing and staffing, business planning, raising capital, conducting preclinical studies and initiating clinical studies, and has not realized substantial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March 31, 2021, the Company had an accumulated deficit of $137.4 million and cash, cash equivalents, restricted cash and short-term investments of $299.7 million.</w:t>
      </w:r>
    </w:p>
    <w:p>
      <w:pPr>
        <w:spacing w:after="0" w:line="70"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Management plans to continue to incur substantial costs in order to conduct research and development activities and additional capital will be needed to undertake these activities. The Company intends to raise such capital through debt or equity financings or other arrangements to fund operations. Management believes that the Company’s current cash, cash equivalents, restricted cash and short-term investments will provide sufficient funds to enable the Company to meet its obligations for at least twelve months from the filing date of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510"/>
        <w:spacing w:after="0" w:line="296" w:lineRule="auto"/>
        <w:rPr>
          <w:sz w:val="20"/>
          <w:szCs w:val="20"/>
          <w:color w:val="auto"/>
        </w:rPr>
      </w:pPr>
      <w:r>
        <w:rPr>
          <w:rFonts w:ascii="Arial" w:cs="Arial" w:eastAsia="Arial" w:hAnsi="Arial"/>
          <w:sz w:val="16"/>
          <w:szCs w:val="16"/>
          <w:color w:val="auto"/>
        </w:rPr>
        <w:t>The accompanying unaudited condensed financial statements as of March 31, 2021 and for the three months ended March 31, 2021 and 2020 have been prepared in accordance with U.S. generally accepted accounting principle (“U.S. GAAP”) for interim financial information and pursuant to Article 10 of Regulation S-X of the Securities Act of 1933, as amended (the “Securities Act”).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w:t>
      </w:r>
    </w:p>
    <w:p>
      <w:pPr>
        <w:spacing w:after="0" w:line="161"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The results for the three months ended March 31, 2021 are not necessarily indicative of the results expected for the full year or any subsequent interim period. The condensed balance sheet at December 31, 2020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2020, contained in the Company’s Annual Report on Form 10-K for the year ended December 31, 2020 filed by the Company with the SEC on March 25, 2021.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On July 1, 2020, the Company effected a 1-for-3.7 reverse stock split (the “Reverse Stock Split”) of its issued and outstanding common stock. Accordingly, the conversion ratio for the Company’s outstanding convertible preferred stock was proportionately adjusted such that the common stock issuable upon conversion of such preferred stock was decreased in proportion to the Reverse Stock Split. The par value of the common stock was not adjusted as a result of the Reverse Stock Split. All references to common stock, options to purchase common stock, early exercised options, share data, per share data, convertible preferred stock (to the extent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right="20"/>
        <w:spacing w:after="0" w:line="277" w:lineRule="auto"/>
        <w:rPr>
          <w:sz w:val="20"/>
          <w:szCs w:val="20"/>
          <w:color w:val="auto"/>
        </w:rPr>
      </w:pPr>
      <w:r>
        <w:rPr>
          <w:rFonts w:ascii="Arial" w:cs="Arial" w:eastAsia="Arial" w:hAnsi="Arial"/>
          <w:sz w:val="18"/>
          <w:szCs w:val="18"/>
          <w:color w:val="auto"/>
        </w:rPr>
        <w:t>presented on an as-converted to common stock basis) and related information contained in these financial statements have been retrospectively adjusted to reflect the effect of the Reverse Stock Split for all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On March 11, 2020, the World Health Organization declared the outbreak of a novel strain of coronavirus, COVID-19, as a global pandemic, which continued to spread throughout the United States and around the world in the first quarter of 2021. Multiple variants of the virus that causes COVID-19 are also circulating globally. The COVID-19 pandemic is contributing to a general slowdown in the global economy and may affect the Company’s business, results of operations, financial condition, and future strategic plans. The extent of the impact of the COVID-19 pandemic on the Company’s operational and financial performance will depend on certain developments, including the duration and spread of the outbreak, the effectiveness of actions taken in the United States and other countries to contain, vaccinate against, and treat the disease, and its impact on the Company’s planned preclinical studies and clinical trials, employees and vendors, all of which are uncertain and cannot be predicted. At this time, the extent to which the COVID-19 pandemic may impact the Company’s financial condition or results of operations is uncertain. In response to the pandemic, the Coronavirus Aid, Relief and Economic Security Act (the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The CARES Act had no impact on the Company’s income tax provision for the year ended December 31, 2020. The Company continues to evaluate the impact of the CARES Act on its financial position, results of operations and cash flows. The Company currently does not expect to apply for loans or grants under the CARES Act.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those related to preclinical studies, fair value of assets and liabilities,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Basic net loss per share is calculated by dividing the net loss by the weighted-average number of common shares outstanding for the period, without consideration of potential dilutive securities.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convertible preferred stock prior to the conversion of such shares to common stock, unvested common stock, and outstanding stock options under the Company’s equity incentive plan,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December 2019, the Financial Accounting Standards Board (“FASB”) issued Accounting Standards Update (“ASU”) 2019-12—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Taxes (Topic 740):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which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This standard is effective for fiscal years beginning after December 15, 2020, with early adoption permitted. The Company adopted this standard in the first quarter of 2021 using the prospective method and the adoption did not have a material impact on the Company’s financial statements.</w:t>
      </w:r>
    </w:p>
    <w:p>
      <w:pPr>
        <w:spacing w:after="0" w:line="195"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There were no other significant updates to the recently issued accounting standards other than as disclosed herewith for the three months ended March 31, 2021. Although there are several other new accounting pronouncements issued or proposed by the FASB, the Company does not believe any of those accounting pronouncements have had or will have a material impact on its financial position or operating results.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summarize the computation of the basic and diluted net loss per share (in thousands except share and per share data):</w:t>
      </w:r>
    </w:p>
    <w:p>
      <w:pPr>
        <w:spacing w:after="0" w:line="242"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Three Months Ended</w:t>
      </w:r>
    </w:p>
    <w:p>
      <w:pPr>
        <w:jc w:val="center"/>
        <w:ind w:left="73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55"/>
        </w:trPr>
        <w:tc>
          <w:tcPr>
            <w:tcW w:w="5900" w:type="dxa"/>
            <w:vAlign w:val="bottom"/>
            <w:tcBorders>
              <w:bottom w:val="single" w:sz="8" w:color="CFF0FC"/>
            </w:tcBorders>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5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69"/>
        </w:trPr>
        <w:tc>
          <w:tcPr>
            <w:tcW w:w="5900" w:type="dxa"/>
            <w:vAlign w:val="bottom"/>
          </w:tcPr>
          <w:p>
            <w:pPr>
              <w:spacing w:after="0"/>
              <w:rPr>
                <w:sz w:val="20"/>
                <w:szCs w:val="20"/>
                <w:color w:val="auto"/>
              </w:rPr>
            </w:pPr>
            <w:r>
              <w:rPr>
                <w:rFonts w:ascii="Arial" w:cs="Arial" w:eastAsia="Arial" w:hAnsi="Arial"/>
                <w:sz w:val="18"/>
                <w:szCs w:val="18"/>
                <w:color w:val="auto"/>
              </w:rPr>
              <w:t>Net loss</w:t>
            </w:r>
          </w:p>
        </w:tc>
        <w:tc>
          <w:tcPr>
            <w:tcW w:w="19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(19,373)</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(8,706)</w:t>
            </w:r>
          </w:p>
        </w:tc>
      </w:tr>
      <w:tr>
        <w:trPr>
          <w:trHeight w:val="210"/>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5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Weighted average common shares outstanding</w:t>
            </w: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32,806,880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1,735,238</w:t>
            </w:r>
          </w:p>
        </w:tc>
        <w:tc>
          <w:tcPr>
            <w:tcW w:w="120" w:type="dxa"/>
            <w:vAlign w:val="bottom"/>
          </w:tcPr>
          <w:p>
            <w:pPr>
              <w:spacing w:after="0"/>
              <w:rPr>
                <w:sz w:val="19"/>
                <w:szCs w:val="19"/>
                <w:color w:val="auto"/>
              </w:rPr>
            </w:pPr>
          </w:p>
        </w:tc>
      </w:tr>
      <w:tr>
        <w:trPr>
          <w:trHeight w:val="215"/>
        </w:trPr>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weighted average unvested common stock issued</w:t>
            </w:r>
          </w:p>
        </w:tc>
        <w:tc>
          <w:tcPr>
            <w:tcW w:w="1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upon early exercise of common stock options</w:t>
            </w:r>
          </w:p>
        </w:tc>
        <w:tc>
          <w:tcPr>
            <w:tcW w:w="15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(67,270)</w:t>
            </w:r>
          </w:p>
        </w:tc>
        <w:tc>
          <w:tcPr>
            <w:tcW w:w="1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(126,054)</w:t>
            </w: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15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70"/>
        </w:trPr>
        <w:tc>
          <w:tcPr>
            <w:tcW w:w="59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basic and diluted</w:t>
            </w:r>
          </w:p>
        </w:tc>
        <w:tc>
          <w:tcPr>
            <w:tcW w:w="156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32,739,610</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1,609,184</w:t>
            </w:r>
          </w:p>
        </w:tc>
        <w:tc>
          <w:tcPr>
            <w:tcW w:w="120" w:type="dxa"/>
            <w:vAlign w:val="bottom"/>
            <w:tcBorders>
              <w:bottom w:val="single" w:sz="8" w:color="CFF0FC"/>
            </w:tcBorders>
          </w:tcPr>
          <w:p>
            <w:pPr>
              <w:spacing w:after="0"/>
              <w:rPr>
                <w:sz w:val="23"/>
                <w:szCs w:val="23"/>
                <w:color w:val="auto"/>
              </w:rPr>
            </w:pPr>
          </w:p>
        </w:tc>
      </w:tr>
      <w:tr>
        <w:trPr>
          <w:trHeight w:val="210"/>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5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 w:firstLine="510"/>
        <w:spacing w:after="0" w:line="277" w:lineRule="auto"/>
        <w:rPr>
          <w:sz w:val="20"/>
          <w:szCs w:val="20"/>
          <w:color w:val="auto"/>
        </w:rPr>
      </w:pPr>
      <w:r>
        <w:rPr>
          <w:rFonts w:ascii="Arial" w:cs="Arial" w:eastAsia="Arial" w:hAnsi="Arial"/>
          <w:sz w:val="18"/>
          <w:szCs w:val="18"/>
          <w:color w:val="auto"/>
        </w:rPr>
        <w:t>The following table summarizes the outstanding potentially dilutive securities that have been excluded in the calculation of diluted net loss per share because their inclusion would be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32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As of March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4,185,431</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2,487,763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Unvested common stock upon early exercise of common stock options</w:t>
            </w:r>
          </w:p>
        </w:tc>
        <w:tc>
          <w:tcPr>
            <w:tcW w:w="1540" w:type="dxa"/>
            <w:vAlign w:val="bottom"/>
          </w:tcPr>
          <w:p>
            <w:pPr>
              <w:jc w:val="right"/>
              <w:spacing w:after="0"/>
              <w:rPr>
                <w:sz w:val="20"/>
                <w:szCs w:val="20"/>
                <w:color w:val="auto"/>
              </w:rPr>
            </w:pPr>
            <w:r>
              <w:rPr>
                <w:rFonts w:ascii="Arial" w:cs="Arial" w:eastAsia="Arial" w:hAnsi="Arial"/>
                <w:sz w:val="18"/>
                <w:szCs w:val="18"/>
                <w:color w:val="auto"/>
              </w:rPr>
              <w:t>62,424</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117,356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2320" w:type="dxa"/>
            <w:vAlign w:val="bottom"/>
            <w:gridSpan w:val="3"/>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7,374,034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4,247,855</w:t>
            </w:r>
          </w:p>
        </w:tc>
        <w:tc>
          <w:tcPr>
            <w:tcW w:w="3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9,979,153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fair value of the Company’s financial instruments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7"/>
          </w:tcPr>
          <w:p>
            <w:pPr>
              <w:jc w:val="center"/>
              <w:ind w:right="57"/>
              <w:spacing w:after="0"/>
              <w:rPr>
                <w:sz w:val="20"/>
                <w:szCs w:val="20"/>
                <w:color w:val="auto"/>
              </w:rPr>
            </w:pPr>
            <w:r>
              <w:rPr>
                <w:rFonts w:ascii="Arial" w:cs="Arial" w:eastAsia="Arial" w:hAnsi="Arial"/>
                <w:sz w:val="14"/>
                <w:szCs w:val="14"/>
                <w:b w:val="1"/>
                <w:bCs w:val="1"/>
                <w:color w:val="auto"/>
                <w:w w:val="92"/>
              </w:rPr>
              <w:t>Fair Value Measurements Using</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in Active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00" w:type="dxa"/>
            <w:vAlign w:val="bottom"/>
            <w:gridSpan w:val="2"/>
            <w:vMerge w:val="continue"/>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equivalents:</w:t>
            </w:r>
          </w:p>
        </w:tc>
        <w:tc>
          <w:tcPr>
            <w:tcW w:w="1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61,564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61,564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Short-term investments:</w:t>
            </w:r>
          </w:p>
        </w:tc>
        <w:tc>
          <w:tcPr>
            <w:tcW w:w="16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8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55,299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55,299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1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60,462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U.S. Government securities</w:t>
            </w: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120,894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120,894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short-term investments</w:t>
            </w:r>
          </w:p>
        </w:tc>
        <w:tc>
          <w:tcPr>
            <w:tcW w:w="16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236,655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236,655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240"/>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298,219</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61,564</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236,655</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40" w:type="dxa"/>
            <w:vAlign w:val="bottom"/>
            <w:vMerge w:val="restart"/>
          </w:tcPr>
          <w:p>
            <w:pPr>
              <w:jc w:val="right"/>
              <w:ind w:right="9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7"/>
          </w:tcPr>
          <w:p>
            <w:pPr>
              <w:jc w:val="center"/>
              <w:ind w:right="37"/>
              <w:spacing w:after="0"/>
              <w:rPr>
                <w:sz w:val="20"/>
                <w:szCs w:val="20"/>
                <w:color w:val="auto"/>
              </w:rPr>
            </w:pPr>
            <w:r>
              <w:rPr>
                <w:rFonts w:ascii="Arial" w:cs="Arial" w:eastAsia="Arial" w:hAnsi="Arial"/>
                <w:sz w:val="14"/>
                <w:szCs w:val="14"/>
                <w:b w:val="1"/>
                <w:bCs w:val="1"/>
                <w:color w:val="auto"/>
                <w:w w:val="93"/>
              </w:rPr>
              <w:t>Fair Value Measurements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Quoted Prices</w:t>
            </w:r>
          </w:p>
        </w:tc>
        <w:tc>
          <w:tcPr>
            <w:tcW w:w="140" w:type="dxa"/>
            <w:vAlign w:val="bottom"/>
          </w:tcPr>
          <w:p>
            <w:pPr>
              <w:spacing w:after="0"/>
              <w:rPr>
                <w:sz w:val="11"/>
                <w:szCs w:val="11"/>
                <w:color w:val="auto"/>
              </w:rPr>
            </w:pPr>
          </w:p>
        </w:tc>
        <w:tc>
          <w:tcPr>
            <w:tcW w:w="10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 Active</w:t>
            </w:r>
          </w:p>
        </w:tc>
        <w:tc>
          <w:tcPr>
            <w:tcW w:w="14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94,631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63,445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Government securities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106,162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218,221</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218,221</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312,852</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94,631</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218,221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Short-Term Investments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Financial assets measured at fair value on a recurring basis consist of the Company’s cash equivalents and short-term investments. Cash equivalents consisted of money market funds and short-term investments consisted of commercial paper, U.S. Government securities and corporate bonds. The Company obtains pricing information from its investment manager and generally determines the fair value of investment securities using standard observable inputs, including reported trades, broker/dealer quotes, and bids and/or offers.</w:t>
      </w:r>
    </w:p>
    <w:p>
      <w:pPr>
        <w:spacing w:after="0" w:line="18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Investments are classified as Level 1 within the fair value hierarchy if their quoted prices are available in active markets for identical securities. Investments in money market funds of $61.6 million and $94.6 million as of March 31, 2021 and December 31, 2020, respectively, were classified as Level 1 instruments and were included in cash and cash equivalents.</w:t>
      </w:r>
    </w:p>
    <w:p>
      <w:pPr>
        <w:spacing w:after="0" w:line="184"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Investments in marketable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The marketable securities of $236.7 million and $218.2 million as of March 31, 2021 and December 31, 2020, respectively, were classified as Level 2 instruments and were included in short-term investments. Accrued interest receivable related to short-term investments were $0.8 million and $1.1 million as of March 31, 2021 and December 31, 2020, respectively, and included as part of prepaid expenses and other current assets in the balance sheets.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summarize the Company’s short-term investments accounted for as available-for-sale securities as of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696"/>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120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98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ind w:left="100"/>
              <w:spacing w:after="0" w:line="13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1 year or less</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55,308</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55,299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Commercial paper</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 year or less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60,462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60,462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13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6"/>
              </w:rPr>
              <w:t>1 year or less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120,851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6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60" w:type="dxa"/>
            <w:vAlign w:val="bottom"/>
          </w:tcPr>
          <w:p>
            <w:pPr>
              <w:spacing w:after="0"/>
              <w:rPr>
                <w:sz w:val="24"/>
                <w:szCs w:val="24"/>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576"/>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120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1"/>
                <w:szCs w:val="11"/>
                <w:color w:val="auto"/>
              </w:rPr>
            </w:pPr>
          </w:p>
        </w:tc>
        <w:tc>
          <w:tcPr>
            <w:tcW w:w="98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ind w:left="100"/>
              <w:spacing w:after="0" w:line="13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6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Borders>
              <w:bottom w:val="single" w:sz="8" w:color="CFF0FC"/>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FF0FC"/>
            </w:tcBorders>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 year or less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gridSpan w:val="3"/>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Commercial paper</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 year or less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securities</w:t>
            </w:r>
          </w:p>
        </w:tc>
        <w:tc>
          <w:tcPr>
            <w:tcW w:w="13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6"/>
              </w:rPr>
              <w:t>1 year or less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106,157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6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218,218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The Company has classified all of its available-for-sale investment securities as current assets on the balance sheet based on the highly liquid nature of these investment securities and because these investment securities are considered available for use in current operations.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4" w:name="page15"/>
    <w:bookmarkEnd w:id="14"/>
    <w:p>
      <w:pPr>
        <w:ind w:right="220" w:firstLine="510"/>
        <w:spacing w:after="0" w:line="255" w:lineRule="auto"/>
        <w:rPr>
          <w:sz w:val="20"/>
          <w:szCs w:val="20"/>
          <w:color w:val="auto"/>
        </w:rPr>
      </w:pPr>
      <w:r>
        <w:rPr>
          <w:rFonts w:ascii="Arial" w:cs="Arial" w:eastAsia="Arial" w:hAnsi="Arial"/>
          <w:sz w:val="18"/>
          <w:szCs w:val="18"/>
          <w:color w:val="auto"/>
        </w:rPr>
        <w:t>The Company considers whether unrealized losses have resulted from a credit loss or other factors. The unrealized losses on the Company’s available-for-sale securities as of March 31, 2021 and December 31, 2020 were caused by fluctuations in market value and interest rates as a result of the economic environment. The Company concluded that an allowance for credit losses was unnecessary as of March 31, 2021 and that there were no impairments as of December 31, 2020. It is neither management’s intention to sell nor is it more likely than not that the Company will be required to sell these investments prior to recovery of their cost basis or recovery of fair value. Unrealized gains and losses are included in accumulated other comprehensive income.</w:t>
      </w:r>
    </w:p>
    <w:p>
      <w:pPr>
        <w:spacing w:after="0" w:line="19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There was no realized gain or loss on available-for-sale securities in the periods presented. The Company uses the specific identification method to determine the cost basis of investments sold.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are comprised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78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assets</w:t>
            </w:r>
          </w:p>
        </w:tc>
        <w:tc>
          <w:tcPr>
            <w:tcW w:w="9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prepaid expenses and other current assets</w:t>
            </w:r>
          </w:p>
        </w:tc>
        <w:tc>
          <w:tcPr>
            <w:tcW w:w="9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7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80" w:type="dxa"/>
            <w:vAlign w:val="bottom"/>
          </w:tcPr>
          <w:p>
            <w:pPr>
              <w:ind w:left="520"/>
              <w:spacing w:after="0"/>
              <w:rPr>
                <w:sz w:val="20"/>
                <w:szCs w:val="20"/>
                <w:color w:val="auto"/>
              </w:rPr>
            </w:pPr>
            <w:r>
              <w:rPr>
                <w:rFonts w:ascii="Arial" w:cs="Arial" w:eastAsia="Arial" w:hAnsi="Arial"/>
                <w:sz w:val="18"/>
                <w:szCs w:val="18"/>
                <w:color w:val="auto"/>
              </w:rPr>
              <w:t>Property and equipment, net is comprised of the following (in thousands):</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6780" w:type="dxa"/>
            <w:vAlign w:val="bottom"/>
            <w:vMerge w:val="restart"/>
          </w:tcPr>
          <w:p>
            <w:pPr>
              <w:spacing w:after="0"/>
              <w:rPr>
                <w:sz w:val="20"/>
                <w:szCs w:val="20"/>
                <w:color w:val="auto"/>
              </w:rPr>
            </w:pPr>
            <w:r>
              <w:rPr>
                <w:rFonts w:ascii="Arial" w:cs="Arial" w:eastAsia="Arial" w:hAnsi="Arial"/>
                <w:sz w:val="18"/>
                <w:szCs w:val="18"/>
                <w:color w:val="auto"/>
              </w:rPr>
              <w:t>Leasehold improvements</w:t>
            </w:r>
          </w:p>
        </w:tc>
        <w:tc>
          <w:tcPr>
            <w:tcW w:w="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8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Research equipment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Computers and software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9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property and equipment, net</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were $0.3 million and $0.1 million for the three months ended March 31, 2021 and 2020,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other current liabilities are comprised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456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34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2,086</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Accrued research and development costs</w:t>
            </w:r>
          </w:p>
        </w:tc>
        <w:tc>
          <w:tcPr>
            <w:tcW w:w="3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1,878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Accrued property and equipment</w:t>
            </w:r>
          </w:p>
        </w:tc>
        <w:tc>
          <w:tcPr>
            <w:tcW w:w="3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and current liabilities</w:t>
            </w:r>
          </w:p>
        </w:tc>
        <w:tc>
          <w:tcPr>
            <w:tcW w:w="34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1,064</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and other liabilities</w:t>
            </w:r>
          </w:p>
        </w:tc>
        <w:tc>
          <w:tcPr>
            <w:tcW w:w="34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5,192</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460" w:type="dxa"/>
            <w:vAlign w:val="bottom"/>
            <w:vMerge w:val="restart"/>
          </w:tcPr>
          <w:p>
            <w:pPr>
              <w:jc w:val="right"/>
              <w:ind w:right="1979"/>
              <w:spacing w:after="0"/>
              <w:rPr>
                <w:sz w:val="20"/>
                <w:szCs w:val="20"/>
                <w:color w:val="auto"/>
              </w:rPr>
            </w:pPr>
            <w:r>
              <w:rPr>
                <w:rFonts w:ascii="Arial" w:cs="Arial" w:eastAsia="Arial" w:hAnsi="Arial"/>
                <w:sz w:val="18"/>
                <w:szCs w:val="18"/>
                <w:color w:val="auto"/>
              </w:rPr>
              <w:t>9</w:t>
            </w: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Company has operating leases for its corporate office, laboratory space and dedicated space in a vivarium in South San Francisco, California. Rent expense, which is recognized on a straight-line basis over the term of each lease, were $0.6 million and $0.4 million for the three months ended March 31, 2021 and 2020, respectively. The total cash paid for operating leases included in the operating cash flows were $0.4 million and $0.4 million for the three months ended March 31, 2021 and 2020, respectively. The weighted-average remaining lease term was 7.6 years for the corporate office and laboratory space leases as of March 31, 2021. The weighted-average discount rate was 9% as of March 31, 2021.</w:t>
      </w:r>
    </w:p>
    <w:p>
      <w:pPr>
        <w:spacing w:after="0" w:line="68"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In May 2020, the Company signed an amendment to its office and laboratory facilities lease. The amended lease provides for an eight-year non-cancelable lease of additional office and laboratory space in the same building. The lease for additional office and laboratory space provides for abatement of rent during the first three months of the lease and contains rent escalations during the term of the lease. The lease for this additional space commenced in January 2021 and expires in January 2029. The lease amendment also includes an extension of the lease term for the existing office and laboratory space beginning on May 1, 2020 and expiring in January 2029. The lease agreement includes an option to extend the lease for an additional seven-year term.</w:t>
      </w:r>
    </w:p>
    <w:p>
      <w:pPr>
        <w:spacing w:after="0" w:line="53"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January 2021, the Company signed a third amendment to its corporate office and laboratory facilities lease which provides for lease of additional space in the same building. The lease of this additional space commenced in April 2021 and expires in March 2024. The other terms of the existing lease remain unchanged.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Maturities of operating lease liabilities under existing operating leases as of March 31, 2021 were as follows (in thousands):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92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80" w:type="dxa"/>
            <w:vAlign w:val="bottom"/>
          </w:tcPr>
          <w:p>
            <w:pPr>
              <w:spacing w:after="0"/>
              <w:rPr>
                <w:sz w:val="14"/>
                <w:szCs w:val="14"/>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9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 (remaining nine months)</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2026 and thereafter</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 future minimum lease payments</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3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23"/>
        </w:trPr>
        <w:tc>
          <w:tcPr>
            <w:tcW w:w="922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Present value of net minimum lease payments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color w:val="auto"/>
              </w:rPr>
              <w:t>Operating lease liabilities:</w:t>
            </w: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Non-current</w:t>
            </w: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lease liability</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510"/>
        <w:spacing w:after="0" w:line="308" w:lineRule="auto"/>
        <w:rPr>
          <w:sz w:val="20"/>
          <w:szCs w:val="20"/>
          <w:color w:val="auto"/>
        </w:rPr>
      </w:pPr>
      <w:r>
        <w:rPr>
          <w:rFonts w:ascii="Arial" w:cs="Arial" w:eastAsia="Arial" w:hAnsi="Arial"/>
          <w:sz w:val="18"/>
          <w:szCs w:val="18"/>
          <w:color w:val="auto"/>
        </w:rPr>
        <w:t>Total minimum lease payments of $0.7 million related to the lease of additional space under the amendment were excluded from the table above as the lease agreement had not yet commenced as of March 31,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&amp;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Agreement</w:t>
      </w:r>
    </w:p>
    <w:p>
      <w:pPr>
        <w:spacing w:after="0" w:line="11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March 31, 2021 and December 31,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Company has a $0.4 million letter of credit agreement with a financial institution that is used as collateral for the Company’s corporate headquarters’ operating lease. The letter of credit automatically renews annually without amendment unless cancelled by the financial institutions within 30 days of the annual expiration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Share-Based Compensation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Company’s 2020 Performance Incentive Plan (the “2020 Plan”) which was adopted by the Company’s board of directors in June 2020 and approved by the Company’s stockholders in July 2020, became effective upon the consummation of the IPO. Upon the effectiveness of the 2020 Plan, no further grants may be made under the Company’s 2015 Equity Incentive Plan (the “2015 Plan”). The Company’s 2020 Plan allows for the grant of incentive stock options, non-qualified stock options, stock appreciation rights, stock bonuses, restricted stock, stock units and other forms of awards including cash awards to its officers, directors, employees, consultants and advisors. As of March 31, 2021, there were an aggregate of 2,061,754 shares of common stock issuable upon the exercise of outstanding options under the 2015 Plan. Any options or awards outstanding under the 2015 Plan remain outstanding and effective.</w:t>
      </w:r>
    </w:p>
    <w:p>
      <w:pPr>
        <w:spacing w:after="0" w:line="8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A total of 4,295,638 shares of the Company’s common stock is authorized for issuance with respect to awards granted under the 2020 Plan. The share limit will automatically increase on the first trading day in January of each year (commencing in 2021)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715,770 options had been granted under the 2020 Plan for the three months ended March 31, 2021, and 2,325,631 shares was available for issuance under the 2020 Plan as of March 31, 2021.</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option activity under the 2020 Plan and 2015 Plan during the three months ended March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4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44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left="319"/>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4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Number of shares</w:t>
            </w:r>
          </w:p>
        </w:tc>
        <w:tc>
          <w:tcPr>
            <w:tcW w:w="80" w:type="dxa"/>
            <w:vAlign w:val="bottom"/>
          </w:tcPr>
          <w:p>
            <w:pPr>
              <w:spacing w:after="0"/>
              <w:rPr>
                <w:sz w:val="12"/>
                <w:szCs w:val="12"/>
                <w:color w:val="auto"/>
              </w:rPr>
            </w:pPr>
          </w:p>
        </w:tc>
        <w:tc>
          <w:tcPr>
            <w:tcW w:w="920" w:type="dxa"/>
            <w:vAlign w:val="bottom"/>
          </w:tcPr>
          <w:p>
            <w:pPr>
              <w:jc w:val="center"/>
              <w:ind w:left="319"/>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8"/>
              </w:rPr>
              <w:t>term</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left="319"/>
              <w:spacing w:after="0"/>
              <w:rPr>
                <w:sz w:val="20"/>
                <w:szCs w:val="20"/>
                <w:color w:val="auto"/>
              </w:rPr>
            </w:pPr>
            <w:r>
              <w:rPr>
                <w:rFonts w:ascii="Arial" w:cs="Arial" w:eastAsia="Arial" w:hAnsi="Arial"/>
                <w:sz w:val="14"/>
                <w:szCs w:val="14"/>
                <w:b w:val="1"/>
                <w:bCs w:val="1"/>
                <w:color w:val="auto"/>
                <w:w w:val="95"/>
              </w:rPr>
              <w:t>price</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3,640,715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11.00</w:t>
            </w:r>
          </w:p>
        </w:tc>
        <w:tc>
          <w:tcPr>
            <w:tcW w:w="2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715,770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53.39</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(155,322)</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(15,732)</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18.23</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4,185,431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18.45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Exercisable at March 31, 2021</w:t>
            </w: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FF0FC"/>
            </w:tcBorders>
            <w:vMerge w:val="continue"/>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745,999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240" w:type="dxa"/>
            <w:vAlign w:val="bottom"/>
            <w:tcBorders>
              <w:bottom w:val="single" w:sz="8" w:color="CFF0FC"/>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March 31, 2021</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4,185,431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18.45</w:t>
            </w:r>
          </w:p>
        </w:tc>
        <w:tc>
          <w:tcPr>
            <w:tcW w:w="2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grant date fair value of stock option grants was $36.29 per share for the three months ended March 31,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The Company’s 2020 Employee Stock Purchase Plan (the “ESPP”), which was adopted by the Company’s board of directors in June 2020 and approved by the Company’s stockholders in July 2020, became effective upon the consummation of the IPO. A total of 622,652 shares of the Company’s common stock is initially available for issuance under the ESPP.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As of March 31, 2021, no shares had been issued under the ESPP, and the full number of shares authorized under the ESPP Plan was available for issuance purposes.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Liability for Early Exercise of Restricted Stock Options</w:t>
      </w:r>
    </w:p>
    <w:p>
      <w:pPr>
        <w:spacing w:after="0" w:line="117" w:lineRule="exact"/>
        <w:rPr>
          <w:sz w:val="20"/>
          <w:szCs w:val="20"/>
          <w:color w:val="auto"/>
        </w:rPr>
      </w:pPr>
    </w:p>
    <w:p>
      <w:pPr>
        <w:ind w:right="520" w:firstLine="510"/>
        <w:spacing w:after="0" w:line="308" w:lineRule="auto"/>
        <w:rPr>
          <w:sz w:val="20"/>
          <w:szCs w:val="20"/>
          <w:color w:val="auto"/>
        </w:rPr>
      </w:pPr>
      <w:r>
        <w:rPr>
          <w:rFonts w:ascii="Arial" w:cs="Arial" w:eastAsia="Arial" w:hAnsi="Arial"/>
          <w:sz w:val="17"/>
          <w:szCs w:val="17"/>
          <w:color w:val="auto"/>
        </w:rPr>
        <w:t>Shares subject to repurchase by the Company were 62,424 shares and 77,393 shares, with the related liability of $0.1 million and $0.1 million recorded under other long-term liabilities in the balance sheets as of March 31, 2021 and December 31, 2020,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Share-based compensation expense for the three months ended March 31, 2021 and 2020 were as follows (in thousands):</w:t>
      </w:r>
    </w:p>
    <w:p>
      <w:pPr>
        <w:spacing w:after="0" w:line="230"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Three Months Ended</w:t>
      </w:r>
    </w:p>
    <w:p>
      <w:pPr>
        <w:jc w:val="center"/>
        <w:ind w:left="75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5140" w:type="dxa"/>
            <w:vAlign w:val="bottom"/>
            <w:tcBorders>
              <w:bottom w:val="single" w:sz="8" w:color="CFF0FC"/>
            </w:tcBorders>
          </w:tcPr>
          <w:p>
            <w:pPr>
              <w:spacing w:after="0"/>
              <w:rPr>
                <w:sz w:val="13"/>
                <w:szCs w:val="13"/>
                <w:color w:val="auto"/>
              </w:rPr>
            </w:pPr>
          </w:p>
        </w:tc>
        <w:tc>
          <w:tcPr>
            <w:tcW w:w="258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5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FF0FC"/>
          </w:tcPr>
          <w:p>
            <w:pPr>
              <w:spacing w:after="0"/>
              <w:rPr>
                <w:sz w:val="19"/>
                <w:szCs w:val="19"/>
                <w:color w:val="auto"/>
              </w:rPr>
            </w:pPr>
          </w:p>
        </w:tc>
      </w:tr>
      <w:tr>
        <w:trPr>
          <w:trHeight w:val="229"/>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5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FF0FC"/>
            </w:tcBorders>
          </w:tcPr>
          <w:p>
            <w:pPr>
              <w:spacing w:after="0"/>
              <w:rPr>
                <w:sz w:val="19"/>
                <w:szCs w:val="19"/>
                <w:color w:val="auto"/>
              </w:rPr>
            </w:pPr>
          </w:p>
        </w:tc>
      </w:tr>
      <w:tr>
        <w:trPr>
          <w:trHeight w:val="223"/>
        </w:trPr>
        <w:tc>
          <w:tcPr>
            <w:tcW w:w="5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share-based compensation</w:t>
            </w:r>
          </w:p>
        </w:tc>
        <w:tc>
          <w:tcPr>
            <w:tcW w:w="25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3,347</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The total unrecognized compensation cost related to unvested share-based awards was $44.6 million, which is expected to be recognized over a weighted-average remaining service period of 3.5 years as of March 31, 2021.</w:t>
      </w:r>
    </w:p>
    <w:p>
      <w:pPr>
        <w:spacing w:after="0" w:line="170"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fair value of stock options was estimated on the date of grant using the Black-Scholes option pricing model with the following weighted-average assumptions:</w:t>
      </w:r>
    </w:p>
    <w:p>
      <w:pPr>
        <w:spacing w:after="0" w:line="175"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Three Months Ended</w:t>
      </w:r>
    </w:p>
    <w:p>
      <w:pPr>
        <w:jc w:val="center"/>
        <w:ind w:left="74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4720" w:type="dxa"/>
            <w:vAlign w:val="bottom"/>
            <w:tcBorders>
              <w:bottom w:val="single" w:sz="8" w:color="CFF0FC"/>
            </w:tcBorders>
          </w:tcPr>
          <w:p>
            <w:pPr>
              <w:spacing w:after="0"/>
              <w:rPr>
                <w:sz w:val="13"/>
                <w:szCs w:val="13"/>
                <w:color w:val="auto"/>
              </w:rPr>
            </w:pPr>
          </w:p>
        </w:tc>
        <w:tc>
          <w:tcPr>
            <w:tcW w:w="288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fair value</w:t>
            </w:r>
          </w:p>
        </w:tc>
        <w:tc>
          <w:tcPr>
            <w:tcW w:w="28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53.39</w:t>
            </w: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0.69%</w:t>
            </w:r>
          </w:p>
        </w:tc>
        <w:tc>
          <w:tcPr>
            <w:tcW w:w="3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0.51%</w:t>
            </w: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8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79.86%</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87.78%</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8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the Company had reserved the following shares of common stock for future issuance:</w:t>
      </w:r>
    </w:p>
    <w:p>
      <w:pPr>
        <w:spacing w:after="0" w:line="230"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March 31,</w:t>
      </w:r>
    </w:p>
    <w:p>
      <w:pPr>
        <w:spacing w:after="0" w:line="4"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Common stock options granted and outstanding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Reserved for future equity award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Reserved for future ESPP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6"/>
          <w:szCs w:val="16"/>
          <w:color w:val="auto"/>
        </w:rPr>
        <w:t>4,185,431</w:t>
      </w:r>
    </w:p>
    <w:p>
      <w:pPr>
        <w:spacing w:after="0" w:line="44"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2,325,631</w:t>
      </w:r>
    </w:p>
    <w:p>
      <w:pPr>
        <w:spacing w:after="0" w:line="4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622,652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14605</wp:posOffset>
            </wp:positionV>
            <wp:extent cx="11912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7,133,714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29210</wp:posOffset>
            </wp:positionV>
            <wp:extent cx="11912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46355</wp:posOffset>
            </wp:positionV>
            <wp:extent cx="11912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936" w:lineRule="exact"/>
        <w:rPr>
          <w:sz w:val="20"/>
          <w:szCs w:val="20"/>
          <w:color w:val="auto"/>
        </w:rPr>
      </w:pPr>
    </w:p>
    <w:p>
      <w:pPr>
        <w:sectPr>
          <w:pgSz w:w="11900" w:h="16838" w:orient="portrait"/>
          <w:cols w:equalWidth="0" w:num="2">
            <w:col w:w="9680" w:space="720"/>
            <w:col w:w="840"/>
          </w:cols>
          <w:pgMar w:left="320" w:top="449" w:right="339" w:bottom="1440" w:gutter="0" w:footer="0" w:header="0"/>
          <w:type w:val="continuous"/>
        </w:sectPr>
      </w:pPr>
    </w:p>
    <w:p>
      <w:pPr>
        <w:ind w:right="360" w:firstLine="510"/>
        <w:spacing w:after="0" w:line="277" w:lineRule="auto"/>
        <w:rPr>
          <w:sz w:val="20"/>
          <w:szCs w:val="20"/>
          <w:color w:val="auto"/>
        </w:rPr>
      </w:pPr>
      <w:r>
        <w:rPr>
          <w:rFonts w:ascii="Arial" w:cs="Arial" w:eastAsia="Arial" w:hAnsi="Arial"/>
          <w:sz w:val="18"/>
          <w:szCs w:val="18"/>
          <w:color w:val="auto"/>
        </w:rPr>
        <w:t>There was no provision for income taxes recorded during the three months ended March 31, 2021 and 2020. The Company’s deferred tax assets continue to be fully offset by a valuation allowance</w:t>
      </w:r>
      <w:r>
        <w:rPr>
          <w:rFonts w:ascii="Arial" w:cs="Arial" w:eastAsia="Arial" w:hAnsi="Arial"/>
          <w:sz w:val="18"/>
          <w:szCs w:val="18"/>
          <w:color w:val="212529"/>
        </w:rPr>
        <w:t>.</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43"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On May 5, 2021, the Company entered into a research collaboration agreement (the “CRISPR Agreement”) with CRISPR Therapeutics (“CRISPR”) to co-develop and co-commercialize an engineered CAR-NK product candidate targeting the CD70 tumor antigen. In addition, Nkarta will have non-exclusive rights to five CRISPR-Cas9 gene editing targets that can be engineered into an unlimited number of its own NK cell products. The companies will also bring together their complementary cell therapy engineering and manufacturing capabilities to advance the development of a novel NK plus T cell (“NK+T”) product candidate that will be the second collaboration product. CRISPR also has an option to co-develop and co-commercialize a future CAR-NK program.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8" w:name="page19"/>
    <w:bookmarkEnd w:id="18"/>
    <w:p>
      <w:pPr>
        <w:ind w:firstLine="510"/>
        <w:spacing w:after="0" w:line="255" w:lineRule="auto"/>
        <w:rPr>
          <w:sz w:val="20"/>
          <w:szCs w:val="20"/>
          <w:color w:val="auto"/>
        </w:rPr>
      </w:pPr>
      <w:r>
        <w:rPr>
          <w:rFonts w:ascii="Arial" w:cs="Arial" w:eastAsia="Arial" w:hAnsi="Arial"/>
          <w:sz w:val="18"/>
          <w:szCs w:val="18"/>
          <w:color w:val="auto"/>
        </w:rPr>
        <w:t>Under the terms of the agreement, the Company and CRISPR share equally all research and development costs and potential profits worldwide related to the collaboration products. For the NK+T program, CRISPR is responsible for gene-editing activities and T cell related activities, and Nkarta is responsible for NK cell related activities. For each non-collaboration product candidate incorporating a gene editing target licensed from CRISPR, the Company would retain worldwide rights and may be required to make potential future payments based on the achievement of development and regulatory approval milestones totaling less than mid-twenty million dollars for each non-collaboration product, as well as tiered royalties up to the mid-single digits on net product sales of such product.</w:t>
      </w: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related notes included in Item 1 of Part I of this Quarterly Report on Form 10-Q and with the audited financial statements and the related notes included in our Annual Report on Form 10-K filed with the Securities and Exchange Commission, or the SEC, on March 25, 2021 for the fiscal year ended December 31, 2020, including information with respect to our plans and strategy for our business and related financing. The discussion and analysis below includes forward-looking statements that involve risks and uncertainties, including those factors set forth in the sections titled “Risk Factors”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We are a biopharmaceutical company focused on the discovery, development and commercialization of allogeneic, off-the-shelf engineered natural killer, or NK, cell therapies to treat cancer. Our NK cell engineering platform builds on prior experience and success with engineering T cells and includes proprietary technologies that enable us to generate an abundant supply of NK cells, improve the persistence of these cells for sustained activity in the body, engineer enhanced NK cell recognition of tumor targets and to freeze, store and thaw our engineered NK cells for off-the-shelf use for the treatment of cancer. All of our product candidates are designed to be allogeneic, meaning they are produced using cells from a different person than the patient treated, as well as off-the-shelf, meaning they are produced in quantity, then frozen and therefore available for treating patients without delay, unlike existing autologous cell therapies, or cell therapies derived from a patient’s own cells. Based on recently published data and data presented at medical conferences from a number of clinical trials of certain NK cell therapies, we believe that engineered NK cells have the potential to be an effective cancer therapy, be well tolerated, and avoid some of the toxicities observed with other cell therapies. Our two co-lead product candidates are NKX101 and NKX019.</w:t>
      </w:r>
    </w:p>
    <w:p>
      <w:pPr>
        <w:spacing w:after="0" w:line="166"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Our NK cell engineering platform is designed to address the limitations and challenges of current technologies for engineering T cells and NK cells and is a result of our internal expertise and deep understanding of NK cell biology. Our platform includes proprietary technologies for NK cell expansion, persistence, targeting and cryopreservation. All of our product candidates incorporate each of the four components of our technology platform, which we believe provides the best opportunity for achieving clinically meaningful results in our development program.</w:t>
      </w:r>
    </w:p>
    <w:p>
      <w:pPr>
        <w:spacing w:after="0" w:line="171"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Our Investigational New Drug Application (“IND”) for NKX101 for the treatment of relapsed AML and higher-risk MDS was accepted by the U.S. Food and Drug Administration (the “FDA”) in July 2020. On November 12, 2020, we announced that the first patient was treated in the multi-center Phase 1 clinical trial of NKX101 for the treatment of relapsed/refractory AML or higher risk MDS. In the first quarter of 2021, the FDA approved a protocol amendment to the clinical trial of NKX101, which includes an overall shorter waiting period between enrollment of patients, an additional two-dose regimen which increases patient convenience and delivers more CAR NK cells earlier in each treatment cycle, and the earlier introduction of non haplo-related, off-the-shelf NKX101 in the ongoing dose finding cohort. This first-in-human study evaluates the safety, pharmacokinetics, and preliminary anti-tumor activity of NKX101, administered in a cycle of either three weekly infusions (Regimen A) or two weekly infusions (Regimen B) following lymphodepletion in multiple centers in the US. The clinical trial consists of parallel dose-finding in both Regimens followed by dose-expansion and is designed to identify the recommended Phase 2 dose.</w:t>
      </w:r>
    </w:p>
    <w:p>
      <w:pPr>
        <w:spacing w:after="0" w:line="196" w:lineRule="exact"/>
        <w:rPr>
          <w:sz w:val="20"/>
          <w:szCs w:val="20"/>
          <w:color w:val="auto"/>
        </w:rPr>
      </w:pPr>
    </w:p>
    <w:p>
      <w:pPr>
        <w:ind w:right="300" w:firstLine="510"/>
        <w:spacing w:after="0" w:line="279" w:lineRule="auto"/>
        <w:rPr>
          <w:sz w:val="20"/>
          <w:szCs w:val="20"/>
          <w:color w:val="auto"/>
        </w:rPr>
      </w:pPr>
      <w:r>
        <w:rPr>
          <w:rFonts w:ascii="Arial" w:cs="Arial" w:eastAsia="Arial" w:hAnsi="Arial"/>
          <w:sz w:val="17"/>
          <w:szCs w:val="17"/>
          <w:color w:val="auto"/>
        </w:rPr>
        <w:t>Our IND for NKX019 for the treatment of B-cell malignancies was accepted by the FDA in April 2021. We plan to begin dosing the first patient with NKX019 in the second half of 2021. This first-in-human study evaluates the safety, pharmacokinetics, and preliminary anti-tumor activity of NKX019, administered in a cycle of three weekly infusions following lymphodepletion in multiple centers in the US and Australia. The clinical trial consists of dose-finding followed by dose-expansion and is designed to identify the recommended Phase 2 dose.</w:t>
      </w:r>
    </w:p>
    <w:p>
      <w:pPr>
        <w:spacing w:after="0" w:line="17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disclosed in our Current Report on Form 8-K filed with the SEC on May 6, 2021, on May 5, 2021, we entered into a Research Collaboration Agreement (the “Agreement”) with CRISPR Therapeutics AG (“CRISPR”). Pursuant to the Agreement, CRISPR and the Company will establish research plans for the purpose of collaboratively designing and advancing up to two (2) allogeneic, gene-edited NK cell therapies and one (1) allogeneic, gene-edited NK+T cell therapy for use in the treatment of oncology, autoimmune disease, and infectious disease up to the filing of an application to a regulatory authority to request the ability to start a clinical trial. Additionally, CRISPR will also grant non-exclusive licenses to the Company on up to five gene-editing targets to enable the Company to independently research, develop and commercialize NK cell therapies that have been gene-edited using CRISPR’s gene-editing technology.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0" w:name="page21"/>
    <w:bookmarkEnd w:id="20"/>
    <w:p>
      <w:pPr>
        <w:ind w:right="260" w:firstLine="510"/>
        <w:spacing w:after="0" w:line="271" w:lineRule="auto"/>
        <w:rPr>
          <w:sz w:val="20"/>
          <w:szCs w:val="20"/>
          <w:color w:val="auto"/>
        </w:rPr>
      </w:pPr>
      <w:r>
        <w:rPr>
          <w:rFonts w:ascii="Arial" w:cs="Arial" w:eastAsia="Arial" w:hAnsi="Arial"/>
          <w:sz w:val="17"/>
          <w:szCs w:val="17"/>
          <w:color w:val="auto"/>
        </w:rPr>
        <w:t>Since the commencement of our operations in 2015, we have devoted substantially all of our resources in support of our product development efforts, hiring personnel, raising capital to support and expand such activities and providing general and administrative support for these operations. We have not generated any revenue from product sales and have funded our operations primarily from our initial public offering (“IPO”) completed in July 2020, the issuance of convertible promissory notes, private placements of our preferred stock and with proceeds from our previous collaboration with GlaxoSmithKline, or GSK. We incurred a net loss of $91.4 million and $21.1 million during the years ended December 31, 2020 and 2019, respectively, and $19.4 million and $8.7 million during the three months ended March 31, 2021 and 2020, respectively, and we expect to continue to incur significant losses for the foreseeable future. As of March 31, 2021, we had an accumulated deficit of $137.4 million. At March 31, 2021, we had cash, cash equivalents, restricted cash and short-term investments of $299.7 million.</w:t>
      </w:r>
    </w:p>
    <w:p>
      <w:pPr>
        <w:spacing w:after="0" w:line="178"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We expect our operating expenses to significantly increase as we continue to develop and seek regulatory approvals for our product candidates, engage in other research and development activities to expand our pipeline of product candidates, maintain and expand our intellectual property portfolio, and ultimately establish a commercial organization. We have also incurred increased operating expenses since becoming a public company, which we expect will further increase when we are no longer able to rely on certain “emerging growth company” exemptions we are afforded under the Jumpstart Our Business Startups Act (the “Jobs Act”) as further described under “—Jobs Act” below. Our net losses may fluctuate significantly from quarter-to-quarter and year-to-year, depending on the timing of our clinical trials, and our expenditures on other research and development activities.</w:t>
      </w:r>
    </w:p>
    <w:p>
      <w:pPr>
        <w:spacing w:after="0" w:line="164"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will need substantial additional funding to support our continuing operations and pursue our long-term development strategy. We may seek additional funding through the issuance of our common stock, other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We may not be able to raise additional capital on terms acceptable to us, or at all. Any failure to raise capital as and when needed would compromise our ability to execute on our business plan and may cause us to significantly delay, scale back or discontinue the development of some of our programs or curtail any efforts to expand our product pipeline.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issued shares of our Series B convertible preferred stock for aggregate gross proceeds of $64.4 million on July 1, 2020 in connection with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exercise by the holders of at least one-third of our Series B convertible preferred stock prior to the completion of the Company’s IPO (the “Series 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Milestone Closing”). On July 14, 2020, we completed our IPO. In connection with the IPO, we issued and sold 16,100,000 shares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2,100,000 shares associated with the full exercise of the underwriters’ option to purchase additional shares, at a price to the public of $18.00 per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We received approximately $265.1 million in net proceeds, after deducting underwriting discounts and commissions and other offering costs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$24.7 million. The shares began trading on the Nasdaq Global Select Market on July 10, 2020. Upon completion of the IPO, all of our outstanding shares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converted into 14,689,215 shares of our common stock.</w:t>
      </w:r>
    </w:p>
    <w:p>
      <w:pPr>
        <w:spacing w:after="0" w:line="211"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In connection with the IPO, our board of directors and stockholders approved the restated certificate of amendment to our certificate of incorporation to, among other things, effect a 1-for-3.7 reverse stock split of our issued and outstanding shares of common stock, as well as a proportional adjustment to the existing conversion ratios for our convertible preferred stock. The reverse stock split was effected on July 1, 2020. All issued and outstanding common stock and convertible preferred stock and related share and per share amounts contained in this Quarterly Report have been retroactively adjusted to reflect the reverse stock split for all periods presented.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ind w:firstLine="510"/>
        <w:spacing w:after="0" w:line="266" w:lineRule="auto"/>
        <w:rPr>
          <w:sz w:val="20"/>
          <w:szCs w:val="20"/>
          <w:color w:val="auto"/>
        </w:rPr>
      </w:pPr>
      <w:r>
        <w:rPr>
          <w:rFonts w:ascii="Arial" w:cs="Arial" w:eastAsia="Arial" w:hAnsi="Arial"/>
          <w:sz w:val="17"/>
          <w:szCs w:val="17"/>
          <w:color w:val="auto"/>
        </w:rPr>
        <w:t>The COVID-19 global pandemic continued to spread throughout the United States and around the world in the first quarter of 2021, and multiple variants of the virus that causes COVID-19 are circulating globally. The COVID-19 pandemic is contributing to a general slowdown in the global economy and may affect our business, results of operations, financial condition, and future strategic plans and those of third parties on which we rely, including by causing disruptions in the supply of our product candidates and the conduct of current and future clinical trials. In addition, the COVID-19 pandemic may affect the operations of the FDA and other health authorities, which could result in delays of reviews and approvals, including with respect to our product candidates. The extent of the impact of the COVID-19 pandemic on our operational and financial performance will depend on certain developments, including the duration and spread of the outbreak, and its impact on our planned preclinical studies and clinical trials, employees and vendors, all of which are uncertain and cannot be predicted. We have taken certain precautionary measures to minimize exposure of our employees to the virus and to comply with directives from public health officials. This includes work from home policies for our employees as well as enhanced safety measures for scientists who are in our labs and manufacturing facility. We have also encouraged vaccination of our employees. Some of the third-party vendors that we use, including some of our contract manufacturing sites, have experienced delays or other disruptions during this pandemic. The Company has incorporated remote monitoring of clinical trial sites, where feasible, for its ongoing NKX101 Phase 1 trial in the US and will utilize a similar approach for the upcoming NKX019 Phase 1 trial with sites in both US and Australia. In addition, we have experienced some internal delays due to COVID-19, including some delays in construction of our current good manufacturing practices (“cGMP”) manufacturing facility and in our internal research efforts. COVID-19 has also caused global supply shortages of certain lab materials that we and our contract development and manufacturing organization (“CDMO”) partners use for research and cGMP manufacturing. The Company will continue to monitor the impact of COVID-19 and any additional waves of the pandemic on the Company’s operations including continued enrollment in the NKX101 clinical trial and the current timeline for dosing of the first patient with NKX019, as well as on the Company’s contract research organizations (“CROs”), CDMOs, and clinical trial sites with respect to COVID-19 related shutdowns, restrictions on travel, and restrictions on hospital visits for clinical trial participants or clinical research staff. At this time, the extent to which the COVID-19 pandemic may impact our financial condition or results of operations is uncertain and these precautionary measures may negatively impact our productivity, and cause disruptions or delays to our activities and timelines. In response to the pandemic, the CARES Act was signed into law on March 27, 2020. The CARES Act, among other things, includes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We continue to evaluate the impact of the CARES Act on our financial position, results of operations and cash flows. We currently do not believe the CARES Act will have a material impact on our financial condition, results of operations, or liquidity.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Research and development costs consist primarily of costs incurred for the discovery and clinical development of our drug candidates, which include:</w:t>
      </w:r>
    </w:p>
    <w:p>
      <w:pPr>
        <w:spacing w:after="0" w:line="62" w:lineRule="exact"/>
        <w:rPr>
          <w:sz w:val="20"/>
          <w:szCs w:val="20"/>
          <w:color w:val="auto"/>
        </w:rPr>
      </w:pPr>
    </w:p>
    <w:p>
      <w:pPr>
        <w:ind w:left="1000" w:right="4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share-based compensation expenses for employees engaged in research and development functions;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in connection with research, laboratory consumables, sponsored research, and preclinical studies;</w:t>
      </w:r>
    </w:p>
    <w:p>
      <w:pPr>
        <w:spacing w:after="0" w:line="144" w:lineRule="exact"/>
        <w:rPr>
          <w:rFonts w:ascii="Arial" w:cs="Arial" w:eastAsia="Arial" w:hAnsi="Arial"/>
          <w:sz w:val="18"/>
          <w:szCs w:val="18"/>
          <w:color w:val="auto"/>
        </w:rPr>
      </w:pPr>
    </w:p>
    <w:p>
      <w:pPr>
        <w:ind w:left="1000" w:right="240" w:hanging="493"/>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in connection with conducting clinical trials including investigator grants and site payments for time and pass-through expenses and expenses incurred under agreements with contract research organizations, or CROs, other vendors or central laboratories and service providers engaged to conduct our trials;</w:t>
      </w:r>
    </w:p>
    <w:p>
      <w:pPr>
        <w:spacing w:after="0" w:line="7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consultants engaged in research and development related services and the cost to manufacture drug products for use in our preclinical studies and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allocated expenses for rent and maintenance of facilities, insurance and supplies;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related to regulatory compliance;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annual license fees.</w:t>
      </w:r>
    </w:p>
    <w:p>
      <w:pPr>
        <w:spacing w:after="0" w:line="144"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typically have various early stage research and drug discovery projects as well as various product candidates undergoing clinical trials. Our internal resources, employees and infrastructure are not directly tied to any one research or drug discovery project and are typically deployed across multiple projects. As such, we do not maintain information regarding these costs incurred for these early stage research and drug discovery programs on a project-specific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jc w:val="both"/>
        <w:ind w:firstLine="510"/>
        <w:spacing w:after="0" w:line="263" w:lineRule="auto"/>
        <w:rPr>
          <w:sz w:val="20"/>
          <w:szCs w:val="20"/>
          <w:color w:val="auto"/>
        </w:rPr>
      </w:pPr>
      <w:r>
        <w:rPr>
          <w:rFonts w:ascii="Arial" w:cs="Arial" w:eastAsia="Arial" w:hAnsi="Arial"/>
          <w:sz w:val="18"/>
          <w:szCs w:val="18"/>
          <w:color w:val="auto"/>
        </w:rPr>
        <w:t>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76"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following table summarizes our research and development expenses for the three months ended March 31, 2021 and 2020.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w:t>
      </w:r>
    </w:p>
    <w:p>
      <w:pPr>
        <w:spacing w:after="0" w:line="193" w:lineRule="exact"/>
        <w:rPr>
          <w:sz w:val="20"/>
          <w:szCs w:val="20"/>
          <w:color w:val="auto"/>
        </w:rPr>
      </w:pPr>
    </w:p>
    <w:p>
      <w:pPr>
        <w:jc w:val="center"/>
        <w:ind w:left="7280"/>
        <w:spacing w:after="0"/>
        <w:rPr>
          <w:sz w:val="20"/>
          <w:szCs w:val="20"/>
          <w:color w:val="auto"/>
        </w:rPr>
      </w:pPr>
      <w:r>
        <w:rPr>
          <w:rFonts w:ascii="Arial" w:cs="Arial" w:eastAsia="Arial" w:hAnsi="Arial"/>
          <w:sz w:val="14"/>
          <w:szCs w:val="14"/>
          <w:b w:val="1"/>
          <w:bCs w:val="1"/>
          <w:color w:val="auto"/>
        </w:rPr>
        <w:t>Three Months Ended</w:t>
      </w:r>
    </w:p>
    <w:p>
      <w:pPr>
        <w:jc w:val="center"/>
        <w:ind w:left="72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2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gridSpan w:val="4"/>
          </w:tcPr>
          <w:p>
            <w:pPr>
              <w:jc w:val="right"/>
              <w:ind w:right="127"/>
              <w:spacing w:after="0" w:line="155" w:lineRule="exact"/>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Direct external development program expenses:</w:t>
            </w:r>
          </w:p>
        </w:tc>
        <w:tc>
          <w:tcPr>
            <w:tcW w:w="1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NKX101</w:t>
            </w:r>
          </w:p>
        </w:tc>
        <w:tc>
          <w:tcPr>
            <w:tcW w:w="2660" w:type="dxa"/>
            <w:vAlign w:val="bottom"/>
            <w:gridSpan w:val="2"/>
          </w:tcPr>
          <w:p>
            <w:pPr>
              <w:jc w:val="right"/>
              <w:ind w:right="9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9"/>
                <w:szCs w:val="19"/>
                <w:color w:val="auto"/>
              </w:rPr>
            </w:pPr>
          </w:p>
        </w:tc>
        <w:tc>
          <w:tcPr>
            <w:tcW w:w="500" w:type="dxa"/>
            <w:vAlign w:val="bottom"/>
            <w:gridSpan w:val="2"/>
          </w:tcPr>
          <w:p>
            <w:pPr>
              <w:jc w:val="right"/>
              <w:ind w:right="327"/>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NKX019</w:t>
            </w:r>
          </w:p>
        </w:tc>
        <w:tc>
          <w:tcPr>
            <w:tcW w:w="1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Program 3</w:t>
            </w: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Unallocated internal research and development costs:</w:t>
            </w:r>
          </w:p>
        </w:tc>
        <w:tc>
          <w:tcPr>
            <w:tcW w:w="16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Personnel related (including share-based compensation)</w:t>
            </w:r>
          </w:p>
        </w:tc>
        <w:tc>
          <w:tcPr>
            <w:tcW w:w="1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3,166</w:t>
            </w:r>
          </w:p>
        </w:tc>
        <w:tc>
          <w:tcPr>
            <w:tcW w:w="1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Others</w:t>
            </w:r>
          </w:p>
        </w:tc>
        <w:tc>
          <w:tcPr>
            <w:tcW w:w="160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80"/>
              <w:spacing w:after="0"/>
              <w:rPr>
                <w:sz w:val="20"/>
                <w:szCs w:val="20"/>
                <w:color w:val="auto"/>
              </w:rPr>
            </w:pPr>
            <w:r>
              <w:rPr>
                <w:rFonts w:ascii="Arial" w:cs="Arial" w:eastAsia="Arial" w:hAnsi="Arial"/>
                <w:sz w:val="18"/>
                <w:szCs w:val="18"/>
                <w:color w:val="auto"/>
              </w:rPr>
              <w:t>Total research and development costs</w:t>
            </w:r>
          </w:p>
        </w:tc>
        <w:tc>
          <w:tcPr>
            <w:tcW w:w="1600" w:type="dxa"/>
            <w:vAlign w:val="bottom"/>
          </w:tcPr>
          <w:p>
            <w:pPr>
              <w:spacing w:after="0"/>
              <w:rPr>
                <w:sz w:val="19"/>
                <w:szCs w:val="19"/>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near term and in the future.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successful development of our drug candidates is highly uncertain. This is due to numerous risks and uncertainties, including the following:</w:t>
      </w:r>
    </w:p>
    <w:p>
      <w:pPr>
        <w:spacing w:after="0" w:line="140"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44"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regulators or institutional review boards authorizing us or our investigators to commence our clinical trials or in our ability to negotiate agreements with clinical trial sites or contract research organizations;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enrolled participants and clinical sites included in the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our drug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drug candidates;</w:t>
      </w:r>
    </w:p>
    <w:p>
      <w:pPr>
        <w:spacing w:after="0" w:line="167" w:lineRule="exact"/>
        <w:rPr>
          <w:rFonts w:ascii="Arial" w:cs="Arial" w:eastAsia="Arial" w:hAnsi="Arial"/>
          <w:sz w:val="16"/>
          <w:szCs w:val="16"/>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and maintaining manufacturing capabilities, for clinical and commercial supplies of our drug candidates;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control and improve the manufacturing processes and meet the regulatory requirements for supply of our drug candidates;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clinical trials;</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business interruptions, including delays at our contract manufacturers or other vendors, resulting from the COVID-19 global pandemic.</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jc w:val="both"/>
        <w:ind w:right="300" w:firstLine="510"/>
        <w:spacing w:after="0" w:line="342" w:lineRule="auto"/>
        <w:rPr>
          <w:sz w:val="20"/>
          <w:szCs w:val="20"/>
          <w:color w:val="auto"/>
        </w:rPr>
      </w:pPr>
      <w:r>
        <w:rPr>
          <w:rFonts w:ascii="Arial" w:cs="Arial" w:eastAsia="Arial" w:hAnsi="Arial"/>
          <w:sz w:val="16"/>
          <w:szCs w:val="16"/>
          <w:color w:val="auto"/>
        </w:rPr>
        <w:t>A change in the outcome of any of these variables with respect to the development of our drug candidates may significantly impact the costs and timing associated with the development of our drug candidates. We may never succeed in obtaining regulatory approval for any of our drug candidates.</w:t>
      </w:r>
    </w:p>
    <w:p>
      <w:pPr>
        <w:spacing w:after="0" w:line="23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p>
    <w:p>
      <w:pPr>
        <w:spacing w:after="0" w:line="7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expect our general and administrative expenses will increase for the foreseeable future to support our increased research and development activities and to reflect increased costs associated with operating as a public company. These increased costs will likely include increased expenses related to audit, legal, regulatory and tax-related services associated with maintaining compliance with exchange listing and SEC requirements, director and officer insurance premiums and investor relations costs.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Change in Fair Value of Preferred Stock Purchase Right Liability</w:t>
      </w:r>
    </w:p>
    <w:p>
      <w:pPr>
        <w:spacing w:after="0" w:line="117"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In August 2019, we entered into a Series B Preferred Stock Purchase Agreement that contained future purchase rights that were required to be accounted for as liabilities and remeasured to fair value at each reporting date, with any change in the fair value reported as a component of other expense, net. We recorded adjustments to the estimated fair value of the preferred stock purchase rights until they were exercised in July 2020. At that time, the convertible preferred stock purchase right liability was reclassified to additional paid-in capital and we will no longer record any related periodic fair value adjustments.</w:t>
      </w:r>
    </w:p>
    <w:p>
      <w:pPr>
        <w:spacing w:after="0" w:line="29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Interest income consists of interest earned on our cash, cash equivalents and short-term investments and adjustments related to amortization of purchase premiums and accretion of discounts of short-term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66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right"/>
              <w:ind w:right="67"/>
              <w:spacing w:after="0" w:line="155" w:lineRule="exact"/>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7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3"/>
                <w:szCs w:val="13"/>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19"/>
                <w:szCs w:val="19"/>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5,942</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3,794</w:t>
            </w:r>
          </w:p>
        </w:tc>
        <w:tc>
          <w:tcPr>
            <w:tcW w:w="100" w:type="dxa"/>
            <w:vAlign w:val="bottom"/>
            <w:shd w:val="clear" w:color="auto" w:fill="CFF0FC"/>
          </w:tcPr>
          <w:p>
            <w:pPr>
              <w:spacing w:after="0"/>
              <w:rPr>
                <w:sz w:val="19"/>
                <w:szCs w:val="19"/>
                <w:color w:val="auto"/>
              </w:rPr>
            </w:pPr>
          </w:p>
        </w:tc>
      </w:tr>
      <w:tr>
        <w:trPr>
          <w:trHeight w:val="223"/>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19,481</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9,408</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tcBorders>
              <w:bottom w:val="single" w:sz="8" w:color="CFF0FC"/>
            </w:tcBorders>
          </w:tcPr>
          <w:p>
            <w:pPr>
              <w:spacing w:after="0"/>
              <w:rPr>
                <w:sz w:val="19"/>
                <w:szCs w:val="19"/>
                <w:color w:val="auto"/>
              </w:rPr>
            </w:pPr>
          </w:p>
        </w:tc>
      </w:tr>
      <w:tr>
        <w:trPr>
          <w:trHeight w:val="223"/>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w:t>
            </w:r>
          </w:p>
        </w:tc>
        <w:tc>
          <w:tcPr>
            <w:tcW w:w="1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 purchase</w:t>
            </w:r>
          </w:p>
        </w:tc>
        <w:tc>
          <w:tcPr>
            <w:tcW w:w="1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right liability</w:t>
            </w:r>
          </w:p>
        </w:tc>
        <w:tc>
          <w:tcPr>
            <w:tcW w:w="12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(578)</w:t>
            </w: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net</w:t>
            </w:r>
          </w:p>
        </w:tc>
        <w:tc>
          <w:tcPr>
            <w:tcW w:w="1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09"/>
        </w:trPr>
        <w:tc>
          <w:tcPr>
            <w:tcW w:w="4660" w:type="dxa"/>
            <w:vAlign w:val="bottom"/>
          </w:tcPr>
          <w:p>
            <w:pPr>
              <w:spacing w:after="0"/>
              <w:rPr>
                <w:sz w:val="20"/>
                <w:szCs w:val="20"/>
                <w:color w:val="auto"/>
              </w:rPr>
            </w:pPr>
            <w:r>
              <w:rPr>
                <w:rFonts w:ascii="Arial" w:cs="Arial" w:eastAsia="Arial" w:hAnsi="Arial"/>
                <w:sz w:val="18"/>
                <w:szCs w:val="18"/>
                <w:color w:val="auto"/>
              </w:rPr>
              <w:t>Total other income</w:t>
            </w:r>
          </w:p>
        </w:tc>
        <w:tc>
          <w:tcPr>
            <w:tcW w:w="1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(594)</w:t>
            </w: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tcBorders>
              <w:top w:val="single" w:sz="8" w:color="auto"/>
              <w:bottom w:val="single" w:sz="8" w:color="auto"/>
            </w:tcBorders>
            <w:shd w:val="clear" w:color="auto" w:fill="CFF0FC"/>
          </w:tcPr>
          <w:p>
            <w:pPr>
              <w:jc w:val="right"/>
              <w:ind w:right="10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21" w:lineRule="exact"/>
        <w:rPr>
          <w:sz w:val="20"/>
          <w:szCs w:val="20"/>
          <w:color w:val="auto"/>
        </w:rPr>
      </w:pPr>
    </w:p>
    <w:p>
      <w:pPr>
        <w:ind w:right="100" w:firstLine="510"/>
        <w:spacing w:after="0" w:line="261" w:lineRule="auto"/>
        <w:rPr>
          <w:sz w:val="20"/>
          <w:szCs w:val="20"/>
          <w:color w:val="auto"/>
        </w:rPr>
      </w:pPr>
      <w:r>
        <w:rPr>
          <w:rFonts w:ascii="Arial" w:cs="Arial" w:eastAsia="Arial" w:hAnsi="Arial"/>
          <w:sz w:val="18"/>
          <w:szCs w:val="18"/>
          <w:b w:val="1"/>
          <w:bCs w:val="1"/>
          <w:color w:val="auto"/>
        </w:rPr>
        <w:t>Research and development expenses</w:t>
      </w:r>
      <w:r>
        <w:rPr>
          <w:rFonts w:ascii="Arial" w:cs="Arial" w:eastAsia="Arial" w:hAnsi="Arial"/>
          <w:sz w:val="18"/>
          <w:szCs w:val="18"/>
          <w:color w:val="auto"/>
        </w:rPr>
        <w:t>. Research and development expenses were $13.5 million and $7.3 million for the three months ended March</w:t>
      </w:r>
      <w:r>
        <w:rPr>
          <w:rFonts w:ascii="Arial" w:cs="Arial" w:eastAsia="Arial" w:hAnsi="Arial"/>
          <w:sz w:val="18"/>
          <w:szCs w:val="18"/>
          <w:b w:val="1"/>
          <w:bCs w:val="1"/>
          <w:color w:val="auto"/>
        </w:rPr>
        <w:t xml:space="preserve"> </w:t>
      </w:r>
      <w:r>
        <w:rPr>
          <w:rFonts w:ascii="Arial" w:cs="Arial" w:eastAsia="Arial" w:hAnsi="Arial"/>
          <w:sz w:val="18"/>
          <w:szCs w:val="18"/>
          <w:color w:val="auto"/>
        </w:rPr>
        <w:t>31, 2021 and 2020, respectively. The increase of $6.2 million was primarily due to an increase in personnel costs of $3.7 million, including an increase in share-based compensation expense of $1.4 million as a result of continued growth in headcount, and increases of $1.2 million in program costs primarily relating to NKX019 and $1.3 million in other internal research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200"/>
        <w:spacing w:after="0" w:line="277" w:lineRule="auto"/>
        <w:rPr>
          <w:sz w:val="20"/>
          <w:szCs w:val="20"/>
          <w:color w:val="auto"/>
        </w:rPr>
      </w:pPr>
      <w:r>
        <w:rPr>
          <w:rFonts w:ascii="Arial" w:cs="Arial" w:eastAsia="Arial" w:hAnsi="Arial"/>
          <w:sz w:val="18"/>
          <w:szCs w:val="18"/>
          <w:color w:val="auto"/>
        </w:rPr>
        <w:t>costs, primarily consisting of research and laboratory supplies and facilities expenses. We expect our research and development expenses will increase in future periods as we progress our product candidates and conduct our clinical trials and development activities.</w:t>
      </w:r>
    </w:p>
    <w:p>
      <w:pPr>
        <w:spacing w:after="0" w:line="166"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b w:val="1"/>
          <w:bCs w:val="1"/>
          <w:color w:val="auto"/>
        </w:rPr>
        <w:t>General and administrative expenses</w:t>
      </w:r>
      <w:r>
        <w:rPr>
          <w:rFonts w:ascii="Arial" w:cs="Arial" w:eastAsia="Arial" w:hAnsi="Arial"/>
          <w:sz w:val="16"/>
          <w:szCs w:val="16"/>
          <w:color w:val="auto"/>
        </w:rPr>
        <w:t>. General and administrative expenses were $5.9 million and $2.1 million for the three months ended March</w:t>
      </w:r>
      <w:r>
        <w:rPr>
          <w:rFonts w:ascii="Arial" w:cs="Arial" w:eastAsia="Arial" w:hAnsi="Arial"/>
          <w:sz w:val="16"/>
          <w:szCs w:val="16"/>
          <w:b w:val="1"/>
          <w:bCs w:val="1"/>
          <w:color w:val="auto"/>
        </w:rPr>
        <w:t xml:space="preserve"> </w:t>
      </w:r>
      <w:r>
        <w:rPr>
          <w:rFonts w:ascii="Arial" w:cs="Arial" w:eastAsia="Arial" w:hAnsi="Arial"/>
          <w:sz w:val="16"/>
          <w:szCs w:val="16"/>
          <w:color w:val="auto"/>
        </w:rPr>
        <w:t>31, 2021 and 2020, respectively. The increase of $3.8 million was primarily due to an increase in personnel costs of $2.0 million, including an increase of $1.5 million in share-based compensation expense as a result of continued growth in headcount, $0.9 million increase in professional services related to accounting services, corporate legal fees, other consulting and patent legal fees, and a $0.9 million increase in other general and administrative expenses that included insurance, rent, depreciation expense and other facilities expense. We expect to incur additional expenses as a result of being a public company following the completion of our IPO in July 2020, which we expect will further increase when we no longer qualify as an “emerging growth company” under the JOBS Act. In addition, we have incurred and expect to continue to incur increased expenses related to additional insurance, investor relations and other increases related to needs for additional human resources and professional services associated with being a public company.</w:t>
      </w:r>
    </w:p>
    <w:p>
      <w:pPr>
        <w:spacing w:after="0" w:line="159"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b w:val="1"/>
          <w:bCs w:val="1"/>
          <w:color w:val="auto"/>
        </w:rPr>
        <w:t>Change in fair value of preferred stock purchase right liability</w:t>
      </w:r>
      <w:r>
        <w:rPr>
          <w:rFonts w:ascii="Arial" w:cs="Arial" w:eastAsia="Arial" w:hAnsi="Arial"/>
          <w:sz w:val="17"/>
          <w:szCs w:val="17"/>
          <w:color w:val="auto"/>
        </w:rPr>
        <w:t>. We recognized a remeasurement adjustment for the change in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preferred stock purchase right liability of $0.6 million in other income for the three months ended March 31, 2020. This was related to the Series B Preferred Stock Purchase Agreement that we entered into in August 2019, which contained future purchase rights that were required to be accounted for as liabilities and remeasured to fair value at each reporting date, with any change in the fair value reported as a component of other expense, net. Upon the completion of the Series B Milestone Closing in July 2020, which resulted to the issuance of 27,066,206 shares of our Series B convertible preferred stock for an aggregate gross proceeds of $64.4 million, the final remeasurement adjustment of the preferred stock purchase right liability was recorded and reclassified to additional paid-in capital on the balance sheet upon the exercise of the preferred stock purchase right.</w:t>
      </w:r>
    </w:p>
    <w:p>
      <w:pPr>
        <w:spacing w:after="0" w:line="172" w:lineRule="exact"/>
        <w:rPr>
          <w:sz w:val="20"/>
          <w:szCs w:val="20"/>
          <w:color w:val="auto"/>
        </w:rPr>
      </w:pPr>
    </w:p>
    <w:p>
      <w:pPr>
        <w:ind w:firstLine="510"/>
        <w:spacing w:after="0" w:line="266"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 Interest income was $0.1 million and $0.1 million for the three months ended March 31, 2021 and 2020, respectively. The slight</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in interest income was due to interest earned from short-term investments, offset by amortization of purchase premiums and accretion of discounts of short-term investments.</w:t>
      </w:r>
    </w:p>
    <w:p>
      <w:pPr>
        <w:spacing w:after="0" w:line="284" w:lineRule="exact"/>
        <w:rPr>
          <w:sz w:val="20"/>
          <w:szCs w:val="20"/>
          <w:color w:val="auto"/>
        </w:rPr>
      </w:pPr>
    </w:p>
    <w:p>
      <w:pPr>
        <w:jc w:val="center"/>
        <w:ind w:right="8720"/>
        <w:spacing w:after="0"/>
        <w:rPr>
          <w:sz w:val="20"/>
          <w:szCs w:val="20"/>
          <w:color w:val="auto"/>
        </w:rPr>
      </w:pPr>
      <w:r>
        <w:rPr>
          <w:rFonts w:ascii="Arial" w:cs="Arial" w:eastAsia="Arial" w:hAnsi="Arial"/>
          <w:sz w:val="16"/>
          <w:szCs w:val="16"/>
          <w:b w:val="1"/>
          <w:bCs w:val="1"/>
          <w:color w:val="auto"/>
        </w:rPr>
        <w:t>Liquidity and Capital Resources</w:t>
      </w:r>
    </w:p>
    <w:p>
      <w:pPr>
        <w:spacing w:after="0" w:line="144" w:lineRule="exact"/>
        <w:rPr>
          <w:sz w:val="20"/>
          <w:szCs w:val="20"/>
          <w:color w:val="auto"/>
        </w:rPr>
      </w:pPr>
    </w:p>
    <w:p>
      <w:pPr>
        <w:jc w:val="center"/>
        <w:ind w:right="87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As of March 31, 2021, we had cash, cash equivalents, restricted cash and short-term investments of $299.7 million. In connection with our IPO which closed on July 14, 2020, we received $265.1 million in net proceeds, after deducting underwriting discounts and commissions and other offering expenses. We issued and sold 16,100,000 shares of our common stock, including 2,100,000 shares associated with the full exercise of the underwriters’ option to purchase additional shares, at a price to the public of $18.00 per share. On July 1, 2020, we issued 27,066,206 shares of our Series B convertible preferred stock at a price of $2.37935 per share for gross proceeds of $64.4 million in connection with the Series B Milestone Closing.</w:t>
      </w:r>
    </w:p>
    <w:p>
      <w:pPr>
        <w:spacing w:after="0" w:line="16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Prior to our IPO, we funded our operations primarily through the issuance of convertible promissory notes and private placements of our convertible preferred stock with a total gross proceeds of $126.0 million, and from our previous collaboration agreement with GSK which terminated in December 2018 of $7.9 million.</w:t>
      </w:r>
    </w:p>
    <w:p>
      <w:pPr>
        <w:spacing w:after="0" w:line="76"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We have incurred net losses and negative cash flows from operations since our inception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Furthermore, we expect to incur additional costs associated with operating as a public company, including significant legal, accounting, investor relations and other expenses that we did not incur as a private company.</w:t>
      </w:r>
    </w:p>
    <w:p>
      <w:pPr>
        <w:spacing w:after="0" w:line="178"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will need substantial additional funding to support our continuing operations and pursue our development strategy. Until such time as we can generate significant revenue from sales of our drug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ind w:right="20" w:firstLine="510"/>
        <w:spacing w:after="0" w:line="277" w:lineRule="auto"/>
        <w:rPr>
          <w:sz w:val="20"/>
          <w:szCs w:val="20"/>
          <w:color w:val="auto"/>
        </w:rPr>
      </w:pPr>
      <w:r>
        <w:rPr>
          <w:rFonts w:ascii="Arial" w:cs="Arial" w:eastAsia="Arial" w:hAnsi="Arial"/>
          <w:sz w:val="18"/>
          <w:szCs w:val="18"/>
          <w:color w:val="auto"/>
        </w:rPr>
        <w:t>We believe that our cash and investment balances as of March 31, 2021 will be sufficient to meet our cash needs for at least 12 months following the issuance date of this Quarterly Report on Form 10-Q.</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5700" w:type="dxa"/>
            <w:vAlign w:val="bottom"/>
            <w:tcBorders>
              <w:bottom w:val="single" w:sz="8" w:color="CFF0FC"/>
            </w:tcBorders>
          </w:tcPr>
          <w:p>
            <w:pPr>
              <w:spacing w:after="0"/>
              <w:rPr>
                <w:sz w:val="13"/>
                <w:szCs w:val="13"/>
                <w:color w:val="auto"/>
              </w:rPr>
            </w:pPr>
          </w:p>
        </w:tc>
        <w:tc>
          <w:tcPr>
            <w:tcW w:w="204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0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(14,647)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(8,287)</w:t>
            </w:r>
          </w:p>
        </w:tc>
        <w:tc>
          <w:tcPr>
            <w:tcW w:w="12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(20,194)</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4,897</w:t>
            </w:r>
          </w:p>
        </w:tc>
        <w:tc>
          <w:tcPr>
            <w:tcW w:w="120" w:type="dxa"/>
            <w:vAlign w:val="bottom"/>
          </w:tcPr>
          <w:p>
            <w:pPr>
              <w:spacing w:after="0"/>
              <w:rPr>
                <w:sz w:val="19"/>
                <w:szCs w:val="19"/>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0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(709)</w:t>
            </w:r>
          </w:p>
        </w:tc>
      </w:tr>
      <w:tr>
        <w:trPr>
          <w:trHeight w:val="223"/>
        </w:trPr>
        <w:tc>
          <w:tcPr>
            <w:tcW w:w="5700" w:type="dxa"/>
            <w:vAlign w:val="bottom"/>
          </w:tcPr>
          <w:p>
            <w:pPr>
              <w:ind w:left="260"/>
              <w:spacing w:after="0"/>
              <w:rPr>
                <w:sz w:val="20"/>
                <w:szCs w:val="20"/>
                <w:color w:val="auto"/>
              </w:rPr>
            </w:pPr>
            <w:r>
              <w:rPr>
                <w:rFonts w:ascii="Arial" w:cs="Arial" w:eastAsia="Arial" w:hAnsi="Arial"/>
                <w:sz w:val="18"/>
                <w:szCs w:val="18"/>
                <w:color w:val="auto"/>
              </w:rPr>
              <w:t>Net decrease in cash and cash equivalents</w:t>
            </w:r>
          </w:p>
        </w:tc>
        <w:tc>
          <w:tcPr>
            <w:tcW w:w="20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(34,084)</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12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7"/>
          <w:szCs w:val="17"/>
          <w:color w:val="auto"/>
        </w:rPr>
        <w:t>Net cash used in operating activities was $14.6 million and $8.3 million for the three months ended March 31, 2021 and 2020, respectively. The net cash used in operating activities for the three months ended March 31, 2021 was primarily due to our net loss of $19.4 million, adjusted for $4.5 million of net non-cash charges consisting primarily of share-based compensation of $3.3 million, depreciation and amortization of $0.3 million, investment accretion and amortization of $0.8 million, and a $0.2 million net change in operating assets and liabilities. The net cash used in operating activities for the three months ended March 31, 2020 was primarily due to our net loss of $8.7 million, adjusted for $0.2 million of net non-cash charges for share-based compensation of $0.5 million, depreciation and amortization of $0.1 million, change in fair value of our preferred stock purchase right liability of $0.6 million, and a $0.3 million net change in operating assets and liabilities.</w:t>
      </w:r>
    </w:p>
    <w:p>
      <w:pPr>
        <w:spacing w:after="0" w:line="28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Net cash used in investing activities was $20.2 million and net cash provided by investing activities was $4.9 million for the three months ended March 31, 2021 and 2020, respectively. The net cash used in investing activities for the three months ended March 31, 2021 was primarily due to purchases of short-term investments of $35.2 million offset by proceeds from maturities of short-term investments of $16.0 million and purchases of property and equipment of $1.0 million primarily related to the construction of our manufacturing facility. The net cash provided by investing activities for the three months ended March 31, 2020 was primarily due to proceeds from maturities of short-term investments of $10.8 million partially offset by purchases of property and equipment of $2.3 million and purchases of short-term investments of $3.6 million.</w:t>
      </w:r>
    </w:p>
    <w:p>
      <w:pPr>
        <w:spacing w:after="0" w:line="28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Net cash provided by financing activities was $0.8 million for the three months ended March 31, 2021, primarily due to proceeds from the exercise of stock options. Net cash used in financing activities was $0.7 million for the three months ended March 31, 2020, primarily due to payments of deferred public offering costs.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Based upon our current operating plans, we believe that our existing cash, cash equivalents, restricted cash and short-term investments will be sufficient to fund our operations for at least the next 12 months from the date of this filing.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right="20" w:hanging="493"/>
        <w:spacing w:after="0" w:line="308"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type, number, scope, progress, expansions, results, costs and timing of, our clinical trials and preclinical studies for our product candidates or other potential product candidates or indications which we are pursuing or may choose to pursue in the future;</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timing and costs of regulatory review of our product candidates;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left="10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manufacturing for our product candidates, including commercial manufacturing and the costs associated with building our manufacturing facility;</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to satisfy our obligations as a public company, including enhanced internal controls over financial reporting;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hiring additional personnel and consultants as our preclinical and clinical activities increase;</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establishing or securing sales and marketing capabilities if any product candidate is approved;</w:t>
      </w:r>
    </w:p>
    <w:p>
      <w:pPr>
        <w:spacing w:after="0" w:line="144"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any approved products;</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patients’ willingness or ability to pay out-of-pocket for any approved products in the absence of coverage and/or adequate reimbursement from third-party payors;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timing of establishing and maintaining collaborations, licenses and other similar arrangements, including payments required for meeting regulatory and commercial milestones or sales based royalties;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obtaining, maintaining and enforcing our patent and other intellectual property rights;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any product candidates, products or technologies that we may in-license or acquire.</w:t>
      </w:r>
    </w:p>
    <w:p>
      <w:pPr>
        <w:spacing w:after="0" w:line="25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Until such time as we can generate significant revenue from sales of our therapeutic product candidates, if ever, we expect to finance our cash needs through public or private equity or debt financings or other capital sources, including potential collaborations, licenses and other similar arrangements.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May 2018, we entered into a lease agreement for our corporate office and laboratory space located in South San Francisco, California with an expiration date in May 2025. In April 2019, we executed the first amendment to the lease agreement for additional corporate space, laboratory space and manufacturing capabilities and an extension to the lease term through April 2026. The terms of the lease contain a rent abatement for the first month and rent escalation provisions. In addition to the base rent payments, we will be obligated to pay certain customary amounts for our share of operating expenses and tax obligations related to the facilities.</w:t>
      </w:r>
    </w:p>
    <w:p>
      <w:pPr>
        <w:spacing w:after="0" w:line="8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In May 2020, we executed the second amendment to the lease agreement for an eight-year non-cancelable lease for additional office and laboratory space in the same building. The lease for the additional space provided for abatement of rent during the first three months of the lease and contained rent escalations during the term of the lease. The lease for this additional space commenced in January 2021 and expires in January 2029. The lease also includes an extension of the lease term of our existing office and laboratory space beginning May 1, 2020 and expiring in January 2029, with an option to extend the lease for an additional seven-year term.</w:t>
      </w:r>
    </w:p>
    <w:p>
      <w:pPr>
        <w:spacing w:after="0" w:line="8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In January 2021, we executed the third amendment to the lease agreement for a three-year non-cancelable lease for additional office space in the same building. The lease for this additional space is expected to commence in the second quarter of 2021 and expires in March 2024. The other terms of the existing lease remain unchanged.</w:t>
      </w:r>
    </w:p>
    <w:p>
      <w:pPr>
        <w:spacing w:after="0" w:line="76"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See Note 6 to our financial statements included elsewhere in this Quarterly Report on Form 10-Q for additional information regarding our lease liability.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40" w:firstLine="510"/>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and accompanying notes. On an ongoing basis, we evaluate our estimates and judgments, including those related to accrued expenses, preferred stock purchase right liability, and share-based compensation.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70"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March 31, 2021, as compared to the critical accounting policies and estimates disclosed in “Management’s Discussion and Analysis of Financial Condition and Results of Operations” included in our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2 to our financial statements included elsewhere in this Quarterly Report on Form 10-Q for recently issued accounting pronouncements.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March 31, 2021 and December 31,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one business activity and operate in one reportable segment.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are an “emerging growth company” as described under the Jumpstart Our Business Startups Act of 2012, or the JOBS Act, and we could have taken advantage of an extended transition period for complying with new or revised accounting standards. This would have allowed us to delay the adoption of certain accounting standards until those standards would otherwise apply to private companies. We have chosen irrevocably to “opt out” of such extended transition period, and as a result, we will comply with new or revised accounting standards on the relevant dates on which adoption of such standards is required for non-emerging growth companies. We intend to rely on other exemptions provided by the JOBS Act, including without limitation, not being required to comply with the auditor attestation requirements of Section 404(b) of Sarbanes-Oxley.</w:t>
      </w:r>
    </w:p>
    <w:p>
      <w:pPr>
        <w:spacing w:after="0" w:line="178"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Even after we no longer qualify as an emerging growth company, we may still qualify as a smaller reporting company or a non-accelerated filer,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prospectuses and in our periodic reports and proxy statements.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1"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cash equivalents, restricted cash and short-term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such, we believe that if a 10.0% change in interest rates were to have occurred on March 31, 2021, this change would not have had a material effect on the fair value of our investment portfolio as of that date.</w:t>
      </w:r>
    </w:p>
    <w:p>
      <w:pPr>
        <w:spacing w:after="0" w:line="185"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We are exposed to market risk related to changes in foreign currency exchange rates. We contract with vendors that are located outside the United States and certain invoices are denominated in foreign currencies. We are subject to fluctuations in foreign currency rates in connection with such arrangements. We do not currently hedge our foreign currency exchange risk.</w:t>
      </w:r>
    </w:p>
    <w:p>
      <w:pPr>
        <w:spacing w:after="0" w:line="184"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 costs. We do not believe inflation has had a material effect on our results of operations during the periods presented.</w:t>
      </w:r>
    </w:p>
    <w:p>
      <w:pPr>
        <w:spacing w:after="0" w:line="170"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We do not believe that inflation, interest rate changes, or exchange rate fluctuations had a significant impact on our results of operations for any periods presented herein.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management, with the participation of our chief executive and financial officers, evaluated the effectiveness of our disclosures controls and procedures, as defined in Rules 13a-15(e) and 15d-15(e) under the Exchange Act, as of March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2021, our chief executive officer and chief financial and business officer concluded that, as of such date, our disclosure controls and procedures were effective at a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Management determined that, as of March 31, 2021,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 There is one ongoing ex parte reexamination for one of our patents.</w:t>
      </w:r>
    </w:p>
    <w:p>
      <w:pPr>
        <w:spacing w:after="0" w:line="149"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On August 1, 2018, a third party requested ex parte reexamination of certain claims of U.S. Patent No. 9,511,092, which relates generally to chimeric receptor complexes that bind certain specific natural killer cell ligands and methods of using natural killer cells. U.S. Patent No. 9,511,092 does not relate to our current product candidates but may relate to future product candidates or alternative technologies. This first reexamination by the USPTO is currently pending. On August 2, 2019, a third party requested an ex parte reexamination on the remaining claims of U.S. Patent No. 9,511,092, with the USPTO subsequently issuing a Reexamination Certificate confirming patentability of the claims in an amended form on August 18, 2020.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filed with the SEC on March 25, 2021, are set forth below and are unchanged substantively as of the date of this Quarterly Report on Form 10-Q, except for those risks designated by an asterisk (*).</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may disclose further changes to the factors below or disclose additional factors from time to time in our future filings with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do not have any products approved for sale.</w:t>
      </w:r>
    </w:p>
    <w:p>
      <w:pPr>
        <w:spacing w:after="0" w:line="22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are a development-stage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our product candidates, building our intellectual property portfolio, developing our supply chain and in-house manufacturing capability,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losses since our inception and we expect to continue to incur significant losses for the foreseeable future.*</w:t>
      </w:r>
    </w:p>
    <w:p>
      <w:pPr>
        <w:spacing w:after="0" w:line="23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Since our inception in 2015, we have incurred significant operating losses. Our net losses were $19.4 million, $91.4 million and $21.1 million for the three months ended March 31, 2021 and the years ended December 31, 2020 and 2019, respectively. Our accumulated deficit was $137.4 million as of March 31, 2021. We expect to continue to incur increasing operating losses for the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foreseeable future as we continue to develop our product candidates. In addition, we anticipate that our expenses will increase substantially if, and as, we:</w:t>
      </w:r>
    </w:p>
    <w:p>
      <w:pPr>
        <w:spacing w:after="0" w:line="140"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clinical development of NKX101;</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additional product candidates to clinical trials, including NKX019;</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our current product candidates for additional disease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qualify our own clinical- and commercial-scale current good manufacturing practices, or cGMP, facilities;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 a BLA, or marketing authorization application, or MAA, for NKX101 and/or NKX019 and/or seek marketing approvals for any of our other product candidates that successfully complete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in various jurisdictions for commercial sale;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these activities;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develop or secure marketing, sales and distribution capabilities, either internally or with third parties, to support commercialization.</w:t>
      </w:r>
    </w:p>
    <w:p>
      <w:pPr>
        <w:spacing w:after="0" w:line="23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We may never succeed in any or all of these activities and, even if we do, we may never generate revenues that are significant or large enough to achieve profitability.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225"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continue to incur significant research and development and other expenses related to ongoing operations and the development of our co-lead product candidates, NKX101 and NKX019. All of our product candidates will require substantial additional development time and resources before we would be able to apply for or receive regulatory approvals and begin generating revenue from product sales. Neither the FDA nor any other regulatory authority has approved NKX101, NKX019 or any of our other product candidates, and we do not anticipate generating revenues from product sales unless and until such time as NKX101,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w:t>
      </w:r>
    </w:p>
    <w:p>
      <w:pPr>
        <w:spacing w:after="0" w:line="87"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clinical development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seeking and obtaining regulatory approvals for product candidates for which we successfully complete positive clinical trials, if any;</w:t>
      </w:r>
    </w:p>
    <w:p>
      <w:pPr>
        <w:spacing w:after="0" w:line="128"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launching and commercializing product candidates, by establishing a commercial infrastructure or, alternatively, collaborating with a commercialization partner;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maintaining and enhancing a sustainable, scalable, reproducible and transferable manufacturing process for each of our cell therapy product candidates;</w:t>
      </w:r>
    </w:p>
    <w:p>
      <w:pPr>
        <w:spacing w:after="0" w:line="62" w:lineRule="exact"/>
        <w:rPr>
          <w:rFonts w:ascii="Arial" w:cs="Arial" w:eastAsia="Arial" w:hAnsi="Arial"/>
          <w:sz w:val="18"/>
          <w:szCs w:val="18"/>
          <w:color w:val="auto"/>
        </w:rPr>
      </w:pPr>
    </w:p>
    <w:p>
      <w:pPr>
        <w:ind w:left="1000" w:right="260" w:hanging="493"/>
        <w:spacing w:after="0" w:line="342"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products and services, in both amount and quality, to support clinical development and the market demand for our product candidates, if approved;</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a viable treatment option;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2" w:name="page33"/>
    <w:bookmarkEnd w:id="32"/>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00" w:right="8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know-how, and trademarks;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avoiding and defending against third-party interference or infringement claims;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We anticipate incurring significant costs associated with commercializing any approved product candidate. Our expenses could increase beyond our current expectations if we are required by the FDA or other global regulatory authorities to perform clinical trials and other preclinical studies in addition to those that we currently anticipate.</w:t>
      </w:r>
    </w:p>
    <w:p>
      <w:pPr>
        <w:spacing w:after="0" w:line="184" w:lineRule="exact"/>
        <w:rPr>
          <w:sz w:val="20"/>
          <w:szCs w:val="20"/>
          <w:color w:val="auto"/>
        </w:rPr>
      </w:pPr>
    </w:p>
    <w:p>
      <w:pPr>
        <w:ind w:right="160" w:firstLine="510"/>
        <w:spacing w:after="0" w:line="311" w:lineRule="auto"/>
        <w:rPr>
          <w:sz w:val="20"/>
          <w:szCs w:val="20"/>
          <w:color w:val="auto"/>
        </w:rPr>
      </w:pPr>
      <w:r>
        <w:rPr>
          <w:rFonts w:ascii="Arial" w:cs="Arial" w:eastAsia="Arial" w:hAnsi="Arial"/>
          <w:sz w:val="16"/>
          <w:szCs w:val="16"/>
          <w:color w:val="auto"/>
        </w:rPr>
        <w:t>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w:t>
      </w:r>
    </w:p>
    <w:p>
      <w:pPr>
        <w:spacing w:after="0" w:line="2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require additional capital, which, if available, may cause dilution to our stockholders, restrict our operations or require us to relinquish rights to our product candidates.*</w:t>
      </w:r>
    </w:p>
    <w:p>
      <w:pPr>
        <w:spacing w:after="0" w:line="170"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have financed our operations primarily through private placements of our preferred stock, proceeds from our previous collaboration with GlaxoSmithKline, or GSK, and from our initial public offering, or IPO, in July 2020. We intend to use the proceeds from our IPO to, among other uses, advance NKX101 and NKX019 through clinical development. Developing pharmaceutical products and conducting preclinical studies and clinical trials is expensive. As of March 31, 2021, we had cash, cash equivalents, restricted cash and short-term investments of $299.7 million. Our research and development expenses increased from $17.2 million for the year ended December 31, 2019 to $36.2 million for the year ended December 31, 2020 and increased from $7.3 million for the three months ended March 31, 2020 to $13.5 million for the three months ended March 31, 2021.</w:t>
      </w:r>
    </w:p>
    <w:p>
      <w:pPr>
        <w:spacing w:after="0" w:line="164"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Until and unless we can generate substantial product revenue, we expect to finance our cash needs through the proceeds from our IPO, a combination of equity offerings and debt financings, and potentially through additional license and development agreements or strategic partnerships with third parties. Financing may not be available in sufficient amounts or on reasonable terms. In addition, market volatility resulting from the COVID-19 pandemic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w:t>
      </w:r>
    </w:p>
    <w:p>
      <w:pPr>
        <w:spacing w:after="0" w:line="168"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Attempting to secure additional financing may also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COVID-19 pandemic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3" w:name="page34"/>
    <w:bookmarkEnd w:id="33"/>
    <w:p>
      <w:pPr>
        <w:ind w:right="60"/>
        <w:spacing w:after="0" w:line="263" w:lineRule="auto"/>
        <w:rPr>
          <w:sz w:val="20"/>
          <w:szCs w:val="20"/>
          <w:color w:val="auto"/>
        </w:rPr>
      </w:pPr>
      <w:r>
        <w:rPr>
          <w:rFonts w:ascii="Arial" w:cs="Arial" w:eastAsia="Arial" w:hAnsi="Arial"/>
          <w:sz w:val="18"/>
          <w:szCs w:val="18"/>
          <w:b w:val="1"/>
          <w:bCs w:val="1"/>
          <w:i w:val="1"/>
          <w:iCs w:val="1"/>
          <w:color w:val="auto"/>
        </w:rPr>
        <w:t>Our business and the business or operations of our research partners, including CRISPR, and other third parties with whom we conduct business could be adversely affected by the effects of health epidemics, including the recent COVID-19 pandemic, in regions where we or third parties on which we rely have business operations.*</w:t>
      </w:r>
    </w:p>
    <w:p>
      <w:pPr>
        <w:spacing w:after="0" w:line="184"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COVID-19 pandemic has disrupted economic activity and business operations worldwide, including the San Francisco Bay Area, where our primary operations are located. The coronavirus pandemic is evolving, and multiple variants of the virus that causes COVID-19 are circulating globally. To date the pandemic has led to the implementation of various responses, including government-imposed stay-at-home orders and quarantines, travel restrictions and other public health safety measures to mitigate the impact of the pandemic. We continue to monitor these changes and update our operations as necessary to comply with any state, county or local health orders.</w:t>
      </w:r>
    </w:p>
    <w:p>
      <w:pPr>
        <w:spacing w:after="0" w:line="3"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In response to government-imposed stay-at-home orders and quarantines, we have implemented work-from-home policies for employees and adjusted our operations to maximize employee safety and to comply with directives from health authorities. The effects of quarantines, stay-at-home, executive and similar government orders, or the perception that such orders, shutdowns or other restrictions on the conduct of business operations could occur, in the United States and other countries, could negatively impact our operations and the operations of third parties we rely on, such as our contract manufacturing sites in Colorado, Ohio, and Ontario, and disrupt or delay the enrollment of patients at our clinical sites. For example, at some of our contract manufacturing sites, COVID-19-related restrictions, including temporary shutdowns, and instances of COVID-19 cases impacting personnel have resulted in some delays. In addition, we experienced some delays in construction of our cGMP manufacturing facility and in our internal research efforts. COVID-19 has also caused global supply shortages of certain lab materials, such as certain raw materials and disposable plastics, that we and our contract development and manufacturing organizations, or CDMOs, use for research and GMP manufacturing. We will continue to monitor the impact of COVID-19 and any additional waves of the pandemic on our operations including continued enrollment in the NKX101 clinical trial and the current timeline for dosing of the first patient with NKX019, as well as on our collaboration partners, CROs, CDMOs, and clinical trial sites with respect to COVID-19 related shutdowns, restrictions on travel, and restrictions on hospital visits for clinical trial participants or clinical research staff. Even if the current restrictions are lifted in the State of California or the County of San Mateo, similar or additional restrictions could be imposed again later.</w:t>
      </w:r>
    </w:p>
    <w:p>
      <w:pPr>
        <w:spacing w:after="0" w:line="169" w:lineRule="exact"/>
        <w:rPr>
          <w:sz w:val="20"/>
          <w:szCs w:val="20"/>
          <w:color w:val="auto"/>
        </w:rPr>
      </w:pPr>
    </w:p>
    <w:p>
      <w:pPr>
        <w:ind w:right="360" w:firstLine="510"/>
        <w:spacing w:after="0" w:line="286" w:lineRule="auto"/>
        <w:rPr>
          <w:sz w:val="20"/>
          <w:szCs w:val="20"/>
          <w:color w:val="auto"/>
        </w:rPr>
      </w:pPr>
      <w:r>
        <w:rPr>
          <w:rFonts w:ascii="Arial" w:cs="Arial" w:eastAsia="Arial" w:hAnsi="Arial"/>
          <w:sz w:val="17"/>
          <w:szCs w:val="17"/>
          <w:color w:val="auto"/>
        </w:rPr>
        <w:t>In addition, the COVID-19 pandemic has significantly disrupted global financial markets and could continue to restrict the level of economic activity, and may limit our ability to access capital, which could in the future negatively affect our liquidity now or in the future. A recession or market correction resulting from the spread of COVID-19 could materially affect our business and the value of our common stock.</w:t>
      </w:r>
    </w:p>
    <w:p>
      <w:pPr>
        <w:spacing w:after="0" w:line="165"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We cannot predict the potential future impacts of COVID-19, including its variants, on us and third parties with whom we conduct business. As a result of the COVID-19 pandemic or other pandemic, epidemic or outbreak of an infectious disease, we may experience disruptions that could severely impact our business, preclinical studies and clinical trials, including:</w:t>
      </w:r>
    </w:p>
    <w:p>
      <w:pPr>
        <w:spacing w:after="0" w:line="76" w:lineRule="exact"/>
        <w:rPr>
          <w:sz w:val="20"/>
          <w:szCs w:val="20"/>
          <w:color w:val="auto"/>
        </w:rPr>
      </w:pPr>
    </w:p>
    <w:p>
      <w:pPr>
        <w:ind w:left="1000" w:right="4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including our ongoing NKX101 clinical trial and our upcoming NKX019 clinical trial;</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 and in training medical personnel on how to properly thaw and administer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or difficulties in recruitment of key personnel;</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jc w:val="both"/>
        <w:ind w:left="1000" w:right="8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75"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 including the review of IND or other regulatory submissions for our product candidates;</w:t>
      </w:r>
    </w:p>
    <w:p>
      <w:pPr>
        <w:spacing w:after="0" w:line="62" w:lineRule="exact"/>
        <w:rPr>
          <w:rFonts w:ascii="Arial" w:cs="Arial" w:eastAsia="Arial" w:hAnsi="Arial"/>
          <w:sz w:val="18"/>
          <w:szCs w:val="18"/>
          <w:color w:val="auto"/>
        </w:rPr>
      </w:pPr>
    </w:p>
    <w:p>
      <w:pPr>
        <w:jc w:val="both"/>
        <w:ind w:left="1000" w:right="22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systems;</w:t>
      </w:r>
    </w:p>
    <w:p>
      <w:pPr>
        <w:spacing w:after="0" w:line="75" w:lineRule="exact"/>
        <w:rPr>
          <w:rFonts w:ascii="Arial" w:cs="Arial" w:eastAsia="Arial" w:hAnsi="Arial"/>
          <w:sz w:val="18"/>
          <w:szCs w:val="18"/>
          <w:color w:val="auto"/>
        </w:rPr>
      </w:pPr>
    </w:p>
    <w:p>
      <w:pPr>
        <w:ind w:left="1000" w:right="800" w:hanging="493"/>
        <w:spacing w:after="0" w:line="342"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interruption of, or delays in manufacture of our product candidates at our in-house manufacturing facility due to staffing shortages, production slowdowns and disruptions or inability to procure critical raw materials or other supplies in a timely fashion;</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4" w:name="page35"/>
    <w:bookmarkEnd w:id="34"/>
    <w:p>
      <w:pPr>
        <w:ind w:left="1000" w:hanging="49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interruptions, or delays in receiving supplies and materials necessary for our business operations, and research and development activities;</w:t>
      </w:r>
    </w:p>
    <w:p>
      <w:pPr>
        <w:spacing w:after="0" w:line="140" w:lineRule="exact"/>
        <w:rPr>
          <w:rFonts w:ascii="Arial" w:cs="Arial" w:eastAsia="Arial" w:hAnsi="Arial"/>
          <w:sz w:val="16"/>
          <w:szCs w:val="16"/>
          <w:color w:val="auto"/>
        </w:rPr>
      </w:pPr>
    </w:p>
    <w:p>
      <w:pPr>
        <w:ind w:left="1000" w:right="380" w:hanging="493"/>
        <w:spacing w:after="0" w:line="342"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 or delays to our discovery and clinical activities.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magnitude of these disruptions will depend, in part, on the length and severity of the COVID-19 restrictions and other limitations on our ability and the ability of others to conduct business in the ordinary course.</w:t>
      </w:r>
    </w:p>
    <w:p>
      <w:pPr>
        <w:spacing w:after="0" w:line="170"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The ultimate impact of the COVID-19 outbreak or a similar health epidemic is highly uncertain. These impacts will depend on future developments that are highly uncertain and cannot be predicted with confidence, such as the duration of the outbreak and the effectiveness of actions taken in the United States and other countries to contain, vaccinate against, and treat the disease. We do not yet know the full extent of potential delays or impacts on our business, our clinical trials, healthcare systems or the global economy as a whole, but these delays could have a material impact on our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the success of our CAR-NK cell technology platform.</w:t>
      </w:r>
    </w:p>
    <w:p>
      <w:pPr>
        <w:spacing w:after="0" w:line="22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success depends on our ability to utilize our CAR-NK technology platform to generate product candidates, to obtain regulatory approval for product candidates derived from it, and to then commercialize our product candidates addressing one or more indications. A Phase 1 clinical trial to evaluate our first CAR NK product in humans has commenced. All of our product candidates developed from our technology platform will require significant additional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CAR-NK engineering technology.</w:t>
      </w:r>
    </w:p>
    <w:p>
      <w:pPr>
        <w:spacing w:after="0" w:line="30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Utilizing CAR-NK cells represents a novel approach to the treatment of cancer, and we must overcome significant challenges in order to develop, commercialize and manufacture our product candidates.</w:t>
      </w:r>
    </w:p>
    <w:p>
      <w:pPr>
        <w:spacing w:after="0" w:line="170"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We have concentrated our research and development efforts on utilizing CAR-NK cells as an immuno-oncology therapy. To date, the FDA has approved only a few cell-based therapies for commercialization and no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CAR-NK platform product candidates are novel, and cell-based therapies are relatively new, regulatory agencies may lack precedents for evaluating product candidates like our CAR-NK product candidates. This novelty may lengthen the regulatory review process, including the time it takes for the FDA to review our IND applications if and when submitted, increase our development costs and delay or prevent approval and commercialization of our CAR-NK platform product candidates. Additionally, advancing novel immuno-oncology therapies creates significant challenges for us, including:</w:t>
      </w:r>
    </w:p>
    <w:p>
      <w:pPr>
        <w:spacing w:after="0" w:line="70" w:lineRule="exact"/>
        <w:rPr>
          <w:sz w:val="20"/>
          <w:szCs w:val="20"/>
          <w:color w:val="auto"/>
        </w:rPr>
      </w:pPr>
    </w:p>
    <w:p>
      <w:pPr>
        <w:ind w:left="1000" w:right="3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training a sufficient number of medical personnel on how to properly thaw and administer our cells, especially in our planned solid tumor trial wherein the cells are given through a procedure by trained medical doctors;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enrolling sufficient numbers of patients in clinical trials;</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side-effect profile of our cells and, as the clinical program progresses, on observed side effects with the therapy;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 reliable and safe and an effective means of genetically modifying our cells;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and cryopreservation our cells on a large scale and in a cost-effective manner;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sourcing starting material suitable for clinical and commercial manufacturing; and</w:t>
      </w:r>
    </w:p>
    <w:p>
      <w:pPr>
        <w:spacing w:after="0" w:line="117"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manufacturing process and distribution network to support the commercialization of any approved products.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5" w:name="page36"/>
    <w:bookmarkEnd w:id="35"/>
    <w:p>
      <w:pPr>
        <w:ind w:left="520"/>
        <w:spacing w:after="0"/>
        <w:rPr>
          <w:sz w:val="20"/>
          <w:szCs w:val="20"/>
          <w:color w:val="auto"/>
        </w:rPr>
      </w:pPr>
      <w:r>
        <w:rPr>
          <w:rFonts w:ascii="Arial" w:cs="Arial" w:eastAsia="Arial" w:hAnsi="Arial"/>
          <w:sz w:val="16"/>
          <w:szCs w:val="16"/>
          <w:color w:val="auto"/>
        </w:rPr>
        <w:t>We must be able to overcome these challenges in order for us to develop, commercialize and manufacture our product candidates utilizing CAR-NK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cells.</w:t>
      </w:r>
    </w:p>
    <w:p>
      <w:pPr>
        <w:spacing w:after="0" w:line="31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Certain aspects of the function and production of CAR-NK cells are currently unknown or poorly understood, and may only become known through further preclinical testing and clinical trials. Any potential re-engineering required may result in delays and additional expenses.</w:t>
      </w:r>
    </w:p>
    <w:p>
      <w:pPr>
        <w:spacing w:after="0" w:line="124"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Current clinical experience with NK cell therapy is predominantly based on cells from haplomatched donors, i.e., at least half of the major Human Leukocyte Antigen, or HLA, types matched between donor and recipient. Our clinical development plan for NKX101 will seek to establish what degree of HLA matching, if any, is required for NKX101 to exhibit necessary levels of clinical activity and duration of response. While we believe that a high degree of HLA matching will not be required for clinically meaningful activity and durability of response, if it becomes apparent through preclinical testing or clinical trials that such matching is required, the production of NKX101 as standardized product for all patients will not be achievable. Instead, we would need to establish a bank of engineered CAR-NK cells for each of our product candidates where dozens of different donors will be required to achieve coverage of a large fraction of the addressable patient population.</w:t>
      </w:r>
    </w:p>
    <w:p>
      <w:pPr>
        <w:spacing w:after="0" w:line="17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Furthermore, the killer immunoglobulin-like receptor, or KIR, is found on the surface of NK cells and recognizes certain HLA types. If there is a match between KIR and the HLA type, KIR acts as a natural inhibitor of NK activity, thereby serving to prevent immune reactions against an individual’s own cells. If we discover that a KIR mismatch is required to achieve clinically meaningful activity and durability of response, we will need to factor KIR mismatch into the donor and product selection process for patients enrolled in our clinical trials.</w:t>
      </w:r>
    </w:p>
    <w:p>
      <w:pPr>
        <w:spacing w:after="0" w:line="187"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In addition, tumors are sometimes able to evade detection by naturally occurring NK cells by shedding the NKG2D ligands found on malignant cells. While NKX101 has been engineered to overcome this shedding mechanism, there can be no guarantee that tumor cells will not retain or regain the ability to shed NKG2D ligand completely despite the presence of NKX101, which would give such tumors a degree of resistance against NKX101. If we discover that tumors develop a resistance to NKX101 as a result of such NKG2D ligand shedding, we will need to reengineer NKX101 to counteract this effect, or we may need to change or abandon our development efforts for NKX101.</w:t>
      </w:r>
    </w:p>
    <w:p>
      <w:pPr>
        <w:spacing w:after="0" w:line="17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Finally, there is limited history of CAR-NK cells manufacturing for clinical use, and our understanding of NK cell biology is continuously expanding. If we find that our current manufacturing processes are inadequate, or should we identify opportunities for material improvement, adaptation of process improvements may require significant periods of time. Process improvements might also necessitate new pre-clinical studies and clinical protocols to establish product comparability. If we are unable to show comparability after a process change, further changes to our manufacturing process and/or clinical trials will be required.</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foregoing processes would require us to redesign the clinical protocols and clinical trials for our product candidates, and could require significant additional time and resources to complete and the participation of a significant number of additional clinical trial participants and donors, any of which would delay the clinical development of our product candidates and their eventual commercialization.</w:t>
      </w:r>
    </w:p>
    <w:p>
      <w:pPr>
        <w:spacing w:after="0" w:line="2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we may encounter substantial delays due to a variety of reasons outside our control.</w:t>
      </w:r>
    </w:p>
    <w:p>
      <w:pPr>
        <w:spacing w:after="0" w:line="170"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subjects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jc w:val="both"/>
        <w:ind w:firstLine="510"/>
        <w:spacing w:after="0" w:line="263" w:lineRule="auto"/>
        <w:rPr>
          <w:sz w:val="20"/>
          <w:szCs w:val="20"/>
          <w:color w:val="auto"/>
        </w:rPr>
      </w:pPr>
      <w:r>
        <w:rPr>
          <w:rFonts w:ascii="Arial" w:cs="Arial" w:eastAsia="Arial" w:hAnsi="Arial"/>
          <w:sz w:val="18"/>
          <w:szCs w:val="18"/>
          <w:color w:val="auto"/>
        </w:rPr>
        <w:t>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w:t>
      </w:r>
    </w:p>
    <w:p>
      <w:pPr>
        <w:spacing w:after="0" w:line="76"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obtaining regulatory approval to commence a clinical trial;</w:t>
      </w:r>
    </w:p>
    <w:p>
      <w:pPr>
        <w:spacing w:after="0" w:line="117"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clinical trial sites, the terms of which can be subject to extensive negotiation and may vary significantly among different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recruit sufficient patients for our clinical trials in a timely manner or at all;</w:t>
      </w:r>
    </w:p>
    <w:p>
      <w:pPr>
        <w:spacing w:after="0" w:line="117"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achieving a sufficient number of clinical trial sites or obtaining the required institutional review board, or IRB, approval at each clinical trial site;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us or by the FDA or other regulatory agencies based on emerging data;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obtain long-term follow-up data due to patient drop out or in cases where patients elect to receive post-protocol treatment for their disease before it progresses;</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 or termination of a clinical trial by the IRB of the institutions in which such trials are being conducted or by the Data Safety Monitoring Board, or DSMB (where applicable);</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clinical trials, or production delays, shutdowns or setbacks at any of our contract manufacturers;</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due to additional regulatory, site and clinical trial participant approvals required if a product candidate, especially a product candidate custom manufactured for a specific patient, does not meet the required specifications;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the design or implementation of our clinical trials;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or guidance that may require us to amend or submit new clinical protocols, or such requirements may not be as we anticipate;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insufficient quantities or inadequate quality of our product candidates or other materials necessary to conduct preclinical studies or clinical trials of our product candidates;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product development programs;</w:t>
      </w:r>
    </w:p>
    <w:p>
      <w:pPr>
        <w:spacing w:after="0" w:line="62"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enrolled patients in foreign countries to adhere to clinical protocol as a result of differences in healthcare services or cultural customs, or additional administrative burdens associated with foreign regulatory schemes; or</w:t>
      </w:r>
    </w:p>
    <w:p>
      <w:pPr>
        <w:spacing w:after="0" w:line="62" w:lineRule="exact"/>
        <w:rPr>
          <w:rFonts w:ascii="Arial" w:cs="Arial" w:eastAsia="Arial" w:hAnsi="Arial"/>
          <w:sz w:val="18"/>
          <w:szCs w:val="18"/>
          <w:color w:val="auto"/>
        </w:rPr>
      </w:pPr>
    </w:p>
    <w:p>
      <w:pPr>
        <w:ind w:left="1000" w:right="26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7" w:name="page38"/>
    <w:bookmarkEnd w:id="37"/>
    <w:p>
      <w:pPr>
        <w:ind w:right="60" w:firstLine="510"/>
        <w:spacing w:after="0" w:line="268" w:lineRule="auto"/>
        <w:rPr>
          <w:sz w:val="20"/>
          <w:szCs w:val="20"/>
          <w:color w:val="auto"/>
        </w:rPr>
      </w:pPr>
      <w:r>
        <w:rPr>
          <w:rFonts w:ascii="Arial" w:cs="Arial" w:eastAsia="Arial" w:hAnsi="Arial"/>
          <w:sz w:val="17"/>
          <w:szCs w:val="17"/>
          <w:color w:val="auto"/>
        </w:rPr>
        <w:t>In addition, disruptions caused by the COVID-19 pandemic may increase the likelihood that we encounter such difficulties or delays in initiating, enrolling, conducting or completing our planned and ongoing preclinical studies and clinical trials, as applicable. For example, the FDA temporarily postponed routine surveillance inspections of domestic manufacturing facilities in response to the COVID-19 pandemic, and in July 2020, it began to work toward resuming prioritized domestic inspections of mission-critical inspections on a case-by-case basis. The FDA has developed a rating system to assist in determining when and where it is safest to conduct prioritized domestic inspections. Should the FDA determine that an inspection is necessary for approval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 If global health concerns continue to prevent the FDA or other regulatory authorities from conducting their regular inspections, reviews or other regulatory activities, it could significantly impact the ability of the FDA to timely review and process our regulatory submissions. 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and slow down our product candidate development and approval process.</w:t>
      </w:r>
    </w:p>
    <w:p>
      <w:pPr>
        <w:spacing w:after="0" w:line="28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Our business is highly dependent on the success of our product candidates, and on the success of NKX101 and NKX019 in particular, and we may fail to develop NKX101, NKX019 and/or our other product candidates successfully or be unable to obtain regulatory approval for them.*</w:t>
      </w:r>
    </w:p>
    <w:p>
      <w:pPr>
        <w:spacing w:after="0" w:line="12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cannot guarantee that NKX101 and NKX019, or any of our other product candidates,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NKX101 and NKX019 will be successful in clinical trials or receive regulatory approval. The FDA, and other comparable global regulatory authorities can delay, limit or deny approval of a product candidate for many reasons. For further details about such reasons, see “—Clinical development involves a lengthy and expensive process with an uncertain outcome, and we may encounter substantial delays due to a variety of reasons outside our control.” Any delay in obtaining, or inability to obtain, applicable regulatory approval will delay or harm our ability to successfully commercialize NKX101 and NKX019 and materially adversely affect our business, financial condition, results of operations and growth prospects.</w:t>
      </w:r>
    </w:p>
    <w:p>
      <w:pPr>
        <w:spacing w:after="0" w:line="18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NKX101 is in an early-stage clinical trial and is subject to the risks inherent in drug development. In November 2020, the first patient in the first-in-human Phase 1 clinical trial of NKX101 for the treatment of relapsed/refractory AML or higher risk MDS was treated. If our Phase 1 or our later clinical trials of NKX101 encounter safety, efficacy, manufacturing problems, enrollment issues, development delays, regulatory issues, or other problems, our development plans for NKX101 could be significantly impaired, which could materially adversely affect our business, financial condition, results of operations and growth prospects.</w:t>
      </w:r>
    </w:p>
    <w:p>
      <w:pPr>
        <w:spacing w:after="0" w:line="188"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Furthermore, because NKX101 is our most advanced product candidate, and because our other product candidates are based on similar technology, if our clinical trials of NKX101 encounter safety, efficacy, manufacturing problems, enrollment issues, development delays, regulatory issues, or other problems, our development plans for our other product candidates in our pipeline could also be significantly impaired, which could materially adversely affect our business, financial condition, results of operations and growth prospects.</w:t>
      </w:r>
    </w:p>
    <w:p>
      <w:pPr>
        <w:spacing w:after="0" w:line="187" w:lineRule="exact"/>
        <w:rPr>
          <w:sz w:val="20"/>
          <w:szCs w:val="20"/>
          <w:color w:val="auto"/>
        </w:rPr>
      </w:pPr>
    </w:p>
    <w:p>
      <w:pPr>
        <w:ind w:right="160" w:firstLine="510"/>
        <w:spacing w:after="0" w:line="287" w:lineRule="auto"/>
        <w:rPr>
          <w:sz w:val="20"/>
          <w:szCs w:val="20"/>
          <w:color w:val="auto"/>
        </w:rPr>
      </w:pPr>
      <w:r>
        <w:rPr>
          <w:rFonts w:ascii="Arial" w:cs="Arial" w:eastAsia="Arial" w:hAnsi="Arial"/>
          <w:sz w:val="16"/>
          <w:szCs w:val="16"/>
          <w:color w:val="auto"/>
        </w:rPr>
        <w:t>We also plan to develop NKX101 for additional indications if we are able to obtain clinical proof-of-concept from our NKX101 Phase 1 trials for blood cancers including AML and MDS, as well as hepatocellular carcinomas and other cancers localized to the liver. We may not be able to advance any of these indications through the development process. Even if we receive regulatory approval to market NKX101 for the treatment of any of</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these additional indications, any such additional indications may not be successfully commercialized, widely accepted in the marketplace or more effective than other commercially available alternatives. If we are unable to successfully develop and commercialize NKX101 for these additional indications, our commercial opportunity will be limited.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right="200" w:firstLine="510"/>
        <w:spacing w:after="0" w:line="257" w:lineRule="auto"/>
        <w:rPr>
          <w:sz w:val="20"/>
          <w:szCs w:val="20"/>
          <w:color w:val="auto"/>
        </w:rPr>
      </w:pPr>
      <w:r>
        <w:rPr>
          <w:rFonts w:ascii="Arial" w:cs="Arial" w:eastAsia="Arial" w:hAnsi="Arial"/>
          <w:sz w:val="18"/>
          <w:szCs w:val="18"/>
          <w:color w:val="auto"/>
        </w:rPr>
        <w:t>Furthermore, the development of NKX101 for treating solid tumors is subject to a number of risks related to use of cell therapies in general including a hostile tumor micro-environment and trafficking to tumor site. Additional risks from direct liver delivery using a catheter through the hepatic artery generally include potential damage to arteries from the catheter placement itself, from use of imaging contrast, radiation exposure, and differences between catheter models potentially introducing variability into the observed clinical effects. The development of treatments to treat solid tumors often requires larger and more expensive clinical trials than for treating blood cancers.</w:t>
      </w:r>
    </w:p>
    <w:p>
      <w:pPr>
        <w:spacing w:after="0" w:line="188"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IND for NKX019 for the treatment of B-cell malignancies was accepted by the FDA in April 2021. We plan to begin dosing the first patient with NKX019 in the second half of 2021. Due to the availability of seven commercially available agents that target CD19 including four autologous CAR-T products, two monoclonal antibody products, and one antibody-drug conjugate, we may have difficulty enrolling subjects into trials with NKX019 who have not previously been exposed to a CD19 directed agent. This could impact the ability to obtain data about NKX019 activity and slow enrollment. For these reasons, the Phase 1 clinical trial of NKX019 may include clinical trial sites outside the United States. If our planned IND for NKX019 is delayed or our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w:t>
      </w:r>
    </w:p>
    <w:p>
      <w:pPr>
        <w:spacing w:after="0" w:line="17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We intend to develop our product candidates both as monotherapy and potentially as combination therapy, a common form of cancer treatment,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w:t>
      </w:r>
    </w:p>
    <w:p>
      <w:pPr>
        <w:spacing w:after="0" w:line="161"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26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delayed, made more difficult or rendered impossible by multiple factors outside our control.</w:t>
      </w:r>
    </w:p>
    <w:p>
      <w:pPr>
        <w:spacing w:after="0" w:line="170"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w:t>
      </w:r>
    </w:p>
    <w:p>
      <w:pPr>
        <w:spacing w:after="0" w:line="79"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open clinical trial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design and eligibility criteria of the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proximity of subjects to clinical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medical practice patterns or guidelines related to the indications we are investigating;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clinical trials or approved therapies which present an attractive alternative to patients and their physicians;</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 including as a result of adverse effects observed in similar or competing therapies;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due to various reasons, including but not limited to, patients’ unwillingness to participate due to the ongoing COVID-19 pandemic;</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that enrolled subjects will drop out or die before completion of the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patients failing to complete a clinical trial or returning for post-treatment follow-up;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ind w:left="1000" w:right="18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manufacture the requisite materials for a patient and clinical trial, including to custom manufacture haplomatched clinical trial material.</w:t>
      </w:r>
    </w:p>
    <w:p>
      <w:pPr>
        <w:spacing w:after="0" w:line="17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addition, we need to compete with many ongoing clinical trials to recruit patients into our expected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at such clinical trial site. If we are unable to enroll a sufficient number of patients in our clinical trials in a timely manner, our completion of clinical trials may be delayed or may not be achieved, which would prevent us from commercializing our product candidates.</w:t>
      </w:r>
    </w:p>
    <w:p>
      <w:pPr>
        <w:spacing w:after="0" w:line="2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preclinical programs may experience delays or may never advance to clinical trials, which would adversely affect our ability to obtain regulatory approvals or commercialize these programs on a timely basis or at all.*</w:t>
      </w:r>
    </w:p>
    <w:p>
      <w:pPr>
        <w:spacing w:after="0" w:line="17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order to obtain FDA or other regulatory authority approval to market a new biological product we must demonstrate proof of safety,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began clinical development for our first product candidate, NKX101 in 2020, we plan to begin dosing the first patient with our second product candidate, NKX019, in the second half of 2021, and the rest of our programs are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181"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w:t>
      </w:r>
    </w:p>
    <w:p>
      <w:pPr>
        <w:spacing w:after="0" w:line="63"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generate sufficient preclinical or other in vivo or in vitro data to support the initiation of clinical trials;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acceptable clinical trial design or manufacturing process; and</w:t>
      </w:r>
    </w:p>
    <w:p>
      <w:pPr>
        <w:spacing w:after="0" w:line="9" w:lineRule="exact"/>
        <w:rPr>
          <w:rFonts w:ascii="Arial" w:cs="Arial" w:eastAsia="Arial" w:hAnsi="Arial"/>
          <w:sz w:val="18"/>
          <w:szCs w:val="18"/>
          <w:color w:val="auto"/>
        </w:rPr>
      </w:pPr>
    </w:p>
    <w:p>
      <w:pPr>
        <w:ind w:left="1000" w:right="200" w:hanging="493"/>
        <w:spacing w:after="0" w:line="260"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not allowing us to rely on previous findings of safety and efficacy for other similar but approved products and published scientific literature.</w:t>
      </w:r>
    </w:p>
    <w:p>
      <w:pPr>
        <w:spacing w:after="0" w:line="18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results of preclinical studies and early-stage clinical trials may not be predictive of future results. Initial success in any clinical trials may not be indicative of results obtained when these trials are completed or in later stage trials.</w:t>
      </w:r>
    </w:p>
    <w:p>
      <w:pPr>
        <w:spacing w:after="0" w:line="170"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auto"/>
        </w:rPr>
        <w:t>The results of preclinical studies may not be predictive of the results of clinical trials, and the results of any early 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 In addition, initial success in clinical trials may not be indicative of results obtained when such trials are completed. Interim or top line data from clinical trials that we may conduct are subject to the risk that one or more of the clinical outcomes may materially change as patient enrollment continues and more patient data become available. Preliminary data such as interim or top line data also remain subject to audit and verification procedures that may result in the final data being materially different from the preliminary data we previously announced. Negative differences between preliminary or interim data and final data could materially adversely affect the prospects of any product candidate that is impacted by such data updates.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0" w:name="page41"/>
    <w:bookmarkEnd w:id="40"/>
    <w:p>
      <w:pPr>
        <w:ind w:right="360"/>
        <w:spacing w:after="0" w:line="277" w:lineRule="auto"/>
        <w:rPr>
          <w:sz w:val="20"/>
          <w:szCs w:val="20"/>
          <w:color w:val="auto"/>
        </w:rPr>
      </w:pPr>
      <w:r>
        <w:rPr>
          <w:rFonts w:ascii="Arial" w:cs="Arial" w:eastAsia="Arial" w:hAnsi="Arial"/>
          <w:sz w:val="18"/>
          <w:szCs w:val="18"/>
          <w:b w:val="1"/>
          <w:bCs w:val="1"/>
          <w:i w:val="1"/>
          <w:iCs w:val="1"/>
          <w:color w:val="auto"/>
        </w:rPr>
        <w:t>If any of our product candidates, or any competing product candidates, demonstrate relevant, serious adverse events, we may be required to halt or delay further clinical development.*</w:t>
      </w:r>
    </w:p>
    <w:p>
      <w:pPr>
        <w:spacing w:after="0" w:line="170"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Undesirable side effects that may be caused by our product candidates could cause us or regulatory authorities to interrupt, delay or halt clinical trials and could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w:t>
      </w:r>
    </w:p>
    <w:p>
      <w:pPr>
        <w:spacing w:after="0" w:line="149"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As of the date of this Quarterly Report on Form 10-Q, only one of our product candidates (NKX101) has been tested in cancer patients. The first patient was dosed with NKX101 in November 2020. Prior to initiation of that clinical trial, we had only evaluated our product candidates in preclinical mouse models and had observed fatalities in mice as a result of lung toxicity when NKX101 was administered in extremely high doses that were significantly higher than those we would expect to use in humans. We therefore do not yet know if NKX101, NKX019, or our other product candidates will have an acceptable safety profile in humans. As such, there can be no guarantee that any toxicity, or other adverse events, will not occur in human subjects during clinical trials. Results of our clinical trials could reveal a high and unacceptable severity and prevalence of side effects or unexpected characteristics.</w:t>
      </w:r>
    </w:p>
    <w:p>
      <w:pPr>
        <w:spacing w:after="0" w:line="16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While studies indicate that NK cell-based therapies may be better-tolerated as compared to T cell-based therapies due to biologic differences between these cell types, there can be no assurance that patients will not experience cytokine release syndrome, or CRS, neurotoxicity, graft-versus-host disease, or GVHD, or other serious adverse events. Severe adverse events associated with our product candidates NKX101 or NKX019 or lymphodepleting chemotherapy may also develop. NKX101 targets NKG2D ligands, which is not yet a well-characterized modality. NKG2D targets multiple ligands, and the landscape of ligand expression is currently not fully understood. For example, there are risks that ligands may be expressed on either known or an as-yet-underappreciated population of healthy cells. Therefore, such cells may also be targeted by NKX101 and lead to adverse events of unknown frequency and severity. Such adverse events may cause delays in completion of our clinical programs. 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spacing w:after="0" w:line="294"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b w:val="1"/>
          <w:bCs w:val="1"/>
          <w:i w:val="1"/>
          <w:iCs w:val="1"/>
          <w:color w:val="auto"/>
        </w:rPr>
        <w:t>We may seek special designations by the regulatory authorities to expedite regulatory approvals, but may not be successful in receiving such designations, and even if received, they may not benefit the development and regulatory approval process.</w:t>
      </w:r>
    </w:p>
    <w:p>
      <w:pPr>
        <w:spacing w:after="0" w:line="14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may seek various expedited programs available through regulatory authority such as Regenerative Medicine Advanced Therapy, or RMAT, designation, Breakthrough Therapy Designation, Fast Track Designation, or PRIority MEdicine, or PRIME, from regulatory authorities, for any product candidate that we develop. A product candidate may receive RMAT designation from the FDA if it is a regenerative medicine therapy that is intended to treat, modify, reverse or cure a serious or life 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Fast Track Designation by the FDA. PRIME is a voluntary scheme launched by the European Medicines Agency, or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w:t>
      </w:r>
    </w:p>
    <w:p>
      <w:pPr>
        <w:spacing w:after="0" w:line="168"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Seeking and obtaining these designations is dependent upon results of our clinical program, and we cannot guarantee whether and when we may have the data from our clinical programs to support an application to obtain any such designation.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1" w:name="page42"/>
    <w:bookmarkEnd w:id="41"/>
    <w:p>
      <w:pPr>
        <w:ind w:right="14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our product candidates, and we may be unsuccessful or may be unable to maintain the benefits associated with Orphan Drug Designation, including the potential for market exclusivity.</w:t>
      </w:r>
    </w:p>
    <w:p>
      <w:pPr>
        <w:spacing w:after="0" w:line="170"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92"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65"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76"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product candidates, we may never receive such designations. Even if we do receive such designations, there is no guarantee that we will enjoy the benefits of those designations.</w:t>
      </w:r>
    </w:p>
    <w:p>
      <w:pPr>
        <w:spacing w:after="0" w:line="2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Public opinion and scrutiny of cell-based immuno-oncology therapies for treating cancer may impact public perception of our company and product candidates, or impair our ability to conduct our business.</w:t>
      </w:r>
    </w:p>
    <w:p>
      <w:pPr>
        <w:spacing w:after="0" w:line="170"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Our platform utilizes a relatively novel technology involving the genetic modification of human NK cells and utilization of those modified cells in other individuals, and no 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ind w:right="440"/>
        <w:spacing w:after="0" w:line="277" w:lineRule="auto"/>
        <w:rPr>
          <w:sz w:val="20"/>
          <w:szCs w:val="20"/>
          <w:color w:val="auto"/>
        </w:rPr>
      </w:pPr>
      <w:r>
        <w:rPr>
          <w:rFonts w:ascii="Arial" w:cs="Arial" w:eastAsia="Arial" w:hAnsi="Arial"/>
          <w:sz w:val="18"/>
          <w:szCs w:val="18"/>
          <w:b w:val="1"/>
          <w:bCs w:val="1"/>
          <w:i w:val="1"/>
          <w:iCs w:val="1"/>
          <w:color w:val="auto"/>
        </w:rPr>
        <w:t>We may not identify or discover other product candidates and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business depends upon our ability to identify, develop and commercialize product candidates. A key element of our strategy is to discover and develop additional product candidates based upon our NK 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targets for different cancers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w:t>
      </w:r>
    </w:p>
    <w:p>
      <w:pPr>
        <w:spacing w:after="0" w:line="8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research methodology or technology platform used may not be successful in identifying potential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choose to cease development if we determine that clinical results do not show promise;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Because we have limited resources, we must choose to pursue and fund the development of specific types of treatment, or treatment for a specific type of cancer,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7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w:t>
      </w:r>
    </w:p>
    <w:p>
      <w:pPr>
        <w:spacing w:after="0" w:line="2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spacing w:after="0" w:line="124"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do not have the ability to independently conduct clinical trials. We rely on medical institutions, clinical investigators, contract laboratories, and other third parties, such as contract research organization, or CROs, to conduct or otherwise support clinical trials for our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3" w:name="page44"/>
    <w:bookmarkEnd w:id="43"/>
    <w:p>
      <w:pPr>
        <w:ind w:firstLine="510"/>
        <w:spacing w:after="0" w:line="286" w:lineRule="auto"/>
        <w:rPr>
          <w:sz w:val="20"/>
          <w:szCs w:val="20"/>
          <w:color w:val="auto"/>
        </w:rPr>
      </w:pPr>
      <w:r>
        <w:rPr>
          <w:rFonts w:ascii="Arial" w:cs="Arial" w:eastAsia="Arial" w:hAnsi="Arial"/>
          <w:sz w:val="16"/>
          <w:szCs w:val="16"/>
          <w:color w:val="auto"/>
        </w:rPr>
        <w:t>We and the third parties on which we rely for clinical trials are required to comply with regulations and requirements, including Good Clinical Practices, or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The COVID-19 pandemic and government measures taken in response have also had a significant impact on our CROs, and we expect that they will face further disruption, which may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7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Although we intend to design the clinical trials for our product candidates, we plan to rely on third parties to conduct our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0"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w:t>
      </w:r>
    </w:p>
    <w:p>
      <w:pPr>
        <w:spacing w:after="0" w:line="165"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pharmaceutical or biotechnology collaborations on commercially reasonable terms, or at all, we may have to alter our development and commercialization plans.*</w:t>
      </w:r>
    </w:p>
    <w:p>
      <w:pPr>
        <w:spacing w:after="0" w:line="170" w:lineRule="exact"/>
        <w:rPr>
          <w:sz w:val="20"/>
          <w:szCs w:val="20"/>
          <w:color w:val="auto"/>
        </w:rPr>
      </w:pPr>
    </w:p>
    <w:p>
      <w:pPr>
        <w:ind w:right="340" w:firstLine="510"/>
        <w:spacing w:after="0" w:line="255" w:lineRule="auto"/>
        <w:rPr>
          <w:sz w:val="20"/>
          <w:szCs w:val="20"/>
          <w:color w:val="auto"/>
        </w:rPr>
      </w:pPr>
      <w:r>
        <w:rPr>
          <w:rFonts w:ascii="Arial" w:cs="Arial" w:eastAsia="Arial" w:hAnsi="Arial"/>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recent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4" w:name="page45"/>
    <w:bookmarkEnd w:id="44"/>
    <w:p>
      <w:pPr>
        <w:ind w:firstLine="510"/>
        <w:spacing w:after="0" w:line="286"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282"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We have entered into a research collaboration with CRISPR regarding certain product candidates, and we may enter into additional collaborations with third parties to develop or commercialize other product candidates. Our prospects with respect to those product candidates will depend in significant part on the success of those collaborations, and we may not realize the benefits of such collaborations.*</w:t>
      </w:r>
    </w:p>
    <w:p>
      <w:pPr>
        <w:spacing w:after="0" w:line="149"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spacing w:after="0" w:line="161" w:lineRule="exact"/>
        <w:rPr>
          <w:sz w:val="20"/>
          <w:szCs w:val="20"/>
          <w:color w:val="auto"/>
        </w:rPr>
      </w:pPr>
    </w:p>
    <w:p>
      <w:pPr>
        <w:ind w:right="180" w:firstLine="510"/>
        <w:spacing w:after="0" w:line="289" w:lineRule="auto"/>
        <w:rPr>
          <w:sz w:val="20"/>
          <w:szCs w:val="20"/>
          <w:color w:val="auto"/>
        </w:rPr>
      </w:pPr>
      <w:r>
        <w:rPr>
          <w:rFonts w:ascii="Arial" w:cs="Arial" w:eastAsia="Arial" w:hAnsi="Arial"/>
          <w:sz w:val="16"/>
          <w:szCs w:val="16"/>
          <w:color w:val="auto"/>
        </w:rPr>
        <w:t>As disclosed in our Current Report on Form 8-K filed with the SEC on May 6, 2021, on May 5, 2021, we entered into a research collaboration agreement with CRISPR to establish research plans for the purpose of collaboratively designing and advancing allogeneic, gene-edited NK cell therapies and an allogeneic, gene-edited NK+T cell therapy for use in the treatment of oncology, autoimmune disease, or infectious disease up to the filing of an application to a regulatory authority to request the ability to start a clinical trial. The parties will share equally the costs incurred in connection with the research activities for the product candidates under the collaboration. Under our agreement with CRISPR, we have also agreed to negotiate to reach agreement regarding the terms governing co-development and co-commercialization of the NK cell or NK+T cell therapies that are advanced under the research collaboration. If CRISPR, or any potential future collaboration partner, does not perform in the manner that we expect or fulfill their responsibilities in a timely manner or at all, the research, clinical development, regulatory approval and commercialization efforts related to the product candidates that are the subject of the collaboration with CRISPR, or that potential future collaboration partner, could be delayed or terminated.</w:t>
      </w:r>
    </w:p>
    <w:p>
      <w:pPr>
        <w:spacing w:after="0" w:line="16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If we terminate the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Whenever we enter into collaborations with third parties, we could face the following risks:</w:t>
      </w:r>
    </w:p>
    <w:p>
      <w:pPr>
        <w:spacing w:after="0" w:line="117"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5" w:name="page46"/>
    <w:bookmarkEnd w:id="45"/>
    <w:p>
      <w:pPr>
        <w:ind w:left="1000" w:right="20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75"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1000" w:right="160" w:hanging="493"/>
        <w:spacing w:after="0" w:line="308"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collaboration agreements may restrict our right to independently pursue new product candidates.</w:t>
      </w:r>
    </w:p>
    <w:p>
      <w:pPr>
        <w:spacing w:after="0" w:line="225"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If conflicts arise between our collaborators and us, including CRISPR, our collaborators may act in a manner adverse to us and could limit our ability to implement our strategies. CRISPR or future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91" w:lineRule="exact"/>
        <w:rPr>
          <w:sz w:val="20"/>
          <w:szCs w:val="20"/>
          <w:color w:val="auto"/>
        </w:rPr>
      </w:pPr>
    </w:p>
    <w:p>
      <w:pPr>
        <w:ind w:right="340" w:firstLine="510"/>
        <w:spacing w:after="0" w:line="311" w:lineRule="auto"/>
        <w:rPr>
          <w:sz w:val="20"/>
          <w:szCs w:val="20"/>
          <w:color w:val="auto"/>
        </w:rPr>
      </w:pPr>
      <w:r>
        <w:rPr>
          <w:rFonts w:ascii="Arial" w:cs="Arial" w:eastAsia="Arial" w:hAnsi="Arial"/>
          <w:sz w:val="16"/>
          <w:szCs w:val="16"/>
          <w:color w:val="auto"/>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spacing w:after="0" w:line="25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fail to compete effectively with academic institutions and other biopharmaceutical companies that develop similar or alternatives to cellular immunotherapy product candidates, our business will be materially adversely affected.*</w:t>
      </w:r>
    </w:p>
    <w:p>
      <w:pPr>
        <w:spacing w:after="0" w:line="170"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The development and commercialization of new cellular immunotherapy products is highly competitive. We face competition from existing and future competitors with respect to each of our product candidates currently in development, and will face competition with respect to other product candidates that we may seek to develop or commercialize in the future. For example, the autologous cell therapies Kymriah</w:t>
      </w:r>
      <w:r>
        <w:rPr>
          <w:rFonts w:ascii="Arial" w:cs="Arial" w:eastAsia="Arial" w:hAnsi="Arial"/>
          <w:sz w:val="13"/>
          <w:szCs w:val="13"/>
          <w:color w:val="auto"/>
        </w:rPr>
        <w:t>®</w:t>
      </w:r>
      <w:r>
        <w:rPr>
          <w:rFonts w:ascii="Arial" w:cs="Arial" w:eastAsia="Arial" w:hAnsi="Arial"/>
          <w:sz w:val="16"/>
          <w:szCs w:val="16"/>
          <w:color w:val="auto"/>
        </w:rPr>
        <w:t>, Yescarta</w:t>
      </w:r>
      <w:r>
        <w:rPr>
          <w:rFonts w:ascii="Arial" w:cs="Arial" w:eastAsia="Arial" w:hAnsi="Arial"/>
          <w:sz w:val="13"/>
          <w:szCs w:val="13"/>
          <w:color w:val="auto"/>
        </w:rPr>
        <w:t>®</w:t>
      </w:r>
      <w:r>
        <w:rPr>
          <w:rFonts w:ascii="Arial" w:cs="Arial" w:eastAsia="Arial" w:hAnsi="Arial"/>
          <w:sz w:val="16"/>
          <w:szCs w:val="16"/>
          <w:color w:val="auto"/>
        </w:rPr>
        <w:t>, Tecartus™ and Breyanzi</w:t>
      </w:r>
      <w:r>
        <w:rPr>
          <w:rFonts w:ascii="Arial" w:cs="Arial" w:eastAsia="Arial" w:hAnsi="Arial"/>
          <w:sz w:val="13"/>
          <w:szCs w:val="13"/>
          <w:color w:val="auto"/>
        </w:rPr>
        <w:t>®</w:t>
      </w:r>
      <w:r>
        <w:rPr>
          <w:rFonts w:ascii="Arial" w:cs="Arial" w:eastAsia="Arial" w:hAnsi="Arial"/>
          <w:sz w:val="16"/>
          <w:szCs w:val="16"/>
          <w:color w:val="auto"/>
        </w:rPr>
        <w:t>, which have been commercially approved, are direct competitors to our product candidate NKX019. Our known biopharmaceutical competitors developing allogeneic CAR-NK or CAR-T therapies currently include Allogene, Cellectis, Celularity, Celyad, CRISPR Therapeutics, Gamida Cell, Glycostem, Sanofi, Fate Therapeutics, ImmunityBio, Precision BioSciences and Takeda, each of which has clinical-stage allogeneic programs, as well as numerous other biopharmaceutical companies including Astellas, Artiva Biosciences, Bristol-Myers Squibb, NKGen, ONK Therapeutics, Surface Oncology, Novartis and Gilead with earlier-stage allogeneic programs. Furthermore, many companies are seeking to harness NK biology through engagers that seek to direct a patient’s own NK cells to the site of a tumor. Such competitors include Affimed, Amgen, Compass, Cytovia, Dragonfly Therapeutics, Genentech, A Roche Group company, GT Biopharma, Innate Pharma, QureBio, Servier, and Synaffix. In addition, numerous academic institutions are conducting preclinical and clinical research in these areas, as well as with other white blood cell types including NKT cells and gamma-delta T cells. It is also possible that new competitors, including those developing similar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increase the size of our organization, and we may experience difficulties in managing growth.*</w:t>
      </w:r>
    </w:p>
    <w:p>
      <w:pPr>
        <w:spacing w:after="0" w:line="225"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As of March 31, 2021, we had 107 full-time employees. We will need to continue to expand our managerial, operational, clinical, quality, human resources, legal, manufacturing, finance, commercial and other resources in order to manage our operations and clinical trials, continue our development activities and eventually commercialize our product candidates. Our management and personnel, systems and facilities currently in place may not be adequate to support this future growth. Our need to effectively execute our growth strategy requires that we: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6" w:name="page47"/>
    <w:bookmarkEnd w:id="46"/>
    <w:p>
      <w:pPr>
        <w:jc w:val="both"/>
        <w:ind w:left="1000" w:right="4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discover new product candidates, develop the process and analytical methods for IND-enabling studies and FDA submissions, complete the required IND-enabling studies for each, and receive approval from the FDA and other regulatory authorities to initiate clinical trials for such product candidates;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 into additional office and laboratory space as we grow our employee base;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 the qualification of our in-house clinical good manufacturing practices, or GMP, manufacturing facility and establish and validate a commercial GMP manufacturing facility;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reports systems and procedures.</w:t>
      </w:r>
    </w:p>
    <w:p>
      <w:pPr>
        <w:spacing w:after="0" w:line="225"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If we are unable to attract skilled employees, increase the size of our organization or manage our future growth effectively, it will impair our ability to execute our business strategy and our business, financial condition, results of operations and growth prospects will be materially adversely affected.</w:t>
      </w:r>
    </w:p>
    <w:p>
      <w:pPr>
        <w:spacing w:after="0" w:line="23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senior management, clinical, and key scientific personnel, we may be unable to successfully develop our product candidates, conduct our clinical trials and commercialize our product candidates.</w:t>
      </w:r>
    </w:p>
    <w:p>
      <w:pPr>
        <w:spacing w:after="0" w:line="170"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spacing w:after="0" w:line="188"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manufacturing activities,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7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170"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41"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product candidate that we may develop;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insurance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that we may develop;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such outcomes could materially adversely affect our business, financial condition, results of operations and growth prospects.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Our insurance policies may be inadequate, may not cover all of our potential liabilities and may potentially expose us to unrecoverable risks.</w:t>
      </w:r>
    </w:p>
    <w:p>
      <w:pPr>
        <w:spacing w:after="0" w:line="248"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w:t>
      </w:r>
    </w:p>
    <w:p>
      <w:pPr>
        <w:spacing w:after="0" w:line="192"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w:t>
      </w:r>
    </w:p>
    <w:p>
      <w:pPr>
        <w:spacing w:after="0" w:line="2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and our third-party manufacturers and suppliers must comply with environmental laws and regulations, which can be expensive and restrict how we do business.</w:t>
      </w:r>
    </w:p>
    <w:p>
      <w:pPr>
        <w:spacing w:after="0" w:line="17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research and development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w:t>
      </w:r>
    </w:p>
    <w:p>
      <w:pPr>
        <w:spacing w:after="0" w:line="18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cannot eliminate the risk of contamination, which could cause an interruption of our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121"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spacing w:after="0" w:line="100"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introducing a gamma-retrovirus with genes encoding the proteins we wish to express, cryopreservation, storage and eventually shipment. As a result of these complexities, the cost to manufacture our cellular product candidates, engineered K562 cells and viral vector is generally higher than traditional small-molecule chemical compounds or biologics, and the manufacturing process is presently less reliable and more difficult to reproduce. Furthermore, for certain patients in the early portion of our Phase 1 study of NKX101, we plan to dose patients with haplomatched NKX101. This requires custom manufacturing for each patient, which is especially complex.</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ind w:right="180" w:firstLine="510"/>
        <w:spacing w:after="0" w:line="296" w:lineRule="auto"/>
        <w:rPr>
          <w:sz w:val="20"/>
          <w:szCs w:val="20"/>
          <w:color w:val="auto"/>
        </w:rPr>
      </w:pPr>
      <w:r>
        <w:rPr>
          <w:rFonts w:ascii="Arial" w:cs="Arial" w:eastAsia="Arial" w:hAnsi="Arial"/>
          <w:sz w:val="16"/>
          <w:szCs w:val="16"/>
          <w:color w:val="auto"/>
        </w:rPr>
        <w:t>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w:t>
      </w:r>
    </w:p>
    <w:p>
      <w:pPr>
        <w:spacing w:after="0" w:line="161"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spacing w:after="0" w:line="17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the early portion of our NKX101 Phase 1 clinical trial, when we expect to custom manufacture haplomatched, donor-derived product candidates for specific patients, the manufactured product candidate for any specific patient may fail to meet the required specifications for any of a variety of reasons, including variability in starting material, deviations from normal manufacturing process, or insufficient optimization of specific process steps. This failure to meet specifications could result in delays related to obtaining additional regulatory, site and patient approvals to continue dosing the patient in the clinical trial. If the required additional approvals cannot be obtained, additional delays may occur as manufacturing would need to be restarted and/or the patient may be unable to remain in the study. If, for any reason in the initial portion of our NKX101 study where we expect to conduct haplomatched manufacturing, we lose the starting material for a manufactured product for one of our clinical trial patients at any point in the process, the manufacturing process for that patient would need to be restarted and the resulting delay could require restarting the manufacturing process, or could result in such patient no longer participating in our clinical trial. Any delay in the clinical development or commercialization of NKX101 could materially adversely affect our business, financial condition, results of operations and growth prospects.</w:t>
      </w:r>
    </w:p>
    <w:p>
      <w:pPr>
        <w:spacing w:after="0" w:line="185"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may make changes to our manufacturing process at various points during development, and even after commercialization, for various reasons, such as to control costs, achieve scale, decrease processing time, increase manufacturing success rate or for other reasons.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Changes to our process made during the course of clinical development could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validate process changes during the scale up to commercialization.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ind w:right="20" w:firstLine="510"/>
        <w:spacing w:after="0" w:line="287" w:lineRule="auto"/>
        <w:rPr>
          <w:sz w:val="20"/>
          <w:szCs w:val="20"/>
          <w:color w:val="auto"/>
        </w:rPr>
      </w:pPr>
      <w:r>
        <w:rPr>
          <w:rFonts w:ascii="Arial" w:cs="Arial" w:eastAsia="Arial" w:hAnsi="Arial"/>
          <w:sz w:val="16"/>
          <w:szCs w:val="16"/>
          <w:color w:val="auto"/>
        </w:rPr>
        <w:t>Although we plan to begin manufacturing at least certain product candidates in our own internal manufacturing facilities, we may encounter problems with the internal production of our product candidates. We have completed the construction of a cGMP facility for the production of certain of our product candidates for our early-stage clinical trials, but we do not yet have a facility for the commercial-scale manufacture of our product candidates. Our manufacturing facilities will be subject to compliance with regulatory requirements, which we may struggle to meet. Building a commercial-scale facility and manufacturing product candidates in our own facilities will require an increase in staff and significant internal resources. We may encounter problems with properly staffing our internal manufacturing facilities due to hiring challenges or other issues. For example, factors such as the COVID-19 pandemic and COVID-19-related restrictions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In addition, we may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spacing w:after="0" w:line="27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We rely on third parties to manufacture certain of our product candidates, and certain materials for use in the production of our product candidates, which increases the risk that we will not have sufficient quantities of such product candidates or materials, or such quantities at an acceptable cost, which could delay, prevent or impair our development or commercialization efforts.</w:t>
      </w:r>
    </w:p>
    <w:p>
      <w:pPr>
        <w:spacing w:after="0" w:line="18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do not yet operate our own cGMP facilities for the production of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clinical or commercial scale. We currently rely on a third-party manufacturer for our clinical supply of NKX101. We expect to continue to outsource NKX101 manufacturing even if we have our internal facility, at least for a certain amount of time. We compete with other companies for access to third party cGMP facilities and cannot assure continued access.</w:t>
      </w:r>
    </w:p>
    <w:p>
      <w:pPr>
        <w:spacing w:after="0" w:line="176"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In addition, we currently outsource manufacturing of certain critical materials necessary for production of our product candidates, including K562 cells and viral vectors. Even if we successfully establish and qualify our own cGMP manufacturing facilities and manufacture our own product candidates on a clinical or commercial scale, we will continue to outsource manufacturing of certain materials necessary for production of our product candidates, at least for a certain amount of time.</w:t>
      </w:r>
    </w:p>
    <w:p>
      <w:pPr>
        <w:spacing w:after="0" w:line="187"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78"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are able to establish and maintain arrangements with third-party manufacturers, reliance on third-party manufacturers entails risks, including:</w:t>
      </w:r>
    </w:p>
    <w:p>
      <w:pPr>
        <w:spacing w:after="0" w:line="79"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third-party for regulatory compliance and quality assurance;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third-party;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225"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0" w:name="page51"/>
    <w:bookmarkEnd w:id="50"/>
    <w:p>
      <w:pPr>
        <w:ind w:right="20" w:firstLine="510"/>
        <w:spacing w:after="0" w:line="272" w:lineRule="auto"/>
        <w:rPr>
          <w:sz w:val="20"/>
          <w:szCs w:val="20"/>
          <w:color w:val="auto"/>
        </w:rPr>
      </w:pPr>
      <w:r>
        <w:rPr>
          <w:rFonts w:ascii="Arial" w:cs="Arial" w:eastAsia="Arial" w:hAnsi="Arial"/>
          <w:sz w:val="17"/>
          <w:szCs w:val="17"/>
          <w:color w:val="auto"/>
        </w:rPr>
        <w:t>If the third parties that we engage to supply any materials or to manufacture any products for our preclinical tests and clinical trials should cease to continue to do so for any reason, including due to the effects of the COVID-19 pandemic and the actions undertaken by governments and private enterprises to contain COVID-19,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At some of our contract manufacturing sites, COVID-19-related restrictions, including temporary shutdowns, and instances of COVID-19 cases impacting personnel have resulted in some delays.</w:t>
      </w:r>
    </w:p>
    <w:p>
      <w:pPr>
        <w:spacing w:after="0" w:line="17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Our current and anticipated dependence upon others for the manufacture of our product candidates and materials necessary for production of our product candidates may adversely affect our profit margins and our ability to develop product candidates and commercialize any products that receive marketing approval on a timely and competitive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reliant on a sole supplier for certain steps of our manufacturing process.</w:t>
      </w:r>
    </w:p>
    <w:p>
      <w:pPr>
        <w:spacing w:after="0" w:line="225"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Our manufacturing process for NKX101 and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strategy to mitigate against the risk of shortage due to disruption of the supply chain.</w:t>
      </w:r>
    </w:p>
    <w:p>
      <w:pPr>
        <w:spacing w:after="0" w:line="18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result in lower yields or not be as suitable for our purposes. In addition, some of the raw materials that we use are complex materials, which may be more difficult to substitute. Therefore, supply disruptions could result in delays and additional regulatory submissions and prevent us from being able to manufacture our product candidates due to the unsuitability of the substituted reagent or consumable that we are able to procure.</w:t>
      </w:r>
    </w:p>
    <w:p>
      <w:pPr>
        <w:spacing w:after="0" w:line="19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Any disruption in supply of these instruments and reagents could result in delays in our clinical trials, which would materially adversely affect our business, financial condition, results of operations and growth prospects.</w:t>
      </w:r>
    </w:p>
    <w:p>
      <w:pPr>
        <w:spacing w:after="0" w:line="2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Delays in commissioning and receiving regulatory approvals for our manufacturing facilities could delay our development plans and thereby limit our ability to develop our product candidates and generate revenues.</w:t>
      </w:r>
    </w:p>
    <w:p>
      <w:pPr>
        <w:spacing w:after="0" w:line="170"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believe that internal cGMP manufacturing is important to facilitate clinical product supply, lower the risk of manufacturing disruptions and enable more cost-effective manufacturing. We have completed the construction of a cGMP facility in South San Francisco, California that will allow us to supply the product candidates needed for our early-stage clinical trials. We also plan to build a facility for the commercial-scale manufacture of our product candidates in the future. The design, construction, qualification and regulatory approvals for such facilities require substantial capital and technical expertise and any delay would limit our development activities and our opportunities for growth.</w:t>
      </w:r>
    </w:p>
    <w:p>
      <w:pPr>
        <w:spacing w:after="0" w:line="17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may encounter problems with the following:</w:t>
      </w:r>
    </w:p>
    <w:p>
      <w:pPr>
        <w:spacing w:after="0" w:line="117" w:lineRule="exact"/>
        <w:rPr>
          <w:sz w:val="20"/>
          <w:szCs w:val="20"/>
          <w:color w:val="auto"/>
        </w:rPr>
      </w:pPr>
    </w:p>
    <w:p>
      <w:pPr>
        <w:ind w:left="1000" w:right="2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complying with regulations regarding evolving donor infectious disease testing, traceability, manufacturing, release of product candidates and other requirements from regulatory authorities outside the United States;</w:t>
      </w:r>
    </w:p>
    <w:p>
      <w:pPr>
        <w:spacing w:after="0" w:line="62"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bacterial, fungal or viral contamination in our manufacturing facility;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disruptions due to natural disasters or supply chain interruptions;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shortages of qualified personnel, raw materials or key contractors.</w:t>
      </w:r>
    </w:p>
    <w:p>
      <w:pPr>
        <w:spacing w:after="0" w:line="225"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30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optimal donor and manufacturing parameters for our product candidates have not been definitively established, which may hinder our ability to optimize our product candidates or to address any safety or efficacy issues that may arise.</w:t>
      </w:r>
    </w:p>
    <w:p>
      <w:pPr>
        <w:spacing w:after="0" w:line="170"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we have not, at present, fully characterized or identified how donor characteristics and manufacturing process parameters affect the optimal cancer cell killing ability for our engineered NK 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dependent on third parties to store our CAR-NK cells, viral vector, master and working cell banks of the engineered K562 cells, and any damage or loss would cause delays in replacement, and our business could suffer.</w:t>
      </w:r>
    </w:p>
    <w:p>
      <w:pPr>
        <w:spacing w:after="0" w:line="170" w:lineRule="exact"/>
        <w:rPr>
          <w:sz w:val="20"/>
          <w:szCs w:val="20"/>
          <w:color w:val="auto"/>
        </w:rPr>
      </w:pPr>
    </w:p>
    <w:p>
      <w:pPr>
        <w:ind w:right="240" w:firstLine="510"/>
        <w:spacing w:after="0" w:line="273" w:lineRule="auto"/>
        <w:rPr>
          <w:sz w:val="20"/>
          <w:szCs w:val="20"/>
          <w:color w:val="auto"/>
        </w:rPr>
      </w:pPr>
      <w:r>
        <w:rPr>
          <w:rFonts w:ascii="Arial" w:cs="Arial" w:eastAsia="Arial" w:hAnsi="Arial"/>
          <w:sz w:val="17"/>
          <w:szCs w:val="17"/>
          <w:color w:val="auto"/>
        </w:rPr>
        <w:t>The CAR-NK cells, the viral vector, and the master and working cell banks of the engineered K562 cells are stored in freezers at third-party biorepositories and will also be stored in our freezers at our production facility. If these materials are damaged at these facilities, including by the loss or malfunction of these freezers or our back-up power systems, as well as by damage from fire, power loss or other natural disasters, we would need to establish replacement CAR-NK cells, viral vector, and master and working cell banks of the engineered K562 cells, which would impact clinical supply and delay our patients’ treatments. If we are unable to establish replacement materials, we could incur significant additional expenses and liability to patients whose treatment is delayed, and our business could suffer.</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not yet developed a validated methodology for freezing and thawing commercial-scale quantities of CAR-NK cells, which we believe will be required for the storage and distribution of our CAR-NK product candidates.</w:t>
      </w:r>
    </w:p>
    <w:p>
      <w:pPr>
        <w:spacing w:after="0" w:line="170"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We have not yet demonstrated that CAR-NK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 If we are unable to freeze CAR-NK cells for shipping purposes, our ability to promote adoption and standardization of our products, as well as achieve economies of scale by centralizing our production facility, will be limited. Even if we are able to successfully freeze and thaw CAR-NK cells in large quantities, we will still need to develop a cost-effective and reliable distribution and logistics network, which we may be unable to accomplish.</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Furthermore, we have not yet demonstrated long-term stability of cryopreserved CAR-NK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120" w:firstLine="510"/>
        <w:spacing w:after="0" w:line="263" w:lineRule="auto"/>
        <w:rPr>
          <w:sz w:val="20"/>
          <w:szCs w:val="20"/>
          <w:color w:val="auto"/>
        </w:rPr>
      </w:pPr>
      <w:r>
        <w:rPr>
          <w:rFonts w:ascii="Arial" w:cs="Arial" w:eastAsia="Arial" w:hAnsi="Arial"/>
          <w:sz w:val="18"/>
          <w:szCs w:val="18"/>
          <w:color w:val="auto"/>
        </w:rPr>
        <w:t>For these and other reasons, we have not yet established the long-term stability of our cryopreserved CAR-NK Cells and we may not be able to commercialize CAR-NK cells on a large scale or in a cost-effective manner. If such product is found to be instable, we would be required to conduct more frequent manufacturing runs, which could cause us to incur significant additional expenses.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our license agreement with National University of Singapore and St. Jude’s Children’s Research Hospital, Inc. is terminated, we could lose our rights to key components enabling our NK cell engineering platform.</w:t>
      </w:r>
    </w:p>
    <w:p>
      <w:pPr>
        <w:spacing w:after="0" w:line="170" w:lineRule="exact"/>
        <w:rPr>
          <w:sz w:val="20"/>
          <w:szCs w:val="20"/>
          <w:color w:val="auto"/>
        </w:rPr>
      </w:pPr>
    </w:p>
    <w:p>
      <w:pPr>
        <w:ind w:right="180" w:firstLine="510"/>
        <w:spacing w:after="0" w:line="289" w:lineRule="auto"/>
        <w:rPr>
          <w:sz w:val="20"/>
          <w:szCs w:val="20"/>
          <w:color w:val="auto"/>
        </w:rPr>
      </w:pPr>
      <w:r>
        <w:rPr>
          <w:rFonts w:ascii="Arial" w:cs="Arial" w:eastAsia="Arial" w:hAnsi="Arial"/>
          <w:sz w:val="16"/>
          <w:szCs w:val="16"/>
          <w:color w:val="auto"/>
        </w:rPr>
        <w:t>In August 2016, we entered into a license agreement with the National University of Singapore and St. Jude Children’s Research Hospital, Inc., or the Licensors. Pursuant to this license, the Licensors granted to us an exclusive, worldwide, royalty-bearing, sublicensable license under specified patents and patent applications related to NK cell technology in the field of therapeutics.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or necessary to the development or production of our product candidates, which could impede or prevent our successful commercialization of such product candidates and materially adversely affect our business, financial condition, results of operations and growth prospects.</w:t>
      </w:r>
    </w:p>
    <w:p>
      <w:pPr>
        <w:spacing w:after="0" w:line="166"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Furthermore, our patent license agreement with the Licensors is field-specific and has been granted to us in the field of therapeutics. This license agreement permits to Licensors to practice the licensed rights, and to allow non-profit academic third parties to practice the licensed rights for certain academic purposes. As such, certain patents in a patent family that is licensed to us by the Licensors have been licensed to at least one other third party. Although these patents should not be overlapping with our licensed patents,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w:t>
      </w:r>
    </w:p>
    <w:p>
      <w:pPr>
        <w:spacing w:after="0" w:line="2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development and commercialization rights to our current and future product candidates and technology are subject, in part, to the terms and conditions of licenses granted to us by others.*</w:t>
      </w:r>
    </w:p>
    <w:p>
      <w:pPr>
        <w:spacing w:after="0" w:line="170"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patent portfolio consists of a combination of issued patents and pending patent applications licensed from third parties, jointly owned with third parties and assigned solely to us based on our ongoing development activities. We are reliant upon certain of these rights and proprietary technology from third parties for the engineering and development of our current and future product candidates. However, these and other licenses may not provide exclusive rights to use such intellectual property and technology in all relevant fields of use and in all territories in which we choose to develop or commercialize our technology and products in the future. As a result, we may not be able to prevent competitors from developing and commercializing competitive products in territories included in all of our licenses.</w:t>
      </w:r>
    </w:p>
    <w:p>
      <w:pPr>
        <w:spacing w:after="0" w:line="19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an institution.</w:t>
      </w:r>
    </w:p>
    <w:p>
      <w:pPr>
        <w:spacing w:after="0" w:line="18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also may in some instances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 cell therapies that have been gene-edited using CRISPR’s gene-editing technology.</w:t>
      </w:r>
    </w:p>
    <w:p>
      <w:pPr>
        <w:spacing w:after="0" w:line="17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have materially adversely affect our business, financial condition, results of operations and growth prospects.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firstLine="510"/>
        <w:spacing w:after="0" w:line="296" w:lineRule="auto"/>
        <w:rPr>
          <w:sz w:val="20"/>
          <w:szCs w:val="20"/>
          <w:color w:val="auto"/>
        </w:rPr>
      </w:pPr>
      <w:r>
        <w:rPr>
          <w:rFonts w:ascii="Arial" w:cs="Arial" w:eastAsia="Arial" w:hAnsi="Arial"/>
          <w:sz w:val="16"/>
          <w:szCs w:val="16"/>
          <w:color w:val="auto"/>
        </w:rPr>
        <w:t>Under certain circumstances such as a material breach of terms, our licensors could terminate our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6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If our licensors fail to prosecute, maintain, enforce and defend such patents, or lose rights to those patents or patent applications, the rights we have licensed may be reduced or eliminated, and our right to develop and commercialize any of our products that are the subject of such licensed rights could be impaired. Additionally, we may be required to reimburse our licensors for all of their expenses related to the prosecution, maintenance, enforcement and defense of patents and patent applications that we in-license from them.</w:t>
      </w:r>
    </w:p>
    <w:p>
      <w:pPr>
        <w:spacing w:after="0" w:line="195"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Furthermore, 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harm our competitive position, and our business.</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Duration of patent terms may be inadequate to protect our competitive position on our product candidates for an adequate amount of time, and the expiration of our patents may subject us to increased competition.*</w:t>
      </w:r>
    </w:p>
    <w:p>
      <w:pPr>
        <w:spacing w:after="0" w:line="170"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As of March 31, 2021, the patent portfolio that is assigned to us, jointly owned with others or licensed to us includes nine issued U.S. patents, one issued European patent, one issued Chinese patent, one issued Japanese patent, one issued Korean patent, 9 pending U.S. patent applications and 47 pending international patent applications, across our Platform, NKX101 and NKX019 families. Our portfolio of issued patents, excluding pending patent applications, has expiration dates between 2024 and 2035. Our portfolio, including issued patents, and including pending applications if they issue, has expiration dates between 2024 and 2041. At least 45 of our issued patents and pending patent applications relate to supporting commercialization of our current product candidates, while the remaining issued patents and pending patent applications relate to future product candidates and alternative technologies. We plan to file additional patent applications that could potentially allow for further increase of the exclusive market protection for use of NKX101 and NKX019. However, we can provide no assurance that we will be able to file or receive additional patent protection for these or other product candidates.</w:t>
      </w:r>
    </w:p>
    <w:p>
      <w:pPr>
        <w:spacing w:after="0" w:line="19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In addition, if we fail to apply for applicable patent term extensions or adjustments, we will have a more limited time during which we can enforce our granted patent rights.</w:t>
      </w:r>
    </w:p>
    <w:p>
      <w:pPr>
        <w:spacing w:after="0" w:line="192"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United States Patent and Trademark Office, or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right="160"/>
        <w:spacing w:after="0" w:line="277" w:lineRule="auto"/>
        <w:rPr>
          <w:sz w:val="20"/>
          <w:szCs w:val="20"/>
          <w:color w:val="auto"/>
        </w:rPr>
      </w:pPr>
      <w:r>
        <w:rPr>
          <w:rFonts w:ascii="Arial" w:cs="Arial" w:eastAsia="Arial" w:hAnsi="Arial"/>
          <w:sz w:val="18"/>
          <w:szCs w:val="18"/>
          <w:color w:val="auto"/>
        </w:rPr>
        <w:t>launch their product earlier than might otherwise be the case, which could increase competition for our product candidates and materially adversely affect our business, financial condition, results of operations and growth prospects.</w:t>
      </w:r>
    </w:p>
    <w:p>
      <w:pPr>
        <w:spacing w:after="0" w:line="2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any patent protection we obtain is not sufficiently robust, our competitors could develop and commercialize products and technology similar or identical to ours.</w:t>
      </w:r>
    </w:p>
    <w:p>
      <w:pPr>
        <w:spacing w:after="0" w:line="170"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w:t>
      </w:r>
    </w:p>
    <w:p>
      <w:pPr>
        <w:spacing w:after="0" w:line="16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 patent position of biotechnology and pharmaceutical companies generally is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w:t>
      </w:r>
    </w:p>
    <w:p>
      <w:pPr>
        <w:spacing w:after="0" w:line="171"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We may also fail to identify patentable aspects of our research and development output before it is too late to obtain patent protection.</w:t>
      </w:r>
    </w:p>
    <w:p>
      <w:pPr>
        <w:spacing w:after="0" w:line="184"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Claim scope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spacing w:after="0" w:line="27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Even after issuance, our owned and in-licensed patents may be subject to challenge, which if successful could require us to obtain licenses from third parties, which may not be available on commercially reasonable terms or at all, or to cease the use of the underlying technology, which could materially adversely affect our business.</w:t>
      </w:r>
    </w:p>
    <w:p>
      <w:pPr>
        <w:spacing w:after="0" w:line="184"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w:t>
      </w:r>
    </w:p>
    <w:p>
      <w:pPr>
        <w:spacing w:after="0" w:line="17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Even if our patents are determined to be valid and enforceable, they may not be interpreted sufficiently broadly to prevent others from marketing products similar to ours or designing around our patents.</w:t>
      </w:r>
    </w:p>
    <w:p>
      <w:pPr>
        <w:spacing w:after="0" w:line="170" w:lineRule="exact"/>
        <w:rPr>
          <w:sz w:val="20"/>
          <w:szCs w:val="20"/>
          <w:color w:val="auto"/>
        </w:rPr>
      </w:pPr>
    </w:p>
    <w:p>
      <w:pPr>
        <w:ind w:right="140" w:firstLine="510"/>
        <w:spacing w:after="0" w:line="269" w:lineRule="auto"/>
        <w:rPr>
          <w:sz w:val="20"/>
          <w:szCs w:val="20"/>
          <w:color w:val="auto"/>
        </w:rPr>
      </w:pPr>
      <w:r>
        <w:rPr>
          <w:rFonts w:ascii="Arial" w:cs="Arial" w:eastAsia="Arial" w:hAnsi="Arial"/>
          <w:sz w:val="17"/>
          <w:szCs w:val="17"/>
          <w:color w:val="auto"/>
        </w:rPr>
        <w:t>We are currently involved in one patent re-examination proceeding. On August 1, 2018, a third party requested ex parte re-examination of certain claims of U.S. Patent No. 9,511,092 and this re-examination is currently pending with the USPTO. On August 2, 2019, a third party requested an ex parte reexamination on the remaining claims of U.S. Patent No. 9,511,092, with the USPTO subsequently issuing a Reexamination Certificate confirming patentability of the claims in an amended form on August 18, 2020. U.S. Patent No. 9,511,092 relates generally to chimeric receptor complexes that bind certain specific natural killer cell ligands and methods of using natural killer cells. U.S. Patent No. 9,511,092 does not relate to our current product candidates but may relate to future product candidates or alternative technologies. Although we plan to vigorously protect our intellectual property rights, as with all legal proceedings, there can be no guarantee as to the outcome, and, regardless of the merits of third-party challenges, such proceedings are time-consuming and costly. As a result of such reexaminations, our rights under the relevant patents could be narrowed or lost, and in the course of such proceedings, we may incur substantial costs, and the time and attention of our management may be diverted from the development and commercialization of our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right="38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could materially adversely affect our ability to develop, manufacture and market our product candidates.</w:t>
      </w:r>
    </w:p>
    <w:p>
      <w:pPr>
        <w:spacing w:after="0" w:line="170"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There are many patents issued or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w:t>
      </w:r>
    </w:p>
    <w:p>
      <w:pPr>
        <w:spacing w:after="0" w:line="17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products or technology similar to ours. Any such patent application may have priority over our patent applications or patents, which could further require us to obtain rights to patents directed to such technologies. If third parties have filed such patent applications, an interference proceeding in the United States can be initiated by such third party, or by the USPTO itself, to determine who was the first to invent any of the subject matter recited by the patent claims of our applications.</w:t>
      </w:r>
    </w:p>
    <w:p>
      <w:pPr>
        <w:spacing w:after="0" w:line="166"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are not covered by a third party patent or may incorrectly predict whether a third party’s pending application will issue with claims of relevant scope. Our determination of the expiration date of any patent in the United States or elsewhere that we consider relevant may also be incorrect. If we fail to correctly identify or interpret relevant patents,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w:t>
      </w:r>
    </w:p>
    <w:p>
      <w:pPr>
        <w:spacing w:after="0" w:line="29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spacing w:after="0" w:line="18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success depends in part on our ability to develop, manufacture and market our technology and use our technology without infringing the proprietary rights of third parties. As the relevant product industries expand and more patents are issued, the risk increases that there may be patents issued to third parties that relate to our products and technology of which we are not aware or that we may need to challenge to continue our operations as currently contemplated. As a result, our technology and any future products that we commercialize could be alleged to infringe patent rights and other proprietary rights of third parties, which may require costly litigation and, if we are not successful, could cause us to pay substantial damages and/or limit our ability to commercialize our product candidates.</w:t>
      </w:r>
    </w:p>
    <w:p>
      <w:pPr>
        <w:spacing w:after="0" w:line="19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may face allegations that we have infringed the trademarks, copyrights, patents and other intellectual property rights of third parties. 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6" w:name="page57"/>
    <w:bookmarkEnd w:id="56"/>
    <w:p>
      <w:pPr>
        <w:ind w:right="140" w:firstLine="510"/>
        <w:spacing w:after="0" w:line="254" w:lineRule="auto"/>
        <w:rPr>
          <w:sz w:val="20"/>
          <w:szCs w:val="20"/>
          <w:color w:val="auto"/>
        </w:rPr>
      </w:pPr>
      <w:r>
        <w:rPr>
          <w:rFonts w:ascii="Arial" w:cs="Arial" w:eastAsia="Arial" w:hAnsi="Arial"/>
          <w:sz w:val="18"/>
          <w:szCs w:val="18"/>
          <w:color w:val="auto"/>
        </w:rPr>
        <w:t>Results of any such litigation are difficult to predict and may require us to stop treating certain conditions, obtain licenses or modify our product candidates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or require us to take a license from a third party, which the third party is not required to do at a commercially reasonable price or at all. If a license is available from a third party, we may have to pay substantial royalties, upfront fees, milestone fees, or grant cross-licenses to intellectual property rights for our products. We may also have to redesign our products so they do not infringe third-party intellectual property rights, which may not be possible or may require substantial monetary expenditures and time, during which our products may not be available for manufacture, use, or sale.</w:t>
      </w:r>
    </w:p>
    <w:p>
      <w:pPr>
        <w:spacing w:after="0" w:line="300" w:lineRule="exact"/>
        <w:rPr>
          <w:sz w:val="20"/>
          <w:szCs w:val="20"/>
          <w:color w:val="auto"/>
        </w:rPr>
      </w:pPr>
    </w:p>
    <w:p>
      <w:pPr>
        <w:ind w:right="680"/>
        <w:spacing w:after="0" w:line="381" w:lineRule="auto"/>
        <w:rPr>
          <w:sz w:val="20"/>
          <w:szCs w:val="20"/>
          <w:color w:val="auto"/>
        </w:rPr>
      </w:pPr>
      <w:r>
        <w:rPr>
          <w:rFonts w:ascii="Arial" w:cs="Arial" w:eastAsia="Arial" w:hAnsi="Arial"/>
          <w:sz w:val="15"/>
          <w:szCs w:val="15"/>
          <w:b w:val="1"/>
          <w:bCs w:val="1"/>
          <w:i w:val="1"/>
          <w:iCs w:val="1"/>
          <w:color w:val="auto"/>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spacing w:after="0" w:line="100"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or service features, which could in turn reduce demand for our products.</w:t>
      </w:r>
    </w:p>
    <w:p>
      <w:pPr>
        <w:spacing w:after="0" w:line="18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We may also, from time to time, seek to enforce our intellectual property rights against infringers when we determine that a successful outcome is probable and may lead to an increase in the value of the intellectual property.</w:t>
      </w:r>
    </w:p>
    <w:p>
      <w:pPr>
        <w:spacing w:after="0" w:line="170"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If we choose to enforce our patent rights against a party, that party could counterclaim that our patent is invalid and/or unenforceable. The defendant may challenge our patents through proceedings before the Patent Trial and Appeal Board, or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w:t>
      </w:r>
    </w:p>
    <w:p>
      <w:pPr>
        <w:spacing w:after="0" w:line="168"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w:t>
      </w:r>
    </w:p>
    <w:p>
      <w:pPr>
        <w:spacing w:after="0" w:line="178"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We have a number of international patents and patent applications and expect to continue to pursue patent protection in many of the significant markets in which we intend to do business. However, filing, prosecuting and defending patents relating to our product candidates,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right="100" w:firstLine="510"/>
        <w:spacing w:after="0" w:line="254" w:lineRule="auto"/>
        <w:rPr>
          <w:sz w:val="20"/>
          <w:szCs w:val="20"/>
          <w:color w:val="auto"/>
        </w:rPr>
      </w:pPr>
      <w:r>
        <w:rPr>
          <w:rFonts w:ascii="Arial" w:cs="Arial" w:eastAsia="Arial" w:hAnsi="Arial"/>
          <w:sz w:val="18"/>
          <w:szCs w:val="18"/>
          <w:color w:val="auto"/>
        </w:rPr>
        <w:t>Furthermore, the protection offered by intellectual property rights in certain countries outside of the United States may be less extensive than those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w:t>
      </w:r>
    </w:p>
    <w:p>
      <w:pPr>
        <w:spacing w:after="0" w:line="30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spacing w:after="0" w:line="170"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over the past 20 years,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w:t>
      </w:r>
    </w:p>
    <w:p>
      <w:pPr>
        <w:spacing w:after="0" w:line="16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Changes in either the patent laws or interpretation of the patent laws in the United States could increase the uncertainties and costs surrounding the prosecution of patent applications and the enforcement or defense of issued patents. Under the Leahy-Smith America Invents Act, or the America Invents Act,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inter partes review and derivation proceedings. However, the America Invents Act and its implementation could increase the uncertainties and costs surrounding the prosecution of our patent applications and the enforcement or defense of our issued patents, all of which could materially adversely affect our business, financial condition, results of operations and growth prospects.</w:t>
      </w:r>
    </w:p>
    <w:p>
      <w:pPr>
        <w:spacing w:after="0" w:line="166"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enforce assignments of intellectual property rights from our employees and contractors.</w:t>
      </w:r>
    </w:p>
    <w:p>
      <w:pPr>
        <w:spacing w:after="0" w:line="225"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materially diminished.</w:t>
      </w:r>
    </w:p>
    <w:p>
      <w:pPr>
        <w:spacing w:after="0" w:line="170"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outside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w:t>
      </w:r>
    </w:p>
    <w:p>
      <w:pPr>
        <w:spacing w:after="0" w:line="29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spacing w:after="0" w:line="124"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The U.S. government has certain rights in some of our licensed patents (including U.S. Patent Nos. 7,435,596, 8,026,097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has the right to require us to grant exclusive licenses to such inventions to a third party if the U.S. government determines that: (i) adequate steps have not been taken to commercialize the invention; (ii) government action is necessary to meet public health or safety needs; or (iii) government action is necessary to meet requirements for public use under federal regulations.</w:t>
      </w:r>
    </w:p>
    <w:p>
      <w:pPr>
        <w:spacing w:after="0" w:line="178"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future in-licensed intellectual property is generated through the use of U.S. government funding, these provisions of the Bayh-Dole Act may apply.</w:t>
      </w:r>
    </w:p>
    <w:p>
      <w:pPr>
        <w:spacing w:after="0" w:line="171"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If we are unable to obtain a waiver from the government agency that provided the underlying research funding, we may be limited in our ability to contract with non-U.S. product manufacturers for products related to such intellectual property.</w:t>
      </w:r>
    </w:p>
    <w:p>
      <w:pPr>
        <w:spacing w:after="0" w:line="17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p>
    <w:p>
      <w:pPr>
        <w:spacing w:after="0" w:line="18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currently have no sales, marketing or distribution organizational infrastructure. We will need to develop internal sales, marketing and distribution capabilities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w:t>
      </w:r>
    </w:p>
    <w:p>
      <w:pPr>
        <w:spacing w:after="0" w:line="29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product candidates, including NKX101 and NKX019, could be subject to regulatory limitations following approval, if and when such approval is granted.</w:t>
      </w:r>
    </w:p>
    <w:p>
      <w:pPr>
        <w:spacing w:after="0" w:line="17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NKX101 and NKX019 or other product candidates in development.</w:t>
      </w:r>
    </w:p>
    <w:p>
      <w:pPr>
        <w:spacing w:after="0" w:line="18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w:t>
      </w:r>
    </w:p>
    <w:p>
      <w:pPr>
        <w:spacing w:after="0" w:line="192"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In addition, if we or others identify side-effects after any of our products are on the market, if manufacturing problems occur subsequent to regulatory approval, or if we, our manufacturers or our partners fail to comply with regulatory requirements, including those mentioned above, we or our partners could be subject to the following:</w:t>
      </w:r>
    </w:p>
    <w:p>
      <w:pPr>
        <w:spacing w:after="0" w:line="76"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such products’ manufacturing processes;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the product label;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marketing of a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product distribution;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Untitled or Warning Letters from the FDA;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the product from the market;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60" w:name="page61"/>
    <w:bookmarkEnd w:id="60"/>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225"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w:t>
      </w:r>
    </w:p>
    <w:p>
      <w:pPr>
        <w:spacing w:after="0" w:line="28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market opportunities for our product candidates, if and when approved, may be limited, and if such market opportunities are smaller than we expect, our revenues could be materially adversely affected and our business could suffer.</w:t>
      </w:r>
    </w:p>
    <w:p>
      <w:pPr>
        <w:spacing w:after="0" w:line="17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initial clinical trials evaluate NKX101 and NKX019 in relapsed/refractory patients who have been previously treated with other anti-cancer therapies. We do not know at this time whether either NKX101 or NKX019 or any of our product candidates will be safe for use in humans or whether they will demonstrate any anti-cancer activity. If the activity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w:t>
      </w:r>
    </w:p>
    <w:p>
      <w:pPr>
        <w:spacing w:after="0" w:line="177" w:lineRule="exact"/>
        <w:rPr>
          <w:sz w:val="20"/>
          <w:szCs w:val="20"/>
          <w:color w:val="auto"/>
        </w:rPr>
      </w:pPr>
    </w:p>
    <w:p>
      <w:pPr>
        <w:ind w:right="380" w:firstLine="510"/>
        <w:spacing w:after="0" w:line="273" w:lineRule="auto"/>
        <w:rPr>
          <w:sz w:val="20"/>
          <w:szCs w:val="20"/>
          <w:color w:val="auto"/>
        </w:rPr>
      </w:pPr>
      <w:r>
        <w:rPr>
          <w:rFonts w:ascii="Arial" w:cs="Arial" w:eastAsia="Arial" w:hAnsi="Arial"/>
          <w:sz w:val="17"/>
          <w:szCs w:val="17"/>
          <w:color w:val="auto"/>
        </w:rPr>
        <w:t>The number of patients who have the cancers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spacing w:after="0" w:line="28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product candidates will depend upon such product candidate’s degree of market acceptance by physicians, patients, third-party payors and others in the medical community.</w:t>
      </w:r>
    </w:p>
    <w:p>
      <w:pPr>
        <w:spacing w:after="0" w:line="170"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w:t>
      </w:r>
    </w:p>
    <w:p>
      <w:pPr>
        <w:spacing w:after="0" w:line="56"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physicians to refer patients and prescribe new therapies;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1" w:name="page62"/>
    <w:bookmarkEnd w:id="61"/>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prevalence and severity of any side effects;</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labeling or product insert requirements imposed by the FDA or other regulatory authorities, including any limitations or warnings contained in a product’s approved labeling;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publicity concerning our product candidates or favorable publicity about competing products and treatments;</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sufficient third-party payor coverage, any limitations in terms of center or personnel training requirement imposed by third parties and adequate reimbursement;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or warnings contained in the FDA-approved labeling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FDA requirement to undertake a REMS;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our sales, marketing and distribution efforts;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Even if a product candidate displays a favorable efficacy and safety profile in preclinical studies and clinical trials, market acceptance of the product will not be fully known until after such product is launched. Our product candidates may not achieve broad market acceptance.</w:t>
      </w:r>
    </w:p>
    <w:p>
      <w:pPr>
        <w:spacing w:after="0" w:line="170"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p>
    <w:p>
      <w:pPr>
        <w:spacing w:after="0" w:line="12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expect the cost of a single administration of one of our cell therapy product candidates to be substantial, when and if they achieve regulatory approval. We expect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w:t>
      </w:r>
    </w:p>
    <w:p>
      <w:pPr>
        <w:spacing w:after="0" w:line="19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8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CMS the agency responsible for administering Medicare. It is difficult to predict what CMS will decide with respect to coverage and reimbursement for fundamentally novel products such as ours, since there is no body of established protocols and precedents for these types of drug products. Moreover, reimbursement agencies in other countries, such as those in Europe, may be more conservative than CMS. It is difficult to predict what third-party payors will decide with respect to the coverage and reimbursement for our product candidates.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2" w:name="page63"/>
    <w:bookmarkEnd w:id="62"/>
    <w:p>
      <w:pPr>
        <w:ind w:firstLine="510"/>
        <w:spacing w:after="0" w:line="290" w:lineRule="auto"/>
        <w:rPr>
          <w:sz w:val="20"/>
          <w:szCs w:val="20"/>
          <w:color w:val="auto"/>
        </w:rPr>
      </w:pPr>
      <w:r>
        <w:rPr>
          <w:rFonts w:ascii="Arial" w:cs="Arial" w:eastAsia="Arial" w:hAnsi="Arial"/>
          <w:sz w:val="16"/>
          <w:szCs w:val="16"/>
          <w:color w:val="auto"/>
        </w:rPr>
        <w:t>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65"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initiatives and other administrative and legislative proposals may harm our business.</w:t>
      </w:r>
    </w:p>
    <w:p>
      <w:pPr>
        <w:spacing w:after="0" w:line="225"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payors. Among the provisions of the ACA, those of greatest importance to the pharmaceutical and biotechnology industries include the following:</w:t>
      </w:r>
    </w:p>
    <w:p>
      <w:pPr>
        <w:spacing w:after="0" w:line="56" w:lineRule="exact"/>
        <w:rPr>
          <w:sz w:val="20"/>
          <w:szCs w:val="20"/>
          <w:color w:val="auto"/>
        </w:rPr>
      </w:pPr>
    </w:p>
    <w:p>
      <w:pPr>
        <w:ind w:left="1000" w:right="42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1000" w:right="20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75"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1000" w:right="46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17"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establishment of the CMS to test innovative payment and service delivery models to lower Medicare and Medicaid spending, potentially including prescription drug spending.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firstLine="510"/>
        <w:spacing w:after="0" w:line="28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and we expect there will be additional challenges and amendments to the ACA. For example, the Tax Cuts and Jobs Act of 2017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Further, the 2020 federal spending package eliminated, effective January 1, 2020, the ACA-mandated “Cadillac” tax on high-cost employer-sponsored health coverage and medical device tax and, effective January 1, 2021, also eliminated the health insurer. On December 14, 2018, a U.S. District Court Judge in the Northern District of Texas ruled that the individual mandate is an inseverable feature of the ACA, and therefore, because it was repealed as part of the Tax Act, the remaining provisions of the ACA are invalid as well. The U.S. Supreme Court is currently reviewing this case, but it is unknown when a decision will be reached.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171"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March 31, 2021 due to the COVID-19 pandemic. Proposed legislation, if passed, would extend this suspension until the end of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66" w:lineRule="exact"/>
        <w:rPr>
          <w:sz w:val="20"/>
          <w:szCs w:val="20"/>
          <w:color w:val="auto"/>
        </w:rPr>
      </w:pPr>
    </w:p>
    <w:p>
      <w:pPr>
        <w:ind w:right="200" w:firstLine="510"/>
        <w:spacing w:after="0" w:line="272" w:lineRule="auto"/>
        <w:rPr>
          <w:sz w:val="20"/>
          <w:szCs w:val="20"/>
          <w:color w:val="auto"/>
        </w:rPr>
      </w:pPr>
      <w:r>
        <w:rPr>
          <w:rFonts w:ascii="Arial" w:cs="Arial" w:eastAsia="Arial" w:hAnsi="Arial"/>
          <w:sz w:val="17"/>
          <w:szCs w:val="17"/>
          <w:color w:val="auto"/>
        </w:rPr>
        <w:t>There have also been a number of proposals in the United States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Recent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Congress and the Trump administration have each indicated that it will continue to seek new legislative and/or administrative measures to control drug costs. On May 11, 2018, the Trump administration issued a plan to lower drug prices.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firstLine="510"/>
        <w:spacing w:after="0" w:line="284"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 On July 24, 2020 and September 13, 2020, former President Trump signed several executive orders aimed at lowering drug prices. As a result, the FDA released a final rule on September 24, 2020, effective November 30, 2020, providing guidance for states to build and submit importation plans for drugs from Canada. Further, on November 20, 2020, the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changes may adversely impact the prices we or our future collaborators may charge for our products candidates, if commercialized.</w:t>
      </w:r>
    </w:p>
    <w:p>
      <w:pPr>
        <w:spacing w:after="0" w:line="2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Obtaining and maintaining marketing approval or commercialization of our product candidates in one jurisdiction does not mean that we will be successful in obtaining marketing approval of our product candidates in other jurisdictions.</w:t>
      </w:r>
    </w:p>
    <w:p>
      <w:pPr>
        <w:spacing w:after="0" w:line="170"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 we market approved products outside the United States, we expect that we will be subject to additional risks in commercialization, including:</w:t>
      </w:r>
    </w:p>
    <w:p>
      <w:pPr>
        <w:spacing w:after="0" w:line="129" w:lineRule="exact"/>
        <w:rPr>
          <w:sz w:val="20"/>
          <w:szCs w:val="20"/>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therapies in foreign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00" w:right="240" w:hanging="493"/>
        <w:spacing w:after="0" w:line="342" w:lineRule="auto"/>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including earthquakes, typhoons, floods and fires, and other public health crises, illnesses, epidemics or pandemics, such as the potential impact of the COVID-19 outbreak.</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jc w:val="both"/>
        <w:ind w:right="240" w:firstLine="510"/>
        <w:spacing w:after="0" w:line="263" w:lineRule="auto"/>
        <w:rPr>
          <w:sz w:val="20"/>
          <w:szCs w:val="20"/>
          <w:color w:val="auto"/>
        </w:rPr>
      </w:pPr>
      <w:r>
        <w:rPr>
          <w:rFonts w:ascii="Arial" w:cs="Arial" w:eastAsia="Arial" w:hAnsi="Arial"/>
          <w:sz w:val="18"/>
          <w:szCs w:val="18"/>
          <w:color w:val="auto"/>
        </w:rPr>
        <w:t>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w:t>
      </w:r>
    </w:p>
    <w:p>
      <w:pPr>
        <w:spacing w:after="0" w:line="292" w:lineRule="exact"/>
        <w:rPr>
          <w:sz w:val="20"/>
          <w:szCs w:val="20"/>
          <w:color w:val="auto"/>
        </w:rPr>
      </w:pPr>
    </w:p>
    <w:p>
      <w:pPr>
        <w:ind w:right="500"/>
        <w:spacing w:after="0" w:line="381" w:lineRule="auto"/>
        <w:rPr>
          <w:sz w:val="20"/>
          <w:szCs w:val="20"/>
          <w:color w:val="auto"/>
        </w:rPr>
      </w:pPr>
      <w:r>
        <w:rPr>
          <w:rFonts w:ascii="Arial" w:cs="Arial" w:eastAsia="Arial" w:hAnsi="Arial"/>
          <w:sz w:val="15"/>
          <w:szCs w:val="15"/>
          <w:b w:val="1"/>
          <w:bCs w:val="1"/>
          <w:i w:val="1"/>
          <w:iCs w:val="1"/>
          <w:color w:val="auto"/>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p>
    <w:p>
      <w:pPr>
        <w:spacing w:after="0" w:line="100"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HIPAA, the Health Information Technology for Economic and Clinical Health Act, or HITECH,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w:t>
      </w:r>
    </w:p>
    <w:p>
      <w:pPr>
        <w:spacing w:after="0" w:line="185"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comply with evolving European and other privacy laws.</w:t>
      </w:r>
    </w:p>
    <w:p>
      <w:pPr>
        <w:spacing w:after="0" w:line="225"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If we conduct clinical trials in the European Economic Area, or EEA, we may be subject to additional privacy laws. The General Data Protection Regulation, (EU) 2016/679, or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7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right="20" w:firstLine="510"/>
        <w:spacing w:after="0" w:line="288" w:lineRule="auto"/>
        <w:rPr>
          <w:sz w:val="20"/>
          <w:szCs w:val="20"/>
          <w:color w:val="auto"/>
        </w:rPr>
      </w:pPr>
      <w:r>
        <w:rPr>
          <w:rFonts w:ascii="Arial" w:cs="Arial" w:eastAsia="Arial" w:hAnsi="Arial"/>
          <w:sz w:val="16"/>
          <w:szCs w:val="16"/>
          <w:color w:val="auto"/>
        </w:rPr>
        <w:t>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 which could contribute to the loss of all or part of your investment.</w:t>
      </w:r>
    </w:p>
    <w:p>
      <w:pPr>
        <w:spacing w:after="0" w:line="22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response to various factors, some of which are beyond our control.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affecting the trading price of our common stock may include, but are not limited to:</w:t>
      </w:r>
    </w:p>
    <w:p>
      <w:pPr>
        <w:spacing w:after="0" w:line="117"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decision to initiate a clinical study, not to initiate a clinical study or to terminate an existing clinical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for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 or failure of competitive products, immunotherapy drugs or cellular therapies more generally;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strategic partnerships;</w:t>
      </w:r>
    </w:p>
    <w:p>
      <w:pPr>
        <w:spacing w:after="0" w:line="117"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safety or other clinical results, such as those that have occurred in the past or that may occur in the future, related to cellular therapies being developed by other companies that are or may be perceived to be similar to our cellular therapies;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substantial amounts of common stock by our directors, executive officers or significant stockholders or the perception that such sales could occur;</w:t>
      </w:r>
    </w:p>
    <w:p>
      <w:pPr>
        <w:spacing w:after="0" w:line="62"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elections, drug pricing policies, international currency fluctuations, acts of war or terrorism, and other public health crises, illnesses, epidemics or pandemics, such as the potential impact of the COVID-19 outbreak; and</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discussed in these risk factors.</w:t>
      </w:r>
    </w:p>
    <w:p>
      <w:pPr>
        <w:spacing w:after="0" w:line="225"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spacing w:after="0" w:line="16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example, the trading prices for common stock of other biopharmaceutical and biotechnology companies have been highly volatile as a result of the COVID-19 pandemic. The COVID-19 outbreak continues to rapidly evolve. The extent to which the outbreak may impact our business, preclinical studies and clinical trials will depend on future developments, which are highly uncertain and cannot be predicted with confidence.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ind w:right="30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shares of common stock among our existing executive officers, directors and principal stockholders may prevent new investors from influencing significant corporate decisions.*</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As of May 10, 2021, our directors and executive officers, and entities affiliated with them, as well as holders of more than 5% of our outstanding shares of common stock, in the aggregate beneficially own 68% of our common stock.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spacing w:after="0" w:line="187" w:lineRule="exact"/>
        <w:rPr>
          <w:sz w:val="20"/>
          <w:szCs w:val="20"/>
          <w:color w:val="auto"/>
        </w:rPr>
      </w:pPr>
    </w:p>
    <w:p>
      <w:pPr>
        <w:jc w:val="both"/>
        <w:ind w:right="160" w:firstLine="510"/>
        <w:spacing w:after="0" w:line="311" w:lineRule="auto"/>
        <w:rPr>
          <w:sz w:val="20"/>
          <w:szCs w:val="20"/>
          <w:color w:val="auto"/>
        </w:rPr>
      </w:pPr>
      <w:r>
        <w:rPr>
          <w:rFonts w:ascii="Arial" w:cs="Arial" w:eastAsia="Arial" w:hAnsi="Arial"/>
          <w:sz w:val="16"/>
          <w:szCs w:val="16"/>
          <w:color w:val="auto"/>
        </w:rPr>
        <w:t>Some of these persons or entities may have interests different from yours.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spacing w:after="0" w:line="2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w:t>
      </w:r>
    </w:p>
    <w:p>
      <w:pPr>
        <w:spacing w:after="0" w:line="170"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stockholders intend to sell shares of our common stock, could reduce the market price of our common stock. As of May 10, 2021, we had 32,822,550 shares of common stock outstanding.</w:t>
      </w:r>
    </w:p>
    <w:p>
      <w:pPr>
        <w:spacing w:after="0" w:line="184"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Holders of an aggregate of 14,689,215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w:t>
      </w:r>
    </w:p>
    <w:p>
      <w:pPr>
        <w:spacing w:after="0" w:line="28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under the Jumpstart Our Business Startups Act, or JOBS Act, and a “smaller reporting company” and we rely on exemptions from certain disclosure and governance requirements applicable to emerging growth companies and smaller reporting companies, as a result of which our common stock may be less attractive to investors.*</w:t>
      </w:r>
    </w:p>
    <w:p>
      <w:pPr>
        <w:spacing w:after="0" w:line="184"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w:t>
      </w:r>
    </w:p>
    <w:p>
      <w:pPr>
        <w:spacing w:after="0" w:line="176"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may take advantage of these reporting exemptions until we are no longer an emerging growth company. We will remain an emerging growth company until the earlier to occur of (1) the last day of the fiscal year (a) following the fifth anniversary of our IPO, (b) in which we have total annual gross revenue of at least $1.07 billion or (c) in which we are deemed to be a “large accelerated filer” under the rules of the U.S. Securities and Exchange Commission,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7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We have taken advantage of reduced reporting burdens in this Quarterly Report on Form 10-Q. In addition, Section 107 of the JOBS Act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We have an irrevocable election not to take advantage of the benefits of this extended transition period.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ind w:right="280" w:firstLine="510"/>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after either</w:t>
      </w:r>
    </w:p>
    <w:p>
      <w:pPr>
        <w:ind w:right="40" w:firstLine="8"/>
        <w:spacing w:after="0" w:line="268" w:lineRule="auto"/>
        <w:tabs>
          <w:tab w:leader="none" w:pos="21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market value of our stock held by non-affiliates is less than $250 million or (ii) our annual revenue is less than $100 million during the most recently completed fiscal year and the market value of our stock held by non-affiliates is less than $700 million. Even after we no longer qualify as an emerging growth company, we may still qualify as a smaller reporting company and would be permitted to continue to take advantage of many of the same reporting exemptions, including exemption from compliance with the auditor attestation requirements of Section 404(b) of Sarbanes-Oxley as long as we do not otherwise also qualify as an “accelerated filer” or “large accelerated filer” for SEC reporting purposes and reduced disclosure obligations regarding executive compensation in our periodic reports and proxy statements. We cannot predict if investors will find our common stock less attractive if we rely on emerging growth company or smaller reporting company exemptions. If some investors find our common stock less attractive as a result, there may be a less active trading market for our common stock and our stock price may be more volatile.</w:t>
      </w:r>
    </w:p>
    <w:p>
      <w:pPr>
        <w:spacing w:after="0" w:line="2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severance and change in control agreements with our executive officers may require us to pay severance benefits to any of those persons who are terminated, which could materially adversely affect our financial condition or results of operations.</w:t>
      </w:r>
    </w:p>
    <w:p>
      <w:pPr>
        <w:spacing w:after="0" w:line="170"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could materially adversely affect our financial condition and results of operations. In addition, these potential severance payments may discourage or prevent third parties from seeking a business combination with us.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carryovers and certain other tax attributes may be limited.</w:t>
      </w:r>
    </w:p>
    <w:p>
      <w:pPr>
        <w:spacing w:after="0" w:line="225"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As described above under “—We have incurred significant losses since our inception and we expect to continue to incur significant losses for the foreseeable future,” we have incurred net losses since our inception and anticipate that we will continue to incur significant losses for the foreseeable future. Under the Internal Revenue Code of 1986, or the Code, a corporation is generally allowed a deduction for net operating losses, or NOLs, carried over from a prior taxable year. Under that provision, we can carry forward our NOLs to offset our future taxable income, if any, until such NOLs are used or expire, in the case of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Cuts and Jobs Act of 2017, or the Tax Act, the amount of post-2017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Recently enacted legislation, the Coronavirus Aid, Relief and Economic Security Act, or the CARES Act, temporarily reverses the limitations imposed by the Tax Act by suspending the 80% taxable income limitation to permit a corporation to offset without limitation its taxable income in 2019 or 2020 with NOL carryforwards generated in prior years. The CARES Act also allows NOLs generated in tax years 2018-2020 to be carried back up to five years.</w:t>
      </w:r>
    </w:p>
    <w:p>
      <w:pPr>
        <w:spacing w:after="0" w:line="17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We do not expect to pay any cash dividends to the holders of our common stock for the foreseeable future.</w:t>
      </w:r>
    </w:p>
    <w:p>
      <w:pPr>
        <w:spacing w:after="0" w:line="22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w:t>
      </w:r>
    </w:p>
    <w:p>
      <w:pPr>
        <w:spacing w:after="0" w:line="29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8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Our certificate of incorporation, bylaws and Delaware law contain provisions that may have the effect of delaying or preventing a change in control of us or changes in our management. Our certificate of incorporation and bylaws include provisions that:</w:t>
      </w:r>
    </w:p>
    <w:p>
      <w:pPr>
        <w:spacing w:after="0" w:line="62" w:lineRule="exact"/>
        <w:rPr>
          <w:sz w:val="20"/>
          <w:szCs w:val="20"/>
          <w:color w:val="auto"/>
        </w:rPr>
      </w:pPr>
    </w:p>
    <w:p>
      <w:pPr>
        <w:ind w:left="1000" w:right="420" w:hanging="493"/>
        <w:spacing w:after="0" w:line="258"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 w:lineRule="exact"/>
        <w:rPr>
          <w:rFonts w:ascii="Arial" w:cs="Arial" w:eastAsia="Arial" w:hAnsi="Arial"/>
          <w:sz w:val="18"/>
          <w:szCs w:val="18"/>
          <w:color w:val="auto"/>
        </w:rPr>
      </w:pPr>
    </w:p>
    <w:p>
      <w:pPr>
        <w:ind w:left="1000" w:right="360" w:hanging="493"/>
        <w:spacing w:after="0" w:line="250"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 which may delay the ability of our stockholders to change the membership of a majority of our board of directors;</w:t>
      </w:r>
    </w:p>
    <w:p>
      <w:pPr>
        <w:ind w:left="1000" w:right="60" w:hanging="493"/>
        <w:spacing w:after="0" w:line="250"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specify that only our board of directors, the Chairperson of our board of directors, our Chief Executive Officer or the President, or holders of greater than 10% of our common stock can call special meetings of our stockholders;</w:t>
      </w:r>
    </w:p>
    <w:p>
      <w:pPr>
        <w:ind w:left="1000" w:right="500" w:hanging="493"/>
        <w:spacing w:after="0" w:line="260"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that a majority of directors then in office, even though less than a quorum, may fill vacancies on our board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bylaws;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require supermajority votes of the holders of our common stock to amend specified provisions of our Certificate of Incorporation and bylaws.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520" w:firstLine="510"/>
        <w:spacing w:after="0" w:line="342" w:lineRule="auto"/>
        <w:rPr>
          <w:sz w:val="20"/>
          <w:szCs w:val="20"/>
          <w:color w:val="auto"/>
        </w:rPr>
      </w:pPr>
      <w:r>
        <w:rPr>
          <w:rFonts w:ascii="Arial" w:cs="Arial" w:eastAsia="Arial" w:hAnsi="Arial"/>
          <w:sz w:val="16"/>
          <w:szCs w:val="16"/>
          <w:color w:val="auto"/>
        </w:rPr>
        <w:t>In addition, because we are incorporated in the State of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w:t>
      </w:r>
    </w:p>
    <w:p>
      <w:pPr>
        <w:spacing w:after="0" w:line="2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includes a forum selection clause, which could limit our stockholders’ ability to obtain a favorable judicial forum for disputes with us.</w:t>
      </w:r>
    </w:p>
    <w:p>
      <w:pPr>
        <w:spacing w:after="0" w:line="170"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w:t>
      </w:r>
    </w:p>
    <w:p>
      <w:pPr>
        <w:spacing w:after="0" w:line="16"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action asserting a claim of breach of a fiduciary duty owed by any of our directors, officers or other employees to us or our stockholders;</w:t>
      </w:r>
    </w:p>
    <w:p>
      <w:pPr>
        <w:spacing w:after="0" w:line="128" w:lineRule="exact"/>
        <w:rPr>
          <w:rFonts w:ascii="Arial" w:cs="Arial" w:eastAsia="Arial" w:hAnsi="Arial"/>
          <w:sz w:val="17"/>
          <w:szCs w:val="17"/>
          <w:color w:val="auto"/>
        </w:rPr>
      </w:pPr>
    </w:p>
    <w:p>
      <w:pPr>
        <w:ind w:left="1000" w:right="96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action asserting a claim against us arising pursuant to any provision of the Delaware General Corporation Law, our certificate of incorporation or our bylaws;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action asserting a claim against us that is governed by the internal affairs doctrine.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0" w:name="page71"/>
    <w:bookmarkEnd w:id="70"/>
    <w:p>
      <w:pPr>
        <w:ind w:right="520" w:firstLine="510"/>
        <w:spacing w:after="0" w:line="301" w:lineRule="auto"/>
        <w:rPr>
          <w:sz w:val="20"/>
          <w:szCs w:val="20"/>
          <w:color w:val="auto"/>
        </w:rPr>
      </w:pPr>
      <w:r>
        <w:rPr>
          <w:rFonts w:ascii="Arial" w:cs="Arial" w:eastAsia="Arial" w:hAnsi="Arial"/>
          <w:sz w:val="16"/>
          <w:szCs w:val="16"/>
          <w:color w:val="auto"/>
        </w:rPr>
        <w:t>This exclusive forum provision is intended to apply to claims arising under Delaware state law and is not intended to apply to claims brought pursuant to the Exchange Act or the Securities Act of 1934 as amended, or the Exchange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5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w:t>
      </w:r>
    </w:p>
    <w:p>
      <w:pPr>
        <w:spacing w:after="0" w:line="17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Any acquisitions or strategic collaborations may increase our capital requirements, dilute our stockholders, cause us to incur debt or assume contingent liabilities or subject us to other risks.</w:t>
      </w:r>
    </w:p>
    <w:p>
      <w:pPr>
        <w:spacing w:after="0" w:line="170"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w:t>
      </w:r>
    </w:p>
    <w:p>
      <w:pPr>
        <w:spacing w:after="0" w:line="76"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assumption of indebtedness or contingent or unknown liabilities;</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drugs of an acquired company, including difficulties associated with integrating new personnel;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adequately prosecuting and maintaining protection of any acquired intellectual property rights;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drug programs and initiatives in pursuing such a strategic partnership, merger or acquisition;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about our ability to maintain key business relationships;</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drugs or product candidates and regulatory approvals; and</w:t>
      </w:r>
    </w:p>
    <w:p>
      <w:pPr>
        <w:spacing w:after="0" w:line="62" w:lineRule="exact"/>
        <w:rPr>
          <w:rFonts w:ascii="Arial" w:cs="Arial" w:eastAsia="Arial" w:hAnsi="Arial"/>
          <w:sz w:val="18"/>
          <w:szCs w:val="18"/>
          <w:color w:val="auto"/>
        </w:rPr>
      </w:pPr>
    </w:p>
    <w:p>
      <w:pPr>
        <w:ind w:left="1000" w:right="420" w:hanging="493"/>
        <w:spacing w:after="0" w:line="308"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inability to generate revenue from acquired drugs, intellectual property rights, technologies, and/or businesses sufficient to meet our objectives in undertaking the acquisition or even to offset the associated acquisition and maintenance costs.</w:t>
      </w:r>
    </w:p>
    <w:p>
      <w:pPr>
        <w:spacing w:after="0" w:line="14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reports or downgrade our stock, the price of our common stock could decline.</w:t>
      </w:r>
    </w:p>
    <w:p>
      <w:pPr>
        <w:spacing w:after="0" w:line="1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3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new compliance initiatives.</w:t>
      </w:r>
    </w:p>
    <w:p>
      <w:pPr>
        <w:spacing w:after="0" w:line="1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w:t>
      </w:r>
    </w:p>
    <w:p>
      <w:pPr>
        <w:spacing w:after="0" w:line="18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following an initial transition period available to public companies. In particular, beginning with our fiscal year ending December 31, 2021, we must evaluate our systems and procedures, and test our internal control over financial reporting to allow management to report on the effectiveness of our internal control over financial reporting, as required by Section 404 of the Sarbanes-Oxley Act. In addition, we will be required to have our independent registered public accounting firm attest to the effectiveness of our internal control over financial reporting the later of our second annual report on Form 10-K or the first annual report on Form 10-K following the date on which we are no longer an emerging growth company unless we are a smaller reporting company and do not otherwise also qualify as an “accelerated filer” or “large accelerated filer” for SEC reporting purposes.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86"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2" w:name="page73"/>
    <w:bookmarkEnd w:id="72"/>
    <w:p>
      <w:pPr>
        <w:ind w:right="12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184"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will be required to report upon the effectiveness of our internal control over financial reporting beginning with the annual report for our fiscal year ending December 31, 2021.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Changes to, or interpretations of, financial accounting standards may affect our results of operations and could cause us to change our business practices.</w:t>
      </w:r>
    </w:p>
    <w:p>
      <w:pPr>
        <w:spacing w:after="0" w:line="170"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We prepare our financial statements in accordance with U.S. generally accepted accounting principles, or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spacing w:after="0" w:line="2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Computer system interruptions or security breaches could significantly disrupt our product development programs and our ability to operate our business.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internal computer systems, cloud-based computing services and those of our current and any future collaborators and other contractors or consultants are vulnerable to damage or interruption from computer viruses, ransomware, malware, data corruption, cyber-based attacks, unauthorized access, natural disasters, terrorism, war and telecommunication and electrical failures. If a significant system failure, accident or security breach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Furthermore, federal, state and international laws and regulations, such as the European Union’s General Data Protection Regulation, or the GDPR, which took effect in May 2018, and the California Consumer Protection Act, or CCPA which took effect on January 1, 2020, as well as the California Consumer Privacy Act, which was passed in November 2020 and makes a number of significant amendments to the CCPA, can expose us to enforcement actions and investigations by regulatory authorities, and potentially result in regulatory penalties and significant legal liability, if our information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3" w:name="page74"/>
    <w:bookmarkEnd w:id="73"/>
    <w:p>
      <w:pPr>
        <w:spacing w:after="0" w:line="272" w:lineRule="auto"/>
        <w:rPr>
          <w:sz w:val="20"/>
          <w:szCs w:val="20"/>
          <w:color w:val="auto"/>
        </w:rPr>
      </w:pPr>
      <w:r>
        <w:rPr>
          <w:rFonts w:ascii="Arial" w:cs="Arial" w:eastAsia="Arial" w:hAnsi="Arial"/>
          <w:sz w:val="17"/>
          <w:szCs w:val="17"/>
          <w:color w:val="auto"/>
        </w:rPr>
        <w:t>technology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In addition, our software systems include cloud-based applications that are hosted by third-party service providers with security and information technology systems subject to similar risks.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unregistered sales of equity securities during the period covered by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On July 14, 2020, we completed our IPO. Our registration statement on Form S-1 (File No. 333-239301) relating to the IPO was declared effective by the SEC on July 9, 2020.</w:t>
      </w:r>
    </w:p>
    <w:p>
      <w:pPr>
        <w:spacing w:after="0" w:line="17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There has been no material change in the planned use of proceeds from our IPO as described in our Prospectus. As of March 31, 2021, we have not used any of the proceeds from our IPO. We invested the funds received in cash equivalents and other marketable securities in accordance with our investment policy.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Incorporated by Reference</w:t>
            </w:r>
          </w:p>
        </w:tc>
        <w:tc>
          <w:tcPr>
            <w:tcW w:w="1760" w:type="dxa"/>
            <w:vAlign w:val="bottom"/>
            <w:tcBorders>
              <w:bottom w:val="single" w:sz="8" w:color="auto"/>
            </w:tcBorders>
          </w:tcPr>
          <w:p>
            <w:pPr>
              <w:spacing w:after="0"/>
              <w:rPr>
                <w:sz w:val="16"/>
                <w:szCs w:val="16"/>
                <w:color w:val="auto"/>
              </w:rPr>
            </w:pPr>
          </w:p>
        </w:tc>
      </w:tr>
      <w:tr>
        <w:trPr>
          <w:trHeight w:val="133"/>
        </w:trPr>
        <w:tc>
          <w:tcPr>
            <w:tcW w:w="88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98"/>
              </w:rPr>
              <w:t>Exhibit</w:t>
            </w:r>
          </w:p>
        </w:tc>
        <w:tc>
          <w:tcPr>
            <w:tcW w:w="3580" w:type="dxa"/>
            <w:vAlign w:val="bottom"/>
          </w:tcPr>
          <w:p>
            <w:pPr>
              <w:spacing w:after="0"/>
              <w:rPr>
                <w:sz w:val="11"/>
                <w:szCs w:val="11"/>
                <w:color w:val="auto"/>
              </w:rPr>
            </w:pPr>
          </w:p>
        </w:tc>
        <w:tc>
          <w:tcPr>
            <w:tcW w:w="1680" w:type="dxa"/>
            <w:vAlign w:val="bottom"/>
          </w:tcPr>
          <w:p>
            <w:pPr>
              <w:ind w:left="680"/>
              <w:spacing w:after="0" w:line="133" w:lineRule="exact"/>
              <w:rPr>
                <w:sz w:val="20"/>
                <w:szCs w:val="20"/>
                <w:color w:val="auto"/>
              </w:rPr>
            </w:pPr>
            <w:r>
              <w:rPr>
                <w:rFonts w:ascii="Arial" w:cs="Arial" w:eastAsia="Arial" w:hAnsi="Arial"/>
                <w:sz w:val="14"/>
                <w:szCs w:val="14"/>
                <w:b w:val="1"/>
                <w:bCs w:val="1"/>
                <w:color w:val="auto"/>
              </w:rPr>
              <w:t>Form</w:t>
            </w:r>
          </w:p>
        </w:tc>
        <w:tc>
          <w:tcPr>
            <w:tcW w:w="1740" w:type="dxa"/>
            <w:vAlign w:val="bottom"/>
          </w:tcPr>
          <w:p>
            <w:pPr>
              <w:ind w:left="640"/>
              <w:spacing w:after="0" w:line="133" w:lineRule="exact"/>
              <w:rPr>
                <w:sz w:val="20"/>
                <w:szCs w:val="20"/>
                <w:color w:val="auto"/>
              </w:rPr>
            </w:pPr>
            <w:r>
              <w:rPr>
                <w:rFonts w:ascii="Arial" w:cs="Arial" w:eastAsia="Arial" w:hAnsi="Arial"/>
                <w:sz w:val="14"/>
                <w:szCs w:val="14"/>
                <w:b w:val="1"/>
                <w:bCs w:val="1"/>
                <w:color w:val="auto"/>
              </w:rPr>
              <w:t>File No.</w:t>
            </w:r>
          </w:p>
        </w:tc>
        <w:tc>
          <w:tcPr>
            <w:tcW w:w="1620" w:type="dxa"/>
            <w:vAlign w:val="bottom"/>
          </w:tcPr>
          <w:p>
            <w:pPr>
              <w:ind w:left="600"/>
              <w:spacing w:after="0" w:line="133" w:lineRule="exact"/>
              <w:rPr>
                <w:sz w:val="20"/>
                <w:szCs w:val="20"/>
                <w:color w:val="auto"/>
              </w:rPr>
            </w:pPr>
            <w:r>
              <w:rPr>
                <w:rFonts w:ascii="Arial" w:cs="Arial" w:eastAsia="Arial" w:hAnsi="Arial"/>
                <w:sz w:val="14"/>
                <w:szCs w:val="14"/>
                <w:b w:val="1"/>
                <w:bCs w:val="1"/>
                <w:color w:val="auto"/>
              </w:rPr>
              <w:t>Exhibit</w:t>
            </w:r>
          </w:p>
        </w:tc>
        <w:tc>
          <w:tcPr>
            <w:tcW w:w="1760" w:type="dxa"/>
            <w:vAlign w:val="bottom"/>
          </w:tcPr>
          <w:p>
            <w:pPr>
              <w:ind w:left="560"/>
              <w:spacing w:after="0" w:line="133" w:lineRule="exact"/>
              <w:rPr>
                <w:sz w:val="20"/>
                <w:szCs w:val="20"/>
                <w:color w:val="auto"/>
              </w:rPr>
            </w:pPr>
            <w:r>
              <w:rPr>
                <w:rFonts w:ascii="Arial" w:cs="Arial" w:eastAsia="Arial" w:hAnsi="Arial"/>
                <w:sz w:val="14"/>
                <w:szCs w:val="14"/>
                <w:b w:val="1"/>
                <w:bCs w:val="1"/>
                <w:color w:val="auto"/>
              </w:rPr>
              <w:t>Filing Date</w:t>
            </w:r>
          </w:p>
        </w:tc>
      </w:tr>
      <w:tr>
        <w:trPr>
          <w:trHeight w:val="17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4"/>
                <w:szCs w:val="14"/>
                <w:color w:val="auto"/>
              </w:rPr>
            </w:pPr>
          </w:p>
        </w:tc>
        <w:tc>
          <w:tcPr>
            <w:tcW w:w="5260" w:type="dxa"/>
            <w:vAlign w:val="bottom"/>
            <w:tcBorders>
              <w:bottom w:val="single" w:sz="8" w:color="auto"/>
            </w:tcBorders>
            <w:gridSpan w:val="2"/>
          </w:tcPr>
          <w:p>
            <w:pPr>
              <w:ind w:left="1440"/>
              <w:spacing w:after="0"/>
              <w:rPr>
                <w:sz w:val="20"/>
                <w:szCs w:val="20"/>
                <w:color w:val="auto"/>
              </w:rPr>
            </w:pPr>
            <w:r>
              <w:rPr>
                <w:rFonts w:ascii="Arial" w:cs="Arial" w:eastAsia="Arial" w:hAnsi="Arial"/>
                <w:sz w:val="14"/>
                <w:szCs w:val="14"/>
                <w:b w:val="1"/>
                <w:bCs w:val="1"/>
                <w:color w:val="auto"/>
              </w:rPr>
              <w:t>Description</w:t>
            </w:r>
          </w:p>
        </w:tc>
        <w:tc>
          <w:tcPr>
            <w:tcW w:w="17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r>
    </w:tbl>
    <w:p>
      <w:pPr>
        <w:spacing w:after="0" w:line="117" w:lineRule="exact"/>
        <w:rPr>
          <w:sz w:val="20"/>
          <w:szCs w:val="20"/>
          <w:color w:val="auto"/>
        </w:rPr>
      </w:pPr>
    </w:p>
    <w:p>
      <w:pPr>
        <w:sectPr>
          <w:pgSz w:w="11900" w:h="16838" w:orient="portrait"/>
          <w:cols w:equalWidth="0" w:num="1">
            <w:col w:w="11260"/>
          </w:cols>
          <w:pgMar w:left="320" w:top="337" w:right="319" w:bottom="1440" w:gutter="0" w:footer="0" w:header="0"/>
        </w:sect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2680" w:type="dxa"/>
            <w:vAlign w:val="bottom"/>
            <w:tcBorders>
              <w:bottom w:val="single" w:sz="8" w:color="0000EE"/>
            </w:tcBorders>
            <w:gridSpan w:val="8"/>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Amended and Restated Certificate of</w:t>
              </w:r>
            </w:hyperlink>
          </w:p>
        </w:tc>
        <w:tc>
          <w:tcPr>
            <w:tcW w:w="86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0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Incorporation of Nkarta, Inc.</w:t>
              </w:r>
            </w:hyperlink>
          </w:p>
        </w:tc>
        <w:tc>
          <w:tcPr>
            <w:tcW w:w="1460" w:type="dxa"/>
            <w:vAlign w:val="bottom"/>
            <w:gridSpan w:val="10"/>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3360" w:type="dxa"/>
            <w:vAlign w:val="bottom"/>
            <w:tcBorders>
              <w:bottom w:val="single" w:sz="8" w:color="0000EE"/>
            </w:tcBorders>
            <w:gridSpan w:val="12"/>
          </w:tcPr>
          <w:p>
            <w:pPr>
              <w:spacing w:after="0"/>
              <w:rPr>
                <w:rFonts w:ascii="Arial" w:cs="Arial" w:eastAsia="Arial" w:hAnsi="Arial"/>
                <w:sz w:val="18"/>
                <w:szCs w:val="18"/>
                <w:color w:val="0000EE"/>
                <w:w w:val="90"/>
              </w:rPr>
            </w:pPr>
            <w:hyperlink r:id="rId102">
              <w:r>
                <w:rPr>
                  <w:rFonts w:ascii="Arial" w:cs="Arial" w:eastAsia="Arial" w:hAnsi="Arial"/>
                  <w:sz w:val="18"/>
                  <w:szCs w:val="18"/>
                  <w:color w:val="0000EE"/>
                  <w:w w:val="90"/>
                </w:rPr>
                <w:t>Amended and Restated Bylaws of Nkarta, Inc.</w:t>
              </w:r>
            </w:hyperlink>
          </w:p>
        </w:tc>
        <w:tc>
          <w:tcPr>
            <w:tcW w:w="180" w:type="dxa"/>
            <w:vAlign w:val="bottom"/>
            <w:gridSpan w:val="3"/>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w:t>
            </w:r>
          </w:p>
        </w:tc>
        <w:tc>
          <w:tcPr>
            <w:tcW w:w="3540" w:type="dxa"/>
            <w:vAlign w:val="bottom"/>
            <w:gridSpan w:val="15"/>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Nkarta, Inc. Non-Employee Director</w:t>
              </w:r>
            </w:hyperlink>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Compensation Policy, as amended March 24,</w:t>
              </w:r>
            </w:hyperlink>
          </w:p>
        </w:tc>
      </w:tr>
      <w:tr>
        <w:trPr>
          <w:trHeight w:val="196"/>
        </w:trPr>
        <w:tc>
          <w:tcPr>
            <w:tcW w:w="8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8">
              <w:r>
                <w:rPr>
                  <w:rFonts w:ascii="Arial" w:cs="Arial" w:eastAsia="Arial" w:hAnsi="Arial"/>
                  <w:sz w:val="18"/>
                  <w:szCs w:val="18"/>
                  <w:color w:val="0000EE"/>
                  <w:w w:val="84"/>
                </w:rPr>
                <w:t>2021</w:t>
              </w:r>
            </w:hyperlink>
          </w:p>
        </w:tc>
        <w:tc>
          <w:tcPr>
            <w:tcW w:w="2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w:t>
            </w:r>
            <w:r>
              <w:rPr>
                <w:rFonts w:ascii="Arial" w:cs="Arial" w:eastAsia="Arial" w:hAnsi="Arial"/>
                <w:sz w:val="15"/>
                <w:szCs w:val="15"/>
                <w:color w:val="auto"/>
              </w:rPr>
              <w:t>#</w:t>
            </w:r>
          </w:p>
        </w:tc>
        <w:tc>
          <w:tcPr>
            <w:tcW w:w="354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Employment Offer Letter between the Registrant</w:t>
              </w:r>
            </w:hyperlink>
          </w:p>
        </w:tc>
      </w:tr>
      <w:tr>
        <w:trPr>
          <w:trHeight w:val="196"/>
        </w:trPr>
        <w:tc>
          <w:tcPr>
            <w:tcW w:w="880" w:type="dxa"/>
            <w:vAlign w:val="bottom"/>
          </w:tcPr>
          <w:p>
            <w:pPr>
              <w:spacing w:after="0"/>
              <w:rPr>
                <w:sz w:val="17"/>
                <w:szCs w:val="17"/>
                <w:color w:val="auto"/>
              </w:rPr>
            </w:pPr>
          </w:p>
        </w:tc>
        <w:tc>
          <w:tcPr>
            <w:tcW w:w="17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and Dr. Nadir Mahmood</w:t>
              </w:r>
            </w:hyperlink>
          </w:p>
        </w:tc>
        <w:tc>
          <w:tcPr>
            <w:tcW w:w="1760" w:type="dxa"/>
            <w:vAlign w:val="bottom"/>
            <w:gridSpan w:val="11"/>
          </w:tcPr>
          <w:p>
            <w:pPr>
              <w:spacing w:after="0"/>
              <w:rPr>
                <w:sz w:val="17"/>
                <w:szCs w:val="17"/>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10.3*</w:t>
            </w:r>
            <w:r>
              <w:rPr>
                <w:rFonts w:ascii="Arial" w:cs="Arial" w:eastAsia="Arial" w:hAnsi="Arial"/>
                <w:sz w:val="15"/>
                <w:szCs w:val="15"/>
                <w:color w:val="auto"/>
              </w:rPr>
              <w:t>#</w:t>
            </w:r>
          </w:p>
        </w:tc>
        <w:tc>
          <w:tcPr>
            <w:tcW w:w="334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First Amendment to Employment Offer Letter</w:t>
              </w:r>
            </w:hyperlink>
          </w:p>
        </w:tc>
        <w:tc>
          <w:tcPr>
            <w:tcW w:w="20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w w:val="92"/>
              </w:rPr>
            </w:pPr>
            <w:hyperlink w:anchor="page85">
              <w:r>
                <w:rPr>
                  <w:rFonts w:ascii="Arial" w:cs="Arial" w:eastAsia="Arial" w:hAnsi="Arial"/>
                  <w:sz w:val="18"/>
                  <w:szCs w:val="18"/>
                  <w:color w:val="0000EE"/>
                  <w:w w:val="92"/>
                </w:rPr>
                <w:t>between the Registrant and Dr. Nadir Mahmood</w:t>
              </w:r>
            </w:hyperlink>
          </w:p>
        </w:tc>
      </w:tr>
      <w:tr>
        <w:trPr>
          <w:trHeight w:val="20"/>
        </w:trPr>
        <w:tc>
          <w:tcPr>
            <w:tcW w:w="8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w:t>
            </w:r>
          </w:p>
        </w:tc>
        <w:tc>
          <w:tcPr>
            <w:tcW w:w="354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Employment Offer Letter between the Registrant</w:t>
              </w:r>
            </w:hyperlink>
          </w:p>
        </w:tc>
      </w:tr>
      <w:tr>
        <w:trPr>
          <w:trHeight w:val="196"/>
        </w:trPr>
        <w:tc>
          <w:tcPr>
            <w:tcW w:w="88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and Dr. Alicia Hager</w:t>
              </w:r>
            </w:hyperlink>
          </w:p>
        </w:tc>
      </w:tr>
      <w:tr>
        <w:trPr>
          <w:trHeight w:val="20"/>
        </w:trPr>
        <w:tc>
          <w:tcPr>
            <w:tcW w:w="8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3540" w:type="dxa"/>
            <w:vAlign w:val="bottom"/>
            <w:tcBorders>
              <w:bottom w:val="single" w:sz="8" w:color="0000EE"/>
            </w:tcBorders>
            <w:gridSpan w:val="15"/>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Third Amendment to Lease between Nkarta, Inc.</w:t>
              </w:r>
            </w:hyperlink>
          </w:p>
        </w:tc>
      </w:tr>
      <w:tr>
        <w:trPr>
          <w:trHeight w:val="196"/>
        </w:trPr>
        <w:tc>
          <w:tcPr>
            <w:tcW w:w="880" w:type="dxa"/>
            <w:vAlign w:val="bottom"/>
          </w:tcPr>
          <w:p>
            <w:pPr>
              <w:spacing w:after="0"/>
              <w:rPr>
                <w:sz w:val="17"/>
                <w:szCs w:val="17"/>
                <w:color w:val="auto"/>
              </w:rPr>
            </w:pPr>
          </w:p>
        </w:tc>
        <w:tc>
          <w:tcPr>
            <w:tcW w:w="3540" w:type="dxa"/>
            <w:vAlign w:val="bottom"/>
            <w:gridSpan w:val="15"/>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and HCP Life Science REIT, Inc., dated January</w:t>
              </w:r>
            </w:hyperlink>
          </w:p>
        </w:tc>
      </w:tr>
      <w:tr>
        <w:trPr>
          <w:trHeight w:val="196"/>
        </w:trPr>
        <w:tc>
          <w:tcPr>
            <w:tcW w:w="88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03">
              <w:r>
                <w:rPr>
                  <w:rFonts w:ascii="Arial" w:cs="Arial" w:eastAsia="Arial" w:hAnsi="Arial"/>
                  <w:sz w:val="18"/>
                  <w:szCs w:val="18"/>
                  <w:color w:val="0000EE"/>
                  <w:w w:val="88"/>
                </w:rPr>
                <w:t>14, 2021</w:t>
              </w:r>
            </w:hyperlink>
          </w:p>
        </w:tc>
        <w:tc>
          <w:tcPr>
            <w:tcW w:w="8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5"/>
                <w:szCs w:val="15"/>
                <w:color w:val="auto"/>
              </w:rPr>
              <w:t>#</w:t>
            </w:r>
          </w:p>
        </w:tc>
        <w:tc>
          <w:tcPr>
            <w:tcW w:w="2220" w:type="dxa"/>
            <w:vAlign w:val="bottom"/>
            <w:tcBorders>
              <w:bottom w:val="single" w:sz="8" w:color="0000EE"/>
            </w:tcBorders>
            <w:gridSpan w:val="6"/>
          </w:tcPr>
          <w:p>
            <w:pPr>
              <w:spacing w:after="0"/>
              <w:rPr>
                <w:rFonts w:ascii="Arial" w:cs="Arial" w:eastAsia="Arial" w:hAnsi="Arial"/>
                <w:sz w:val="18"/>
                <w:szCs w:val="18"/>
                <w:color w:val="0000EE"/>
                <w:w w:val="89"/>
              </w:rPr>
            </w:pPr>
            <w:hyperlink r:id="rId104">
              <w:r>
                <w:rPr>
                  <w:rFonts w:ascii="Arial" w:cs="Arial" w:eastAsia="Arial" w:hAnsi="Arial"/>
                  <w:sz w:val="18"/>
                  <w:szCs w:val="18"/>
                  <w:color w:val="0000EE"/>
                  <w:w w:val="89"/>
                </w:rPr>
                <w:t>Form of Severance Agreement</w:t>
              </w:r>
            </w:hyperlink>
          </w:p>
        </w:tc>
        <w:tc>
          <w:tcPr>
            <w:tcW w:w="1320" w:type="dxa"/>
            <w:vAlign w:val="bottom"/>
            <w:gridSpan w:val="9"/>
          </w:tcPr>
          <w:p>
            <w:pPr>
              <w:spacing w:after="0"/>
              <w:rPr>
                <w:sz w:val="24"/>
                <w:szCs w:val="24"/>
                <w:color w:val="auto"/>
              </w:rPr>
            </w:pPr>
          </w:p>
        </w:tc>
      </w:tr>
      <w:tr>
        <w:trPr>
          <w:trHeight w:val="520"/>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3540" w:type="dxa"/>
            <w:vAlign w:val="bottom"/>
            <w:gridSpan w:val="1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Certification of Principal Executive Officer</w:t>
              </w:r>
            </w:hyperlink>
          </w:p>
        </w:tc>
      </w:tr>
      <w:tr>
        <w:trPr>
          <w:trHeight w:val="20"/>
        </w:trPr>
        <w:tc>
          <w:tcPr>
            <w:tcW w:w="880" w:type="dxa"/>
            <w:vAlign w:val="bottom"/>
          </w:tcPr>
          <w:p>
            <w:pPr>
              <w:spacing w:after="0" w:line="20" w:lineRule="exact"/>
              <w:rPr>
                <w:sz w:val="1"/>
                <w:szCs w:val="1"/>
                <w:color w:val="auto"/>
              </w:rPr>
            </w:pPr>
          </w:p>
        </w:tc>
        <w:tc>
          <w:tcPr>
            <w:tcW w:w="3120" w:type="dxa"/>
            <w:vAlign w:val="bottom"/>
            <w:gridSpan w:val="9"/>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5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Pursuant to Rules 13a-14(a) and 15d-14(a) under</w:t>
              </w:r>
            </w:hyperlink>
          </w:p>
        </w:tc>
      </w:tr>
    </w:tbl>
    <w:p>
      <w:pPr>
        <w:spacing w:after="0" w:line="13" w:lineRule="exact"/>
        <w:rPr>
          <w:sz w:val="20"/>
          <w:szCs w:val="20"/>
          <w:color w:val="auto"/>
        </w:rPr>
      </w:pPr>
    </w:p>
    <w:p>
      <w:pPr>
        <w:ind w:left="880"/>
        <w:spacing w:after="0" w:line="263" w:lineRule="auto"/>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the Securities Exchange Act of 1934, as Adopted</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Pursuant to Section 302 of the Sarbanes-Oxley</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8-K</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001-39370</w:t>
            </w: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3.1</w:t>
            </w:r>
          </w:p>
        </w:tc>
        <w:tc>
          <w:tcPr>
            <w:tcW w:w="1340" w:type="dxa"/>
            <w:vAlign w:val="bottom"/>
          </w:tcPr>
          <w:p>
            <w:pPr>
              <w:jc w:val="right"/>
              <w:spacing w:after="0"/>
              <w:rPr>
                <w:sz w:val="20"/>
                <w:szCs w:val="20"/>
                <w:color w:val="auto"/>
              </w:rPr>
            </w:pPr>
            <w:r>
              <w:rPr>
                <w:rFonts w:ascii="Arial" w:cs="Arial" w:eastAsia="Arial" w:hAnsi="Arial"/>
                <w:sz w:val="18"/>
                <w:szCs w:val="18"/>
                <w:color w:val="auto"/>
              </w:rPr>
              <w:t>7/14/2020</w:t>
            </w:r>
          </w:p>
        </w:tc>
      </w:tr>
      <w:tr>
        <w:trPr>
          <w:trHeight w:val="553"/>
        </w:trPr>
        <w:tc>
          <w:tcPr>
            <w:tcW w:w="860" w:type="dxa"/>
            <w:vAlign w:val="bottom"/>
          </w:tcPr>
          <w:p>
            <w:pPr>
              <w:spacing w:after="0"/>
              <w:rPr>
                <w:sz w:val="20"/>
                <w:szCs w:val="20"/>
                <w:color w:val="auto"/>
              </w:rPr>
            </w:pPr>
            <w:r>
              <w:rPr>
                <w:rFonts w:ascii="Arial" w:cs="Arial" w:eastAsia="Arial" w:hAnsi="Arial"/>
                <w:sz w:val="18"/>
                <w:szCs w:val="18"/>
                <w:color w:val="auto"/>
              </w:rPr>
              <w:t>8-K</w:t>
            </w:r>
          </w:p>
        </w:tc>
        <w:tc>
          <w:tcPr>
            <w:tcW w:w="1960" w:type="dxa"/>
            <w:vAlign w:val="bottom"/>
          </w:tcPr>
          <w:p>
            <w:pPr>
              <w:jc w:val="right"/>
              <w:ind w:right="510"/>
              <w:spacing w:after="0"/>
              <w:rPr>
                <w:sz w:val="20"/>
                <w:szCs w:val="20"/>
                <w:color w:val="auto"/>
              </w:rPr>
            </w:pPr>
            <w:r>
              <w:rPr>
                <w:rFonts w:ascii="Arial" w:cs="Arial" w:eastAsia="Arial" w:hAnsi="Arial"/>
                <w:sz w:val="18"/>
                <w:szCs w:val="18"/>
                <w:color w:val="auto"/>
              </w:rPr>
              <w:t>001-39370</w:t>
            </w: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3.2</w:t>
            </w:r>
          </w:p>
        </w:tc>
        <w:tc>
          <w:tcPr>
            <w:tcW w:w="1340" w:type="dxa"/>
            <w:vAlign w:val="bottom"/>
          </w:tcPr>
          <w:p>
            <w:pPr>
              <w:jc w:val="right"/>
              <w:spacing w:after="0"/>
              <w:rPr>
                <w:sz w:val="20"/>
                <w:szCs w:val="20"/>
                <w:color w:val="auto"/>
              </w:rPr>
            </w:pPr>
            <w:r>
              <w:rPr>
                <w:rFonts w:ascii="Arial" w:cs="Arial" w:eastAsia="Arial" w:hAnsi="Arial"/>
                <w:sz w:val="18"/>
                <w:szCs w:val="18"/>
                <w:color w:val="auto"/>
              </w:rPr>
              <w:t>7/14/2020</w:t>
            </w:r>
          </w:p>
        </w:tc>
      </w:tr>
    </w:tbl>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37" w:lineRule="exact"/>
        <w:rPr>
          <w:rFonts w:ascii="Arial" w:cs="Arial" w:eastAsia="Arial" w:hAnsi="Arial"/>
          <w:sz w:val="18"/>
          <w:szCs w:val="18"/>
          <w:u w:val="single" w:color="auto"/>
          <w:color w:val="0000EE"/>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center"/>
              <w:ind w:right="470"/>
              <w:spacing w:after="0"/>
              <w:rPr>
                <w:sz w:val="20"/>
                <w:szCs w:val="20"/>
                <w:color w:val="auto"/>
              </w:rPr>
            </w:pPr>
            <w:r>
              <w:rPr>
                <w:rFonts w:ascii="Arial" w:cs="Arial" w:eastAsia="Arial" w:hAnsi="Arial"/>
                <w:sz w:val="18"/>
                <w:szCs w:val="18"/>
                <w:color w:val="auto"/>
                <w:w w:val="99"/>
              </w:rPr>
              <w:t>10-K</w:t>
            </w: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001-39370</w:t>
            </w:r>
          </w:p>
        </w:tc>
        <w:tc>
          <w:tcPr>
            <w:tcW w:w="1640" w:type="dxa"/>
            <w:vAlign w:val="bottom"/>
          </w:tcPr>
          <w:p>
            <w:pPr>
              <w:jc w:val="center"/>
              <w:spacing w:after="0"/>
              <w:rPr>
                <w:sz w:val="20"/>
                <w:szCs w:val="20"/>
                <w:color w:val="auto"/>
              </w:rPr>
            </w:pPr>
            <w:r>
              <w:rPr>
                <w:rFonts w:ascii="Arial" w:cs="Arial" w:eastAsia="Arial" w:hAnsi="Arial"/>
                <w:sz w:val="18"/>
                <w:szCs w:val="18"/>
                <w:color w:val="auto"/>
                <w:w w:val="94"/>
              </w:rPr>
              <w:t>10.10(D)</w:t>
            </w:r>
          </w:p>
        </w:tc>
        <w:tc>
          <w:tcPr>
            <w:tcW w:w="1240" w:type="dxa"/>
            <w:vAlign w:val="bottom"/>
          </w:tcPr>
          <w:p>
            <w:pPr>
              <w:jc w:val="right"/>
              <w:spacing w:after="0"/>
              <w:rPr>
                <w:sz w:val="20"/>
                <w:szCs w:val="20"/>
                <w:color w:val="auto"/>
              </w:rPr>
            </w:pPr>
            <w:r>
              <w:rPr>
                <w:rFonts w:ascii="Arial" w:cs="Arial" w:eastAsia="Arial" w:hAnsi="Arial"/>
                <w:sz w:val="18"/>
                <w:szCs w:val="18"/>
                <w:color w:val="auto"/>
              </w:rPr>
              <w:t>3/25/2021</w:t>
            </w:r>
          </w:p>
        </w:tc>
      </w:tr>
      <w:tr>
        <w:trPr>
          <w:trHeight w:val="770"/>
        </w:trPr>
        <w:tc>
          <w:tcPr>
            <w:tcW w:w="940" w:type="dxa"/>
            <w:vAlign w:val="bottom"/>
          </w:tcPr>
          <w:p>
            <w:pPr>
              <w:jc w:val="center"/>
              <w:ind w:right="450"/>
              <w:spacing w:after="0"/>
              <w:rPr>
                <w:sz w:val="20"/>
                <w:szCs w:val="20"/>
                <w:color w:val="auto"/>
              </w:rPr>
            </w:pPr>
            <w:r>
              <w:rPr>
                <w:rFonts w:ascii="Arial" w:cs="Arial" w:eastAsia="Arial" w:hAnsi="Arial"/>
                <w:sz w:val="18"/>
                <w:szCs w:val="18"/>
                <w:color w:val="auto"/>
                <w:w w:val="99"/>
              </w:rPr>
              <w:t>8-K</w:t>
            </w: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001-39370</w:t>
            </w:r>
          </w:p>
        </w:tc>
        <w:tc>
          <w:tcPr>
            <w:tcW w:w="1640" w:type="dxa"/>
            <w:vAlign w:val="bottom"/>
          </w:tcPr>
          <w:p>
            <w:pPr>
              <w:jc w:val="right"/>
              <w:ind w:right="570"/>
              <w:spacing w:after="0"/>
              <w:rPr>
                <w:sz w:val="20"/>
                <w:szCs w:val="20"/>
                <w:color w:val="auto"/>
              </w:rPr>
            </w:pPr>
            <w:r>
              <w:rPr>
                <w:rFonts w:ascii="Arial" w:cs="Arial" w:eastAsia="Arial" w:hAnsi="Arial"/>
                <w:sz w:val="18"/>
                <w:szCs w:val="18"/>
                <w:color w:val="auto"/>
              </w:rPr>
              <w:t>10.1</w:t>
            </w:r>
          </w:p>
        </w:tc>
        <w:tc>
          <w:tcPr>
            <w:tcW w:w="1240" w:type="dxa"/>
            <w:vAlign w:val="bottom"/>
          </w:tcPr>
          <w:p>
            <w:pPr>
              <w:jc w:val="right"/>
              <w:spacing w:after="0"/>
              <w:rPr>
                <w:sz w:val="20"/>
                <w:szCs w:val="20"/>
                <w:color w:val="auto"/>
              </w:rPr>
            </w:pPr>
            <w:r>
              <w:rPr>
                <w:rFonts w:ascii="Arial" w:cs="Arial" w:eastAsia="Arial" w:hAnsi="Arial"/>
                <w:sz w:val="18"/>
                <w:szCs w:val="18"/>
                <w:color w:val="auto"/>
              </w:rPr>
              <w:t>1/13/2021</w:t>
            </w:r>
          </w:p>
        </w:tc>
      </w:tr>
    </w:tbl>
    <w:p>
      <w:pPr>
        <w:spacing w:after="0" w:line="1507" w:lineRule="exact"/>
        <w:rPr>
          <w:rFonts w:ascii="Arial" w:cs="Arial" w:eastAsia="Arial" w:hAnsi="Arial"/>
          <w:sz w:val="18"/>
          <w:szCs w:val="18"/>
          <w:u w:val="single" w:color="auto"/>
          <w:color w:val="0000EE"/>
        </w:rPr>
      </w:pPr>
    </w:p>
    <w:p>
      <w:pPr>
        <w:sectPr>
          <w:pgSz w:w="11900" w:h="16838" w:orient="portrait"/>
          <w:cols w:equalWidth="0" w:num="2">
            <w:col w:w="4420" w:space="700"/>
            <w:col w:w="6140"/>
          </w:cols>
          <w:pgMar w:left="320" w:top="337" w:right="3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308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96">
              <w:r>
                <w:rPr>
                  <w:rFonts w:ascii="Arial" w:cs="Arial" w:eastAsia="Arial" w:hAnsi="Arial"/>
                  <w:sz w:val="18"/>
                  <w:szCs w:val="18"/>
                  <w:color w:val="0000EE"/>
                  <w:w w:val="94"/>
                </w:rPr>
                <w:t>Certification of Principal Financial Officer</w:t>
              </w:r>
            </w:hyperlink>
          </w:p>
        </w:tc>
        <w:tc>
          <w:tcPr>
            <w:tcW w:w="480" w:type="dxa"/>
            <w:vAlign w:val="bottom"/>
            <w:gridSpan w:val="5"/>
          </w:tcPr>
          <w:p>
            <w:pPr>
              <w:spacing w:after="0"/>
              <w:rPr>
                <w:sz w:val="18"/>
                <w:szCs w:val="18"/>
                <w:color w:val="auto"/>
              </w:rPr>
            </w:pPr>
          </w:p>
        </w:tc>
      </w:tr>
      <w:tr>
        <w:trPr>
          <w:trHeight w:val="196"/>
        </w:trPr>
        <w:tc>
          <w:tcPr>
            <w:tcW w:w="880" w:type="dxa"/>
            <w:vAlign w:val="bottom"/>
          </w:tcPr>
          <w:p>
            <w:pPr>
              <w:spacing w:after="0"/>
              <w:rPr>
                <w:sz w:val="17"/>
                <w:szCs w:val="17"/>
                <w:color w:val="auto"/>
              </w:rPr>
            </w:pPr>
          </w:p>
        </w:tc>
        <w:tc>
          <w:tcPr>
            <w:tcW w:w="35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Pursuant to Rules 13a-14(a) and 15d-14(a) under</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560" w:type="dxa"/>
            <w:vAlign w:val="bottom"/>
            <w:gridSpan w:val="7"/>
          </w:tcPr>
          <w:p>
            <w:pPr>
              <w:spacing w:after="0" w:line="19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the Securities Exchange Act of 1934, as Adopted</w:t>
              </w:r>
            </w:hyperlink>
          </w:p>
        </w:tc>
      </w:tr>
      <w:tr>
        <w:trPr>
          <w:trHeight w:val="196"/>
        </w:trPr>
        <w:tc>
          <w:tcPr>
            <w:tcW w:w="88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Pursuant to Section 302 of the Sarbanes-Oxley</w:t>
              </w:r>
            </w:hyperlink>
          </w:p>
        </w:tc>
        <w:tc>
          <w:tcPr>
            <w:tcW w:w="1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Act of 2002.</w:t>
              </w:r>
            </w:hyperlink>
          </w:p>
        </w:tc>
        <w:tc>
          <w:tcPr>
            <w:tcW w:w="2640" w:type="dxa"/>
            <w:vAlign w:val="bottom"/>
            <w:gridSpan w:val="6"/>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w:t>
            </w:r>
          </w:p>
        </w:tc>
        <w:tc>
          <w:tcPr>
            <w:tcW w:w="3560" w:type="dxa"/>
            <w:vAlign w:val="bottom"/>
            <w:gridSpan w:val="7"/>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Certification of Principal Executive Officer</w:t>
              </w:r>
            </w:hyperlink>
          </w:p>
        </w:tc>
      </w:tr>
      <w:tr>
        <w:trPr>
          <w:trHeight w:val="20"/>
        </w:trPr>
        <w:tc>
          <w:tcPr>
            <w:tcW w:w="880" w:type="dxa"/>
            <w:vAlign w:val="bottom"/>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560" w:type="dxa"/>
            <w:vAlign w:val="bottom"/>
            <w:gridSpan w:val="7"/>
          </w:tcPr>
          <w:p>
            <w:pPr>
              <w:spacing w:after="0" w:line="196" w:lineRule="exact"/>
              <w:rPr>
                <w:rFonts w:ascii="Arial" w:cs="Arial" w:eastAsia="Arial" w:hAnsi="Arial"/>
                <w:sz w:val="18"/>
                <w:szCs w:val="18"/>
                <w:color w:val="0000EE"/>
                <w:w w:val="91"/>
              </w:rPr>
            </w:pPr>
            <w:hyperlink w:anchor="page97">
              <w:r>
                <w:rPr>
                  <w:rFonts w:ascii="Arial" w:cs="Arial" w:eastAsia="Arial" w:hAnsi="Arial"/>
                  <w:sz w:val="18"/>
                  <w:szCs w:val="18"/>
                  <w:color w:val="0000EE"/>
                  <w:w w:val="91"/>
                </w:rPr>
                <w:t>Pursuant to 18 U.S.C. Section 1350, as Adopted</w:t>
              </w:r>
            </w:hyperlink>
          </w:p>
        </w:tc>
      </w:tr>
      <w:tr>
        <w:trPr>
          <w:trHeight w:val="196"/>
        </w:trPr>
        <w:tc>
          <w:tcPr>
            <w:tcW w:w="88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Pursuant to Section 906 of the Sarbanes-Oxley</w:t>
              </w:r>
            </w:hyperlink>
          </w:p>
        </w:tc>
        <w:tc>
          <w:tcPr>
            <w:tcW w:w="80" w:type="dxa"/>
            <w:vAlign w:val="bottom"/>
            <w:tcBorders>
              <w:top w:val="single" w:sz="8" w:color="0000EE"/>
            </w:tcBorders>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Act of 2002.</w:t>
              </w:r>
            </w:hyperlink>
          </w:p>
        </w:tc>
        <w:tc>
          <w:tcPr>
            <w:tcW w:w="2640" w:type="dxa"/>
            <w:vAlign w:val="bottom"/>
            <w:gridSpan w:val="6"/>
          </w:tcPr>
          <w:p>
            <w:pPr>
              <w:spacing w:after="0"/>
              <w:rPr>
                <w:sz w:val="17"/>
                <w:szCs w:val="17"/>
                <w:color w:val="auto"/>
              </w:rPr>
            </w:pPr>
          </w:p>
        </w:tc>
      </w:tr>
      <w:tr>
        <w:trPr>
          <w:trHeight w:val="492"/>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356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3560" w:type="dxa"/>
            <w:vAlign w:val="bottom"/>
            <w:gridSpan w:val="7"/>
          </w:tcPr>
          <w:p>
            <w:pPr>
              <w:spacing w:after="0"/>
              <w:rPr>
                <w:sz w:val="20"/>
                <w:szCs w:val="20"/>
                <w:color w:val="auto"/>
              </w:rPr>
            </w:pPr>
            <w:r>
              <w:rPr>
                <w:rFonts w:ascii="Arial" w:cs="Arial" w:eastAsia="Arial" w:hAnsi="Arial"/>
                <w:sz w:val="18"/>
                <w:szCs w:val="18"/>
                <w:color w:val="auto"/>
                <w:w w:val="93"/>
              </w:rPr>
              <w:t>XBRL Taxonomy Extension Schema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3560" w:type="dxa"/>
            <w:vAlign w:val="bottom"/>
            <w:gridSpan w:val="7"/>
          </w:tcPr>
          <w:p>
            <w:pPr>
              <w:spacing w:after="0"/>
              <w:rPr>
                <w:sz w:val="20"/>
                <w:szCs w:val="20"/>
                <w:color w:val="auto"/>
              </w:rPr>
            </w:pPr>
            <w:r>
              <w:rPr>
                <w:rFonts w:ascii="Arial" w:cs="Arial" w:eastAsia="Arial" w:hAnsi="Arial"/>
                <w:sz w:val="18"/>
                <w:szCs w:val="18"/>
                <w:color w:val="auto"/>
              </w:rPr>
              <w:t>XBRL Taxonomy Extension Calculation</w:t>
            </w:r>
          </w:p>
        </w:tc>
      </w:tr>
      <w:tr>
        <w:trPr>
          <w:trHeight w:val="229"/>
        </w:trPr>
        <w:tc>
          <w:tcPr>
            <w:tcW w:w="88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Arial" w:cs="Arial" w:eastAsia="Arial" w:hAnsi="Arial"/>
                <w:sz w:val="18"/>
                <w:szCs w:val="18"/>
                <w:color w:val="auto"/>
              </w:rPr>
              <w:t>Linkbase 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3560" w:type="dxa"/>
            <w:vAlign w:val="bottom"/>
            <w:gridSpan w:val="7"/>
          </w:tcPr>
          <w:p>
            <w:pPr>
              <w:spacing w:after="0"/>
              <w:rPr>
                <w:sz w:val="20"/>
                <w:szCs w:val="20"/>
                <w:color w:val="auto"/>
              </w:rPr>
            </w:pPr>
            <w:r>
              <w:rPr>
                <w:rFonts w:ascii="Arial" w:cs="Arial" w:eastAsia="Arial" w:hAnsi="Arial"/>
                <w:sz w:val="18"/>
                <w:szCs w:val="18"/>
                <w:color w:val="auto"/>
                <w:w w:val="93"/>
              </w:rPr>
              <w:t>XBRL Taxonomy Extension Definition Linkbase</w:t>
            </w:r>
          </w:p>
        </w:tc>
      </w:tr>
      <w:tr>
        <w:trPr>
          <w:trHeight w:val="230"/>
        </w:trPr>
        <w:tc>
          <w:tcPr>
            <w:tcW w:w="88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35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880" w:type="dxa"/>
            <w:vAlign w:val="bottom"/>
          </w:tcPr>
          <w:p>
            <w:pPr>
              <w:spacing w:after="0"/>
              <w:rPr>
                <w:sz w:val="19"/>
                <w:szCs w:val="19"/>
                <w:color w:val="auto"/>
              </w:rPr>
            </w:pPr>
          </w:p>
        </w:tc>
        <w:tc>
          <w:tcPr>
            <w:tcW w:w="356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35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w:t>
            </w:r>
          </w:p>
        </w:tc>
      </w:tr>
      <w:tr>
        <w:trPr>
          <w:trHeight w:val="230"/>
        </w:trPr>
        <w:tc>
          <w:tcPr>
            <w:tcW w:w="880" w:type="dxa"/>
            <w:vAlign w:val="bottom"/>
          </w:tcPr>
          <w:p>
            <w:pPr>
              <w:spacing w:after="0"/>
              <w:rPr>
                <w:sz w:val="20"/>
                <w:szCs w:val="20"/>
                <w:color w:val="auto"/>
              </w:rPr>
            </w:pPr>
          </w:p>
        </w:tc>
        <w:tc>
          <w:tcPr>
            <w:tcW w:w="3560" w:type="dxa"/>
            <w:vAlign w:val="bottom"/>
            <w:gridSpan w:val="7"/>
          </w:tcPr>
          <w:p>
            <w:pPr>
              <w:spacing w:after="0"/>
              <w:rPr>
                <w:sz w:val="20"/>
                <w:szCs w:val="20"/>
                <w:color w:val="auto"/>
              </w:rPr>
            </w:pPr>
            <w:r>
              <w:rPr>
                <w:rFonts w:ascii="Arial" w:cs="Arial" w:eastAsia="Arial" w:hAnsi="Arial"/>
                <w:sz w:val="18"/>
                <w:szCs w:val="18"/>
                <w:color w:val="auto"/>
              </w:rPr>
              <w:t>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9512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75" w:name="page76"/>
    <w:bookmarkEnd w:id="75"/>
    <w:p>
      <w:pPr>
        <w:ind w:left="492" w:hanging="492"/>
        <w:spacing w:after="0"/>
        <w:tabs>
          <w:tab w:leader="none" w:pos="492"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492" w:hanging="492"/>
        <w:spacing w:after="0"/>
        <w:tabs>
          <w:tab w:leader="none" w:pos="492" w:val="left"/>
        </w:tabs>
        <w:numPr>
          <w:ilvl w:val="0"/>
          <w:numId w:val="41"/>
        </w:numPr>
        <w:rPr>
          <w:rFonts w:ascii="Arial" w:cs="Arial" w:eastAsia="Arial" w:hAnsi="Arial"/>
          <w:sz w:val="15"/>
          <w:szCs w:val="15"/>
          <w:color w:val="auto"/>
        </w:rPr>
      </w:pPr>
      <w:r>
        <w:rPr>
          <w:rFonts w:ascii="Arial" w:cs="Arial" w:eastAsia="Arial" w:hAnsi="Arial"/>
          <w:sz w:val="18"/>
          <w:szCs w:val="18"/>
          <w:color w:val="auto"/>
        </w:rPr>
        <w:t>Indicates management contract or compensatory plan</w:t>
      </w:r>
    </w:p>
    <w:p>
      <w:pPr>
        <w:spacing w:after="0" w:line="50" w:lineRule="exact"/>
        <w:rPr>
          <w:sz w:val="20"/>
          <w:szCs w:val="20"/>
          <w:color w:val="auto"/>
        </w:rPr>
      </w:pPr>
    </w:p>
    <w:p>
      <w:pPr>
        <w:jc w:val="both"/>
        <w:ind w:left="492" w:hanging="492"/>
        <w:spacing w:after="0" w:line="301" w:lineRule="auto"/>
        <w:tabs>
          <w:tab w:leader="none" w:pos="492" w:val="left"/>
        </w:tabs>
        <w:numPr>
          <w:ilvl w:val="0"/>
          <w:numId w:val="42"/>
        </w:numPr>
        <w:rPr>
          <w:rFonts w:ascii="Arial" w:cs="Arial" w:eastAsia="Arial" w:hAnsi="Arial"/>
          <w:sz w:val="13"/>
          <w:szCs w:val="13"/>
          <w:color w:val="auto"/>
        </w:rPr>
      </w:pPr>
      <w:r>
        <w:rPr>
          <w:rFonts w:ascii="Arial" w:cs="Arial" w:eastAsia="Arial" w:hAnsi="Arial"/>
          <w:sz w:val="16"/>
          <w:szCs w:val="16"/>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373"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92"/>
          </w:cols>
          <w:pgMar w:left="328" w:top="598" w:right="47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3460" w:type="dxa"/>
            <w:vAlign w:val="bottom"/>
            <w:gridSpan w:val="2"/>
          </w:tcPr>
          <w:p>
            <w:pPr>
              <w:ind w:left="2080"/>
              <w:spacing w:after="0"/>
              <w:rPr>
                <w:sz w:val="20"/>
                <w:szCs w:val="20"/>
                <w:color w:val="auto"/>
              </w:rPr>
            </w:pPr>
            <w:r>
              <w:rPr>
                <w:rFonts w:ascii="Arial" w:cs="Arial" w:eastAsia="Arial" w:hAnsi="Arial"/>
                <w:sz w:val="18"/>
                <w:szCs w:val="18"/>
                <w:color w:val="auto"/>
              </w:rPr>
              <w:t>Nkarta, Inc.</w:t>
            </w:r>
          </w:p>
        </w:tc>
        <w:tc>
          <w:tcPr>
            <w:tcW w:w="4280" w:type="dxa"/>
            <w:vAlign w:val="bottom"/>
          </w:tcPr>
          <w:p>
            <w:pPr>
              <w:spacing w:after="0"/>
              <w:rPr>
                <w:sz w:val="20"/>
                <w:szCs w:val="20"/>
                <w:color w:val="auto"/>
              </w:rPr>
            </w:pP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13, 2021</w:t>
            </w:r>
          </w:p>
        </w:tc>
        <w:tc>
          <w:tcPr>
            <w:tcW w:w="3460" w:type="dxa"/>
            <w:vAlign w:val="bottom"/>
            <w:gridSpan w:val="2"/>
          </w:tcPr>
          <w:p>
            <w:pPr>
              <w:ind w:left="2080"/>
              <w:spacing w:after="0"/>
              <w:rPr>
                <w:sz w:val="20"/>
                <w:szCs w:val="20"/>
                <w:color w:val="auto"/>
              </w:rPr>
            </w:pPr>
            <w:r>
              <w:rPr>
                <w:rFonts w:ascii="Arial" w:cs="Arial" w:eastAsia="Arial" w:hAnsi="Arial"/>
                <w:sz w:val="18"/>
                <w:szCs w:val="18"/>
                <w:color w:val="auto"/>
              </w:rPr>
              <w:t>By:</w:t>
            </w:r>
          </w:p>
        </w:tc>
        <w:tc>
          <w:tcPr>
            <w:tcW w:w="4280" w:type="dxa"/>
            <w:vAlign w:val="bottom"/>
          </w:tcPr>
          <w:p>
            <w:pPr>
              <w:jc w:val="center"/>
              <w:ind w:right="1010"/>
              <w:spacing w:after="0"/>
              <w:rPr>
                <w:sz w:val="20"/>
                <w:szCs w:val="20"/>
                <w:color w:val="auto"/>
              </w:rPr>
            </w:pPr>
            <w:r>
              <w:rPr>
                <w:rFonts w:ascii="Arial" w:cs="Arial" w:eastAsia="Arial" w:hAnsi="Arial"/>
                <w:sz w:val="18"/>
                <w:szCs w:val="18"/>
                <w:color w:val="auto"/>
                <w:w w:val="89"/>
              </w:rPr>
              <w:t>/s/ Paul J. Hastings</w:t>
            </w:r>
          </w:p>
        </w:tc>
      </w:tr>
      <w:tr>
        <w:trPr>
          <w:trHeight w:val="222"/>
        </w:trPr>
        <w:tc>
          <w:tcPr>
            <w:tcW w:w="35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280" w:type="dxa"/>
            <w:vAlign w:val="bottom"/>
            <w:tcBorders>
              <w:top w:val="single" w:sz="8" w:color="auto"/>
            </w:tcBorders>
          </w:tcPr>
          <w:p>
            <w:pPr>
              <w:jc w:val="center"/>
              <w:ind w:right="990"/>
              <w:spacing w:after="0"/>
              <w:rPr>
                <w:sz w:val="20"/>
                <w:szCs w:val="20"/>
                <w:color w:val="auto"/>
              </w:rPr>
            </w:pPr>
            <w:r>
              <w:rPr>
                <w:rFonts w:ascii="Arial" w:cs="Arial" w:eastAsia="Arial" w:hAnsi="Arial"/>
                <w:sz w:val="18"/>
                <w:szCs w:val="18"/>
                <w:color w:val="auto"/>
                <w:w w:val="89"/>
              </w:rPr>
              <w:t>Paul J. Hastings</w:t>
            </w:r>
          </w:p>
        </w:tc>
      </w:tr>
      <w:tr>
        <w:trPr>
          <w:trHeight w:val="229"/>
        </w:trPr>
        <w:tc>
          <w:tcPr>
            <w:tcW w:w="35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80" w:type="dxa"/>
            <w:vAlign w:val="bottom"/>
          </w:tcPr>
          <w:p>
            <w:pPr>
              <w:jc w:val="center"/>
              <w:ind w:right="99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5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80" w:type="dxa"/>
            <w:vAlign w:val="bottom"/>
          </w:tcPr>
          <w:p>
            <w:pPr>
              <w:jc w:val="center"/>
              <w:ind w:right="1010"/>
              <w:spacing w:after="0"/>
              <w:rPr>
                <w:sz w:val="20"/>
                <w:szCs w:val="20"/>
                <w:color w:val="auto"/>
              </w:rPr>
            </w:pPr>
            <w:r>
              <w:rPr>
                <w:rFonts w:ascii="Arial" w:cs="Arial" w:eastAsia="Arial" w:hAnsi="Arial"/>
                <w:sz w:val="18"/>
                <w:szCs w:val="18"/>
                <w:color w:val="auto"/>
                <w:w w:val="94"/>
              </w:rPr>
              <w:t>(Principal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13, 2021</w:t>
            </w:r>
          </w:p>
        </w:tc>
        <w:tc>
          <w:tcPr>
            <w:tcW w:w="3460" w:type="dxa"/>
            <w:vAlign w:val="bottom"/>
            <w:gridSpan w:val="2"/>
          </w:tcPr>
          <w:p>
            <w:pPr>
              <w:ind w:left="2080"/>
              <w:spacing w:after="0"/>
              <w:rPr>
                <w:sz w:val="20"/>
                <w:szCs w:val="20"/>
                <w:color w:val="auto"/>
              </w:rPr>
            </w:pPr>
            <w:r>
              <w:rPr>
                <w:rFonts w:ascii="Arial" w:cs="Arial" w:eastAsia="Arial" w:hAnsi="Arial"/>
                <w:sz w:val="18"/>
                <w:szCs w:val="18"/>
                <w:color w:val="auto"/>
              </w:rPr>
              <w:t>By:</w:t>
            </w:r>
          </w:p>
        </w:tc>
        <w:tc>
          <w:tcPr>
            <w:tcW w:w="4280" w:type="dxa"/>
            <w:vAlign w:val="bottom"/>
          </w:tcPr>
          <w:p>
            <w:pPr>
              <w:jc w:val="center"/>
              <w:ind w:right="1010"/>
              <w:spacing w:after="0"/>
              <w:rPr>
                <w:sz w:val="20"/>
                <w:szCs w:val="20"/>
                <w:color w:val="auto"/>
              </w:rPr>
            </w:pPr>
            <w:r>
              <w:rPr>
                <w:rFonts w:ascii="Arial" w:cs="Arial" w:eastAsia="Arial" w:hAnsi="Arial"/>
                <w:sz w:val="18"/>
                <w:szCs w:val="18"/>
                <w:color w:val="auto"/>
                <w:w w:val="93"/>
              </w:rPr>
              <w:t>/s/ Nadir Mahmood</w:t>
            </w:r>
          </w:p>
        </w:tc>
      </w:tr>
      <w:tr>
        <w:trPr>
          <w:trHeight w:val="224"/>
        </w:trPr>
        <w:tc>
          <w:tcPr>
            <w:tcW w:w="35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280" w:type="dxa"/>
            <w:vAlign w:val="bottom"/>
            <w:tcBorders>
              <w:top w:val="single" w:sz="8" w:color="auto"/>
            </w:tcBorders>
          </w:tcPr>
          <w:p>
            <w:pPr>
              <w:jc w:val="center"/>
              <w:ind w:right="990"/>
              <w:spacing w:after="0"/>
              <w:rPr>
                <w:sz w:val="20"/>
                <w:szCs w:val="20"/>
                <w:color w:val="auto"/>
              </w:rPr>
            </w:pPr>
            <w:r>
              <w:rPr>
                <w:rFonts w:ascii="Arial" w:cs="Arial" w:eastAsia="Arial" w:hAnsi="Arial"/>
                <w:sz w:val="18"/>
                <w:szCs w:val="18"/>
                <w:color w:val="auto"/>
                <w:w w:val="93"/>
              </w:rPr>
              <w:t>Nadir Mahmood</w:t>
            </w:r>
          </w:p>
        </w:tc>
      </w:tr>
    </w:tbl>
    <w:p>
      <w:pPr>
        <w:jc w:val="center"/>
        <w:ind w:left="5840"/>
        <w:spacing w:after="0"/>
        <w:rPr>
          <w:sz w:val="20"/>
          <w:szCs w:val="20"/>
          <w:color w:val="auto"/>
        </w:rPr>
      </w:pPr>
      <w:r>
        <w:rPr>
          <w:rFonts w:ascii="Arial" w:cs="Arial" w:eastAsia="Arial" w:hAnsi="Arial"/>
          <w:sz w:val="18"/>
          <w:szCs w:val="18"/>
          <w:color w:val="auto"/>
        </w:rPr>
        <w:t>Chief Financial and Business Officer</w:t>
      </w:r>
    </w:p>
    <w:p>
      <w:pPr>
        <w:spacing w:after="0" w:line="2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553"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NKARTA,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COMPENSATION POLICY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March 24, 2021)</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Directors of Nkarta, Inc., a Delaware corporation (the “Company”), who are not employed by the Company or one of its subsidiaries (“Non-Employee Directors”) are entitled to the compensation set forth below for their service as a member of the Board of Directors (the “Board”) of the Company. This policy is effective as of the date of the initial public offering of the Company’s common stock (the “Effective Date”). The Board (or any committee of the Board within the authority delegated to it) has the right to amend this policy from time to time.</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Compensation</w:t>
      </w:r>
    </w:p>
    <w:p>
      <w:pPr>
        <w:spacing w:after="0" w:line="232"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Annual Retainer</w:t>
            </w:r>
          </w:p>
        </w:tc>
        <w:tc>
          <w:tcPr>
            <w:tcW w:w="244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Additional Board Chair/Lead Independent Director Retainer</w:t>
            </w:r>
          </w:p>
        </w:tc>
        <w:tc>
          <w:tcPr>
            <w:tcW w:w="244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Additional Committee Chair Retainers:</w:t>
            </w:r>
          </w:p>
        </w:tc>
        <w:tc>
          <w:tcPr>
            <w:tcW w:w="2440" w:type="dxa"/>
            <w:vAlign w:val="bottom"/>
          </w:tcPr>
          <w:p>
            <w:pPr>
              <w:spacing w:after="0"/>
              <w:rPr>
                <w:sz w:val="18"/>
                <w:szCs w:val="18"/>
                <w:color w:val="auto"/>
              </w:rPr>
            </w:pP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Audit Committee Chair</w:t>
            </w:r>
          </w:p>
        </w:tc>
        <w:tc>
          <w:tcPr>
            <w:tcW w:w="244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Compensation Committee Chair</w:t>
            </w:r>
          </w:p>
        </w:tc>
        <w:tc>
          <w:tcPr>
            <w:tcW w:w="244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Nominating and Governance Committee Chair</w:t>
            </w:r>
          </w:p>
        </w:tc>
        <w:tc>
          <w:tcPr>
            <w:tcW w:w="244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Additional Committee Retainers:</w:t>
            </w:r>
          </w:p>
        </w:tc>
        <w:tc>
          <w:tcPr>
            <w:tcW w:w="2440" w:type="dxa"/>
            <w:vAlign w:val="bottom"/>
          </w:tcPr>
          <w:p>
            <w:pPr>
              <w:spacing w:after="0"/>
              <w:rPr>
                <w:sz w:val="18"/>
                <w:szCs w:val="18"/>
                <w:color w:val="auto"/>
              </w:rPr>
            </w:pP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Audit Committee</w:t>
            </w:r>
          </w:p>
        </w:tc>
        <w:tc>
          <w:tcPr>
            <w:tcW w:w="244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6200" w:type="dxa"/>
            <w:vAlign w:val="bottom"/>
          </w:tcPr>
          <w:p>
            <w:pPr>
              <w:ind w:left="320"/>
              <w:spacing w:after="0"/>
              <w:rPr>
                <w:sz w:val="20"/>
                <w:szCs w:val="20"/>
                <w:color w:val="auto"/>
              </w:rPr>
            </w:pPr>
            <w:r>
              <w:rPr>
                <w:rFonts w:ascii="Arial" w:cs="Arial" w:eastAsia="Arial" w:hAnsi="Arial"/>
                <w:sz w:val="18"/>
                <w:szCs w:val="18"/>
                <w:color w:val="auto"/>
              </w:rPr>
              <w:t>Compensation Committee</w:t>
            </w:r>
          </w:p>
        </w:tc>
        <w:tc>
          <w:tcPr>
            <w:tcW w:w="244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6200" w:type="dxa"/>
            <w:vAlign w:val="bottom"/>
          </w:tcPr>
          <w:p>
            <w:pPr>
              <w:ind w:left="320"/>
              <w:spacing w:after="0"/>
              <w:rPr>
                <w:sz w:val="20"/>
                <w:szCs w:val="20"/>
                <w:color w:val="auto"/>
              </w:rPr>
            </w:pPr>
            <w:r>
              <w:rPr>
                <w:rFonts w:ascii="Arial" w:cs="Arial" w:eastAsia="Arial" w:hAnsi="Arial"/>
                <w:sz w:val="18"/>
                <w:szCs w:val="18"/>
                <w:color w:val="auto"/>
              </w:rPr>
              <w:t>Nominating and Governance Committee</w:t>
            </w:r>
          </w:p>
        </w:tc>
        <w:tc>
          <w:tcPr>
            <w:tcW w:w="2440" w:type="dxa"/>
            <w:vAlign w:val="bottom"/>
          </w:tcPr>
          <w:p>
            <w:pPr>
              <w:jc w:val="right"/>
              <w:spacing w:after="0"/>
              <w:rPr>
                <w:sz w:val="20"/>
                <w:szCs w:val="20"/>
                <w:color w:val="auto"/>
              </w:rPr>
            </w:pPr>
            <w:r>
              <w:rPr>
                <w:rFonts w:ascii="Arial" w:cs="Arial" w:eastAsia="Arial" w:hAnsi="Arial"/>
                <w:sz w:val="18"/>
                <w:szCs w:val="18"/>
                <w:color w:val="auto"/>
              </w:rPr>
              <w:t>$4,000</w:t>
            </w:r>
          </w:p>
        </w:tc>
      </w:tr>
    </w:tbl>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retainers set forth above are expressed as annualized amounts. These retainers will be paid on a quarterly basis, in arrears after the end of each fiscal quarter, to the Non-Employee Directors serving on the Board (or in the applicable position, in the case of the Additional Board Chair/Lead Independent Director Retainer or an Additional Committee or Committee Chair Retainer) during such fiscal quarter. Retainers for the fiscal quarter in which the Effective Date occurs will be paid on a pro-rated basis. If an individual serves as a Non-Employee Director, Chair of the Board or lead independent director, or Chair or member of a Board committee, as the case may be, for only a portion of a fiscal quarter, the Non-Employee Director will be paid a pro-rata portion of the applicable retainer for such quarter based on the time the individual served in the applicable position.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Annual Equity Awards for Continuing Board Members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Commencing in 2021, on the date of each annual meeting of the Company’s stockholders at which one or more directors are to be elected to the Board, each Non-Employee Director continuing in office after that date will be granted an award of Company stock options (“Options”) having a grant date fair value equal to approximately $270,000 (the “Grant Date Value”); provided, however, that the Grant Date Value will be multiplied by the Pro-Rata Fraction (as defined below) in the case of such an award to a Non-Employee Director whose initial appointment or election to the Board occurred after (a) in the case of such an award in connection with the Company's 2022 annual meeting of stockholders or any subsequent annual meeting of stockholders, the date of the immediately preceding annual meeting of the Company's stockholders at which one or more directors were elected to the Board (for example, in the case of such an award in connection with the Company's 2022 annual meeting of stockholders, as to a Non-Employee Director whose initial appointment or election to the Board occurred after the date of the Company's 2021 annual meeting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9"/>
          <w:szCs w:val="19"/>
          <w:color w:val="auto"/>
        </w:rPr>
        <w:t>of stockholders), or (b) in the case of such an award in connection with the Company's 2021 annual meeting of stockholders, July 9, 2020. The "Pro-Rata Fraction" is a fraction (not greater than one), the numerator of which is the total number of days in the period of time commencing with the date that the Non-Employee Director was first elected or appointed to the Board through and including the date of the annual meeting of the Company's stockholders at which the award in question is to be granted, and the denominator of which is the total number of days in the period of time commencing with the date of the immediately preceding annual meeting of the Company's stockholders at which one or more directors were elected to the Board (or, in the case of an award granted in connection with the Company's 2021 annual meeting of stockholders, commencing with July 9, 2020) through and including the date of the annual meeting of the Company's stockholders at which the award in question is to be granted.</w:t>
      </w:r>
    </w:p>
    <w:p>
      <w:pPr>
        <w:spacing w:after="0" w:line="180"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Each such award of Options will be scheduled to vest on the first to occur of (i) the first anniversary of the date of grant of the award, or (ii) on the day immediately preceding the first annual meeting of the Company's stockholders to occur after the date of grant of the award.</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Initial Equity Awards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Each new Non-Employee Director appointed or elected to the Board after the Effective Date will (unless otherwise provided by the Board) be granted, on the date that the new Non-Employee Director first becomes a member of the Board, an award of Options having a grant date fair value equal to approximately $540,000. Each such award of Options will be scheduled to vest as to one-third of the Options subject to the award on each of the first, second and third anniversaries of the date of grant of the award.</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Notwithstanding anything to the contrary herein, if a Non-Employee Director is first elected to the Board at an annual meeting of the Company's stockholders, the Non-Employee Director will be entitled to an initial equity award pursuant to the immediately preceding paragraph but will not (unless otherwise provided by the Board) be eligible for an annual equity award in connection with that annual meeting. Unless otherwise provided by the Board, an employee or former employee of the Company or one of its subsidiaries who ceases or has ceased to be so employed and becomes a Non-Employee Director will not be eligible for an initial equity award grant pursuant to the immediately preceding paragraph, but will be eligible for cash compensation and annual equity awards on the same basis as other Non-Employee Directors.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Provisions Applicable to All Non-Employee Director Equity Awards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Option granted to a Non-Employee Director will be granted under and subject to the terms and conditions of the Company’s 2020 Performance Incentive Plan or any successor equity compensation plan approved by the Company’s stockholders and in effect at the time of grant.</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Unless otherwise provided by the Board in connection with a particular award, each award of Options granted to a Non-Employee Director will have a maximum term of 10 years, will vest (to the extent then outstanding and otherwise unvested) should a change in control of the Company occur (as defined in the applicable award agreement), and will be evidenced by and subject to the terms and conditions of the Company’s standard form of stock option award agreement for Non-Employee Director stock option grants as in effect on the date of grant of the award. The per share exercise price of each Option granted to a Non-Employee Director will equal the closing price of a share of Company common stock on the date of grant of the award (or, if such date of grant is not a trading day, the closing price of a share of Company common stock on the last trading day immediately preceding the date of grant of the Award), with such exercise price and the number of shares subject to the award subject to adjustment for stock splits and similar events as provided in the applicable stock option award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9" w:name="page80"/>
    <w:bookmarkEnd w:id="79"/>
    <w:p>
      <w:pPr>
        <w:jc w:val="both"/>
        <w:spacing w:after="0" w:line="250" w:lineRule="auto"/>
        <w:rPr>
          <w:sz w:val="20"/>
          <w:szCs w:val="20"/>
          <w:color w:val="auto"/>
        </w:rPr>
      </w:pPr>
      <w:r>
        <w:rPr>
          <w:rFonts w:ascii="Arial" w:cs="Arial" w:eastAsia="Arial" w:hAnsi="Arial"/>
          <w:sz w:val="20"/>
          <w:szCs w:val="20"/>
          <w:color w:val="auto"/>
        </w:rPr>
        <w:t>The Board (or any committee of the Board within the authority delegated to it) may approve other grants of equity-based awards to Non-Employee Directors from time to time, on such terms as the Board (or committee) may determine and subject to the applicable provisions of the Company’s equity compensation plan then in effect.</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Expense Reimbursement</w:t>
      </w:r>
      <w:r>
        <w:rPr>
          <w:rFonts w:ascii="Arial" w:cs="Arial" w:eastAsia="Arial" w:hAnsi="Arial"/>
          <w:sz w:val="18"/>
          <w:szCs w:val="18"/>
          <w:color w:val="auto"/>
        </w:rPr>
        <w:t>. All Non-Employee Directors will be entitled to reimbursement from the Company for their reasonable travel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airfare and ground transportation), lodging and meal expenses incident to meetings of the Board or committees thereof or in connection with other Board-related business. The Company will make reimbursement to a non-employee director within a reasonable amount of time following submission by the non-employee director of reasonable written substantiation for the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240"/>
          </w:cols>
          <w:pgMar w:left="320" w:top="352"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13970</wp:posOffset>
            </wp:positionV>
            <wp:extent cx="1663065" cy="651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16630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1A181C"/>
        </w:rPr>
        <w:t>April 2, 2018</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1A181C"/>
        </w:rPr>
        <w:t>Nadir A. Mahmood</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1A181C"/>
        </w:rPr>
        <w:t>Via E-Mail</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20"/>
          <w:szCs w:val="20"/>
          <w:color w:val="1A181C"/>
        </w:rPr>
        <w:t>Dear Mr. Mahmood:</w:t>
      </w:r>
    </w:p>
    <w:p>
      <w:pPr>
        <w:spacing w:after="0" w:line="229" w:lineRule="exact"/>
        <w:rPr>
          <w:sz w:val="20"/>
          <w:szCs w:val="20"/>
          <w:color w:val="auto"/>
        </w:rPr>
      </w:pPr>
    </w:p>
    <w:p>
      <w:pPr>
        <w:jc w:val="both"/>
        <w:ind w:left="40" w:right="240" w:firstLine="791"/>
        <w:spacing w:after="0" w:line="278" w:lineRule="auto"/>
        <w:rPr>
          <w:sz w:val="20"/>
          <w:szCs w:val="20"/>
          <w:color w:val="auto"/>
        </w:rPr>
      </w:pPr>
      <w:r>
        <w:rPr>
          <w:rFonts w:ascii="Arial" w:cs="Arial" w:eastAsia="Arial" w:hAnsi="Arial"/>
          <w:sz w:val="18"/>
          <w:szCs w:val="18"/>
          <w:color w:val="1A181C"/>
        </w:rPr>
        <w:t xml:space="preserve">I am pleased to offer you a position with Nkarta, Inc. (the </w:t>
      </w:r>
      <w:r>
        <w:rPr>
          <w:rFonts w:ascii="Arial" w:cs="Arial" w:eastAsia="Arial" w:hAnsi="Arial"/>
          <w:sz w:val="18"/>
          <w:szCs w:val="18"/>
          <w:b w:val="1"/>
          <w:bCs w:val="1"/>
          <w:i w:val="1"/>
          <w:iCs w:val="1"/>
          <w:color w:val="1A181C"/>
        </w:rPr>
        <w:t>"Company"),</w:t>
      </w:r>
      <w:r>
        <w:rPr>
          <w:rFonts w:ascii="Arial" w:cs="Arial" w:eastAsia="Arial" w:hAnsi="Arial"/>
          <w:sz w:val="18"/>
          <w:szCs w:val="18"/>
          <w:color w:val="1A181C"/>
        </w:rPr>
        <w:t xml:space="preserve"> as Senior Vice President, Corporate Development, reporting to the Chief Executive Officer of the Company. If you decide to join us, your employment would commence on a mutually agreeable starting date (the </w:t>
      </w:r>
      <w:r>
        <w:rPr>
          <w:rFonts w:ascii="Arial" w:cs="Arial" w:eastAsia="Arial" w:hAnsi="Arial"/>
          <w:sz w:val="18"/>
          <w:szCs w:val="18"/>
          <w:b w:val="1"/>
          <w:bCs w:val="1"/>
          <w:i w:val="1"/>
          <w:iCs w:val="1"/>
          <w:color w:val="1A181C"/>
        </w:rPr>
        <w:t>"Effective Date").</w:t>
      </w:r>
      <w:r>
        <w:rPr>
          <w:rFonts w:ascii="Arial" w:cs="Arial" w:eastAsia="Arial" w:hAnsi="Arial"/>
          <w:sz w:val="18"/>
          <w:szCs w:val="18"/>
          <w:color w:val="1A181C"/>
        </w:rPr>
        <w:t xml:space="preserve"> You will receive an annual base salary of $250,000 (the </w:t>
      </w:r>
      <w:r>
        <w:rPr>
          <w:rFonts w:ascii="Arial" w:cs="Arial" w:eastAsia="Arial" w:hAnsi="Arial"/>
          <w:sz w:val="18"/>
          <w:szCs w:val="18"/>
          <w:b w:val="1"/>
          <w:bCs w:val="1"/>
          <w:i w:val="1"/>
          <w:iCs w:val="1"/>
          <w:color w:val="1A181C"/>
        </w:rPr>
        <w:t>"Base Salary"),</w:t>
      </w:r>
      <w:r>
        <w:rPr>
          <w:rFonts w:ascii="Arial" w:cs="Arial" w:eastAsia="Arial" w:hAnsi="Arial"/>
          <w:sz w:val="18"/>
          <w:szCs w:val="18"/>
          <w:color w:val="1A181C"/>
        </w:rPr>
        <w:t xml:space="preserve"> which will be paid periodically in accordance with the Company's normal payroll practices and be subject to the usual, required withholdings. Your Base Salary will be subject to review and adjustments will be made based upon the Company</w:t>
      </w:r>
      <w:r>
        <w:rPr>
          <w:rFonts w:ascii="Arial" w:cs="Arial" w:eastAsia="Arial" w:hAnsi="Arial"/>
          <w:sz w:val="18"/>
          <w:szCs w:val="18"/>
          <w:color w:val="3D3B3D"/>
        </w:rPr>
        <w:t>'</w:t>
      </w:r>
      <w:r>
        <w:rPr>
          <w:rFonts w:ascii="Arial" w:cs="Arial" w:eastAsia="Arial" w:hAnsi="Arial"/>
          <w:sz w:val="18"/>
          <w:szCs w:val="18"/>
          <w:color w:val="1A181C"/>
        </w:rPr>
        <w:t xml:space="preserve"> s normal performance review practices.</w:t>
      </w:r>
    </w:p>
    <w:p>
      <w:pPr>
        <w:spacing w:after="0" w:line="178" w:lineRule="exact"/>
        <w:rPr>
          <w:sz w:val="20"/>
          <w:szCs w:val="20"/>
          <w:color w:val="auto"/>
        </w:rPr>
      </w:pPr>
    </w:p>
    <w:p>
      <w:pPr>
        <w:jc w:val="both"/>
        <w:ind w:right="240" w:firstLine="814"/>
        <w:spacing w:after="0" w:line="242" w:lineRule="auto"/>
        <w:rPr>
          <w:sz w:val="20"/>
          <w:szCs w:val="20"/>
          <w:color w:val="auto"/>
        </w:rPr>
      </w:pPr>
      <w:r>
        <w:rPr>
          <w:rFonts w:ascii="Arial" w:cs="Arial" w:eastAsia="Arial" w:hAnsi="Arial"/>
          <w:sz w:val="20"/>
          <w:szCs w:val="20"/>
          <w:color w:val="1A181C"/>
        </w:rPr>
        <w:t xml:space="preserve">As of the Effective Date, you will be eligible to receive an annual bonus of up to 25% of your Base Salary then in effect upon achievement of performance objectives to be determined by the Board in its sole discretion (the </w:t>
      </w:r>
      <w:r>
        <w:rPr>
          <w:rFonts w:ascii="Arial" w:cs="Arial" w:eastAsia="Arial" w:hAnsi="Arial"/>
          <w:sz w:val="20"/>
          <w:szCs w:val="20"/>
          <w:b w:val="1"/>
          <w:bCs w:val="1"/>
          <w:i w:val="1"/>
          <w:iCs w:val="1"/>
          <w:color w:val="1A181C"/>
        </w:rPr>
        <w:t>"Target Bonus").</w:t>
      </w:r>
      <w:r>
        <w:rPr>
          <w:rFonts w:ascii="Arial" w:cs="Arial" w:eastAsia="Arial" w:hAnsi="Arial"/>
          <w:sz w:val="20"/>
          <w:szCs w:val="20"/>
          <w:color w:val="1A181C"/>
        </w:rPr>
        <w:t xml:space="preserve"> Your Target Bonus shall be pro-rated for 2018. The Target Bonus, or any portion thereof, will be paid, less applicable withholdings, as soon as practicable after the Board of Directors of the Company (the </w:t>
      </w:r>
      <w:r>
        <w:rPr>
          <w:rFonts w:ascii="Arial" w:cs="Arial" w:eastAsia="Arial" w:hAnsi="Arial"/>
          <w:sz w:val="20"/>
          <w:szCs w:val="20"/>
          <w:b w:val="1"/>
          <w:bCs w:val="1"/>
          <w:i w:val="1"/>
          <w:iCs w:val="1"/>
          <w:color w:val="1A181C"/>
        </w:rPr>
        <w:t>"Board'')</w:t>
      </w:r>
      <w:r>
        <w:rPr>
          <w:rFonts w:ascii="Arial" w:cs="Arial" w:eastAsia="Arial" w:hAnsi="Arial"/>
          <w:sz w:val="20"/>
          <w:szCs w:val="20"/>
          <w:color w:val="1A181C"/>
        </w:rPr>
        <w:t xml:space="preserve"> determines that the Target Bonus has been earned, but in no event shall the Target Bonus be paid after the later of (i) the fifteenth (15th) day of the third (3rd) month following the close of the Company's fiscal year (which currently is December 31</w:t>
      </w:r>
      <w:r>
        <w:rPr>
          <w:rFonts w:ascii="Arial" w:cs="Arial" w:eastAsia="Arial" w:hAnsi="Arial"/>
          <w:sz w:val="16"/>
          <w:szCs w:val="16"/>
          <w:color w:val="1A181C"/>
        </w:rPr>
        <w:t>st</w:t>
      </w:r>
      <w:r>
        <w:rPr>
          <w:rFonts w:ascii="Arial" w:cs="Arial" w:eastAsia="Arial" w:hAnsi="Arial"/>
          <w:sz w:val="20"/>
          <w:szCs w:val="20"/>
          <w:color w:val="1A181C"/>
        </w:rPr>
        <w:t>) in which the Target Bonus is earned or (ii) March 15 following the calendar year in which the Target Bonus is earned. Any bonuses will be subject to your continued employment with the Company through the date the bonus is earned</w:t>
      </w:r>
      <w:r>
        <w:rPr>
          <w:rFonts w:ascii="Arial" w:cs="Arial" w:eastAsia="Arial" w:hAnsi="Arial"/>
          <w:sz w:val="20"/>
          <w:szCs w:val="20"/>
          <w:color w:val="4D4D4D"/>
        </w:rPr>
        <w:t>.</w:t>
      </w:r>
    </w:p>
    <w:p>
      <w:pPr>
        <w:spacing w:after="0" w:line="210" w:lineRule="exact"/>
        <w:rPr>
          <w:sz w:val="20"/>
          <w:szCs w:val="20"/>
          <w:color w:val="auto"/>
        </w:rPr>
      </w:pPr>
    </w:p>
    <w:p>
      <w:pPr>
        <w:jc w:val="both"/>
        <w:ind w:right="240" w:firstLine="796"/>
        <w:spacing w:after="0" w:line="269" w:lineRule="auto"/>
        <w:rPr>
          <w:sz w:val="20"/>
          <w:szCs w:val="20"/>
          <w:color w:val="auto"/>
        </w:rPr>
      </w:pPr>
      <w:r>
        <w:rPr>
          <w:rFonts w:ascii="Arial" w:cs="Arial" w:eastAsia="Arial" w:hAnsi="Arial"/>
          <w:sz w:val="18"/>
          <w:szCs w:val="18"/>
          <w:color w:val="1A181C"/>
        </w:rPr>
        <w:t xml:space="preserve">If you decide to join the Company, the Company shall recommend that the Board grant to you an option to purchase, pursuant to an option agreement subject to an early exercise provision, 94,000 shares of Common Stock, par value $0.0001 per share, of the Company (the </w:t>
      </w:r>
      <w:r>
        <w:rPr>
          <w:rFonts w:ascii="Arial" w:cs="Arial" w:eastAsia="Arial" w:hAnsi="Arial"/>
          <w:sz w:val="18"/>
          <w:szCs w:val="18"/>
          <w:b w:val="1"/>
          <w:bCs w:val="1"/>
          <w:i w:val="1"/>
          <w:iCs w:val="1"/>
          <w:color w:val="1A181C"/>
        </w:rPr>
        <w:t>"Common Stock")</w:t>
      </w:r>
      <w:r>
        <w:rPr>
          <w:rFonts w:ascii="Arial" w:cs="Arial" w:eastAsia="Arial" w:hAnsi="Arial"/>
          <w:sz w:val="18"/>
          <w:szCs w:val="18"/>
          <w:color w:val="1A181C"/>
        </w:rPr>
        <w:t xml:space="preserve"> at a price per share equal to the fair market value per share of the Common Stock on the date of grant, as determined by the Board (the </w:t>
      </w:r>
      <w:r>
        <w:rPr>
          <w:rFonts w:ascii="Arial" w:cs="Arial" w:eastAsia="Arial" w:hAnsi="Arial"/>
          <w:sz w:val="18"/>
          <w:szCs w:val="18"/>
          <w:b w:val="1"/>
          <w:bCs w:val="1"/>
          <w:i w:val="1"/>
          <w:iCs w:val="1"/>
          <w:color w:val="1A181C"/>
        </w:rPr>
        <w:t>"Option Grant").</w:t>
      </w:r>
      <w:r>
        <w:rPr>
          <w:rFonts w:ascii="Arial" w:cs="Arial" w:eastAsia="Arial" w:hAnsi="Arial"/>
          <w:sz w:val="18"/>
          <w:szCs w:val="18"/>
          <w:color w:val="1A181C"/>
        </w:rPr>
        <w:t xml:space="preserve"> The Option Grant is intended to represent approximately 0.7% of the Fully Diluted Shares (as defined below) currently outstanding. For the purposes of this offer letter, ''Fully Diluted Shares" shall be calculated by adding (x) the number of outstanding shares of capital stock of the Company, plus (y) the number of shares of Company common stock subject to issuance under outstanding options or warrants, plus (z) the number of unallocated shares of Company common stock reserved for issuance pursuant to the Company's stock option plans, in each case, as of the close of the business day preceding the date of determination</w:t>
      </w:r>
      <w:r>
        <w:rPr>
          <w:rFonts w:ascii="Arial" w:cs="Arial" w:eastAsia="Arial" w:hAnsi="Arial"/>
          <w:sz w:val="18"/>
          <w:szCs w:val="18"/>
          <w:color w:val="3D3B3D"/>
        </w:rPr>
        <w:t>.</w:t>
      </w:r>
      <w:r>
        <w:rPr>
          <w:rFonts w:ascii="Arial" w:cs="Arial" w:eastAsia="Arial" w:hAnsi="Arial"/>
          <w:sz w:val="18"/>
          <w:szCs w:val="18"/>
          <w:color w:val="1A181C"/>
        </w:rPr>
        <w:t xml:space="preserve"> Subject to the vesting acceleration terms described in this offer letter, twenty-five percent (25%) of the Option Grant shall vest (or be released from the Company's repurchase right, as applicable) one year from the Effective Date, subject to your continuing employment with the Company, and none of the Option Grant shall vest (or be released from the Company</w:t>
      </w:r>
      <w:r>
        <w:rPr>
          <w:rFonts w:ascii="Arial" w:cs="Arial" w:eastAsia="Arial" w:hAnsi="Arial"/>
          <w:sz w:val="18"/>
          <w:szCs w:val="18"/>
          <w:color w:val="3D3B3D"/>
        </w:rPr>
        <w:t>'</w:t>
      </w:r>
      <w:r>
        <w:rPr>
          <w:rFonts w:ascii="Arial" w:cs="Arial" w:eastAsia="Arial" w:hAnsi="Arial"/>
          <w:sz w:val="18"/>
          <w:szCs w:val="18"/>
          <w:color w:val="1A181C"/>
        </w:rPr>
        <w:t xml:space="preserve"> s repurchase right, as applicable) before such date. The remaining shares subject to the Option Grant shall vest (or be released from the Company's repurchase right, as applicable) monthly over the </w:t>
      </w:r>
      <w:r>
        <w:rPr>
          <w:rFonts w:ascii="Arial" w:cs="Arial" w:eastAsia="Arial" w:hAnsi="Arial"/>
          <w:sz w:val="18"/>
          <w:szCs w:val="18"/>
          <w:color w:val="18181C"/>
        </w:rPr>
        <w:t>next thirty-six (36) months in equal monthly amounts subject to your continuing</w:t>
      </w:r>
      <w:r>
        <w:rPr>
          <w:rFonts w:ascii="Arial" w:cs="Arial" w:eastAsia="Arial" w:hAnsi="Arial"/>
          <w:sz w:val="18"/>
          <w:szCs w:val="18"/>
          <w:color w:val="1A181C"/>
        </w:rPr>
        <w:t xml:space="preserve"> </w:t>
      </w:r>
      <w:r>
        <w:rPr>
          <w:rFonts w:ascii="Arial" w:cs="Arial" w:eastAsia="Arial" w:hAnsi="Arial"/>
          <w:sz w:val="18"/>
          <w:szCs w:val="18"/>
          <w:color w:val="18181C"/>
        </w:rPr>
        <w:t>employment with the Company. Any shares acquired upon exercise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327025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500" w:top="346" w:right="339" w:bottom="1440" w:gutter="0" w:footer="0" w:header="0"/>
        </w:sectPr>
      </w:pPr>
    </w:p>
    <w:bookmarkStart w:id="81" w:name="page82"/>
    <w:bookmarkEnd w:id="81"/>
    <w:p>
      <w:pPr>
        <w:ind w:right="140"/>
        <w:spacing w:after="0" w:line="260" w:lineRule="auto"/>
        <w:rPr>
          <w:sz w:val="20"/>
          <w:szCs w:val="20"/>
          <w:color w:val="auto"/>
        </w:rPr>
      </w:pPr>
      <w:r>
        <w:rPr>
          <w:rFonts w:ascii="Arial" w:cs="Arial" w:eastAsia="Arial" w:hAnsi="Arial"/>
          <w:sz w:val="20"/>
          <w:szCs w:val="20"/>
          <w:color w:val="18181C"/>
        </w:rPr>
        <w:t>Grant, will be subject to the terms and conditions of the Company's 2015 Equity Incentive Plan and option agreement to be entered into between you and the Company.</w:t>
      </w:r>
    </w:p>
    <w:p>
      <w:pPr>
        <w:spacing w:after="0" w:line="190" w:lineRule="exact"/>
        <w:rPr>
          <w:sz w:val="20"/>
          <w:szCs w:val="20"/>
          <w:color w:val="auto"/>
        </w:rPr>
      </w:pPr>
    </w:p>
    <w:p>
      <w:pPr>
        <w:jc w:val="both"/>
        <w:ind w:left="160" w:firstLine="795"/>
        <w:spacing w:after="0" w:line="276" w:lineRule="auto"/>
        <w:rPr>
          <w:sz w:val="20"/>
          <w:szCs w:val="20"/>
          <w:color w:val="auto"/>
        </w:rPr>
      </w:pPr>
      <w:r>
        <w:rPr>
          <w:rFonts w:ascii="Arial" w:cs="Arial" w:eastAsia="Arial" w:hAnsi="Arial"/>
          <w:sz w:val="18"/>
          <w:szCs w:val="18"/>
          <w:color w:val="18181C"/>
        </w:rPr>
        <w:t>If you accept this offer of employment, from and after the Effective Date, you will be entitled to participate in any employee benefit plans hereafter maintained by the Company of general applicability to other senior executives of the Company, including, without limitation, any group medical, dental, vision, disability, life insurance plans maintained by the Company, subject to the terms and conditions of the applicable plans. The Company reserves the right to cancel or change the benefit plans and programs it offers to its employees at any time. You will begin with 15 vacation days and 10 sick days of paid time off per year. The Company also will have a separate holiday schedule that will be published at the beginning of each calendar year.</w:t>
      </w:r>
    </w:p>
    <w:p>
      <w:pPr>
        <w:spacing w:after="0" w:line="178" w:lineRule="exact"/>
        <w:rPr>
          <w:sz w:val="20"/>
          <w:szCs w:val="20"/>
          <w:color w:val="auto"/>
        </w:rPr>
      </w:pPr>
    </w:p>
    <w:p>
      <w:pPr>
        <w:jc w:val="both"/>
        <w:ind w:left="140" w:right="20" w:firstLine="800"/>
        <w:spacing w:after="0" w:line="244" w:lineRule="auto"/>
        <w:rPr>
          <w:sz w:val="20"/>
          <w:szCs w:val="20"/>
          <w:color w:val="auto"/>
        </w:rPr>
      </w:pPr>
      <w:r>
        <w:rPr>
          <w:rFonts w:ascii="Arial" w:cs="Arial" w:eastAsia="Arial" w:hAnsi="Arial"/>
          <w:sz w:val="20"/>
          <w:szCs w:val="20"/>
          <w:color w:val="18181C"/>
        </w:rPr>
        <w:t>The Company is excited about your joining and looks forward to a beneficial and productive relationship. Nevertheless, you should be aware that your employment with the Company is for no specified period and constitutes at</w:t>
      </w:r>
      <w:r>
        <w:rPr>
          <w:rFonts w:ascii="Arial" w:cs="Arial" w:eastAsia="Arial" w:hAnsi="Arial"/>
          <w:sz w:val="20"/>
          <w:szCs w:val="20"/>
          <w:color w:val="2D2448"/>
        </w:rPr>
        <w:t>-</w:t>
      </w:r>
      <w:r>
        <w:rPr>
          <w:rFonts w:ascii="Arial" w:cs="Arial" w:eastAsia="Arial" w:hAnsi="Arial"/>
          <w:sz w:val="20"/>
          <w:szCs w:val="20"/>
          <w:color w:val="18181C"/>
        </w:rPr>
        <w:t>will employment. As a result, you are free to resign at any time, for any reason or for no reason. Similarly, the Company is free to conclude its employment relationship with you at any time, with or without cause, and with or without notice. We request that, in the event of resignation, you give the Company at least two weeks' notice.</w:t>
      </w:r>
    </w:p>
    <w:p>
      <w:pPr>
        <w:spacing w:after="0" w:line="208" w:lineRule="exact"/>
        <w:rPr>
          <w:sz w:val="20"/>
          <w:szCs w:val="20"/>
          <w:color w:val="auto"/>
        </w:rPr>
      </w:pPr>
    </w:p>
    <w:p>
      <w:pPr>
        <w:jc w:val="both"/>
        <w:ind w:left="140" w:right="20" w:firstLine="789"/>
        <w:spacing w:after="0" w:line="316" w:lineRule="auto"/>
        <w:rPr>
          <w:sz w:val="20"/>
          <w:szCs w:val="20"/>
          <w:color w:val="auto"/>
        </w:rPr>
      </w:pPr>
      <w:r>
        <w:rPr>
          <w:rFonts w:ascii="Arial" w:cs="Arial" w:eastAsia="Arial" w:hAnsi="Arial"/>
          <w:sz w:val="18"/>
          <w:szCs w:val="18"/>
          <w:color w:val="18181C"/>
        </w:rPr>
        <w:t>The Company reserves the right to conduct background investigations and/or reference checks on all of its potential employees. Your job offer, therefore, is contingent upon a clearance of such a background investigation and/or reference check, if any.</w:t>
      </w:r>
    </w:p>
    <w:p>
      <w:pPr>
        <w:spacing w:after="0" w:line="143" w:lineRule="exact"/>
        <w:rPr>
          <w:sz w:val="20"/>
          <w:szCs w:val="20"/>
          <w:color w:val="auto"/>
        </w:rPr>
      </w:pPr>
    </w:p>
    <w:p>
      <w:pPr>
        <w:jc w:val="both"/>
        <w:ind w:left="140" w:right="20" w:firstLine="795"/>
        <w:spacing w:after="0" w:line="250" w:lineRule="auto"/>
        <w:rPr>
          <w:sz w:val="20"/>
          <w:szCs w:val="20"/>
          <w:color w:val="auto"/>
        </w:rPr>
      </w:pPr>
      <w:r>
        <w:rPr>
          <w:rFonts w:ascii="Arial" w:cs="Arial" w:eastAsia="Arial" w:hAnsi="Arial"/>
          <w:sz w:val="20"/>
          <w:szCs w:val="20"/>
          <w:color w:val="18181C"/>
        </w:rPr>
        <w:t>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199" w:lineRule="exact"/>
        <w:rPr>
          <w:sz w:val="20"/>
          <w:szCs w:val="20"/>
          <w:color w:val="auto"/>
        </w:rPr>
      </w:pPr>
    </w:p>
    <w:p>
      <w:pPr>
        <w:jc w:val="both"/>
        <w:ind w:left="120" w:right="20" w:firstLine="805"/>
        <w:spacing w:after="0" w:line="273" w:lineRule="auto"/>
        <w:rPr>
          <w:sz w:val="20"/>
          <w:szCs w:val="20"/>
          <w:color w:val="auto"/>
        </w:rPr>
      </w:pPr>
      <w:r>
        <w:rPr>
          <w:rFonts w:ascii="Arial" w:cs="Arial" w:eastAsia="Arial" w:hAnsi="Arial"/>
          <w:sz w:val="18"/>
          <w:szCs w:val="18"/>
          <w:color w:val="18181C"/>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 Moreover, you agree that, during the term of your employment with the Company, you will not engage in any other employment, occupation, consulting or other business activity directly related to the business in which, the Company is now involved or becomes involved during the term of your employment, nor will you engage in any other activities that conflict with your obligations to the Company. Similarly, you agree not to bring any third party confidential information to the Company, including that of your former employer, and that in performing your duties for the Company you will not in any way utilize any such information.</w:t>
      </w:r>
    </w:p>
    <w:p>
      <w:pPr>
        <w:spacing w:after="0" w:line="182" w:lineRule="exact"/>
        <w:rPr>
          <w:sz w:val="20"/>
          <w:szCs w:val="20"/>
          <w:color w:val="auto"/>
        </w:rPr>
      </w:pPr>
    </w:p>
    <w:p>
      <w:pPr>
        <w:jc w:val="both"/>
        <w:ind w:left="120" w:right="20" w:firstLine="799"/>
        <w:spacing w:after="0" w:line="243" w:lineRule="auto"/>
        <w:rPr>
          <w:sz w:val="20"/>
          <w:szCs w:val="20"/>
          <w:color w:val="auto"/>
        </w:rPr>
      </w:pPr>
      <w:r>
        <w:rPr>
          <w:rFonts w:ascii="Arial" w:cs="Arial" w:eastAsia="Arial" w:hAnsi="Arial"/>
          <w:sz w:val="20"/>
          <w:szCs w:val="20"/>
          <w:color w:val="18181C"/>
        </w:rPr>
        <w:t>As a condition of your employment, you are also required to sign and comply with an At Will Employment, Confidential Information, Invention Assignment and Arbitration Agreement which requires, among other provisions, the assignment of patent and other intellectual property rights to any invention made during your employment at the Company, and non-disclosure of Company proprietary information. In the event of any dispute or claim relating to or arising out of our employment relationship, you and the Company agree that any and all disputes between you and the Company shall be fully and finally resolved by binding arbitration, and you are waiving any and all rights to a jury trial. Please note that we must receive your signed agreement before your first day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480060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500" w:top="352" w:right="459" w:bottom="1440" w:gutter="0" w:footer="0" w:header="0"/>
        </w:sectPr>
      </w:pPr>
    </w:p>
    <w:bookmarkStart w:id="82" w:name="page83"/>
    <w:bookmarkEnd w:id="82"/>
    <w:p>
      <w:pPr>
        <w:jc w:val="both"/>
        <w:ind w:firstLine="790"/>
        <w:spacing w:after="0" w:line="243" w:lineRule="auto"/>
        <w:rPr>
          <w:sz w:val="20"/>
          <w:szCs w:val="20"/>
          <w:color w:val="auto"/>
        </w:rPr>
      </w:pPr>
      <w:r>
        <w:rPr>
          <w:rFonts w:ascii="Arial" w:cs="Arial" w:eastAsia="Arial" w:hAnsi="Arial"/>
          <w:sz w:val="20"/>
          <w:szCs w:val="20"/>
          <w:color w:val="18161A"/>
        </w:rPr>
        <w:t>To accept the Company's offer, please sign and date this letter in the space provided below. This offer letter, along with any agreements relating to proprietary rights between you and the Company, set forth the terms of your employment with the Company and supersede any prior representations or agreements including, but not limited to, any representations made during your recruitment, interviews or pre-employment negotiations, whether written or oral. This offer letter, including, but not limited to, its at-will employment provision, may not be modified or amended except by a written agreement signed by the Chief Executive Officer of the Company and you.</w:t>
      </w:r>
    </w:p>
    <w:p>
      <w:pPr>
        <w:spacing w:after="0" w:line="209" w:lineRule="exact"/>
        <w:rPr>
          <w:sz w:val="20"/>
          <w:szCs w:val="20"/>
          <w:color w:val="auto"/>
        </w:rPr>
      </w:pPr>
    </w:p>
    <w:p>
      <w:pPr>
        <w:ind w:left="820"/>
        <w:spacing w:after="0"/>
        <w:rPr>
          <w:sz w:val="20"/>
          <w:szCs w:val="20"/>
          <w:color w:val="auto"/>
        </w:rPr>
      </w:pPr>
      <w:r>
        <w:rPr>
          <w:rFonts w:ascii="Arial" w:cs="Arial" w:eastAsia="Arial" w:hAnsi="Arial"/>
          <w:sz w:val="20"/>
          <w:szCs w:val="20"/>
          <w:color w:val="18161A"/>
        </w:rPr>
        <w:t>We look forward to your favorable reply and to working with you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6178550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80"/>
          </w:cols>
          <w:pgMar w:left="660" w:top="649" w:right="459" w:bottom="1440"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36601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Paul J. Hastings,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Agreed to and accepted:</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 Nadir A. Mahmood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-6350</wp:posOffset>
            </wp:positionV>
            <wp:extent cx="22459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Printed Name: Nadir A. Mahmood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Date: April 9, 2018</w:t>
      </w:r>
    </w:p>
    <w:p>
      <w:pPr>
        <w:sectPr>
          <w:pgSz w:w="11900" w:h="16838" w:orient="portrait"/>
          <w:cols w:equalWidth="0" w:num="1">
            <w:col w:w="10139"/>
          </w:cols>
          <w:pgMar w:left="320" w:top="582" w:right="1440" w:bottom="1440" w:gutter="0" w:footer="0" w:header="0"/>
        </w:sectPr>
      </w:pPr>
    </w:p>
    <w:bookmarkStart w:id="84" w:name="page85"/>
    <w:bookmarkEnd w:id="84"/>
    <w:p>
      <w:pPr>
        <w:jc w:val="right"/>
        <w:spacing w:after="0"/>
        <w:rPr>
          <w:sz w:val="20"/>
          <w:szCs w:val="20"/>
          <w:color w:val="auto"/>
        </w:rPr>
      </w:pPr>
      <w:r>
        <w:rPr>
          <w:rFonts w:ascii="Arial" w:cs="Arial" w:eastAsia="Arial" w:hAnsi="Arial"/>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13970</wp:posOffset>
            </wp:positionV>
            <wp:extent cx="1663065" cy="651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16630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NKARTA, INC.</w:t>
      </w:r>
    </w:p>
    <w:p>
      <w:pPr>
        <w:spacing w:after="0" w:line="67"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AMENDMENT NO. 1 TO OFFER LETTER</w:t>
      </w:r>
    </w:p>
    <w:p>
      <w:pPr>
        <w:spacing w:after="0" w:line="94" w:lineRule="exact"/>
        <w:rPr>
          <w:sz w:val="20"/>
          <w:szCs w:val="20"/>
          <w:color w:val="auto"/>
        </w:rPr>
      </w:pPr>
    </w:p>
    <w:p>
      <w:pPr>
        <w:jc w:val="both"/>
        <w:ind w:right="320" w:firstLine="781"/>
        <w:spacing w:after="0" w:line="248" w:lineRule="auto"/>
        <w:rPr>
          <w:sz w:val="20"/>
          <w:szCs w:val="20"/>
          <w:color w:val="auto"/>
        </w:rPr>
      </w:pPr>
      <w:r>
        <w:rPr>
          <w:rFonts w:ascii="Arial" w:cs="Arial" w:eastAsia="Arial" w:hAnsi="Arial"/>
          <w:sz w:val="20"/>
          <w:szCs w:val="20"/>
          <w:color w:val="auto"/>
        </w:rPr>
        <w:t>THIS AMENDMENT NO. 1 (this “</w:t>
      </w:r>
      <w:r>
        <w:rPr>
          <w:rFonts w:ascii="Arial" w:cs="Arial" w:eastAsia="Arial" w:hAnsi="Arial"/>
          <w:sz w:val="20"/>
          <w:szCs w:val="20"/>
          <w:b w:val="1"/>
          <w:bCs w:val="1"/>
          <w:color w:val="auto"/>
        </w:rPr>
        <w:t>Amendment</w:t>
      </w:r>
      <w:r>
        <w:rPr>
          <w:rFonts w:ascii="Arial" w:cs="Arial" w:eastAsia="Arial" w:hAnsi="Arial"/>
          <w:sz w:val="20"/>
          <w:szCs w:val="20"/>
          <w:color w:val="auto"/>
        </w:rPr>
        <w:t>”) is effective as of January 1, 2019, and is made to the Offer Letter of Employment, by and between Nkarta,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Nadir A. Mahmood (“</w:t>
      </w:r>
      <w:r>
        <w:rPr>
          <w:rFonts w:ascii="Arial" w:cs="Arial" w:eastAsia="Arial" w:hAnsi="Arial"/>
          <w:sz w:val="20"/>
          <w:szCs w:val="20"/>
          <w:b w:val="1"/>
          <w:bCs w:val="1"/>
          <w:color w:val="auto"/>
        </w:rPr>
        <w:t>Mahmood</w:t>
      </w:r>
      <w:r>
        <w:rPr>
          <w:rFonts w:ascii="Arial" w:cs="Arial" w:eastAsia="Arial" w:hAnsi="Arial"/>
          <w:sz w:val="20"/>
          <w:szCs w:val="20"/>
          <w:color w:val="auto"/>
        </w:rPr>
        <w:t>”), dated April 2, 2018 (the “</w:t>
      </w:r>
      <w:r>
        <w:rPr>
          <w:rFonts w:ascii="Arial" w:cs="Arial" w:eastAsia="Arial" w:hAnsi="Arial"/>
          <w:sz w:val="20"/>
          <w:szCs w:val="20"/>
          <w:b w:val="1"/>
          <w:bCs w:val="1"/>
          <w:color w:val="auto"/>
        </w:rPr>
        <w:t>Offer Letter</w:t>
      </w:r>
      <w:r>
        <w:rPr>
          <w:rFonts w:ascii="Arial" w:cs="Arial" w:eastAsia="Arial" w:hAnsi="Arial"/>
          <w:sz w:val="20"/>
          <w:szCs w:val="20"/>
          <w:color w:val="auto"/>
        </w:rPr>
        <w:t>”). Capitalized terms used in this Amendment that are not otherwise defined herein shall have the respective meanings assigned to them in the Offer Letter.</w:t>
      </w:r>
    </w:p>
    <w:p>
      <w:pPr>
        <w:spacing w:after="0" w:line="197"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RECITALS</w:t>
      </w:r>
    </w:p>
    <w:p>
      <w:pPr>
        <w:spacing w:after="0" w:line="229" w:lineRule="exact"/>
        <w:rPr>
          <w:sz w:val="20"/>
          <w:szCs w:val="20"/>
          <w:color w:val="auto"/>
        </w:rPr>
      </w:pPr>
    </w:p>
    <w:p>
      <w:pPr>
        <w:ind w:right="460" w:firstLine="771"/>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Mahmood and the Company desire to amend the Offer Letter in order to add certain severance terms as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below.</w:t>
      </w:r>
    </w:p>
    <w:p>
      <w:pPr>
        <w:spacing w:after="0" w:line="177" w:lineRule="exact"/>
        <w:rPr>
          <w:sz w:val="20"/>
          <w:szCs w:val="20"/>
          <w:color w:val="auto"/>
        </w:rPr>
      </w:pPr>
    </w:p>
    <w:p>
      <w:pPr>
        <w:ind w:right="380" w:firstLine="776"/>
        <w:spacing w:after="0" w:line="267"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for good and valuable consideration, the receipt of which is hereby acknowledged, the parties agree</w:t>
      </w:r>
      <w:r>
        <w:rPr>
          <w:rFonts w:ascii="Arial" w:cs="Arial" w:eastAsia="Arial" w:hAnsi="Arial"/>
          <w:sz w:val="20"/>
          <w:szCs w:val="20"/>
          <w:b w:val="1"/>
          <w:bCs w:val="1"/>
          <w:color w:val="auto"/>
        </w:rPr>
        <w:t xml:space="preserve"> </w:t>
      </w:r>
      <w:r>
        <w:rPr>
          <w:rFonts w:ascii="Arial" w:cs="Arial" w:eastAsia="Arial" w:hAnsi="Arial"/>
          <w:sz w:val="20"/>
          <w:szCs w:val="20"/>
          <w:color w:val="auto"/>
        </w:rPr>
        <w:t>as follows:</w:t>
      </w:r>
    </w:p>
    <w:p>
      <w:pPr>
        <w:spacing w:after="0" w:line="196" w:lineRule="exact"/>
        <w:rPr>
          <w:sz w:val="20"/>
          <w:szCs w:val="20"/>
          <w:color w:val="auto"/>
        </w:rPr>
      </w:pPr>
    </w:p>
    <w:p>
      <w:pPr>
        <w:ind w:right="700" w:firstLine="754"/>
        <w:spacing w:after="0" w:line="238" w:lineRule="auto"/>
        <w:tabs>
          <w:tab w:leader="none" w:pos="1985" w:val="left"/>
        </w:tabs>
        <w:numPr>
          <w:ilvl w:val="0"/>
          <w:numId w:val="43"/>
        </w:numPr>
        <w:rPr>
          <w:rFonts w:ascii="Arial" w:cs="Arial" w:eastAsia="Arial" w:hAnsi="Arial"/>
          <w:sz w:val="22"/>
          <w:szCs w:val="22"/>
          <w:color w:val="auto"/>
        </w:rPr>
      </w:pPr>
      <w:r>
        <w:rPr>
          <w:rFonts w:ascii="Arial" w:cs="Arial" w:eastAsia="Arial" w:hAnsi="Arial"/>
          <w:sz w:val="20"/>
          <w:szCs w:val="20"/>
          <w:u w:val="single" w:color="auto"/>
          <w:color w:val="auto"/>
        </w:rPr>
        <w:t>Amendment to Severance Provisions</w:t>
      </w:r>
      <w:r>
        <w:rPr>
          <w:rFonts w:ascii="Arial" w:cs="Arial" w:eastAsia="Arial" w:hAnsi="Arial"/>
          <w:sz w:val="20"/>
          <w:szCs w:val="20"/>
          <w:color w:val="auto"/>
        </w:rPr>
        <w:t>. The Offer Letter is hereby amended so that thefollowing paragraphs shall be included as part of the Offer Letter:</w:t>
      </w:r>
    </w:p>
    <w:p>
      <w:pPr>
        <w:spacing w:after="0" w:line="210" w:lineRule="exact"/>
        <w:rPr>
          <w:sz w:val="20"/>
          <w:szCs w:val="20"/>
          <w:color w:val="auto"/>
        </w:rPr>
      </w:pPr>
    </w:p>
    <w:p>
      <w:pPr>
        <w:jc w:val="both"/>
        <w:ind w:left="1220" w:right="1340"/>
        <w:spacing w:after="0" w:line="253" w:lineRule="auto"/>
        <w:rPr>
          <w:sz w:val="20"/>
          <w:szCs w:val="20"/>
          <w:color w:val="auto"/>
        </w:rPr>
      </w:pPr>
      <w:r>
        <w:rPr>
          <w:rFonts w:ascii="Arial" w:cs="Arial" w:eastAsia="Arial" w:hAnsi="Arial"/>
          <w:sz w:val="19"/>
          <w:szCs w:val="19"/>
          <w:color w:val="auto"/>
        </w:rPr>
        <w:t>“In the event that your employment is terminated (i) by the Company for reasons other than “Cause” (as defined below) death, or disability or (ii) by you for “Good Reason” (as defined below) either a “</w:t>
      </w:r>
      <w:r>
        <w:rPr>
          <w:rFonts w:ascii="Arial" w:cs="Arial" w:eastAsia="Arial" w:hAnsi="Arial"/>
          <w:sz w:val="19"/>
          <w:szCs w:val="19"/>
          <w:b w:val="1"/>
          <w:bCs w:val="1"/>
          <w:color w:val="auto"/>
        </w:rPr>
        <w:t>Qualifying Termination</w:t>
      </w:r>
      <w:r>
        <w:rPr>
          <w:rFonts w:ascii="Arial" w:cs="Arial" w:eastAsia="Arial" w:hAnsi="Arial"/>
          <w:sz w:val="19"/>
          <w:szCs w:val="19"/>
          <w:color w:val="auto"/>
        </w:rPr>
        <w:t>”), and in any case subject to you signing and not revoking a standard form of release of claims with the Company within 60 days following your employment termination date (the “</w:t>
      </w:r>
      <w:r>
        <w:rPr>
          <w:rFonts w:ascii="Arial" w:cs="Arial" w:eastAsia="Arial" w:hAnsi="Arial"/>
          <w:sz w:val="19"/>
          <w:szCs w:val="19"/>
          <w:b w:val="1"/>
          <w:bCs w:val="1"/>
          <w:color w:val="auto"/>
        </w:rPr>
        <w:t>Release</w:t>
      </w:r>
      <w:r>
        <w:rPr>
          <w:rFonts w:ascii="Arial" w:cs="Arial" w:eastAsia="Arial" w:hAnsi="Arial"/>
          <w:sz w:val="19"/>
          <w:szCs w:val="19"/>
          <w:color w:val="auto"/>
        </w:rPr>
        <w:t>”), you will receive (A) cash payments in the form of continuation of your base salary at the rate in effect at the time of termination, less applicable withholdings, payable in accordance with the Company’s standard payroll practices for a period of three (3) months following your employment termination date, with the first payment to be made no later than 10 days following the effective date of the Release (subject to any delay as may be required under the Section 409A paragraph below), (B) reimbursement for the cost of continuation of health coverage for you and your eligible dependents pursuant to the Consolidated Omnibus Budget Reconciliation Act of 1985, as amended (“</w:t>
      </w:r>
      <w:r>
        <w:rPr>
          <w:rFonts w:ascii="Arial" w:cs="Arial" w:eastAsia="Arial" w:hAnsi="Arial"/>
          <w:sz w:val="19"/>
          <w:szCs w:val="19"/>
          <w:b w:val="1"/>
          <w:bCs w:val="1"/>
          <w:color w:val="auto"/>
        </w:rPr>
        <w:t>COBRA</w:t>
      </w:r>
      <w:r>
        <w:rPr>
          <w:rFonts w:ascii="Arial" w:cs="Arial" w:eastAsia="Arial" w:hAnsi="Arial"/>
          <w:sz w:val="19"/>
          <w:szCs w:val="19"/>
          <w:color w:val="auto"/>
        </w:rPr>
        <w:t>”) until the earlier of (x) three (3) months following your termination of employment or (y) the date you and your eligible dependents are no longer eligible for COBRA; provided, however, if, at the time of your termination of employment, the Company determines that providing the COBRA reimbursement in this paragraph would result in a violation of law or an excise tax to the Company, then the Company instead will pay a lump sum payment equal to three (3) months of your estimated monthly COBRA premiums, grossed-up for any applicable taxes, within 10 days following the effective date of the Release (subject to any delay as may be required under the Section 409A paragraph below), and (C) if such Qualifying Termination occurs on or within 12 months following a “Change of Control” (as defined in the Company’s 2015 Equity Incentive Plan), vesting acceleration of any outstanding options held by you in an amount equal to 100% of the then-unvested portion of your option (or any unvested shares previously acquired under that option).</w:t>
      </w:r>
    </w:p>
    <w:p>
      <w:pPr>
        <w:spacing w:after="0" w:line="211"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It is the intent of this offer letter that all payment and benefits hereunder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349250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460" w:top="333" w:right="339" w:bottom="1440" w:gutter="0" w:footer="0" w:header="0"/>
        </w:sectPr>
      </w:pPr>
    </w:p>
    <w:bookmarkStart w:id="85" w:name="page86"/>
    <w:bookmarkEnd w:id="85"/>
    <w:p>
      <w:pPr>
        <w:jc w:val="both"/>
        <w:ind w:left="240" w:right="239"/>
        <w:spacing w:after="0" w:line="268" w:lineRule="auto"/>
        <w:rPr>
          <w:sz w:val="20"/>
          <w:szCs w:val="20"/>
          <w:color w:val="auto"/>
        </w:rPr>
      </w:pPr>
      <w:r>
        <w:rPr>
          <w:rFonts w:ascii="Arial" w:cs="Arial" w:eastAsia="Arial" w:hAnsi="Arial"/>
          <w:sz w:val="18"/>
          <w:szCs w:val="18"/>
          <w:color w:val="auto"/>
        </w:rPr>
        <w:t>or be exempt from the requirements of Section 409A of the Internal Revenue Code of 1986, as amended, and the final regulations and any guidance promulgated thereunder and any applicable state law requirements (“</w:t>
      </w:r>
      <w:r>
        <w:rPr>
          <w:rFonts w:ascii="Arial" w:cs="Arial" w:eastAsia="Arial" w:hAnsi="Arial"/>
          <w:sz w:val="18"/>
          <w:szCs w:val="18"/>
          <w:b w:val="1"/>
          <w:bCs w:val="1"/>
          <w:color w:val="auto"/>
        </w:rPr>
        <w:t>Section 409A</w:t>
      </w:r>
      <w:r>
        <w:rPr>
          <w:rFonts w:ascii="Arial" w:cs="Arial" w:eastAsia="Arial" w:hAnsi="Arial"/>
          <w:sz w:val="18"/>
          <w:szCs w:val="18"/>
          <w:color w:val="auto"/>
        </w:rPr>
        <w:t>”) so that none of the payments and benefits to be provided under this offer letter will be subject to the additional tax imposed under Section 409A, and any ambiguities or ambiguous terms herein will be interpreted to be exempt or so comply. Each payment and benefit payable under this offer letter is intended to constitute a separate payment for purposes of Section 1.409A-2(b)(2) of the Treasury Regulations. You and the Company agree to work together in good faith to consider amendments to this offer letter and to take such reasonable actions which are necessary, appropriate or desirable to avoid imposition of any additional tax or income recognition prior to actual payment to you under Section 409A. No termination pay or benefits to be paid or provided to you, if any, pursuant to this offer letter that, when considered together with any other severance payments or separation benefits, are considered deferred compensation under Section 409A (together, “</w:t>
      </w:r>
      <w:r>
        <w:rPr>
          <w:rFonts w:ascii="Arial" w:cs="Arial" w:eastAsia="Arial" w:hAnsi="Arial"/>
          <w:sz w:val="18"/>
          <w:szCs w:val="18"/>
          <w:b w:val="1"/>
          <w:bCs w:val="1"/>
          <w:color w:val="auto"/>
        </w:rPr>
        <w:t>Deferred Compensation</w:t>
      </w:r>
      <w:r>
        <w:rPr>
          <w:rFonts w:ascii="Arial" w:cs="Arial" w:eastAsia="Arial" w:hAnsi="Arial"/>
          <w:sz w:val="18"/>
          <w:szCs w:val="18"/>
          <w:color w:val="auto"/>
        </w:rPr>
        <w:t>”) or otherwise would be exempt from Section 409A pursuant to Treasury Regulation Section 1.409A-1(b)(9) will be paid or otherwise provided until you have a “separation from service” within the meaning of Section 409A. Any termination payments or benefits under this offer letter that would be considered Deferred Compensation will be paid on, or, in the case of installments, will not commence until, the sixty-first (61st) day following your separation from service, or, if later, the Delayed Payment Date (as defined below). Further, if at the time of your termination of employment, you are a “specified employee” within the meaning of Section 409A, payment of such Deferred Compensation will be delayed to the extent necessary to avoid the imposition of the additional tax imposed under Section 409A, which generally means that you will receive payment on the first payroll date that occurs on or after the date that is six (6) months and one (1) day following your termination of employment, or your death, if earlier (the “</w:t>
      </w:r>
      <w:r>
        <w:rPr>
          <w:rFonts w:ascii="Arial" w:cs="Arial" w:eastAsia="Arial" w:hAnsi="Arial"/>
          <w:sz w:val="18"/>
          <w:szCs w:val="18"/>
          <w:b w:val="1"/>
          <w:bCs w:val="1"/>
          <w:color w:val="auto"/>
        </w:rPr>
        <w:t>Delayed Payment Date</w:t>
      </w:r>
      <w:r>
        <w:rPr>
          <w:rFonts w:ascii="Arial" w:cs="Arial" w:eastAsia="Arial" w:hAnsi="Arial"/>
          <w:sz w:val="18"/>
          <w:szCs w:val="18"/>
          <w:color w:val="auto"/>
        </w:rPr>
        <w:t>”).</w:t>
      </w:r>
    </w:p>
    <w:p>
      <w:pPr>
        <w:spacing w:after="0" w:line="188" w:lineRule="exact"/>
        <w:rPr>
          <w:sz w:val="20"/>
          <w:szCs w:val="20"/>
          <w:color w:val="auto"/>
        </w:rPr>
      </w:pPr>
    </w:p>
    <w:p>
      <w:pPr>
        <w:jc w:val="both"/>
        <w:ind w:left="240" w:right="239"/>
        <w:spacing w:after="0" w:line="268" w:lineRule="auto"/>
        <w:rPr>
          <w:sz w:val="20"/>
          <w:szCs w:val="20"/>
          <w:color w:val="auto"/>
        </w:rPr>
      </w:pPr>
      <w:r>
        <w:rPr>
          <w:rFonts w:ascii="Arial" w:cs="Arial" w:eastAsia="Arial" w:hAnsi="Arial"/>
          <w:sz w:val="18"/>
          <w:szCs w:val="18"/>
          <w:color w:val="auto"/>
        </w:rPr>
        <w:t>For purposes of this offer letter “</w:t>
      </w:r>
      <w:r>
        <w:rPr>
          <w:rFonts w:ascii="Arial" w:cs="Arial" w:eastAsia="Arial" w:hAnsi="Arial"/>
          <w:sz w:val="18"/>
          <w:szCs w:val="18"/>
          <w:b w:val="1"/>
          <w:bCs w:val="1"/>
          <w:color w:val="auto"/>
        </w:rPr>
        <w:t>Cause</w:t>
      </w:r>
      <w:r>
        <w:rPr>
          <w:rFonts w:ascii="Arial" w:cs="Arial" w:eastAsia="Arial" w:hAnsi="Arial"/>
          <w:sz w:val="18"/>
          <w:szCs w:val="18"/>
          <w:color w:val="auto"/>
        </w:rPr>
        <w:t>” means: (i) a material breach of any of your obligations to the Company or any of its affiliates under the terms of this offer letter or your At Will Employment, Confidential Information, Invention Assignment and Arbitration Agreement; (ii) your gross negligence or willful failure or refusal to perform your duties; (iii) any material act of personal dishonesty taken by you and intended to result in substantial personal enrichment of you at the expense of the Company or its affiliates; (iv) any willful or intentional act that could reasonably be expected to injure the reputation, business, or business relationships of the Company or its affiliates; (v) perpetration of an intentional and knowing fraud against or affecting the company or any customer, supplier, client, agent, or employee thereof; (vi) your conviction of a felony or any crime involving fraud, dishonesty or moral turpitude; or</w:t>
      </w:r>
    </w:p>
    <w:p>
      <w:pPr>
        <w:spacing w:after="0" w:line="7" w:lineRule="exact"/>
        <w:rPr>
          <w:sz w:val="20"/>
          <w:szCs w:val="20"/>
          <w:color w:val="auto"/>
        </w:rPr>
      </w:pPr>
    </w:p>
    <w:p>
      <w:pPr>
        <w:jc w:val="both"/>
        <w:ind w:left="240" w:right="239" w:hanging="8"/>
        <w:spacing w:after="0" w:line="256" w:lineRule="auto"/>
        <w:tabs>
          <w:tab w:leader="none" w:pos="689" w:val="left"/>
        </w:tabs>
        <w:numPr>
          <w:ilvl w:val="0"/>
          <w:numId w:val="44"/>
        </w:numPr>
        <w:rPr>
          <w:rFonts w:ascii="Arial" w:cs="Arial" w:eastAsia="Arial" w:hAnsi="Arial"/>
          <w:sz w:val="19"/>
          <w:szCs w:val="19"/>
          <w:color w:val="auto"/>
        </w:rPr>
      </w:pPr>
      <w:r>
        <w:rPr>
          <w:rFonts w:ascii="Arial" w:cs="Arial" w:eastAsia="Arial" w:hAnsi="Arial"/>
          <w:sz w:val="19"/>
          <w:szCs w:val="19"/>
          <w:color w:val="auto"/>
        </w:rPr>
        <w:t>your termination in connection with a dissolution, wind-down or liquidation of the Company, including as part of a voluntary or involuntary bankruptcy or insolvency proceedings; with respect to any of the foregoing (other than clauses (vi) or (vii)), the Board of Directors shall be required to give you written notice of any termination for “Cause” with a detailed description of any alleged breach together with a 30 day ability to cure any such breach, unless such breach is non-curable.</w:t>
      </w:r>
    </w:p>
    <w:p>
      <w:pPr>
        <w:spacing w:after="0" w:line="200" w:lineRule="exact"/>
        <w:rPr>
          <w:sz w:val="20"/>
          <w:szCs w:val="20"/>
          <w:color w:val="auto"/>
        </w:rPr>
      </w:pPr>
    </w:p>
    <w:p>
      <w:pPr>
        <w:spacing w:after="0" w:line="293"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494665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86" w:name="page87"/>
    <w:bookmarkEnd w:id="86"/>
    <w:p>
      <w:pPr>
        <w:jc w:val="both"/>
        <w:ind w:left="1120" w:right="1140"/>
        <w:spacing w:after="0" w:line="270" w:lineRule="auto"/>
        <w:rPr>
          <w:sz w:val="20"/>
          <w:szCs w:val="20"/>
          <w:color w:val="auto"/>
        </w:rPr>
      </w:pPr>
      <w:r>
        <w:rPr>
          <w:rFonts w:ascii="Arial" w:cs="Arial" w:eastAsia="Arial" w:hAnsi="Arial"/>
          <w:sz w:val="18"/>
          <w:szCs w:val="18"/>
          <w:color w:val="auto"/>
        </w:rPr>
        <w:t>For purposes of this offer letter, “</w:t>
      </w:r>
      <w:r>
        <w:rPr>
          <w:rFonts w:ascii="Arial" w:cs="Arial" w:eastAsia="Arial" w:hAnsi="Arial"/>
          <w:sz w:val="18"/>
          <w:szCs w:val="18"/>
          <w:b w:val="1"/>
          <w:bCs w:val="1"/>
          <w:color w:val="auto"/>
        </w:rPr>
        <w:t>Good Reason</w:t>
      </w:r>
      <w:r>
        <w:rPr>
          <w:rFonts w:ascii="Arial" w:cs="Arial" w:eastAsia="Arial" w:hAnsi="Arial"/>
          <w:sz w:val="18"/>
          <w:szCs w:val="18"/>
          <w:color w:val="auto"/>
        </w:rPr>
        <w:t>” means one of the following has occurred without your written consent: (A) a material breach by the Company of any of the covenants in this offer letter; (B) any reduction of your base salary or compensation (including bonus opportunity); (C) any material and adverse change in your position, chain of reporting, title or status or any change in your job duties, authority or responsibilities to those of lesser status; (D) any material change in the geographic location at which you must principally perform services; it being understood that a change in such geographic location of less than 50 miles will not be deemed material for these purposes; or (E) failure by any surviving entity resulting from a Change in Control to assume the obligations hereunder You will not resign for “Good Reason” without first providing the Company with written notice of the acts or omissions constituting the grounds for “Good Reason” within 90 days following the initial occurrence of the event giving rise to “Good Reason” and a reasonable cure period of thirty (30) days following the date the Company receives such notice during which such condition must not have been cured, and you must resign from your employment with the Company within 30 days following the end of the cure period if uncured.”</w:t>
      </w:r>
    </w:p>
    <w:p>
      <w:pPr>
        <w:spacing w:after="0" w:line="205" w:lineRule="exact"/>
        <w:rPr>
          <w:sz w:val="20"/>
          <w:szCs w:val="20"/>
          <w:color w:val="auto"/>
        </w:rPr>
      </w:pPr>
    </w:p>
    <w:p>
      <w:pPr>
        <w:ind w:left="-100" w:right="140" w:firstLine="784"/>
        <w:spacing w:after="0" w:line="238" w:lineRule="auto"/>
        <w:tabs>
          <w:tab w:leader="none" w:pos="1915" w:val="left"/>
        </w:tabs>
        <w:numPr>
          <w:ilvl w:val="2"/>
          <w:numId w:val="45"/>
        </w:numPr>
        <w:rPr>
          <w:rFonts w:ascii="Arial" w:cs="Arial" w:eastAsia="Arial" w:hAnsi="Arial"/>
          <w:sz w:val="22"/>
          <w:szCs w:val="22"/>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construed and interpreted in accordance with the laws of the State of California, without giving effect to principles of conflicts oflaw.</w:t>
      </w:r>
    </w:p>
    <w:p>
      <w:pPr>
        <w:spacing w:after="0" w:line="290" w:lineRule="exact"/>
        <w:rPr>
          <w:rFonts w:ascii="Arial" w:cs="Arial" w:eastAsia="Arial" w:hAnsi="Arial"/>
          <w:sz w:val="22"/>
          <w:szCs w:val="22"/>
          <w:color w:val="auto"/>
        </w:rPr>
      </w:pPr>
    </w:p>
    <w:p>
      <w:pPr>
        <w:jc w:val="both"/>
        <w:ind w:left="-100" w:right="920" w:firstLine="772"/>
        <w:spacing w:after="0" w:line="238" w:lineRule="auto"/>
        <w:tabs>
          <w:tab w:leader="none" w:pos="1903" w:val="left"/>
        </w:tabs>
        <w:numPr>
          <w:ilvl w:val="1"/>
          <w:numId w:val="46"/>
        </w:numPr>
        <w:rPr>
          <w:rFonts w:ascii="Arial" w:cs="Arial" w:eastAsia="Arial" w:hAnsi="Arial"/>
          <w:sz w:val="22"/>
          <w:szCs w:val="22"/>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of this Amendment becomes or is declaredby a court of competent jurisdiction to be illegal, unenforceable or void, this Amendment shall continue in full force and effect without said provision.</w:t>
      </w:r>
    </w:p>
    <w:p>
      <w:pPr>
        <w:spacing w:after="0" w:line="224" w:lineRule="exact"/>
        <w:rPr>
          <w:rFonts w:ascii="Arial" w:cs="Arial" w:eastAsia="Arial" w:hAnsi="Arial"/>
          <w:sz w:val="22"/>
          <w:szCs w:val="22"/>
          <w:color w:val="auto"/>
        </w:rPr>
      </w:pPr>
    </w:p>
    <w:p>
      <w:pPr>
        <w:ind w:left="-100" w:right="780" w:firstLine="756"/>
        <w:spacing w:after="0" w:line="238" w:lineRule="auto"/>
        <w:tabs>
          <w:tab w:leader="none" w:pos="1887" w:val="left"/>
        </w:tabs>
        <w:numPr>
          <w:ilvl w:val="0"/>
          <w:numId w:val="47"/>
        </w:numPr>
        <w:rPr>
          <w:rFonts w:ascii="Arial" w:cs="Arial" w:eastAsia="Arial" w:hAnsi="Arial"/>
          <w:sz w:val="22"/>
          <w:szCs w:val="22"/>
          <w:color w:val="auto"/>
        </w:rPr>
      </w:pPr>
      <w:r>
        <w:rPr>
          <w:rFonts w:ascii="Arial" w:cs="Arial" w:eastAsia="Arial" w:hAnsi="Arial"/>
          <w:sz w:val="20"/>
          <w:szCs w:val="20"/>
          <w:u w:val="single" w:color="auto"/>
          <w:color w:val="auto"/>
        </w:rPr>
        <w:t>Modification</w:t>
      </w:r>
      <w:r>
        <w:rPr>
          <w:rFonts w:ascii="Arial" w:cs="Arial" w:eastAsia="Arial" w:hAnsi="Arial"/>
          <w:sz w:val="20"/>
          <w:szCs w:val="20"/>
          <w:color w:val="auto"/>
        </w:rPr>
        <w:t>. This Amendment may not be altered, amended or modified in any wayexcept by written consent of the Chief Executive Officer of the Company and Mahmood.</w:t>
      </w:r>
    </w:p>
    <w:p>
      <w:pPr>
        <w:spacing w:after="0" w:line="223" w:lineRule="exact"/>
        <w:rPr>
          <w:rFonts w:ascii="Arial" w:cs="Arial" w:eastAsia="Arial" w:hAnsi="Arial"/>
          <w:sz w:val="22"/>
          <w:szCs w:val="22"/>
          <w:color w:val="auto"/>
        </w:rPr>
      </w:pPr>
    </w:p>
    <w:p>
      <w:pPr>
        <w:ind w:left="1880" w:hanging="1219"/>
        <w:spacing w:after="0"/>
        <w:tabs>
          <w:tab w:leader="none" w:pos="1880" w:val="left"/>
        </w:tabs>
        <w:numPr>
          <w:ilvl w:val="0"/>
          <w:numId w:val="47"/>
        </w:numPr>
        <w:rPr>
          <w:rFonts w:ascii="Arial" w:cs="Arial" w:eastAsia="Arial" w:hAnsi="Arial"/>
          <w:sz w:val="21"/>
          <w:szCs w:val="21"/>
          <w:color w:val="auto"/>
        </w:rPr>
      </w:pPr>
      <w:r>
        <w:rPr>
          <w:rFonts w:ascii="Arial" w:cs="Arial" w:eastAsia="Arial" w:hAnsi="Arial"/>
          <w:sz w:val="19"/>
          <w:szCs w:val="19"/>
          <w:u w:val="single" w:color="auto"/>
          <w:color w:val="auto"/>
        </w:rPr>
        <w:t>Full Force and Effect</w:t>
      </w:r>
      <w:r>
        <w:rPr>
          <w:rFonts w:ascii="Arial" w:cs="Arial" w:eastAsia="Arial" w:hAnsi="Arial"/>
          <w:sz w:val="19"/>
          <w:szCs w:val="19"/>
          <w:color w:val="auto"/>
        </w:rPr>
        <w:t>. Except as amended hereby, the Offer Letter shall remain in full force and effect.</w:t>
      </w:r>
    </w:p>
    <w:p>
      <w:pPr>
        <w:spacing w:after="0" w:line="231" w:lineRule="exact"/>
        <w:rPr>
          <w:rFonts w:ascii="Arial" w:cs="Arial" w:eastAsia="Arial" w:hAnsi="Arial"/>
          <w:sz w:val="21"/>
          <w:szCs w:val="21"/>
          <w:color w:val="auto"/>
        </w:rPr>
      </w:pPr>
    </w:p>
    <w:p>
      <w:pPr>
        <w:ind w:left="-100" w:right="300" w:firstLine="779"/>
        <w:spacing w:after="0" w:line="238" w:lineRule="auto"/>
        <w:tabs>
          <w:tab w:leader="none" w:pos="1910" w:val="left"/>
        </w:tabs>
        <w:numPr>
          <w:ilvl w:val="1"/>
          <w:numId w:val="47"/>
        </w:numPr>
        <w:rPr>
          <w:rFonts w:ascii="Arial" w:cs="Arial" w:eastAsia="Arial" w:hAnsi="Arial"/>
          <w:sz w:val="22"/>
          <w:szCs w:val="22"/>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counterparts, each of which shall bedeclared an original, but all of which together shall constitute one and the same instrument.</w:t>
      </w:r>
    </w:p>
    <w:p>
      <w:pPr>
        <w:spacing w:after="0" w:line="223" w:lineRule="exact"/>
        <w:rPr>
          <w:rFonts w:ascii="Arial" w:cs="Arial" w:eastAsia="Arial" w:hAnsi="Arial"/>
          <w:sz w:val="22"/>
          <w:szCs w:val="22"/>
          <w:color w:val="auto"/>
        </w:rPr>
      </w:pPr>
    </w:p>
    <w:p>
      <w:pPr>
        <w:ind w:left="-100" w:firstLine="789"/>
        <w:spacing w:after="0" w:line="238" w:lineRule="auto"/>
        <w:tabs>
          <w:tab w:leader="none" w:pos="1920" w:val="left"/>
        </w:tabs>
        <w:numPr>
          <w:ilvl w:val="2"/>
          <w:numId w:val="47"/>
        </w:numPr>
        <w:rPr>
          <w:rFonts w:ascii="Arial" w:cs="Arial" w:eastAsia="Arial" w:hAnsi="Arial"/>
          <w:sz w:val="22"/>
          <w:szCs w:val="22"/>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Amendment, together with the Offer Letter, constitutes the entireagreement between the Company and Mahmood with respect to the subject matter hereof, and supersedes and replaces all prior and contemporaneous understandings or agreements, written or oral, regarding such subject matter.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494665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00"/>
          </w:cols>
          <w:pgMar w:left="560" w:top="711" w:right="5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The parties have executed this Amendment No. 1 to the Offer Letter as of the date first above written.</w:t>
      </w:r>
    </w:p>
    <w:p>
      <w:pPr>
        <w:spacing w:after="0" w:line="327"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COMPANY:</w:t>
      </w:r>
    </w:p>
    <w:p>
      <w:pPr>
        <w:spacing w:after="0" w:line="189" w:lineRule="exact"/>
        <w:rPr>
          <w:sz w:val="20"/>
          <w:szCs w:val="20"/>
          <w:color w:val="auto"/>
        </w:rPr>
      </w:pPr>
    </w:p>
    <w:p>
      <w:pPr>
        <w:ind w:left="4900"/>
        <w:spacing w:after="0"/>
        <w:rPr>
          <w:sz w:val="20"/>
          <w:szCs w:val="20"/>
          <w:color w:val="auto"/>
        </w:rPr>
      </w:pPr>
      <w:r>
        <w:rPr>
          <w:rFonts w:ascii="Arial" w:cs="Arial" w:eastAsia="Arial" w:hAnsi="Arial"/>
          <w:sz w:val="20"/>
          <w:szCs w:val="20"/>
          <w:b w:val="1"/>
          <w:bCs w:val="1"/>
          <w:color w:val="auto"/>
        </w:rPr>
        <w:t>NKARTA, INC.</w:t>
      </w:r>
    </w:p>
    <w:p>
      <w:pPr>
        <w:spacing w:after="0" w:line="22"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a Delaware corporation</w:t>
      </w:r>
    </w:p>
    <w:p>
      <w:pPr>
        <w:spacing w:after="0" w:line="186"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Paul J. Hastings</w:t>
      </w:r>
    </w:p>
    <w:p>
      <w:pPr>
        <w:spacing w:after="0" w:line="297"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Name: Paul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-14605</wp:posOffset>
            </wp:positionV>
            <wp:extent cx="3676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367665" cy="825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20"/>
          <w:szCs w:val="20"/>
          <w:u w:val="single" w:color="auto"/>
          <w:color w:val="auto"/>
        </w:rPr>
        <w:t>Hastings</w:t>
      </w:r>
    </w:p>
    <w:p>
      <w:pPr>
        <w:ind w:left="49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499110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19"/>
          </w:cols>
          <w:pgMar w:left="1240" w:top="865" w:right="1440"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The parties have executed this Amendment No. 1 to the Offer Letter as of the date first above written.</w:t>
      </w:r>
    </w:p>
    <w:p>
      <w:pPr>
        <w:sectPr>
          <w:pgSz w:w="11900" w:h="16838" w:orient="portrait"/>
          <w:cols w:equalWidth="0" w:num="1">
            <w:col w:w="9219"/>
          </w:cols>
          <w:pgMar w:left="1240" w:top="717" w:right="1440" w:bottom="1440" w:gutter="0" w:footer="0" w:header="0"/>
        </w:sectPr>
      </w:pPr>
    </w:p>
    <w:p>
      <w:pPr>
        <w:spacing w:after="0" w:line="337"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Nadir A. Mahmood</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Nadir A.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3175</wp:posOffset>
            </wp:positionV>
            <wp:extent cx="11690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1169035" cy="8255"/>
                    </a:xfrm>
                    <a:prstGeom prst="rect">
                      <a:avLst/>
                    </a:prstGeom>
                    <a:noFill/>
                  </pic:spPr>
                </pic:pic>
              </a:graphicData>
            </a:graphic>
          </wp:anchor>
        </w:drawing>
      </w:r>
    </w:p>
    <w:p>
      <w:pPr>
        <w:sectPr>
          <w:pgSz w:w="11900" w:h="16838" w:orient="portrait"/>
          <w:cols w:equalWidth="0" w:num="1">
            <w:col w:w="9219"/>
          </w:cols>
          <w:pgMar w:left="1240" w:top="717" w:right="1440" w:bottom="1440" w:gutter="0" w:footer="0" w:header="0"/>
          <w:type w:val="continuous"/>
        </w:sectPr>
      </w:pPr>
    </w:p>
    <w:bookmarkStart w:id="89" w:name="page90"/>
    <w:bookmarkEnd w:id="89"/>
    <w:p>
      <w:pPr>
        <w:ind w:left="8520"/>
        <w:spacing w:after="0"/>
        <w:rPr>
          <w:sz w:val="20"/>
          <w:szCs w:val="20"/>
          <w:color w:val="auto"/>
        </w:rPr>
      </w:pPr>
      <w:r>
        <w:rPr>
          <w:rFonts w:ascii="Arial" w:cs="Arial" w:eastAsia="Arial" w:hAnsi="Arial"/>
          <w:sz w:val="20"/>
          <w:szCs w:val="20"/>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13970</wp:posOffset>
            </wp:positionV>
            <wp:extent cx="1663065" cy="651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16630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September 30, 2020Alicia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Hager</w:t>
      </w:r>
    </w:p>
    <w:p>
      <w:pPr>
        <w:spacing w:after="0"/>
        <w:rPr>
          <w:sz w:val="20"/>
          <w:szCs w:val="20"/>
          <w:color w:val="auto"/>
        </w:rPr>
      </w:pPr>
      <w:r>
        <w:rPr>
          <w:rFonts w:ascii="Arial" w:cs="Arial" w:eastAsia="Arial" w:hAnsi="Arial"/>
          <w:sz w:val="20"/>
          <w:szCs w:val="20"/>
          <w:i w:val="1"/>
          <w:iCs w:val="1"/>
          <w:color w:val="auto"/>
        </w:rPr>
        <w:t>Via Electronic Delivery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Dear Alicia,</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 am pleased to offer you a position with Nkarta, Inc. (the “</w:t>
      </w:r>
      <w:r>
        <w:rPr>
          <w:rFonts w:ascii="Arial" w:cs="Arial" w:eastAsia="Arial" w:hAnsi="Arial"/>
          <w:sz w:val="20"/>
          <w:szCs w:val="20"/>
          <w:u w:val="single" w:color="auto"/>
          <w:color w:val="auto"/>
        </w:rPr>
        <w:t>Company</w:t>
      </w:r>
      <w:r>
        <w:rPr>
          <w:rFonts w:ascii="Arial" w:cs="Arial" w:eastAsia="Arial" w:hAnsi="Arial"/>
          <w:sz w:val="20"/>
          <w:szCs w:val="20"/>
          <w:color w:val="auto"/>
        </w:rPr>
        <w:t>”) as Chief Legal Officer reporting to the Company’s Chief Executive Officer (the “</w:t>
      </w:r>
      <w:r>
        <w:rPr>
          <w:rFonts w:ascii="Arial" w:cs="Arial" w:eastAsia="Arial" w:hAnsi="Arial"/>
          <w:sz w:val="20"/>
          <w:szCs w:val="20"/>
          <w:u w:val="single" w:color="auto"/>
          <w:color w:val="auto"/>
        </w:rPr>
        <w:t>CEO</w:t>
      </w:r>
      <w:r>
        <w:rPr>
          <w:rFonts w:ascii="Arial" w:cs="Arial" w:eastAsia="Arial" w:hAnsi="Arial"/>
          <w:sz w:val="20"/>
          <w:szCs w:val="20"/>
          <w:color w:val="auto"/>
        </w:rPr>
        <w:t>”). If you decide to join us, your employment with the Company will commence on October 26, 2020 (the “</w:t>
      </w:r>
      <w:r>
        <w:rPr>
          <w:rFonts w:ascii="Arial" w:cs="Arial" w:eastAsia="Arial" w:hAnsi="Arial"/>
          <w:sz w:val="20"/>
          <w:szCs w:val="20"/>
          <w:u w:val="single" w:color="auto"/>
          <w:color w:val="auto"/>
        </w:rPr>
        <w:t>Start Date</w:t>
      </w:r>
      <w:r>
        <w:rPr>
          <w:rFonts w:ascii="Arial" w:cs="Arial" w:eastAsia="Arial" w:hAnsi="Arial"/>
          <w:sz w:val="20"/>
          <w:szCs w:val="20"/>
          <w:color w:val="auto"/>
        </w:rPr>
        <w:t>”). Effectiveas of the Start Date, you will receive a base salary at an annual rate of $390,000 (the “</w:t>
      </w:r>
      <w:r>
        <w:rPr>
          <w:rFonts w:ascii="Arial" w:cs="Arial" w:eastAsia="Arial" w:hAnsi="Arial"/>
          <w:sz w:val="20"/>
          <w:szCs w:val="20"/>
          <w:u w:val="single" w:color="auto"/>
          <w:color w:val="auto"/>
        </w:rPr>
        <w:t>Base Salary</w:t>
      </w:r>
      <w:r>
        <w:rPr>
          <w:rFonts w:ascii="Arial" w:cs="Arial" w:eastAsia="Arial" w:hAnsi="Arial"/>
          <w:sz w:val="20"/>
          <w:szCs w:val="20"/>
          <w:color w:val="auto"/>
        </w:rPr>
        <w:t>”), which will be paid in accordance with the Company’s then existing payroll procedures.</w:t>
      </w:r>
    </w:p>
    <w:p>
      <w:pPr>
        <w:spacing w:after="0" w:line="20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Each year during the term of your employment, you will be eligible for a bonus of up to thirty- five percent (35%) of your actual Base Salary for that year based on achievement of performanceobjectives to be determined by the Board of Directors (or a committee thereof) (the “</w:t>
      </w:r>
      <w:r>
        <w:rPr>
          <w:rFonts w:ascii="Arial" w:cs="Arial" w:eastAsia="Arial" w:hAnsi="Arial"/>
          <w:sz w:val="18"/>
          <w:szCs w:val="18"/>
          <w:u w:val="single" w:color="auto"/>
          <w:color w:val="auto"/>
        </w:rPr>
        <w:t>Board</w:t>
      </w:r>
      <w:r>
        <w:rPr>
          <w:rFonts w:ascii="Arial" w:cs="Arial" w:eastAsia="Arial" w:hAnsi="Arial"/>
          <w:sz w:val="18"/>
          <w:szCs w:val="18"/>
          <w:color w:val="auto"/>
        </w:rPr>
        <w:t>”); provided, however, if your Start Date is after October 1, 2020, your 2020 bonus opportunity will be six percent (6%) of your actual Base Salary for 2020 (without regard to performance). Any bonuses will be subject to your continued employment with the Company through the date the bonus is paid, in no event later than March 15 of the calendar year following the calendar year asto which the bonus relates. As an employee, you will also be eligible for standard Company benefits in accordance with Company policy, subject in each case to the generally applicable terms and conditions of the applicable benefit plan and to the determinations of any person or committee administering such plan. You will be entitled to paid time off in accordance with the Company’s time-off policy, the timing and duration of such time off to be mutually and reasonably agreed to between you and the Company. The Company will also reimburse any of your expenses associated with Company business, subject to and in accordance with the Company’s expense policies. You should note that the Company may modify salaries, benefits and its policies from time to time as it deems necessary or appropriate.</w:t>
      </w:r>
    </w:p>
    <w:p>
      <w:pPr>
        <w:spacing w:after="0" w:line="183" w:lineRule="exact"/>
        <w:rPr>
          <w:sz w:val="20"/>
          <w:szCs w:val="20"/>
          <w:color w:val="auto"/>
        </w:rPr>
      </w:pPr>
    </w:p>
    <w:p>
      <w:pPr>
        <w:ind w:right="240"/>
        <w:spacing w:after="0" w:line="255" w:lineRule="auto"/>
        <w:rPr>
          <w:sz w:val="20"/>
          <w:szCs w:val="20"/>
          <w:color w:val="auto"/>
        </w:rPr>
      </w:pPr>
      <w:r>
        <w:rPr>
          <w:rFonts w:ascii="Arial" w:cs="Arial" w:eastAsia="Arial" w:hAnsi="Arial"/>
          <w:sz w:val="19"/>
          <w:szCs w:val="19"/>
          <w:color w:val="auto"/>
        </w:rPr>
        <w:t>If you decide to join the Company, the Company will recommend that the Board grant you an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 150,000 shares (subject to customary adjustments for stock splits, reverse splits, stock dividends and similar events after the date hereof) of the Company’scommon stock (“</w:t>
      </w:r>
      <w:r>
        <w:rPr>
          <w:rFonts w:ascii="Arial" w:cs="Arial" w:eastAsia="Arial" w:hAnsi="Arial"/>
          <w:sz w:val="19"/>
          <w:szCs w:val="19"/>
          <w:u w:val="single" w:color="auto"/>
          <w:color w:val="auto"/>
        </w:rPr>
        <w:t>Common Stock</w:t>
      </w:r>
      <w:r>
        <w:rPr>
          <w:rFonts w:ascii="Arial" w:cs="Arial" w:eastAsia="Arial" w:hAnsi="Arial"/>
          <w:sz w:val="19"/>
          <w:szCs w:val="19"/>
          <w:color w:val="auto"/>
        </w:rPr>
        <w:t>”) at a price per share equal to the closing price (in regular trading) of a share of Common Stock on the date of grant of the Option (or as of the last tradingday preceding the date of grant if the date of grant is not a trading day). Twenty-five percent (25%) of the Option will vest and be exercisable on the first anniversary of the Start Date, subject to your continuing employment with the Company through that date. The remaining portion of the Option will vest in equal monthly installments over the thirty-six (36) months following the first anniversary of the Start Date (on the same day of each month as the Start Date, such that the Option will be scheduled to be fully vested on the fourth anniversary of the Start Date), subject in each case to your continuing employment with the Company through theapplicable vesting date. The Option will be granted under the Company’s 2020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478155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460" w:top="1264" w:right="439" w:bottom="1440" w:gutter="0" w:footer="0" w:header="0"/>
        </w:sectPr>
      </w:pPr>
    </w:p>
    <w:bookmarkStart w:id="90" w:name="page91"/>
    <w:bookmarkEnd w:id="90"/>
    <w:p>
      <w:pPr>
        <w:spacing w:after="0" w:line="114" w:lineRule="exact"/>
        <w:rPr>
          <w:sz w:val="20"/>
          <w:szCs w:val="20"/>
          <w:color w:val="auto"/>
        </w:rPr>
      </w:pPr>
    </w:p>
    <w:p>
      <w:pPr>
        <w:ind w:left="60" w:right="160"/>
        <w:spacing w:after="0" w:line="250" w:lineRule="auto"/>
        <w:rPr>
          <w:sz w:val="20"/>
          <w:szCs w:val="20"/>
          <w:color w:val="auto"/>
        </w:rPr>
      </w:pPr>
      <w:r>
        <w:rPr>
          <w:rFonts w:ascii="Arial" w:cs="Arial" w:eastAsia="Arial" w:hAnsi="Arial"/>
          <w:sz w:val="20"/>
          <w:szCs w:val="20"/>
          <w:color w:val="auto"/>
        </w:rPr>
        <w:t>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and will be subject to such further terms and conditions as set forth inthe Plan and in a written stock option agreement to be entered into by the Company and you to evidence the Option (the form of option agreement will be the Company’s form for employee stock option grants under the Plan).</w:t>
      </w:r>
    </w:p>
    <w:p>
      <w:pPr>
        <w:spacing w:after="0" w:line="199" w:lineRule="exact"/>
        <w:rPr>
          <w:sz w:val="20"/>
          <w:szCs w:val="20"/>
          <w:color w:val="auto"/>
        </w:rPr>
      </w:pPr>
    </w:p>
    <w:p>
      <w:pPr>
        <w:ind w:left="60" w:right="80"/>
        <w:spacing w:after="0" w:line="257" w:lineRule="auto"/>
        <w:rPr>
          <w:sz w:val="20"/>
          <w:szCs w:val="20"/>
          <w:color w:val="auto"/>
        </w:rPr>
      </w:pPr>
      <w:r>
        <w:rPr>
          <w:rFonts w:ascii="Arial" w:cs="Arial" w:eastAsia="Arial" w:hAnsi="Arial"/>
          <w:sz w:val="19"/>
          <w:szCs w:val="19"/>
          <w:color w:val="auto"/>
        </w:rPr>
        <w:t>If you terminate, or if the Company terminates, your employment for any reason (with or withoutcause), then you will be entitled to receive (subject to the immediately following paragraph) only: (i) any earned but unpaid Base Salary as of the date of termination; (ii) reimbursement for all reasonable and necessary expenses incurred by you in connection with your performance of services on behalf of the Company while you are employed with the Company (subject to providing reasonable documentation of such expenses and to the extent such expenses are reimbursable under the Company’s expense policies and have not previously been reimbursed), payable in accordance with applicable Company policies and procedures; and (iii) your vested and unpaid benefits (if any) pursuant to any Company benefit plan, payable in accordance with the terms of the applicable plan.</w:t>
      </w:r>
    </w:p>
    <w:p>
      <w:pPr>
        <w:spacing w:after="0" w:line="198" w:lineRule="exact"/>
        <w:rPr>
          <w:sz w:val="20"/>
          <w:szCs w:val="20"/>
          <w:color w:val="auto"/>
        </w:rPr>
      </w:pPr>
    </w:p>
    <w:p>
      <w:pPr>
        <w:ind w:left="60" w:right="20"/>
        <w:spacing w:after="0" w:line="268" w:lineRule="auto"/>
        <w:rPr>
          <w:sz w:val="20"/>
          <w:szCs w:val="20"/>
          <w:color w:val="auto"/>
        </w:rPr>
      </w:pPr>
      <w:r>
        <w:rPr>
          <w:rFonts w:ascii="Arial" w:cs="Arial" w:eastAsia="Arial" w:hAnsi="Arial"/>
          <w:sz w:val="18"/>
          <w:szCs w:val="18"/>
          <w:color w:val="auto"/>
        </w:rPr>
        <w:t>In the event that your employment is terminated (i) by the Company for reasons other than “Cause” (as defined below) death, or disability or (ii) by you for “Good Reason” (as defined below) (either, a “</w:t>
      </w:r>
      <w:r>
        <w:rPr>
          <w:rFonts w:ascii="Arial" w:cs="Arial" w:eastAsia="Arial" w:hAnsi="Arial"/>
          <w:sz w:val="18"/>
          <w:szCs w:val="18"/>
          <w:u w:val="single" w:color="auto"/>
          <w:color w:val="auto"/>
        </w:rPr>
        <w:t>Qualifying Termination</w:t>
      </w:r>
      <w:r>
        <w:rPr>
          <w:rFonts w:ascii="Arial" w:cs="Arial" w:eastAsia="Arial" w:hAnsi="Arial"/>
          <w:sz w:val="18"/>
          <w:szCs w:val="18"/>
          <w:color w:val="auto"/>
        </w:rPr>
        <w:t>”), and in any case subject to you signing and not revoking a standard form of release of claims with the Company within 60 days following your last day of employment with the Company (the “</w:t>
      </w:r>
      <w:r>
        <w:rPr>
          <w:rFonts w:ascii="Arial" w:cs="Arial" w:eastAsia="Arial" w:hAnsi="Arial"/>
          <w:sz w:val="18"/>
          <w:szCs w:val="18"/>
          <w:u w:val="single" w:color="auto"/>
          <w:color w:val="auto"/>
        </w:rPr>
        <w:t>Release</w:t>
      </w:r>
      <w:r>
        <w:rPr>
          <w:rFonts w:ascii="Arial" w:cs="Arial" w:eastAsia="Arial" w:hAnsi="Arial"/>
          <w:sz w:val="18"/>
          <w:szCs w:val="18"/>
          <w:color w:val="auto"/>
        </w:rPr>
        <w:t>”; the Company will provide the form ofRelease to you on or promptly following your last day of employment with the Company if the termination of your employment is a Qualifying Termination), you will receive (in addition to the benefits provided for in the preceding paragraph) (A) cash payments in the form of continuation of your base salary at the rate in effect at the time of termination, less applicable withholdings, payable in accordance with the Company’s standard payroll practices for a period of six (6) months following the last day of your employment with the Company (your “</w:t>
      </w:r>
      <w:r>
        <w:rPr>
          <w:rFonts w:ascii="Arial" w:cs="Arial" w:eastAsia="Arial" w:hAnsi="Arial"/>
          <w:sz w:val="18"/>
          <w:szCs w:val="18"/>
          <w:u w:val="single" w:color="auto"/>
          <w:color w:val="auto"/>
        </w:rPr>
        <w:t>Separation Date</w:t>
      </w:r>
      <w:r>
        <w:rPr>
          <w:rFonts w:ascii="Arial" w:cs="Arial" w:eastAsia="Arial" w:hAnsi="Arial"/>
          <w:sz w:val="18"/>
          <w:szCs w:val="18"/>
          <w:color w:val="auto"/>
        </w:rPr>
        <w:t>”), with the first payment to be made no later than 10 days following the effective date of the Release (subject to any delay as may be required pursuant to the following paragraph), (B) reimbursement for the cost of continuation of health coverage for you and your eligible dependents pursuant to the Consolidated Omnibus Budget Reconciliation Act of 1985, asamended (“</w:t>
      </w:r>
      <w:r>
        <w:rPr>
          <w:rFonts w:ascii="Arial" w:cs="Arial" w:eastAsia="Arial" w:hAnsi="Arial"/>
          <w:sz w:val="18"/>
          <w:szCs w:val="18"/>
          <w:u w:val="single" w:color="auto"/>
          <w:color w:val="auto"/>
        </w:rPr>
        <w:t>COBRA</w:t>
      </w:r>
      <w:r>
        <w:rPr>
          <w:rFonts w:ascii="Arial" w:cs="Arial" w:eastAsia="Arial" w:hAnsi="Arial"/>
          <w:sz w:val="18"/>
          <w:szCs w:val="18"/>
          <w:color w:val="auto"/>
        </w:rPr>
        <w:t>”) until the earlier of (x) six (6) months following your Separation Date or (y) the date you and your eligible dependents are no longer eligible for COBRA; provided, however, if, at the time your employment with the Company ends, the Company determines thatproviding the COBRA reimbursement in this paragraph would result in a violation of law, an excise tax to the Company, or other unintended tax consequences to the Company or other participants in the Company’s benefit plans, then the Company instead will pay a lump sum payment equal to six (6) months of your estimated monthly COBRA premiums, grossed-up for any applicable taxes, within 10 days following the effective date of the Release (subject to any delay as may be required pursuant to the following paragraph), and (C) if such Qualifying Termination occurs on or within 12 months following a “Change of Control” (as defined in the Company’s 2015 Equity Incentive Plan), vesting acceleration of your Option in an amount equalto 100% of the then-unvested portion of your Option.</w:t>
      </w:r>
    </w:p>
    <w:p>
      <w:pPr>
        <w:spacing w:after="0" w:line="198" w:lineRule="exact"/>
        <w:rPr>
          <w:sz w:val="20"/>
          <w:szCs w:val="20"/>
          <w:color w:val="auto"/>
        </w:rPr>
      </w:pPr>
    </w:p>
    <w:p>
      <w:pPr>
        <w:ind w:left="60"/>
        <w:spacing w:after="0" w:line="303" w:lineRule="auto"/>
        <w:rPr>
          <w:sz w:val="20"/>
          <w:szCs w:val="20"/>
          <w:color w:val="auto"/>
        </w:rPr>
      </w:pPr>
      <w:r>
        <w:rPr>
          <w:rFonts w:ascii="Arial" w:cs="Arial" w:eastAsia="Arial" w:hAnsi="Arial"/>
          <w:sz w:val="16"/>
          <w:szCs w:val="16"/>
          <w:color w:val="auto"/>
        </w:rPr>
        <w:t>It is the intent of this offer letter that all payment and benefits hereunder comply with or be exempt from the requirements of Section 409A of the Internal Revenue Code of 1986, as amended, and the final regulations and any guidance promulgated thereunder and any applicable state law requirements (“</w:t>
      </w:r>
      <w:r>
        <w:rPr>
          <w:rFonts w:ascii="Arial" w:cs="Arial" w:eastAsia="Arial" w:hAnsi="Arial"/>
          <w:sz w:val="16"/>
          <w:szCs w:val="16"/>
          <w:u w:val="single" w:color="auto"/>
          <w:color w:val="auto"/>
        </w:rPr>
        <w:t>Section 409A</w:t>
      </w:r>
      <w:r>
        <w:rPr>
          <w:rFonts w:ascii="Arial" w:cs="Arial" w:eastAsia="Arial" w:hAnsi="Arial"/>
          <w:sz w:val="16"/>
          <w:szCs w:val="16"/>
          <w:color w:val="auto"/>
        </w:rPr>
        <w:t>”) so that none of the payments and benefits to be provided under this offer letter will be subject to the additional tax imposed under Section 409A,and any ambiguities or ambiguous terms herein will be interpreted to be exempt or so comply. Each payment and benefit payable under this offer letter is intended to constitute a separate payment for purposes of Section</w:t>
      </w:r>
    </w:p>
    <w:p>
      <w:pPr>
        <w:spacing w:after="0" w:line="2" w:lineRule="exact"/>
        <w:rPr>
          <w:sz w:val="20"/>
          <w:szCs w:val="20"/>
          <w:color w:val="auto"/>
        </w:rPr>
      </w:pPr>
    </w:p>
    <w:p>
      <w:pPr>
        <w:jc w:val="both"/>
        <w:ind w:left="60" w:right="260"/>
        <w:spacing w:after="0" w:line="241" w:lineRule="auto"/>
        <w:rPr>
          <w:sz w:val="20"/>
          <w:szCs w:val="20"/>
          <w:color w:val="auto"/>
        </w:rPr>
      </w:pPr>
      <w:r>
        <w:rPr>
          <w:rFonts w:ascii="Arial" w:cs="Arial" w:eastAsia="Arial" w:hAnsi="Arial"/>
          <w:sz w:val="20"/>
          <w:szCs w:val="20"/>
          <w:color w:val="auto"/>
        </w:rPr>
        <w:t>1.409A-2(b)(2) of the Treasury Regulations. You and the Company agree to work together in good faith to consider amendments to this offer letter and to take such reasonable actions which are necessary, appropriate or desirable to avoid imposition ofany additional tax or income recognition prior to actual payment to you under Section 409A. No termination pay or benefits to be paid or provided to you, if any, pursuant to this offer letter that, when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440055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400" w:top="1440" w:right="439" w:bottom="1440" w:gutter="0" w:footer="0" w:header="0"/>
        </w:sectPr>
      </w:pPr>
    </w:p>
    <w:bookmarkStart w:id="91" w:name="page92"/>
    <w:bookmarkEnd w:id="91"/>
    <w:p>
      <w:pPr>
        <w:ind w:left="60"/>
        <w:spacing w:after="0" w:line="255" w:lineRule="auto"/>
        <w:rPr>
          <w:sz w:val="20"/>
          <w:szCs w:val="20"/>
          <w:color w:val="auto"/>
        </w:rPr>
      </w:pPr>
      <w:r>
        <w:rPr>
          <w:rFonts w:ascii="Arial" w:cs="Arial" w:eastAsia="Arial" w:hAnsi="Arial"/>
          <w:sz w:val="19"/>
          <w:szCs w:val="19"/>
          <w:color w:val="auto"/>
        </w:rPr>
        <w:t>considered together with any other severance payments or separation benefits, are considered deferred compensation under Section 409A (together, “</w:t>
      </w:r>
      <w:r>
        <w:rPr>
          <w:rFonts w:ascii="Arial" w:cs="Arial" w:eastAsia="Arial" w:hAnsi="Arial"/>
          <w:sz w:val="19"/>
          <w:szCs w:val="19"/>
          <w:u w:val="single" w:color="auto"/>
          <w:color w:val="auto"/>
        </w:rPr>
        <w:t>Deferred Compensation</w:t>
      </w:r>
      <w:r>
        <w:rPr>
          <w:rFonts w:ascii="Arial" w:cs="Arial" w:eastAsia="Arial" w:hAnsi="Arial"/>
          <w:sz w:val="19"/>
          <w:szCs w:val="19"/>
          <w:color w:val="auto"/>
        </w:rPr>
        <w:t>”) or otherwise would be exempt from Section 409A pursuant to Treasury Regulation Section 1.409A-1(b)(9) will be paid or otherwise provided until you have a “separation from service” within the meaning of Section 409A. Any termination payments or benefits under this offer letter that would be considered Deferred Compensation will be paid on, or, in the case of installments, will not commence until, the sixty-first (61st) day following your separation from service, or, if later, the Delayed Payment Date (as defined below) (for clarity, with the first payment after such period of time to include any payments that would have otherwise been made during such periodof time). Further, if at the time of your termination of employment, you are a “specified employee” within the meaning of Section 409A, payment of such Deferred Compensation will be delayed to the extent necessary to avoid the imposition of the additional tax imposed under Section 409A, which generally means that you will receive payment on the first payroll date that occurs on or after the date that is six (6) months and one (1) day following your termination of employment, or your death, if earlier (the “</w:t>
      </w:r>
      <w:r>
        <w:rPr>
          <w:rFonts w:ascii="Arial" w:cs="Arial" w:eastAsia="Arial" w:hAnsi="Arial"/>
          <w:sz w:val="19"/>
          <w:szCs w:val="19"/>
          <w:u w:val="single" w:color="auto"/>
          <w:color w:val="auto"/>
        </w:rPr>
        <w:t>Delayed Payment Date</w:t>
      </w:r>
      <w:r>
        <w:rPr>
          <w:rFonts w:ascii="Arial" w:cs="Arial" w:eastAsia="Arial" w:hAnsi="Arial"/>
          <w:sz w:val="19"/>
          <w:szCs w:val="19"/>
          <w:color w:val="auto"/>
        </w:rPr>
        <w:t>”).</w:t>
      </w:r>
    </w:p>
    <w:p>
      <w:pPr>
        <w:spacing w:after="0" w:line="200" w:lineRule="exact"/>
        <w:rPr>
          <w:sz w:val="20"/>
          <w:szCs w:val="20"/>
          <w:color w:val="auto"/>
        </w:rPr>
      </w:pPr>
    </w:p>
    <w:p>
      <w:pPr>
        <w:ind w:left="60" w:right="100"/>
        <w:spacing w:after="0" w:line="275" w:lineRule="auto"/>
        <w:rPr>
          <w:sz w:val="20"/>
          <w:szCs w:val="20"/>
          <w:color w:val="auto"/>
        </w:rPr>
      </w:pPr>
      <w:r>
        <w:rPr>
          <w:rFonts w:ascii="Arial" w:cs="Arial" w:eastAsia="Arial" w:hAnsi="Arial"/>
          <w:sz w:val="18"/>
          <w:szCs w:val="18"/>
          <w:color w:val="auto"/>
        </w:rPr>
        <w:t>For purposes of this offer letter “</w:t>
      </w:r>
      <w:r>
        <w:rPr>
          <w:rFonts w:ascii="Arial" w:cs="Arial" w:eastAsia="Arial" w:hAnsi="Arial"/>
          <w:sz w:val="18"/>
          <w:szCs w:val="18"/>
          <w:u w:val="single" w:color="auto"/>
          <w:color w:val="auto"/>
        </w:rPr>
        <w:t>Cause</w:t>
      </w:r>
      <w:r>
        <w:rPr>
          <w:rFonts w:ascii="Arial" w:cs="Arial" w:eastAsia="Arial" w:hAnsi="Arial"/>
          <w:sz w:val="18"/>
          <w:szCs w:val="18"/>
          <w:color w:val="auto"/>
        </w:rPr>
        <w:t>” means: (i) a material breach of any of your obligations to the Company or any of its affiliates under the terms of this offer letter or your Confidentiality Agreement (as defined below) or a material breach by you of Company policy;</w:t>
      </w:r>
    </w:p>
    <w:p>
      <w:pPr>
        <w:spacing w:after="0" w:line="1" w:lineRule="exact"/>
        <w:rPr>
          <w:sz w:val="20"/>
          <w:szCs w:val="20"/>
          <w:color w:val="auto"/>
        </w:rPr>
      </w:pPr>
    </w:p>
    <w:p>
      <w:pPr>
        <w:ind w:left="60" w:right="200" w:firstLine="7"/>
        <w:spacing w:after="0" w:line="254" w:lineRule="auto"/>
        <w:tabs>
          <w:tab w:leader="none" w:pos="351" w:val="left"/>
        </w:tabs>
        <w:numPr>
          <w:ilvl w:val="0"/>
          <w:numId w:val="48"/>
        </w:numPr>
        <w:rPr>
          <w:rFonts w:ascii="Arial" w:cs="Arial" w:eastAsia="Arial" w:hAnsi="Arial"/>
          <w:sz w:val="19"/>
          <w:szCs w:val="19"/>
          <w:color w:val="auto"/>
        </w:rPr>
      </w:pPr>
      <w:r>
        <w:rPr>
          <w:rFonts w:ascii="Arial" w:cs="Arial" w:eastAsia="Arial" w:hAnsi="Arial"/>
          <w:sz w:val="19"/>
          <w:szCs w:val="19"/>
          <w:color w:val="auto"/>
        </w:rPr>
        <w:t>your gross negligence or willful failure or refusal to perform your duties; (iii) any material act of personal dishonesty taken by you and intended to result in substantial personal enrichment of you at the expense of the Company or its affiliates; (iv) any willful or intentional act that could reasonably be expected to injure the reputation, business, or business relationships of the Company or its affiliates; (v) perpetration of an intentional and knowing fraud against or affecting the company or any customer, supplier, client, agent, or employee thereof; (vi) your conviction of a felony or any crime involving fraud, dishonesty or moral turpitude; or (vii) your termination in connectionwith a dissolution, wind-down or liquidation of the Company, including as part of a voluntary orinvoluntary bankruptcy or insolvency proceedings; with respect to any of the foregoing (other than clauses (vi) or (vii)), the Board shall be required to give you written notice of any termination for “Cause” with a detailed description of any alleged breach together with a 30 dayability to cure any such breach, unless such breach is non-curable.</w:t>
      </w:r>
    </w:p>
    <w:p>
      <w:pPr>
        <w:spacing w:after="0" w:line="198" w:lineRule="exact"/>
        <w:rPr>
          <w:sz w:val="20"/>
          <w:szCs w:val="20"/>
          <w:color w:val="auto"/>
        </w:rPr>
      </w:pPr>
    </w:p>
    <w:p>
      <w:pPr>
        <w:ind w:left="60" w:right="140"/>
        <w:spacing w:after="0" w:line="271" w:lineRule="auto"/>
        <w:rPr>
          <w:sz w:val="20"/>
          <w:szCs w:val="20"/>
          <w:color w:val="auto"/>
        </w:rPr>
      </w:pPr>
      <w:r>
        <w:rPr>
          <w:rFonts w:ascii="Arial" w:cs="Arial" w:eastAsia="Arial" w:hAnsi="Arial"/>
          <w:sz w:val="18"/>
          <w:szCs w:val="18"/>
          <w:color w:val="auto"/>
        </w:rPr>
        <w:t>For purposes of this offer letter, “</w:t>
      </w:r>
      <w:r>
        <w:rPr>
          <w:rFonts w:ascii="Arial" w:cs="Arial" w:eastAsia="Arial" w:hAnsi="Arial"/>
          <w:sz w:val="18"/>
          <w:szCs w:val="18"/>
          <w:u w:val="single" w:color="auto"/>
          <w:color w:val="auto"/>
        </w:rPr>
        <w:t>Good Reason</w:t>
      </w:r>
      <w:r>
        <w:rPr>
          <w:rFonts w:ascii="Arial" w:cs="Arial" w:eastAsia="Arial" w:hAnsi="Arial"/>
          <w:sz w:val="18"/>
          <w:szCs w:val="18"/>
          <w:color w:val="auto"/>
        </w:rPr>
        <w:t>” means one of the following has occurred without your written consent: (A) a material breach by the Company of any of the covenants in this offer letter; (B) any reduction of your base salary or target bonus opportunity or failure by the Company to grant the Option; (C) any material and adverse change in your position, chain ofreporting, or title; (D) any material change in the geographic location at which you must principally perform services; it being understood that a change in such geographic location of less than 50 miles will not be deemed material for these purposes; or (E) failure by any survivingentity resulting from a Change of Control to assume the obligations hereunder; provided that a resignation will not be for “Good Reason” unless you have first provided the Company with written notice of the acts or omissions constituting the grounds for “Good Reason” within 90 days following the initial occurrence of the event giving rise to “Good Reason” and a reasonablecure period of thirty (30) days following the date the Company receives such notice during which such condition must not have been cured, and you must resign from your employment with the Company within 30 days following the end of the cure period if uncured.</w:t>
      </w:r>
    </w:p>
    <w:p>
      <w:pPr>
        <w:spacing w:after="0" w:line="187" w:lineRule="exact"/>
        <w:rPr>
          <w:sz w:val="20"/>
          <w:szCs w:val="20"/>
          <w:color w:val="auto"/>
        </w:rPr>
      </w:pPr>
    </w:p>
    <w:p>
      <w:pPr>
        <w:ind w:left="60" w:right="60"/>
        <w:spacing w:after="0" w:line="287" w:lineRule="auto"/>
        <w:rPr>
          <w:sz w:val="20"/>
          <w:szCs w:val="20"/>
          <w:color w:val="auto"/>
        </w:rPr>
      </w:pPr>
      <w:r>
        <w:rPr>
          <w:rFonts w:ascii="Arial" w:cs="Arial" w:eastAsia="Arial" w:hAnsi="Arial"/>
          <w:sz w:val="19"/>
          <w:szCs w:val="19"/>
          <w:color w:val="auto"/>
        </w:rPr>
        <w:t>The Company reserves the right to conduct background investigations and/or reference checks on all of its potential employees. Your job offer, therefore, is contingent upon a clearance of sucha background investigation and/or reference check, if any.</w:t>
      </w:r>
    </w:p>
    <w:p>
      <w:pPr>
        <w:spacing w:after="0" w:line="166" w:lineRule="exact"/>
        <w:rPr>
          <w:sz w:val="20"/>
          <w:szCs w:val="20"/>
          <w:color w:val="auto"/>
        </w:rPr>
      </w:pPr>
    </w:p>
    <w:p>
      <w:pPr>
        <w:ind w:left="60" w:right="440"/>
        <w:spacing w:after="0" w:line="250" w:lineRule="auto"/>
        <w:rPr>
          <w:sz w:val="20"/>
          <w:szCs w:val="20"/>
          <w:color w:val="auto"/>
        </w:rPr>
      </w:pPr>
      <w:r>
        <w:rPr>
          <w:rFonts w:ascii="Arial" w:cs="Arial" w:eastAsia="Arial" w:hAnsi="Arial"/>
          <w:sz w:val="20"/>
          <w:szCs w:val="20"/>
          <w:color w:val="auto"/>
        </w:rPr>
        <w:t>For purposes of federal immigration law, you will be required to provide to the Company documentary evidence of your identity and eligibility for employment in the United States. Please bring such documentation with you on your Start Date or our employment relationshipwith you may be terminated.</w:t>
      </w:r>
    </w:p>
    <w:p>
      <w:pPr>
        <w:spacing w:after="0" w:line="199" w:lineRule="exact"/>
        <w:rPr>
          <w:sz w:val="20"/>
          <w:szCs w:val="20"/>
          <w:color w:val="auto"/>
        </w:rPr>
      </w:pPr>
    </w:p>
    <w:p>
      <w:pPr>
        <w:jc w:val="both"/>
        <w:ind w:left="60" w:right="80"/>
        <w:spacing w:after="0" w:line="250" w:lineRule="auto"/>
        <w:rPr>
          <w:sz w:val="20"/>
          <w:szCs w:val="20"/>
          <w:color w:val="auto"/>
        </w:rPr>
      </w:pPr>
      <w:r>
        <w:rPr>
          <w:rFonts w:ascii="Arial" w:cs="Arial" w:eastAsia="Arial" w:hAnsi="Arial"/>
          <w:sz w:val="20"/>
          <w:szCs w:val="20"/>
          <w:color w:val="auto"/>
        </w:rPr>
        <w:t>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440055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400" w:top="339" w:right="479" w:bottom="1440" w:gutter="0" w:footer="0" w:header="0"/>
        </w:sectPr>
      </w:pPr>
    </w:p>
    <w:bookmarkStart w:id="92" w:name="page93"/>
    <w:bookmarkEnd w:id="92"/>
    <w:p>
      <w:pPr>
        <w:ind w:left="60" w:right="100"/>
        <w:spacing w:after="0" w:line="257" w:lineRule="auto"/>
        <w:rPr>
          <w:sz w:val="20"/>
          <w:szCs w:val="20"/>
          <w:color w:val="auto"/>
        </w:rPr>
      </w:pPr>
      <w:r>
        <w:rPr>
          <w:rFonts w:ascii="Arial" w:cs="Arial" w:eastAsia="Arial" w:hAnsi="Arial"/>
          <w:sz w:val="19"/>
          <w:szCs w:val="19"/>
          <w:color w:val="auto"/>
        </w:rPr>
        <w:t>agreements will not prevent you from performing, and will not interfere with your performance of, the duties of your position and you represent that such is the case. Moreover, you agree that, while you are employed with the Company, you will not (without the specific consent of the CEO) engage in any other employment, occupation, consulting or other business activity directly related to the business in which the Company is now involved or becomes involved during the period of your employment, nor will you (withoutthe specific consent of the CEO) engage in any other activities that conflict with your obligationsto the Company. Similarly, you agree not to bring any third-party confidential information to theCompany, including that of your former employer, and that in performing your duties for the Company you will not in any way utilize any such information.</w:t>
      </w:r>
    </w:p>
    <w:p>
      <w:pPr>
        <w:spacing w:after="0" w:line="198" w:lineRule="exact"/>
        <w:rPr>
          <w:sz w:val="20"/>
          <w:szCs w:val="20"/>
          <w:color w:val="auto"/>
        </w:rPr>
      </w:pPr>
    </w:p>
    <w:p>
      <w:pPr>
        <w:ind w:left="60"/>
        <w:spacing w:after="0" w:line="257" w:lineRule="auto"/>
        <w:rPr>
          <w:sz w:val="20"/>
          <w:szCs w:val="20"/>
          <w:color w:val="auto"/>
        </w:rPr>
      </w:pPr>
      <w:r>
        <w:rPr>
          <w:rFonts w:ascii="Arial" w:cs="Arial" w:eastAsia="Arial" w:hAnsi="Arial"/>
          <w:sz w:val="19"/>
          <w:szCs w:val="19"/>
          <w:color w:val="auto"/>
        </w:rPr>
        <w:t>As a condition of your employment and prior to the Start Date, you are also required to sign the Company’s At Will Employment, Confidential Information, Invention Assignment and Arbitration Agreement (“</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which requires, among other provisions, the assignment of patent rights to any invention made during your employment at the Company, non-disclosure of Company proprietary information, and that in the event of any dispute or claimrelating to or arising out of our employment relationship, you and the Company agree that any and all disputes between you and the Company will be fully and finally resolved by binding arbitration. Please note that we must receive your signed Confidentiality Agreement before your first day of employment. Your continued employment with the Company is subject to your ongoing compliance with your obligations under the Confidentiality Agreement and your compliance with all other Company policies, as they are in effect from time to time.</w:t>
      </w:r>
    </w:p>
    <w:p>
      <w:pPr>
        <w:spacing w:after="0" w:line="194" w:lineRule="exact"/>
        <w:rPr>
          <w:sz w:val="20"/>
          <w:szCs w:val="20"/>
          <w:color w:val="auto"/>
        </w:rPr>
      </w:pPr>
    </w:p>
    <w:p>
      <w:pPr>
        <w:ind w:left="60"/>
        <w:spacing w:after="0" w:line="244" w:lineRule="auto"/>
        <w:rPr>
          <w:sz w:val="20"/>
          <w:szCs w:val="20"/>
          <w:color w:val="auto"/>
        </w:rPr>
      </w:pPr>
      <w:r>
        <w:rPr>
          <w:rFonts w:ascii="Arial" w:cs="Arial" w:eastAsia="Arial" w:hAnsi="Arial"/>
          <w:sz w:val="20"/>
          <w:szCs w:val="20"/>
          <w:color w:val="auto"/>
        </w:rPr>
        <w:t>The Company is excited about your joining and looks forward to a beneficial and productive relationship. Nevertheless, you should be aware that your employment with the Company is forno specified period and constitutes at will employment. As a result, you are free to resign at any time, for any reason or for no reason. Similarly, the Company is free to conclude its employmentrelationship with you at any time, with or without cause, and with or without notice. We request that, in the event of resignation, you give the Company at least two (2) weeks’ advance notice.</w:t>
      </w:r>
    </w:p>
    <w:p>
      <w:pPr>
        <w:spacing w:after="0" w:line="208" w:lineRule="exact"/>
        <w:rPr>
          <w:sz w:val="20"/>
          <w:szCs w:val="20"/>
          <w:color w:val="auto"/>
        </w:rPr>
      </w:pPr>
    </w:p>
    <w:p>
      <w:pPr>
        <w:ind w:left="60" w:right="80"/>
        <w:spacing w:after="0" w:line="291" w:lineRule="auto"/>
        <w:rPr>
          <w:sz w:val="20"/>
          <w:szCs w:val="20"/>
          <w:color w:val="auto"/>
        </w:rPr>
      </w:pPr>
      <w:r>
        <w:rPr>
          <w:rFonts w:ascii="Arial" w:cs="Arial" w:eastAsia="Arial" w:hAnsi="Arial"/>
          <w:sz w:val="18"/>
          <w:szCs w:val="18"/>
          <w:color w:val="auto"/>
        </w:rPr>
        <w:t>This letter and all of your rights and obligations hereunder are personal to you and may not be transferred or assigned by you at any time. The Company may assign its rights under this letter toa parent or affiliated company or to an entity that assumes the Company’s obligations hereunder in connection with a sale or transfer of all or a substantial portion of the Company’s business or assets.</w:t>
      </w:r>
    </w:p>
    <w:p>
      <w:pPr>
        <w:spacing w:after="0" w:line="165" w:lineRule="exact"/>
        <w:rPr>
          <w:sz w:val="20"/>
          <w:szCs w:val="20"/>
          <w:color w:val="auto"/>
        </w:rPr>
      </w:pPr>
    </w:p>
    <w:p>
      <w:pPr>
        <w:ind w:left="60" w:right="140"/>
        <w:spacing w:after="0" w:line="243" w:lineRule="auto"/>
        <w:rPr>
          <w:sz w:val="20"/>
          <w:szCs w:val="20"/>
          <w:color w:val="auto"/>
        </w:rPr>
      </w:pPr>
      <w:r>
        <w:rPr>
          <w:rFonts w:ascii="Arial" w:cs="Arial" w:eastAsia="Arial" w:hAnsi="Arial"/>
          <w:sz w:val="20"/>
          <w:szCs w:val="20"/>
          <w:color w:val="auto"/>
        </w:rPr>
        <w:t>To accept the Company’s offer, please sign and date this letter agreement in the space provided below and return it to the sender before the deadline indicated below. This letter, along with theConfidentiality Agreement set forth the terms of your employment with the Company and supersede any prior representations or agreements including, but not limited to, any representations made during your recruitment, interviews or pre-employment negotiations, whether written or oral. This letter, including, but not limited to, its at-will employment provision, may not be modified or amended except by a written agreement signed by authorizedofficer of the Company and you.</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This offer of employment will expire if we don’t receive your signed acceptance by October 7,2020.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20"/>
          <w:szCs w:val="20"/>
          <w:color w:val="auto"/>
        </w:rPr>
        <w:t>I look forward to your favorable reply and to welcoming you to Nkarta,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440055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400" w:top="339" w:right="479" w:bottom="1440" w:gutter="0" w:footer="0" w:header="0"/>
        </w:sectPr>
      </w:pPr>
    </w:p>
    <w:bookmarkStart w:id="93" w:name="page94"/>
    <w:bookmarkEnd w:id="93"/>
    <w:p>
      <w:pPr>
        <w:spacing w:after="0" w:line="47"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140"/>
        <w:spacing w:after="0"/>
        <w:rPr>
          <w:sz w:val="20"/>
          <w:szCs w:val="20"/>
          <w:color w:val="auto"/>
        </w:rPr>
      </w:pPr>
      <w:r>
        <w:rPr>
          <w:rFonts w:ascii="Arial" w:cs="Arial" w:eastAsia="Arial" w:hAnsi="Arial"/>
          <w:sz w:val="20"/>
          <w:szCs w:val="20"/>
          <w:u w:val="single" w:color="auto"/>
          <w:color w:val="auto"/>
        </w:rPr>
        <w:t>/s/ Paul J. Hastings</w:t>
      </w:r>
    </w:p>
    <w:p>
      <w:pPr>
        <w:spacing w:after="0" w:line="81"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Paul J. Hastings</w:t>
      </w:r>
    </w:p>
    <w:p>
      <w:pPr>
        <w:spacing w:after="0" w:line="16" w:lineRule="exact"/>
        <w:rPr>
          <w:sz w:val="20"/>
          <w:szCs w:val="20"/>
          <w:color w:val="auto"/>
        </w:rPr>
      </w:pPr>
    </w:p>
    <w:p>
      <w:pPr>
        <w:jc w:val="right"/>
        <w:ind w:right="1919"/>
        <w:spacing w:after="0"/>
        <w:rPr>
          <w:sz w:val="20"/>
          <w:szCs w:val="20"/>
          <w:color w:val="auto"/>
        </w:rPr>
      </w:pPr>
      <w:r>
        <w:rPr>
          <w:rFonts w:ascii="Arial" w:cs="Arial" w:eastAsia="Arial" w:hAnsi="Arial"/>
          <w:sz w:val="20"/>
          <w:szCs w:val="20"/>
          <w:color w:val="auto"/>
        </w:rPr>
        <w:t>President and Chief Executive Officer</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20"/>
          <w:szCs w:val="20"/>
          <w:color w:val="auto"/>
        </w:rPr>
        <w:t>Agreed to and accepted: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20"/>
                <w:szCs w:val="20"/>
                <w:color w:val="auto"/>
              </w:rPr>
              <w:t>Signature:</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20"/>
                <w:szCs w:val="20"/>
                <w:color w:val="auto"/>
                <w:w w:val="90"/>
              </w:rPr>
              <w:t>/s/ Alicia Hager</w:t>
            </w:r>
          </w:p>
        </w:tc>
      </w:tr>
      <w:tr>
        <w:trPr>
          <w:trHeight w:val="254"/>
        </w:trPr>
        <w:tc>
          <w:tcPr>
            <w:tcW w:w="1260" w:type="dxa"/>
            <w:vAlign w:val="bottom"/>
          </w:tcPr>
          <w:p>
            <w:pPr>
              <w:spacing w:after="0"/>
              <w:rPr>
                <w:sz w:val="22"/>
                <w:szCs w:val="22"/>
                <w:color w:val="auto"/>
              </w:rPr>
            </w:pPr>
          </w:p>
        </w:tc>
        <w:tc>
          <w:tcPr>
            <w:tcW w:w="1480" w:type="dxa"/>
            <w:vAlign w:val="bottom"/>
            <w:gridSpan w:val="3"/>
          </w:tcPr>
          <w:p>
            <w:pPr>
              <w:jc w:val="right"/>
              <w:spacing w:after="0"/>
              <w:rPr>
                <w:sz w:val="20"/>
                <w:szCs w:val="20"/>
                <w:color w:val="auto"/>
              </w:rPr>
            </w:pPr>
            <w:r>
              <w:rPr>
                <w:rFonts w:ascii="Arial" w:cs="Arial" w:eastAsia="Arial" w:hAnsi="Arial"/>
                <w:sz w:val="20"/>
                <w:szCs w:val="20"/>
                <w:color w:val="auto"/>
              </w:rPr>
              <w:t>Alicia Hager</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360"/>
        </w:trPr>
        <w:tc>
          <w:tcPr>
            <w:tcW w:w="1260" w:type="dxa"/>
            <w:vAlign w:val="bottom"/>
          </w:tcPr>
          <w:p>
            <w:pPr>
              <w:spacing w:after="0"/>
              <w:rPr>
                <w:sz w:val="20"/>
                <w:szCs w:val="20"/>
                <w:color w:val="auto"/>
              </w:rPr>
            </w:pPr>
            <w:r>
              <w:rPr>
                <w:rFonts w:ascii="Arial" w:cs="Arial" w:eastAsia="Arial" w:hAnsi="Arial"/>
                <w:sz w:val="20"/>
                <w:szCs w:val="20"/>
                <w:color w:val="auto"/>
              </w:rPr>
              <w:t>Date:</w:t>
            </w:r>
          </w:p>
        </w:tc>
        <w:tc>
          <w:tcPr>
            <w:tcW w:w="560" w:type="dxa"/>
            <w:vAlign w:val="bottom"/>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w w:val="92"/>
              </w:rPr>
              <w:t>October 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2020</w:t>
            </w:r>
          </w:p>
        </w:tc>
        <w:tc>
          <w:tcPr>
            <w:tcW w:w="3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059"/>
          </w:cols>
          <w:pgMar w:left="400" w:top="1440"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 Paul J. Hastings,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Nkarta,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 w:hanging="519"/>
        <w:spacing w:after="0" w:line="342"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520" w:right="16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720" w:hanging="519"/>
        <w:spacing w:after="0" w:line="342" w:lineRule="auto"/>
        <w:tabs>
          <w:tab w:leader="none" w:pos="1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Paul J. Hastings</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 Nadir Mahmood,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Nkarta,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 w:hanging="519"/>
        <w:spacing w:after="0" w:line="342" w:lineRule="auto"/>
        <w:tabs>
          <w:tab w:leader="none" w:pos="10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520" w:right="16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720" w:hanging="519"/>
        <w:spacing w:after="0" w:line="342" w:lineRule="auto"/>
        <w:tabs>
          <w:tab w:leader="none" w:pos="10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0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Nadir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Nadir Mahmood</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and Business Officer</w:t>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NKARTA,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In connection with the Quarterly Report of Nkarta, Inc. (the "Company") on Form 10-Q for the period ended March 31, 2021 as filed with the Securities and Exchange Commission on the date hereof (the "Report"), we, Paul J. Hastings, Chief Executive Officer of the Company, and Nadir Mahmood, Chief Financial and Business Officer, certify, pursuant to 18 U.S.C. 1350, as adopted pursuant to Section 906 of the Sarbanes-Oxley Act of 2002, that:</w:t>
      </w:r>
    </w:p>
    <w:p>
      <w:pPr>
        <w:spacing w:after="0" w:line="187" w:lineRule="exact"/>
        <w:rPr>
          <w:sz w:val="20"/>
          <w:szCs w:val="20"/>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spacing w:after="0"/>
        <w:tabs>
          <w:tab w:leader="none" w:pos="5680" w:val="left"/>
          <w:tab w:leader="none" w:pos="792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J.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Paul J. Hastings</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308" w:lineRule="exact"/>
        <w:rPr>
          <w:sz w:val="20"/>
          <w:szCs w:val="20"/>
          <w:color w:val="auto"/>
        </w:rPr>
      </w:pPr>
    </w:p>
    <w:p>
      <w:pPr>
        <w:spacing w:after="0"/>
        <w:tabs>
          <w:tab w:leader="none" w:pos="5680" w:val="left"/>
          <w:tab w:leader="none" w:pos="790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Nadir Mahmood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Nadir Mahmood</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and Business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lowerRoman"/>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lowerRoman"/>
      <w:start w:val="7"/>
    </w:lvl>
  </w:abstractNum>
  <w:abstractNum w:abstractNumId="44">
    <w:nsid w:val="7644A45C"/>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45">
    <w:nsid w:val="32FFF902"/>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abstractNum>
  <w:abstractNum w:abstractNumId="46">
    <w:nsid w:val="684A481A"/>
    <w:multiLevelType w:val="hybridMultilevel"/>
    <w:lvl w:ilvl="0">
      <w:lvlJc w:val="left"/>
      <w:lvlText w:val="%1."/>
      <w:numFmt w:val="decimal"/>
      <w:start w:val="4"/>
    </w:lvl>
    <w:lvl w:ilvl="1">
      <w:lvlJc w:val="left"/>
      <w:lvlText w:val="%2."/>
      <w:numFmt w:val="decimal"/>
      <w:start w:val="6"/>
    </w:lvl>
    <w:lvl w:ilvl="2">
      <w:lvlJc w:val="left"/>
      <w:lvlText w:val="%3."/>
      <w:numFmt w:val="decimal"/>
      <w:start w:val="7"/>
    </w:lvl>
  </w:abstractNum>
  <w:abstractNum w:abstractNumId="47">
    <w:nsid w:val="579478FE"/>
    <w:multiLevelType w:val="hybridMultilevel"/>
    <w:lvl w:ilvl="0">
      <w:lvlJc w:val="left"/>
      <w:lvlText w:val="(%1)"/>
      <w:numFmt w:val="lowerRoman"/>
      <w:start w:val="2"/>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jpe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jpe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jpe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01" Type="http://schemas.openxmlformats.org/officeDocument/2006/relationships/hyperlink" Target="http://www.sec.gov/Archives/edgar/data/1787400/000119312520192614/d62111dex31.htm" TargetMode="External"/><Relationship Id="rId102" Type="http://schemas.openxmlformats.org/officeDocument/2006/relationships/hyperlink" Target="http://www.sec.gov/Archives/edgar/data/1787400/000119312520192614/d62111dex32.htm" TargetMode="External"/><Relationship Id="rId103" Type="http://schemas.openxmlformats.org/officeDocument/2006/relationships/hyperlink" Target="http://www.sec.gov/Archives/edgar/data/0001787400/000156459021015517/nktx-ex1010d_137.htm" TargetMode="External"/><Relationship Id="rId104" Type="http://schemas.openxmlformats.org/officeDocument/2006/relationships/hyperlink" Target="http://www.sec.gov/Archives/edgar/data/0001787400/000156459021001077/nktx-ex101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2021-05-13T15:42:10Z</dcterms:created>
  <dcterms:modified xsi:type="dcterms:W3CDTF">2021-05-13T15:42:10Z</dcterms:modified>
</cp:coreProperties>
</file>