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5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34"/>
          <w:szCs w:val="34"/>
          <w:color w:val="auto"/>
          <w:highlight w:val="black"/>
          <w:vertAlign w:val="superscript"/>
        </w:rPr>
      </w:pPr>
      <w:r>
        <w:rPr>
          <w:rFonts w:ascii="Arial" w:cs="Arial" w:eastAsia="Arial" w:hAnsi="Arial"/>
          <w:sz w:val="17"/>
          <w:szCs w:val="17"/>
          <w:b w:val="1"/>
          <w:bCs w:val="1"/>
          <w:color w:val="auto"/>
        </w:rPr>
        <w:t>QUARTERLY REPORT 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4"/>
          <w:szCs w:val="34"/>
          <w:color w:val="auto"/>
          <w:highlight w:val="black"/>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204" w:lineRule="exact"/>
        <w:rPr>
          <w:sz w:val="24"/>
          <w:szCs w:val="24"/>
          <w:color w:val="auto"/>
        </w:rPr>
      </w:pPr>
    </w:p>
    <w:p>
      <w:pPr>
        <w:ind w:left="338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Nkarta, Inc.</w:t>
      </w:r>
    </w:p>
    <w:p>
      <w:pPr>
        <w:sectPr>
          <w:pgSz w:w="11900" w:h="16838" w:orient="portrait"/>
          <w:cols w:equalWidth="0" w:num="1">
            <w:col w:w="11240"/>
          </w:cols>
          <w:pgMar w:left="320" w:top="746"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47-4515206</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1" w:lineRule="exact"/>
        <w:rPr>
          <w:sz w:val="24"/>
          <w:szCs w:val="24"/>
          <w:color w:val="auto"/>
        </w:rPr>
      </w:pPr>
    </w:p>
    <w:p>
      <w:pPr>
        <w:sectPr>
          <w:pgSz w:w="11900" w:h="16838" w:orient="portrait"/>
          <w:cols w:equalWidth="0" w:num="2">
            <w:col w:w="7700" w:space="240"/>
            <w:col w:w="3300"/>
          </w:cols>
          <w:pgMar w:left="320" w:top="746" w:right="339" w:bottom="1440" w:gutter="0" w:footer="0" w:header="0"/>
          <w:type w:val="continuous"/>
        </w:sectPr>
      </w:pPr>
    </w:p>
    <w:tbl>
      <w:tblPr>
        <w:tblLayout w:type="fixed"/>
        <w:tblInd w:w="1600" w:type="dxa"/>
        <w:tblCellMar>
          <w:top w:w="0" w:type="dxa"/>
          <w:left w:w="0" w:type="dxa"/>
          <w:bottom w:w="0" w:type="dxa"/>
          <w:right w:w="0" w:type="dxa"/>
        </w:tblCellMar>
      </w:tblPr>
      <w:tr>
        <w:trPr>
          <w:trHeight w:val="201"/>
        </w:trPr>
        <w:tc>
          <w:tcPr>
            <w:tcW w:w="25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0"/>
              </w:rPr>
              <w:t>6000 Shoreline Court, Suite 102</w:t>
            </w:r>
          </w:p>
        </w:tc>
        <w:tc>
          <w:tcPr>
            <w:tcW w:w="4600" w:type="dxa"/>
            <w:vAlign w:val="bottom"/>
          </w:tcPr>
          <w:p>
            <w:pPr>
              <w:spacing w:after="0"/>
              <w:rPr>
                <w:sz w:val="17"/>
                <w:szCs w:val="17"/>
                <w:color w:val="auto"/>
              </w:rPr>
            </w:pPr>
          </w:p>
        </w:tc>
      </w:tr>
      <w:tr>
        <w:trPr>
          <w:trHeight w:val="230"/>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South San Francisco, CA</w:t>
            </w:r>
          </w:p>
        </w:tc>
        <w:tc>
          <w:tcPr>
            <w:tcW w:w="4600" w:type="dxa"/>
            <w:vAlign w:val="bottom"/>
          </w:tcPr>
          <w:p>
            <w:pPr>
              <w:jc w:val="right"/>
              <w:spacing w:after="0"/>
              <w:rPr>
                <w:sz w:val="20"/>
                <w:szCs w:val="20"/>
                <w:color w:val="auto"/>
              </w:rPr>
            </w:pPr>
            <w:r>
              <w:rPr>
                <w:rFonts w:ascii="Arial" w:cs="Arial" w:eastAsia="Arial" w:hAnsi="Arial"/>
                <w:sz w:val="18"/>
                <w:szCs w:val="18"/>
                <w:b w:val="1"/>
                <w:bCs w:val="1"/>
                <w:color w:val="auto"/>
              </w:rPr>
              <w:t>94080</w:t>
            </w:r>
          </w:p>
        </w:tc>
      </w:tr>
      <w:tr>
        <w:trPr>
          <w:trHeight w:val="164"/>
        </w:trPr>
        <w:tc>
          <w:tcPr>
            <w:tcW w:w="2520" w:type="dxa"/>
            <w:vAlign w:val="bottom"/>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600" w:type="dxa"/>
            <w:vAlign w:val="bottom"/>
          </w:tcPr>
          <w:p>
            <w:pPr>
              <w:jc w:val="center"/>
              <w:ind w:left="3944"/>
              <w:spacing w:after="0"/>
              <w:rPr>
                <w:sz w:val="20"/>
                <w:szCs w:val="20"/>
                <w:color w:val="auto"/>
              </w:rPr>
            </w:pPr>
            <w:r>
              <w:rPr>
                <w:rFonts w:ascii="Arial" w:cs="Arial" w:eastAsia="Arial" w:hAnsi="Arial"/>
                <w:sz w:val="13"/>
                <w:szCs w:val="13"/>
                <w:b w:val="1"/>
                <w:bCs w:val="1"/>
                <w:color w:val="auto"/>
                <w:w w:val="90"/>
              </w:rPr>
              <w:t>(Zip Code)</w:t>
            </w:r>
          </w:p>
        </w:tc>
      </w:tr>
      <w:tr>
        <w:trPr>
          <w:trHeight w:val="416"/>
        </w:trPr>
        <w:tc>
          <w:tcPr>
            <w:tcW w:w="2520" w:type="dxa"/>
            <w:vAlign w:val="bottom"/>
          </w:tcPr>
          <w:p>
            <w:pPr>
              <w:spacing w:after="0"/>
              <w:rPr>
                <w:sz w:val="24"/>
                <w:szCs w:val="24"/>
                <w:color w:val="auto"/>
              </w:rPr>
            </w:pPr>
          </w:p>
        </w:tc>
        <w:tc>
          <w:tcPr>
            <w:tcW w:w="4600" w:type="dxa"/>
            <w:vAlign w:val="bottom"/>
          </w:tcPr>
          <w:p>
            <w:pPr>
              <w:jc w:val="right"/>
              <w:ind w:right="2464"/>
              <w:spacing w:after="0"/>
              <w:rPr>
                <w:sz w:val="20"/>
                <w:szCs w:val="20"/>
                <w:color w:val="auto"/>
              </w:rPr>
            </w:pPr>
            <w:r>
              <w:rPr>
                <w:rFonts w:ascii="Arial" w:cs="Arial" w:eastAsia="Arial" w:hAnsi="Arial"/>
                <w:sz w:val="18"/>
                <w:szCs w:val="18"/>
                <w:b w:val="1"/>
                <w:bCs w:val="1"/>
                <w:color w:val="auto"/>
              </w:rPr>
              <w:t>(415) 582-4923</w:t>
            </w:r>
          </w:p>
        </w:tc>
      </w:tr>
      <w:tr>
        <w:trPr>
          <w:trHeight w:val="164"/>
        </w:trPr>
        <w:tc>
          <w:tcPr>
            <w:tcW w:w="2520" w:type="dxa"/>
            <w:vAlign w:val="bottom"/>
          </w:tcPr>
          <w:p>
            <w:pPr>
              <w:spacing w:after="0"/>
              <w:rPr>
                <w:sz w:val="14"/>
                <w:szCs w:val="14"/>
                <w:color w:val="auto"/>
              </w:rPr>
            </w:pPr>
          </w:p>
        </w:tc>
        <w:tc>
          <w:tcPr>
            <w:tcW w:w="4600" w:type="dxa"/>
            <w:vAlign w:val="bottom"/>
          </w:tcPr>
          <w:p>
            <w:pPr>
              <w:jc w:val="center"/>
              <w:ind w:right="1524"/>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00" w:type="dxa"/>
            <w:vAlign w:val="bottom"/>
          </w:tcPr>
          <w:p>
            <w:pPr>
              <w:ind w:left="20"/>
              <w:spacing w:after="0" w:line="146" w:lineRule="exact"/>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6"/>
                <w:szCs w:val="16"/>
                <w:color w:val="auto"/>
              </w:rPr>
              <w:t>NKTX</w:t>
            </w:r>
          </w:p>
        </w:tc>
        <w:tc>
          <w:tcPr>
            <w:tcW w:w="100" w:type="dxa"/>
            <w:vAlign w:val="bottom"/>
          </w:tcPr>
          <w:p>
            <w:pPr>
              <w:spacing w:after="0"/>
              <w:rPr>
                <w:sz w:val="12"/>
                <w:szCs w:val="12"/>
                <w:color w:val="auto"/>
              </w:rPr>
            </w:pPr>
          </w:p>
        </w:tc>
        <w:tc>
          <w:tcPr>
            <w:tcW w:w="4380" w:type="dxa"/>
            <w:vAlign w:val="bottom"/>
          </w:tcPr>
          <w:p>
            <w:pPr>
              <w:jc w:val="center"/>
              <w:spacing w:after="0" w:line="146" w:lineRule="exact"/>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06"/>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212529"/>
                <w:w w:val="92"/>
              </w:rPr>
              <w:t>(Nasdaq Global Select Market)</w:t>
            </w:r>
          </w:p>
        </w:tc>
        <w:tc>
          <w:tcPr>
            <w:tcW w:w="0" w:type="dxa"/>
            <w:vAlign w:val="bottom"/>
          </w:tcPr>
          <w:p>
            <w:pPr>
              <w:spacing w:after="0"/>
              <w:rPr>
                <w:sz w:val="1"/>
                <w:szCs w:val="1"/>
                <w:color w:val="auto"/>
              </w:rPr>
            </w:pPr>
          </w:p>
        </w:tc>
      </w:tr>
    </w:tbl>
    <w:p>
      <w:pPr>
        <w:spacing w:after="0" w:line="185" w:lineRule="exact"/>
        <w:rPr>
          <w:sz w:val="24"/>
          <w:szCs w:val="24"/>
          <w:color w:val="auto"/>
        </w:rPr>
      </w:pPr>
    </w:p>
    <w:p>
      <w:pPr>
        <w:jc w:val="both"/>
        <w:ind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2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8, 2022, the registrant had 48,656,798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continue"/>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Financial Statements:</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4"/>
              </w:rPr>
              <w:t>Condensed Balance</w:t>
            </w:r>
          </w:p>
        </w:tc>
        <w:tc>
          <w:tcPr>
            <w:tcW w:w="7740" w:type="dxa"/>
            <w:vAlign w:val="bottom"/>
            <w:gridSpan w:val="14"/>
          </w:tcPr>
          <w:p>
            <w:pPr>
              <w:spacing w:after="0" w:line="182" w:lineRule="exact"/>
              <w:rPr>
                <w:sz w:val="20"/>
                <w:szCs w:val="20"/>
                <w:color w:val="auto"/>
              </w:rPr>
            </w:pPr>
            <w:r>
              <w:rPr>
                <w:rFonts w:ascii="Arial" w:cs="Arial" w:eastAsia="Arial" w:hAnsi="Arial"/>
                <w:sz w:val="18"/>
                <w:szCs w:val="18"/>
                <w:color w:val="0000FF"/>
              </w:rPr>
              <w:t>Sheets as of June 30, 2022 and December 31, 2021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2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88"/>
              </w:rPr>
              <w:t>Condensed Statements of Operations and Comprehensive Loss for the three and six</w:t>
            </w:r>
          </w:p>
        </w:tc>
        <w:tc>
          <w:tcPr>
            <w:tcW w:w="3280" w:type="dxa"/>
            <w:vAlign w:val="bottom"/>
            <w:gridSpan w:val="5"/>
          </w:tcPr>
          <w:p>
            <w:pPr>
              <w:ind w:left="40"/>
              <w:spacing w:after="0" w:line="182" w:lineRule="exact"/>
              <w:rPr>
                <w:sz w:val="20"/>
                <w:szCs w:val="20"/>
                <w:color w:val="auto"/>
              </w:rPr>
            </w:pPr>
            <w:r>
              <w:rPr>
                <w:rFonts w:ascii="Arial" w:cs="Arial" w:eastAsia="Arial" w:hAnsi="Arial"/>
                <w:sz w:val="18"/>
                <w:szCs w:val="18"/>
                <w:color w:val="0000FF"/>
              </w:rPr>
              <w:t>months ended June 30, 2022 and 2021</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8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8"/>
                <w:szCs w:val="18"/>
                <w:color w:val="0000FF"/>
              </w:rPr>
              <w:t>(unaudited)</w:t>
            </w: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Condensed</w:t>
            </w:r>
          </w:p>
        </w:tc>
        <w:tc>
          <w:tcPr>
            <w:tcW w:w="8460" w:type="dxa"/>
            <w:vAlign w:val="bottom"/>
            <w:gridSpan w:val="19"/>
          </w:tcPr>
          <w:p>
            <w:pPr>
              <w:ind w:left="20"/>
              <w:spacing w:after="0" w:line="182" w:lineRule="exact"/>
              <w:rPr>
                <w:sz w:val="20"/>
                <w:szCs w:val="20"/>
                <w:color w:val="auto"/>
              </w:rPr>
            </w:pPr>
            <w:r>
              <w:rPr>
                <w:rFonts w:ascii="Arial" w:cs="Arial" w:eastAsia="Arial" w:hAnsi="Arial"/>
                <w:sz w:val="18"/>
                <w:szCs w:val="18"/>
                <w:color w:val="0000FF"/>
                <w:w w:val="98"/>
              </w:rPr>
              <w:t>Statements of Stockholders’ Equity for the three and six months ended June 30, 2022 and 2021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58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Condensed Statements of Cash Flows for the six months ended June 30, 2022 and 2021 (unaudited)</w:t>
            </w:r>
          </w:p>
        </w:tc>
        <w:tc>
          <w:tcPr>
            <w:tcW w:w="7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18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Notes to Unaudited Condensed Financial Statements</w:t>
            </w:r>
          </w:p>
        </w:tc>
        <w:tc>
          <w:tcPr>
            <w:tcW w:w="212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380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1"/>
              </w:rPr>
              <w:t>Management’s Discussion and Analysis of Financial</w:t>
            </w:r>
          </w:p>
        </w:tc>
        <w:tc>
          <w:tcPr>
            <w:tcW w:w="5500" w:type="dxa"/>
            <w:vAlign w:val="bottom"/>
            <w:gridSpan w:val="8"/>
          </w:tcPr>
          <w:p>
            <w:pPr>
              <w:ind w:left="40"/>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6"/>
          </w:tcPr>
          <w:p>
            <w:pPr>
              <w:spacing w:after="0"/>
              <w:rPr>
                <w:sz w:val="15"/>
                <w:szCs w:val="15"/>
                <w:color w:val="auto"/>
              </w:rPr>
            </w:pPr>
          </w:p>
        </w:tc>
        <w:tc>
          <w:tcPr>
            <w:tcW w:w="492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1"/>
              </w:rPr>
              <w:t>OTHER INFORMATION</w:t>
            </w:r>
          </w:p>
        </w:tc>
        <w:tc>
          <w:tcPr>
            <w:tcW w:w="10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00" w:type="dxa"/>
            <w:vAlign w:val="bottom"/>
            <w:gridSpan w:val="10"/>
          </w:tcPr>
          <w:p>
            <w:pPr>
              <w:spacing w:after="0" w:line="182" w:lineRule="exact"/>
              <w:rPr>
                <w:sz w:val="20"/>
                <w:szCs w:val="20"/>
                <w:color w:val="auto"/>
              </w:rPr>
            </w:pPr>
            <w:r>
              <w:rPr>
                <w:rFonts w:ascii="Arial" w:cs="Arial" w:eastAsia="Arial" w:hAnsi="Arial"/>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6"/>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4"/>
          </w:tcPr>
          <w:p>
            <w:pPr>
              <w:spacing w:after="0" w:line="182" w:lineRule="exact"/>
              <w:rPr>
                <w:sz w:val="20"/>
                <w:szCs w:val="20"/>
                <w:color w:val="auto"/>
              </w:rPr>
            </w:pPr>
            <w:r>
              <w:rPr>
                <w:rFonts w:ascii="Arial" w:cs="Arial" w:eastAsia="Arial" w:hAnsi="Arial"/>
                <w:sz w:val="18"/>
                <w:szCs w:val="18"/>
                <w:color w:val="0000FF"/>
                <w:w w:val="89"/>
              </w:rPr>
              <w:t>Unregistered</w:t>
            </w:r>
          </w:p>
        </w:tc>
        <w:tc>
          <w:tcPr>
            <w:tcW w:w="8360" w:type="dxa"/>
            <w:vAlign w:val="bottom"/>
            <w:gridSpan w:val="17"/>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Mine Safety Disclosures</w:t>
            </w:r>
          </w:p>
        </w:tc>
        <w:tc>
          <w:tcPr>
            <w:tcW w:w="696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752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Exhibits</w:t>
            </w:r>
          </w:p>
        </w:tc>
        <w:tc>
          <w:tcPr>
            <w:tcW w:w="798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18" w:lineRule="exact"/>
        <w:rPr>
          <w:sz w:val="20"/>
          <w:szCs w:val="20"/>
          <w:color w:val="auto"/>
        </w:rPr>
      </w:pPr>
    </w:p>
    <w:p>
      <w:pPr>
        <w:ind w:firstLine="374"/>
        <w:spacing w:after="0" w:line="273" w:lineRule="auto"/>
        <w:rPr>
          <w:sz w:val="20"/>
          <w:szCs w:val="20"/>
          <w:color w:val="auto"/>
        </w:rPr>
      </w:pPr>
      <w:r>
        <w:rPr>
          <w:rFonts w:ascii="Arial" w:cs="Arial" w:eastAsia="Arial" w:hAnsi="Arial"/>
          <w:sz w:val="16"/>
          <w:szCs w:val="16"/>
          <w:color w:val="auto"/>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spacing w:after="0" w:line="168" w:lineRule="exact"/>
        <w:rPr>
          <w:sz w:val="20"/>
          <w:szCs w:val="20"/>
          <w:color w:val="auto"/>
        </w:rPr>
      </w:pPr>
    </w:p>
    <w:p>
      <w:pPr>
        <w:ind w:right="220" w:firstLine="374"/>
        <w:spacing w:after="0" w:line="268" w:lineRule="auto"/>
        <w:rPr>
          <w:sz w:val="20"/>
          <w:szCs w:val="20"/>
          <w:color w:val="auto"/>
        </w:rPr>
      </w:pPr>
      <w:r>
        <w:rPr>
          <w:rFonts w:ascii="Arial" w:cs="Arial" w:eastAsia="Arial" w:hAnsi="Arial"/>
          <w:sz w:val="17"/>
          <w:szCs w:val="17"/>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66"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qualify all of our forward-looking statements by these cautionary statements.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spacing w:after="0" w:line="265"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a limited operating history and do not have any products approved for sale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have incurred significant losses since our inception and we expect to continue to incur significant losses for the foreseeable future.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never generated revenue from product sales and may never achieve or maintain profitability.</w:t>
      </w:r>
    </w:p>
    <w:p>
      <w:pPr>
        <w:spacing w:after="0" w:line="103"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48" w:lineRule="exact"/>
        <w:rPr>
          <w:rFonts w:ascii="Arial" w:cs="Arial" w:eastAsia="Arial" w:hAnsi="Arial"/>
          <w:sz w:val="18"/>
          <w:szCs w:val="18"/>
          <w:color w:val="auto"/>
        </w:rPr>
      </w:pPr>
    </w:p>
    <w:p>
      <w:pPr>
        <w:ind w:left="1020" w:right="8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depends upon the success of our CAR-NK cell technology platform.</w:t>
      </w:r>
    </w:p>
    <w:p>
      <w:pPr>
        <w:spacing w:after="0" w:line="103"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Utilizing CAR-NK cells represents a novel approach to the treatment of cancer, and we must overcome significant challenges in order to develop, commercialize and manufacture our product candidates.</w:t>
      </w:r>
    </w:p>
    <w:p>
      <w:pPr>
        <w:spacing w:after="0" w:line="4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76" w:lineRule="exact"/>
        <w:rPr>
          <w:rFonts w:ascii="Arial" w:cs="Arial" w:eastAsia="Arial" w:hAnsi="Arial"/>
          <w:sz w:val="18"/>
          <w:szCs w:val="18"/>
          <w:color w:val="auto"/>
        </w:rPr>
      </w:pPr>
    </w:p>
    <w:p>
      <w:pPr>
        <w:jc w:val="both"/>
        <w:ind w:left="102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6" w:lineRule="exact"/>
        <w:rPr>
          <w:rFonts w:ascii="Arial" w:cs="Arial" w:eastAsia="Arial" w:hAnsi="Arial"/>
          <w:sz w:val="16"/>
          <w:szCs w:val="16"/>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48" w:lineRule="exact"/>
        <w:rPr>
          <w:rFonts w:ascii="Arial" w:cs="Arial" w:eastAsia="Arial" w:hAnsi="Arial"/>
          <w:sz w:val="18"/>
          <w:szCs w:val="18"/>
          <w:color w:val="auto"/>
        </w:rPr>
      </w:pPr>
    </w:p>
    <w:p>
      <w:pPr>
        <w:jc w:val="both"/>
        <w:ind w:left="1020" w:right="2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87"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62" w:lineRule="exact"/>
        <w:rPr>
          <w:rFonts w:ascii="Arial" w:cs="Arial" w:eastAsia="Arial" w:hAnsi="Arial"/>
          <w:sz w:val="18"/>
          <w:szCs w:val="18"/>
          <w:color w:val="auto"/>
        </w:rPr>
      </w:pPr>
    </w:p>
    <w:p>
      <w:pPr>
        <w:ind w:left="1020" w:right="440" w:hanging="503"/>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86"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62" w:lineRule="exact"/>
        <w:rPr>
          <w:rFonts w:ascii="Arial" w:cs="Arial" w:eastAsia="Arial" w:hAnsi="Arial"/>
          <w:sz w:val="18"/>
          <w:szCs w:val="18"/>
          <w:color w:val="auto"/>
        </w:rPr>
      </w:pPr>
    </w:p>
    <w:p>
      <w:pPr>
        <w:ind w:left="1020" w:right="30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66" w:lineRule="exact"/>
        <w:rPr>
          <w:rFonts w:ascii="Arial" w:cs="Arial" w:eastAsia="Arial" w:hAnsi="Arial"/>
          <w:sz w:val="18"/>
          <w:szCs w:val="18"/>
          <w:color w:val="auto"/>
        </w:rPr>
      </w:pPr>
    </w:p>
    <w:p>
      <w:pPr>
        <w:ind w:left="1020" w:right="10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are reliant on a sole supplier for certain steps of our manufacturing process.</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76" w:lineRule="exact"/>
        <w:rPr>
          <w:rFonts w:ascii="Arial" w:cs="Arial" w:eastAsia="Arial" w:hAnsi="Arial"/>
          <w:sz w:val="18"/>
          <w:szCs w:val="18"/>
          <w:color w:val="auto"/>
        </w:rPr>
      </w:pPr>
    </w:p>
    <w:p>
      <w:pPr>
        <w:ind w:left="503" w:right="3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patent protection we obtain is not sufficiently robust, our competitors could develop and commercialize products and technology similar or identical to ours.</w:t>
      </w:r>
    </w:p>
    <w:p>
      <w:pPr>
        <w:spacing w:after="0" w:line="62" w:lineRule="exact"/>
        <w:rPr>
          <w:rFonts w:ascii="Arial" w:cs="Arial" w:eastAsia="Arial" w:hAnsi="Arial"/>
          <w:sz w:val="18"/>
          <w:szCs w:val="18"/>
          <w:color w:val="auto"/>
        </w:rPr>
      </w:pPr>
    </w:p>
    <w:p>
      <w:pPr>
        <w:jc w:val="both"/>
        <w:ind w:left="503" w:hanging="503"/>
        <w:spacing w:after="0" w:line="256"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66" w:lineRule="exact"/>
        <w:rPr>
          <w:rFonts w:ascii="Arial" w:cs="Arial" w:eastAsia="Arial" w:hAnsi="Arial"/>
          <w:sz w:val="18"/>
          <w:szCs w:val="18"/>
          <w:color w:val="auto"/>
        </w:rPr>
      </w:pPr>
    </w:p>
    <w:p>
      <w:pPr>
        <w:ind w:left="503" w:right="16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product candidates, including NKX101 and NKX019, could be subject to regulatory limitations following approval, if and when such approval is granted.</w:t>
      </w:r>
    </w:p>
    <w:p>
      <w:pPr>
        <w:spacing w:after="0" w:line="48"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market price for our common stock may be volatile, which could contribute to the loss of all or part of your investment.</w:t>
      </w:r>
    </w:p>
    <w:p>
      <w:pPr>
        <w:spacing w:after="0" w:line="103"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37"/>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3"/>
          </w:cols>
          <w:pgMar w:left="837" w:top="233"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BALANCE SHEETS</w:t>
      </w:r>
    </w:p>
    <w:p>
      <w:pPr>
        <w:ind w:left="4620"/>
        <w:spacing w:after="0"/>
        <w:rPr>
          <w:sz w:val="20"/>
          <w:szCs w:val="20"/>
          <w:color w:val="auto"/>
        </w:rPr>
      </w:pPr>
      <w:r>
        <w:rPr>
          <w:rFonts w:ascii="Arial" w:cs="Arial" w:eastAsia="Arial" w:hAnsi="Arial"/>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131,646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Short-term investments, available-for-sale</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281,305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417,379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245,780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16,939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503,641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2,968</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69,408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82,600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22,936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678,973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455,210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(931 )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(150 )</w:t>
            </w:r>
          </w:p>
        </w:tc>
      </w:tr>
      <w:tr>
        <w:trPr>
          <w:trHeight w:val="216"/>
        </w:trPr>
        <w:tc>
          <w:tcPr>
            <w:tcW w:w="768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(257,006 )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(204,096 )</w:t>
            </w: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421,041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250,967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503,641</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273,903</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-3256915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-2416810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-2399665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-1285240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21,049</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15,957</w:t>
            </w:r>
          </w:p>
        </w:tc>
        <w:tc>
          <w:tcPr>
            <w:tcW w:w="10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(26,923 )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(21,535 )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(52,910 )</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(40,908 )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(26,923 )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(21,535 )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(52,910 )</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(40,908 )</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comprehensive gain (loss)</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(325 )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(27,248 )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(21,563 )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(53,691 )</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(40,905 )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5560" w:type="dxa"/>
            <w:vAlign w:val="bottom"/>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w:t>
            </w: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43,841,392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32,827,365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38,446,956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9"/>
              </w:rPr>
              <w:t>32,783,730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60" w:type="dxa"/>
            <w:vAlign w:val="bottom"/>
          </w:tcPr>
          <w:p>
            <w:pPr>
              <w:ind w:left="160"/>
              <w:spacing w:after="0" w:line="190" w:lineRule="exact"/>
              <w:rPr>
                <w:sz w:val="20"/>
                <w:szCs w:val="20"/>
                <w:color w:val="auto"/>
              </w:rPr>
            </w:pPr>
            <w:r>
              <w:rPr>
                <w:rFonts w:ascii="Arial" w:cs="Arial" w:eastAsia="Arial" w:hAnsi="Arial"/>
                <w:sz w:val="18"/>
                <w:szCs w:val="18"/>
                <w:color w:val="auto"/>
              </w:rPr>
              <w:t>per share, basic and diluted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-2022475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-2022475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-2022475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-1173480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-1173480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-1173480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-591185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-591185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-591185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-282575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-264795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-282575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-264795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-282575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-264795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ind w:right="279"/>
              <w:spacing w:after="0"/>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378"/>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2300" w:type="dxa"/>
            <w:vAlign w:val="bottom"/>
            <w:gridSpan w:val="3"/>
            <w:vMerge w:val="restart"/>
          </w:tcPr>
          <w:p>
            <w:pPr>
              <w:jc w:val="right"/>
              <w:ind w:right="599"/>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tcPr>
          <w:p>
            <w:pPr>
              <w:jc w:val="center"/>
              <w:ind w:right="378"/>
              <w:spacing w:after="0" w:line="108" w:lineRule="exact"/>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9"/>
                <w:szCs w:val="9"/>
                <w:color w:val="auto"/>
              </w:rPr>
            </w:pPr>
          </w:p>
        </w:tc>
        <w:tc>
          <w:tcPr>
            <w:tcW w:w="1240" w:type="dxa"/>
            <w:vAlign w:val="bottom"/>
            <w:gridSpan w:val="2"/>
            <w:vMerge w:val="restart"/>
          </w:tcPr>
          <w:p>
            <w:pPr>
              <w:jc w:val="right"/>
              <w:ind w:right="477"/>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230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359"/>
              <w:spacing w:after="0"/>
              <w:rPr>
                <w:sz w:val="20"/>
                <w:szCs w:val="20"/>
                <w:color w:val="auto"/>
              </w:rPr>
            </w:pPr>
            <w:r>
              <w:rPr>
                <w:rFonts w:ascii="Arial" w:cs="Arial" w:eastAsia="Arial" w:hAnsi="Arial"/>
                <w:sz w:val="11"/>
                <w:szCs w:val="11"/>
                <w:b w:val="1"/>
                <w:bCs w:val="1"/>
                <w:color w:val="auto"/>
              </w:rPr>
              <w:t>Paid-in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378"/>
              <w:spacing w:after="0"/>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1040" w:type="dxa"/>
            <w:vAlign w:val="bottom"/>
          </w:tcPr>
          <w:p>
            <w:pPr>
              <w:jc w:val="right"/>
              <w:ind w:right="298"/>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1"/>
                <w:szCs w:val="11"/>
                <w:color w:val="auto"/>
              </w:rPr>
            </w:pPr>
          </w:p>
        </w:tc>
        <w:tc>
          <w:tcPr>
            <w:tcW w:w="980" w:type="dxa"/>
            <w:vAlign w:val="bottom"/>
          </w:tcPr>
          <w:p>
            <w:pPr>
              <w:jc w:val="right"/>
              <w:ind w:right="99"/>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359"/>
              <w:spacing w:after="0" w:line="121" w:lineRule="exact"/>
              <w:rPr>
                <w:sz w:val="20"/>
                <w:szCs w:val="20"/>
                <w:color w:val="auto"/>
              </w:rPr>
            </w:pPr>
            <w:r>
              <w:rPr>
                <w:rFonts w:ascii="Arial" w:cs="Arial" w:eastAsia="Arial" w:hAnsi="Arial"/>
                <w:sz w:val="11"/>
                <w:szCs w:val="11"/>
                <w:b w:val="1"/>
                <w:bCs w:val="1"/>
                <w:color w:val="auto"/>
              </w:rPr>
              <w:t>Capital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378"/>
              <w:spacing w:after="0" w:line="121" w:lineRule="exact"/>
              <w:rPr>
                <w:sz w:val="20"/>
                <w:szCs w:val="20"/>
                <w:color w:val="auto"/>
              </w:rPr>
            </w:pPr>
            <w:r>
              <w:rPr>
                <w:rFonts w:ascii="Arial" w:cs="Arial" w:eastAsia="Arial" w:hAnsi="Arial"/>
                <w:sz w:val="11"/>
                <w:szCs w:val="11"/>
                <w:b w:val="1"/>
                <w:bCs w:val="1"/>
                <w:color w:val="auto"/>
                <w:w w:val="77"/>
              </w:rPr>
              <w:t>Loss</w:t>
            </w:r>
          </w:p>
        </w:tc>
        <w:tc>
          <w:tcPr>
            <w:tcW w:w="180" w:type="dxa"/>
            <w:vAlign w:val="bottom"/>
          </w:tcPr>
          <w:p>
            <w:pPr>
              <w:spacing w:after="0"/>
              <w:rPr>
                <w:sz w:val="11"/>
                <w:szCs w:val="11"/>
                <w:color w:val="auto"/>
              </w:rPr>
            </w:pPr>
          </w:p>
        </w:tc>
        <w:tc>
          <w:tcPr>
            <w:tcW w:w="1240" w:type="dxa"/>
            <w:vAlign w:val="bottom"/>
            <w:gridSpan w:val="2"/>
          </w:tcPr>
          <w:p>
            <w:pPr>
              <w:jc w:val="right"/>
              <w:ind w:right="617"/>
              <w:spacing w:after="0" w:line="121" w:lineRule="exact"/>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32,971,107</w:t>
            </w:r>
          </w:p>
        </w:tc>
        <w:tc>
          <w:tcPr>
            <w:tcW w:w="28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ind w:right="839"/>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455,210</w:t>
            </w:r>
          </w:p>
        </w:tc>
        <w:tc>
          <w:tcPr>
            <w:tcW w:w="26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w:t>
            </w:r>
          </w:p>
        </w:tc>
        <w:tc>
          <w:tcPr>
            <w:tcW w:w="240" w:type="dxa"/>
            <w:vAlign w:val="bottom"/>
            <w:shd w:val="clear" w:color="auto" w:fill="CFF0FC"/>
          </w:tcPr>
          <w:p>
            <w:pPr>
              <w:jc w:val="right"/>
              <w:ind w:right="158"/>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(204,096</w:t>
            </w:r>
          </w:p>
        </w:tc>
        <w:tc>
          <w:tcPr>
            <w:tcW w:w="2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250,967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60" w:type="dxa"/>
            <w:vAlign w:val="bottom"/>
          </w:tcPr>
          <w:p>
            <w:pPr>
              <w:ind w:left="20"/>
              <w:spacing w:after="0" w:line="121" w:lineRule="exact"/>
              <w:rPr>
                <w:sz w:val="20"/>
                <w:szCs w:val="20"/>
                <w:color w:val="auto"/>
              </w:rPr>
            </w:pPr>
            <w:r>
              <w:rPr>
                <w:rFonts w:ascii="Arial" w:cs="Arial" w:eastAsia="Arial" w:hAnsi="Arial"/>
                <w:sz w:val="13"/>
                <w:szCs w:val="13"/>
                <w:color w:val="auto"/>
              </w:rPr>
              <w:t>Vesting of shares of common</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040" w:type="dxa"/>
            <w:vAlign w:val="bottom"/>
          </w:tcPr>
          <w:p>
            <w:pPr>
              <w:jc w:val="right"/>
              <w:spacing w:after="0"/>
              <w:rPr>
                <w:sz w:val="20"/>
                <w:szCs w:val="20"/>
                <w:color w:val="auto"/>
              </w:rPr>
            </w:pPr>
            <w:r>
              <w:rPr>
                <w:rFonts w:ascii="Arial" w:cs="Arial" w:eastAsia="Arial" w:hAnsi="Arial"/>
                <w:sz w:val="13"/>
                <w:szCs w:val="13"/>
                <w:color w:val="auto"/>
              </w:rPr>
              <w:t>10,924</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6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21,067</w:t>
            </w: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40" w:type="dxa"/>
            <w:vAlign w:val="bottom"/>
            <w:gridSpan w:val="2"/>
            <w:vMerge w:val="restart"/>
            <w:shd w:val="clear" w:color="auto" w:fill="CFF0FC"/>
          </w:tcPr>
          <w:p>
            <w:pPr>
              <w:jc w:val="right"/>
              <w:ind w:right="21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40" w:type="dxa"/>
            <w:vAlign w:val="bottom"/>
            <w:gridSpan w:val="2"/>
            <w:vMerge w:val="restart"/>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options</w:t>
            </w:r>
          </w:p>
        </w:tc>
        <w:tc>
          <w:tcPr>
            <w:tcW w:w="10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60" w:type="dxa"/>
            <w:vAlign w:val="bottom"/>
          </w:tcPr>
          <w:p>
            <w:pPr>
              <w:ind w:left="20"/>
              <w:spacing w:after="0" w:line="121" w:lineRule="exact"/>
              <w:rPr>
                <w:sz w:val="20"/>
                <w:szCs w:val="20"/>
                <w:color w:val="auto"/>
              </w:rPr>
            </w:pPr>
            <w:r>
              <w:rPr>
                <w:rFonts w:ascii="Arial" w:cs="Arial" w:eastAsia="Arial" w:hAnsi="Arial"/>
                <w:sz w:val="13"/>
                <w:szCs w:val="13"/>
                <w:color w:val="auto"/>
              </w:rPr>
              <w:t>Share-based compensation</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120"/>
              <w:spacing w:after="0"/>
              <w:rPr>
                <w:sz w:val="20"/>
                <w:szCs w:val="20"/>
                <w:color w:val="auto"/>
              </w:rPr>
            </w:pPr>
            <w:r>
              <w:rPr>
                <w:rFonts w:ascii="Arial" w:cs="Arial" w:eastAsia="Arial" w:hAnsi="Arial"/>
                <w:sz w:val="13"/>
                <w:szCs w:val="13"/>
                <w:color w:val="auto"/>
              </w:rPr>
              <w:t>expense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4,097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6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Unrealized loss on</w:t>
            </w: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short-term investments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(456 )</w:t>
            </w: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(456 )</w:t>
            </w:r>
          </w:p>
        </w:tc>
        <w:tc>
          <w:tcPr>
            <w:tcW w:w="0" w:type="dxa"/>
            <w:vAlign w:val="bottom"/>
          </w:tcPr>
          <w:p>
            <w:pPr>
              <w:spacing w:after="0"/>
              <w:rPr>
                <w:sz w:val="1"/>
                <w:szCs w:val="1"/>
                <w:color w:val="auto"/>
              </w:rPr>
            </w:pPr>
          </w:p>
        </w:tc>
      </w:tr>
      <w:tr>
        <w:trPr>
          <w:trHeight w:val="160"/>
        </w:trPr>
        <w:tc>
          <w:tcPr>
            <w:tcW w:w="27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37"/>
              <w:spacing w:after="0"/>
              <w:rPr>
                <w:sz w:val="20"/>
                <w:szCs w:val="20"/>
                <w:color w:val="auto"/>
              </w:rPr>
            </w:pPr>
            <w:r>
              <w:rPr>
                <w:rFonts w:ascii="Arial" w:cs="Arial" w:eastAsia="Arial" w:hAnsi="Arial"/>
                <w:sz w:val="13"/>
                <w:szCs w:val="13"/>
                <w:color w:val="auto"/>
              </w:rPr>
              <w:t>(25,987 )</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(25,987 )</w:t>
            </w:r>
          </w:p>
        </w:tc>
        <w:tc>
          <w:tcPr>
            <w:tcW w:w="0" w:type="dxa"/>
            <w:vAlign w:val="bottom"/>
          </w:tcPr>
          <w:p>
            <w:pPr>
              <w:spacing w:after="0"/>
              <w:rPr>
                <w:sz w:val="1"/>
                <w:szCs w:val="1"/>
                <w:color w:val="auto"/>
              </w:rPr>
            </w:pPr>
          </w:p>
        </w:tc>
      </w:tr>
      <w:tr>
        <w:trPr>
          <w:trHeight w:val="197"/>
        </w:trPr>
        <w:tc>
          <w:tcPr>
            <w:tcW w:w="2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March 31, 2022</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33,003,098</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459,392</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(606</w:t>
            </w:r>
          </w:p>
        </w:tc>
        <w:tc>
          <w:tcPr>
            <w:tcW w:w="240" w:type="dxa"/>
            <w:vAlign w:val="bottom"/>
            <w:tcBorders>
              <w:bottom w:val="single" w:sz="8" w:color="CFF0FC"/>
            </w:tcBorders>
            <w:shd w:val="clear" w:color="auto" w:fill="CFF0FC"/>
          </w:tcPr>
          <w:p>
            <w:pPr>
              <w:jc w:val="right"/>
              <w:ind w:right="158"/>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(230,083</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228,706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760" w:type="dxa"/>
            <w:vAlign w:val="bottom"/>
          </w:tcPr>
          <w:p>
            <w:pPr>
              <w:ind w:left="20"/>
              <w:spacing w:after="0" w:line="102" w:lineRule="exact"/>
              <w:rPr>
                <w:sz w:val="20"/>
                <w:szCs w:val="20"/>
                <w:color w:val="auto"/>
              </w:rPr>
            </w:pPr>
            <w:r>
              <w:rPr>
                <w:rFonts w:ascii="Arial" w:cs="Arial" w:eastAsia="Arial" w:hAnsi="Arial"/>
                <w:sz w:val="10"/>
                <w:szCs w:val="10"/>
                <w:color w:val="auto"/>
              </w:rPr>
              <w:t>Vesting of shares of common</w:t>
            </w: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040" w:type="dxa"/>
            <w:vAlign w:val="bottom"/>
          </w:tcPr>
          <w:p>
            <w:pPr>
              <w:jc w:val="right"/>
              <w:spacing w:after="0"/>
              <w:rPr>
                <w:sz w:val="20"/>
                <w:szCs w:val="20"/>
                <w:color w:val="auto"/>
              </w:rPr>
            </w:pPr>
            <w:r>
              <w:rPr>
                <w:rFonts w:ascii="Arial" w:cs="Arial" w:eastAsia="Arial" w:hAnsi="Arial"/>
                <w:sz w:val="13"/>
                <w:szCs w:val="13"/>
                <w:color w:val="auto"/>
              </w:rPr>
              <w:t>2,387</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6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88,383</w:t>
            </w: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40" w:type="dxa"/>
            <w:vAlign w:val="bottom"/>
            <w:gridSpan w:val="2"/>
            <w:vMerge w:val="restart"/>
            <w:shd w:val="clear" w:color="auto" w:fill="CFF0FC"/>
          </w:tcPr>
          <w:p>
            <w:pPr>
              <w:jc w:val="right"/>
              <w:ind w:right="21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40" w:type="dxa"/>
            <w:vAlign w:val="bottom"/>
            <w:gridSpan w:val="2"/>
            <w:vMerge w:val="restart"/>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w:t>
            </w:r>
          </w:p>
        </w:tc>
        <w:tc>
          <w:tcPr>
            <w:tcW w:w="10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60" w:type="dxa"/>
            <w:vAlign w:val="bottom"/>
          </w:tcPr>
          <w:p>
            <w:pPr>
              <w:ind w:left="20"/>
              <w:spacing w:after="0" w:line="121" w:lineRule="exact"/>
              <w:rPr>
                <w:sz w:val="20"/>
                <w:szCs w:val="20"/>
                <w:color w:val="auto"/>
              </w:rPr>
            </w:pPr>
            <w:r>
              <w:rPr>
                <w:rFonts w:ascii="Arial" w:cs="Arial" w:eastAsia="Arial" w:hAnsi="Arial"/>
                <w:sz w:val="13"/>
                <w:szCs w:val="13"/>
                <w:color w:val="auto"/>
              </w:rPr>
              <w:t>Issuance of common stock</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upon secondary offering, net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15,333,334</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215,332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jc w:val="right"/>
              <w:ind w:right="21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4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215,334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60" w:type="dxa"/>
            <w:vAlign w:val="bottom"/>
          </w:tcPr>
          <w:p>
            <w:pPr>
              <w:ind w:left="120"/>
              <w:spacing w:after="0"/>
              <w:rPr>
                <w:sz w:val="20"/>
                <w:szCs w:val="20"/>
                <w:color w:val="auto"/>
              </w:rPr>
            </w:pPr>
            <w:r>
              <w:rPr>
                <w:rFonts w:ascii="Arial" w:cs="Arial" w:eastAsia="Arial" w:hAnsi="Arial"/>
                <w:sz w:val="13"/>
                <w:szCs w:val="13"/>
                <w:color w:val="auto"/>
              </w:rPr>
              <w:t>of issuance costs</w:t>
            </w: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76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Share-based compensation</w:t>
            </w:r>
          </w:p>
        </w:tc>
        <w:tc>
          <w:tcPr>
            <w:tcW w:w="10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18"/>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60" w:type="dxa"/>
            <w:vAlign w:val="bottom"/>
          </w:tcPr>
          <w:p>
            <w:pPr>
              <w:ind w:left="20"/>
              <w:spacing w:after="0" w:line="121" w:lineRule="exact"/>
              <w:rPr>
                <w:sz w:val="20"/>
                <w:szCs w:val="20"/>
                <w:color w:val="auto"/>
              </w:rPr>
            </w:pPr>
            <w:r>
              <w:rPr>
                <w:rFonts w:ascii="Arial" w:cs="Arial" w:eastAsia="Arial" w:hAnsi="Arial"/>
                <w:sz w:val="13"/>
                <w:szCs w:val="13"/>
                <w:color w:val="auto"/>
              </w:rPr>
              <w:t>Unrealized loss on</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120"/>
              <w:spacing w:after="0"/>
              <w:rPr>
                <w:sz w:val="20"/>
                <w:szCs w:val="20"/>
                <w:color w:val="auto"/>
              </w:rPr>
            </w:pPr>
            <w:r>
              <w:rPr>
                <w:rFonts w:ascii="Arial" w:cs="Arial" w:eastAsia="Arial" w:hAnsi="Arial"/>
                <w:sz w:val="13"/>
                <w:szCs w:val="13"/>
                <w:color w:val="auto"/>
              </w:rPr>
              <w:t>short-term investments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58"/>
              <w:spacing w:after="0"/>
              <w:rPr>
                <w:sz w:val="20"/>
                <w:szCs w:val="20"/>
                <w:color w:val="auto"/>
              </w:rPr>
            </w:pPr>
            <w:r>
              <w:rPr>
                <w:rFonts w:ascii="Arial" w:cs="Arial" w:eastAsia="Arial" w:hAnsi="Arial"/>
                <w:sz w:val="13"/>
                <w:szCs w:val="13"/>
                <w:color w:val="auto"/>
              </w:rPr>
              <w:t>(325 )</w:t>
            </w:r>
          </w:p>
        </w:tc>
        <w:tc>
          <w:tcPr>
            <w:tcW w:w="180" w:type="dxa"/>
            <w:vAlign w:val="bottom"/>
          </w:tcPr>
          <w:p>
            <w:pPr>
              <w:spacing w:after="0"/>
              <w:rPr>
                <w:sz w:val="14"/>
                <w:szCs w:val="14"/>
                <w:color w:val="auto"/>
              </w:rPr>
            </w:pPr>
          </w:p>
        </w:tc>
        <w:tc>
          <w:tcPr>
            <w:tcW w:w="12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(325 )</w:t>
            </w:r>
          </w:p>
        </w:tc>
        <w:tc>
          <w:tcPr>
            <w:tcW w:w="0" w:type="dxa"/>
            <w:vAlign w:val="bottom"/>
          </w:tcPr>
          <w:p>
            <w:pPr>
              <w:spacing w:after="0"/>
              <w:rPr>
                <w:sz w:val="1"/>
                <w:szCs w:val="1"/>
                <w:color w:val="auto"/>
              </w:rPr>
            </w:pPr>
          </w:p>
        </w:tc>
      </w:tr>
      <w:tr>
        <w:trPr>
          <w:trHeight w:val="169"/>
        </w:trPr>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(26,923 )</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(26,923 )</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60" w:type="dxa"/>
            <w:vAlign w:val="bottom"/>
          </w:tcPr>
          <w:p>
            <w:pPr>
              <w:ind w:left="20"/>
              <w:spacing w:after="0"/>
              <w:rPr>
                <w:sz w:val="20"/>
                <w:szCs w:val="20"/>
                <w:color w:val="auto"/>
              </w:rPr>
            </w:pPr>
            <w:r>
              <w:rPr>
                <w:rFonts w:ascii="Arial" w:cs="Arial" w:eastAsia="Arial" w:hAnsi="Arial"/>
                <w:sz w:val="13"/>
                <w:szCs w:val="13"/>
                <w:color w:val="auto"/>
              </w:rPr>
              <w:t>Balance, June 30, 2022</w:t>
            </w:r>
          </w:p>
        </w:tc>
        <w:tc>
          <w:tcPr>
            <w:tcW w:w="1040" w:type="dxa"/>
            <w:vAlign w:val="bottom"/>
          </w:tcPr>
          <w:p>
            <w:pPr>
              <w:jc w:val="right"/>
              <w:spacing w:after="0"/>
              <w:rPr>
                <w:sz w:val="20"/>
                <w:szCs w:val="20"/>
                <w:color w:val="auto"/>
              </w:rPr>
            </w:pPr>
            <w:r>
              <w:rPr>
                <w:rFonts w:ascii="Arial" w:cs="Arial" w:eastAsia="Arial" w:hAnsi="Arial"/>
                <w:sz w:val="13"/>
                <w:szCs w:val="13"/>
                <w:color w:val="auto"/>
              </w:rPr>
              <w:t>48,427,202</w:t>
            </w:r>
          </w:p>
        </w:tc>
        <w:tc>
          <w:tcPr>
            <w:tcW w:w="280" w:type="dxa"/>
            <w:vAlign w:val="bottom"/>
          </w:tcPr>
          <w:p>
            <w:pPr>
              <w:spacing w:after="0"/>
              <w:rPr>
                <w:sz w:val="13"/>
                <w:szCs w:val="13"/>
                <w:color w:val="auto"/>
              </w:rPr>
            </w:pPr>
          </w:p>
        </w:tc>
        <w:tc>
          <w:tcPr>
            <w:tcW w:w="980" w:type="dxa"/>
            <w:vAlign w:val="bottom"/>
          </w:tcPr>
          <w:p>
            <w:pPr>
              <w:jc w:val="right"/>
              <w:ind w:right="839"/>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678,973</w:t>
            </w:r>
          </w:p>
        </w:tc>
        <w:tc>
          <w:tcPr>
            <w:tcW w:w="26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158"/>
              <w:spacing w:after="0"/>
              <w:rPr>
                <w:sz w:val="20"/>
                <w:szCs w:val="20"/>
                <w:color w:val="auto"/>
              </w:rPr>
            </w:pPr>
            <w:r>
              <w:rPr>
                <w:rFonts w:ascii="Arial" w:cs="Arial" w:eastAsia="Arial" w:hAnsi="Arial"/>
                <w:sz w:val="13"/>
                <w:szCs w:val="13"/>
                <w:color w:val="auto"/>
              </w:rPr>
              <w:t>(931 )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37"/>
              <w:spacing w:after="0"/>
              <w:rPr>
                <w:sz w:val="20"/>
                <w:szCs w:val="20"/>
                <w:color w:val="auto"/>
              </w:rPr>
            </w:pPr>
            <w:r>
              <w:rPr>
                <w:rFonts w:ascii="Arial" w:cs="Arial" w:eastAsia="Arial" w:hAnsi="Arial"/>
                <w:sz w:val="13"/>
                <w:szCs w:val="13"/>
                <w:color w:val="auto"/>
              </w:rPr>
              <w:t>(257,006 )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421,041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-1362075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-1344930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-1362075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-1344930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-1362075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-1344930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-1362075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-1344930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-1362075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-1344930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-136525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-136525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-136525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-136525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-136525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259"/>
              <w:spacing w:after="0"/>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9"/>
              </w:rPr>
              <w:t>Accumulated</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2280" w:type="dxa"/>
            <w:vAlign w:val="bottom"/>
            <w:gridSpan w:val="3"/>
            <w:vMerge w:val="restart"/>
          </w:tcPr>
          <w:p>
            <w:pPr>
              <w:jc w:val="right"/>
              <w:ind w:right="587"/>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2"/>
          </w:tcPr>
          <w:p>
            <w:pPr>
              <w:jc w:val="center"/>
              <w:ind w:right="420"/>
              <w:spacing w:after="0" w:line="108" w:lineRule="exact"/>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9"/>
                <w:szCs w:val="9"/>
                <w:color w:val="auto"/>
              </w:rPr>
            </w:pPr>
          </w:p>
        </w:tc>
        <w:tc>
          <w:tcPr>
            <w:tcW w:w="1240" w:type="dxa"/>
            <w:vAlign w:val="bottom"/>
            <w:gridSpan w:val="2"/>
            <w:vMerge w:val="restart"/>
          </w:tcPr>
          <w:p>
            <w:pPr>
              <w:jc w:val="right"/>
              <w:ind w:right="477"/>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228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339"/>
              <w:spacing w:after="0"/>
              <w:rPr>
                <w:sz w:val="20"/>
                <w:szCs w:val="20"/>
                <w:color w:val="auto"/>
              </w:rPr>
            </w:pPr>
            <w:r>
              <w:rPr>
                <w:rFonts w:ascii="Arial" w:cs="Arial" w:eastAsia="Arial" w:hAnsi="Arial"/>
                <w:sz w:val="11"/>
                <w:szCs w:val="11"/>
                <w:b w:val="1"/>
                <w:bCs w:val="1"/>
                <w:color w:val="auto"/>
              </w:rPr>
              <w:t>Paid-in</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040" w:type="dxa"/>
            <w:vAlign w:val="bottom"/>
          </w:tcPr>
          <w:p>
            <w:pPr>
              <w:jc w:val="right"/>
              <w:ind w:right="298"/>
              <w:spacing w:after="0"/>
              <w:rPr>
                <w:sz w:val="20"/>
                <w:szCs w:val="20"/>
                <w:color w:val="auto"/>
              </w:rPr>
            </w:pPr>
            <w:r>
              <w:rPr>
                <w:rFonts w:ascii="Arial" w:cs="Arial" w:eastAsia="Arial" w:hAnsi="Arial"/>
                <w:sz w:val="11"/>
                <w:szCs w:val="11"/>
                <w:b w:val="1"/>
                <w:bCs w:val="1"/>
                <w:color w:val="auto"/>
              </w:rPr>
              <w:t>Shares</w:t>
            </w:r>
          </w:p>
        </w:tc>
        <w:tc>
          <w:tcPr>
            <w:tcW w:w="300" w:type="dxa"/>
            <w:vAlign w:val="bottom"/>
          </w:tcPr>
          <w:p>
            <w:pPr>
              <w:spacing w:after="0"/>
              <w:rPr>
                <w:sz w:val="11"/>
                <w:szCs w:val="11"/>
                <w:color w:val="auto"/>
              </w:rPr>
            </w:pPr>
          </w:p>
        </w:tc>
        <w:tc>
          <w:tcPr>
            <w:tcW w:w="940" w:type="dxa"/>
            <w:vAlign w:val="bottom"/>
          </w:tcPr>
          <w:p>
            <w:pPr>
              <w:jc w:val="right"/>
              <w:ind w:right="87"/>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339"/>
              <w:spacing w:after="0" w:line="121" w:lineRule="exact"/>
              <w:rPr>
                <w:sz w:val="20"/>
                <w:szCs w:val="20"/>
                <w:color w:val="auto"/>
              </w:rPr>
            </w:pPr>
            <w:r>
              <w:rPr>
                <w:rFonts w:ascii="Arial" w:cs="Arial" w:eastAsia="Arial" w:hAnsi="Arial"/>
                <w:sz w:val="11"/>
                <w:szCs w:val="11"/>
                <w:b w:val="1"/>
                <w:bCs w:val="1"/>
                <w:color w:val="auto"/>
              </w:rPr>
              <w:t>Capital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88"/>
              </w:rPr>
              <w:t>Income</w:t>
            </w:r>
          </w:p>
        </w:tc>
        <w:tc>
          <w:tcPr>
            <w:tcW w:w="180" w:type="dxa"/>
            <w:vAlign w:val="bottom"/>
          </w:tcPr>
          <w:p>
            <w:pPr>
              <w:spacing w:after="0"/>
              <w:rPr>
                <w:sz w:val="11"/>
                <w:szCs w:val="11"/>
                <w:color w:val="auto"/>
              </w:rPr>
            </w:pPr>
          </w:p>
        </w:tc>
        <w:tc>
          <w:tcPr>
            <w:tcW w:w="1240" w:type="dxa"/>
            <w:vAlign w:val="bottom"/>
            <w:gridSpan w:val="2"/>
          </w:tcPr>
          <w:p>
            <w:pPr>
              <w:jc w:val="right"/>
              <w:ind w:right="617"/>
              <w:spacing w:after="0" w:line="121" w:lineRule="exact"/>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56"/>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32,627,963</w:t>
            </w:r>
          </w:p>
        </w:tc>
        <w:tc>
          <w:tcPr>
            <w:tcW w:w="3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439,235</w:t>
            </w:r>
          </w:p>
        </w:tc>
        <w:tc>
          <w:tcPr>
            <w:tcW w:w="26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(118,021</w:t>
            </w:r>
          </w:p>
        </w:tc>
        <w:tc>
          <w:tcPr>
            <w:tcW w:w="2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321,220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line="121" w:lineRule="exact"/>
              <w:rPr>
                <w:sz w:val="20"/>
                <w:szCs w:val="20"/>
                <w:color w:val="auto"/>
              </w:rPr>
            </w:pPr>
            <w:r>
              <w:rPr>
                <w:rFonts w:ascii="Arial" w:cs="Arial" w:eastAsia="Arial" w:hAnsi="Arial"/>
                <w:sz w:val="13"/>
                <w:szCs w:val="13"/>
                <w:color w:val="auto"/>
              </w:rPr>
              <w:t>Vesting of shares of common</w:t>
            </w: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040" w:type="dxa"/>
            <w:vAlign w:val="bottom"/>
          </w:tcPr>
          <w:p>
            <w:pPr>
              <w:jc w:val="right"/>
              <w:spacing w:after="0"/>
              <w:rPr>
                <w:sz w:val="20"/>
                <w:szCs w:val="20"/>
                <w:color w:val="auto"/>
              </w:rPr>
            </w:pPr>
            <w:r>
              <w:rPr>
                <w:rFonts w:ascii="Arial" w:cs="Arial" w:eastAsia="Arial" w:hAnsi="Arial"/>
                <w:sz w:val="13"/>
                <w:szCs w:val="13"/>
                <w:color w:val="auto"/>
              </w:rPr>
              <w:t>15,802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154,489</w:t>
            </w: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756</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40" w:type="dxa"/>
            <w:vAlign w:val="bottom"/>
            <w:gridSpan w:val="2"/>
            <w:vMerge w:val="restart"/>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options</w:t>
            </w:r>
          </w:p>
        </w:tc>
        <w:tc>
          <w:tcPr>
            <w:tcW w:w="104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line="121" w:lineRule="exact"/>
              <w:rPr>
                <w:sz w:val="20"/>
                <w:szCs w:val="20"/>
                <w:color w:val="auto"/>
              </w:rPr>
            </w:pPr>
            <w:r>
              <w:rPr>
                <w:rFonts w:ascii="Arial" w:cs="Arial" w:eastAsia="Arial" w:hAnsi="Arial"/>
                <w:sz w:val="13"/>
                <w:szCs w:val="13"/>
                <w:color w:val="auto"/>
              </w:rPr>
              <w:t>Share-based compensation</w:t>
            </w: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3,347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Unrealized gain on</w:t>
            </w: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short-term investments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37"/>
              <w:spacing w:after="0"/>
              <w:rPr>
                <w:sz w:val="20"/>
                <w:szCs w:val="20"/>
                <w:color w:val="auto"/>
              </w:rPr>
            </w:pPr>
            <w:r>
              <w:rPr>
                <w:rFonts w:ascii="Arial" w:cs="Arial" w:eastAsia="Arial" w:hAnsi="Arial"/>
                <w:sz w:val="13"/>
                <w:szCs w:val="13"/>
                <w:color w:val="auto"/>
              </w:rPr>
              <w:t>(19,373 )</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(19,373 )</w:t>
            </w:r>
          </w:p>
        </w:tc>
        <w:tc>
          <w:tcPr>
            <w:tcW w:w="0" w:type="dxa"/>
            <w:vAlign w:val="bottom"/>
          </w:tcPr>
          <w:p>
            <w:pPr>
              <w:spacing w:after="0"/>
              <w:rPr>
                <w:sz w:val="1"/>
                <w:szCs w:val="1"/>
                <w:color w:val="auto"/>
              </w:rPr>
            </w:pPr>
          </w:p>
        </w:tc>
      </w:tr>
      <w:tr>
        <w:trPr>
          <w:trHeight w:val="197"/>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March 31,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32,798,254</w:t>
            </w:r>
          </w:p>
        </w:tc>
        <w:tc>
          <w:tcPr>
            <w:tcW w:w="3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443,347</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(137,394</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305,990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740" w:type="dxa"/>
            <w:vAlign w:val="bottom"/>
          </w:tcPr>
          <w:p>
            <w:pPr>
              <w:ind w:left="20"/>
              <w:spacing w:after="0" w:line="102" w:lineRule="exact"/>
              <w:rPr>
                <w:sz w:val="20"/>
                <w:szCs w:val="20"/>
                <w:color w:val="auto"/>
              </w:rPr>
            </w:pPr>
            <w:r>
              <w:rPr>
                <w:rFonts w:ascii="Arial" w:cs="Arial" w:eastAsia="Arial" w:hAnsi="Arial"/>
                <w:sz w:val="10"/>
                <w:szCs w:val="10"/>
                <w:color w:val="auto"/>
              </w:rPr>
              <w:t>Vesting of shares of common</w:t>
            </w: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040" w:type="dxa"/>
            <w:vAlign w:val="bottom"/>
          </w:tcPr>
          <w:p>
            <w:pPr>
              <w:jc w:val="right"/>
              <w:spacing w:after="0"/>
              <w:rPr>
                <w:sz w:val="20"/>
                <w:szCs w:val="20"/>
                <w:color w:val="auto"/>
              </w:rPr>
            </w:pPr>
            <w:r>
              <w:rPr>
                <w:rFonts w:ascii="Arial" w:cs="Arial" w:eastAsia="Arial" w:hAnsi="Arial"/>
                <w:sz w:val="13"/>
                <w:szCs w:val="13"/>
                <w:color w:val="auto"/>
              </w:rPr>
              <w:t>15,575</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39,032</w:t>
            </w: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40" w:type="dxa"/>
            <w:vAlign w:val="bottom"/>
            <w:gridSpan w:val="2"/>
            <w:vMerge w:val="restart"/>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 net of repurchase</w:t>
            </w:r>
          </w:p>
        </w:tc>
        <w:tc>
          <w:tcPr>
            <w:tcW w:w="104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line="121" w:lineRule="exact"/>
              <w:rPr>
                <w:sz w:val="20"/>
                <w:szCs w:val="20"/>
                <w:color w:val="auto"/>
              </w:rPr>
            </w:pPr>
            <w:r>
              <w:rPr>
                <w:rFonts w:ascii="Arial" w:cs="Arial" w:eastAsia="Arial" w:hAnsi="Arial"/>
                <w:sz w:val="13"/>
                <w:szCs w:val="13"/>
                <w:color w:val="auto"/>
              </w:rPr>
              <w:t>Share-based compensation</w:t>
            </w: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3,690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Unrealized loss on short-term</w:t>
            </w: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investments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(28 )</w:t>
            </w: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37"/>
              <w:spacing w:after="0"/>
              <w:rPr>
                <w:sz w:val="20"/>
                <w:szCs w:val="20"/>
                <w:color w:val="auto"/>
              </w:rPr>
            </w:pPr>
            <w:r>
              <w:rPr>
                <w:rFonts w:ascii="Arial" w:cs="Arial" w:eastAsia="Arial" w:hAnsi="Arial"/>
                <w:sz w:val="13"/>
                <w:szCs w:val="13"/>
                <w:color w:val="auto"/>
              </w:rPr>
              <w:t>(21,535 )</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(21,535 )</w:t>
            </w:r>
          </w:p>
        </w:tc>
        <w:tc>
          <w:tcPr>
            <w:tcW w:w="0" w:type="dxa"/>
            <w:vAlign w:val="bottom"/>
          </w:tcPr>
          <w:p>
            <w:pPr>
              <w:spacing w:after="0"/>
              <w:rPr>
                <w:sz w:val="1"/>
                <w:szCs w:val="1"/>
                <w:color w:val="auto"/>
              </w:rPr>
            </w:pPr>
          </w:p>
        </w:tc>
      </w:tr>
      <w:tr>
        <w:trPr>
          <w:trHeight w:val="197"/>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June 30,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32,852,861</w:t>
            </w:r>
          </w:p>
        </w:tc>
        <w:tc>
          <w:tcPr>
            <w:tcW w:w="3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447,302</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(158,929</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288,382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-1096645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-1079500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-1096645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-1079500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-1096645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-1079500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-1096645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-1079500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-1096645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-1079500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(52,910 )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(40,908 )</w:t>
            </w: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Arial" w:cs="Arial" w:eastAsia="Arial" w:hAnsi="Arial"/>
                <w:sz w:val="18"/>
                <w:szCs w:val="18"/>
                <w:color w:val="auto"/>
              </w:rPr>
              <w:t>Accretion and amortization of premiums and discounts on investments,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lease expense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(987 )</w:t>
            </w:r>
          </w:p>
        </w:tc>
      </w:tr>
      <w:tr>
        <w:trPr>
          <w:trHeight w:val="216"/>
        </w:trPr>
        <w:tc>
          <w:tcPr>
            <w:tcW w:w="7700" w:type="dxa"/>
            <w:vAlign w:val="bottom"/>
          </w:tcPr>
          <w:p>
            <w:pPr>
              <w:ind w:left="38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380"/>
              <w:spacing w:after="0"/>
              <w:rPr>
                <w:sz w:val="20"/>
                <w:szCs w:val="20"/>
                <w:color w:val="auto"/>
              </w:rPr>
            </w:pPr>
            <w:r>
              <w:rPr>
                <w:rFonts w:ascii="Arial" w:cs="Arial" w:eastAsia="Arial" w:hAnsi="Arial"/>
                <w:sz w:val="18"/>
                <w:szCs w:val="18"/>
                <w:color w:val="auto"/>
              </w:rPr>
              <w:t>Accounts payable and accrued and other liabilities</w:t>
            </w:r>
          </w:p>
        </w:tc>
        <w:tc>
          <w:tcPr>
            <w:tcW w:w="38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(1,274 )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(4,399 )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(2,411 )</w:t>
            </w: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38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(175,011 )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(86,234 )</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Maturities of short-term investments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69,088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(110,322 )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(41,145 )</w:t>
            </w: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secondary offering, net of issuance costs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215,611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216,024</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70,830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(72,232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97,105</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133,744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Reconciliation of cash, cash equivalents and restricted cash to the balance sheet:</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131,646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133,744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-2605405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-2047875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-1494790</wp:posOffset>
            </wp:positionV>
            <wp:extent cx="9398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-1494790</wp:posOffset>
            </wp:positionV>
            <wp:extent cx="9398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-890905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-325120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-307975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04"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10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June 30, 2022, the Company had an accumulated deficit of $257.0 million and cash, cash equivalents, restricted cash and short-term investments of $415.0 million.</w:t>
      </w:r>
    </w:p>
    <w:p>
      <w:pPr>
        <w:spacing w:after="0" w:line="6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Management plans to continue to incur substantial costs in order to conduct research and development activities and additional capital will be needed to undertake these activities. The Company intends to raise such capital through debt or equity financings or other arrangements to fund operations. Management believes that the Company’s current cash, cash equivalents, restricted cash and short-term investments will provide sufficient funds to enable the Company to meet its obligations for at least twelve months from the filing date of this report.</w:t>
      </w:r>
    </w:p>
    <w:p>
      <w:pPr>
        <w:spacing w:after="0" w:line="77"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On April 28, 2022, the Company issued and sold 15,333,334 shares of its common stock, including 2,000,000 shares associated with the full exercise of the underwriters’ option to purchase additional shares, at a price to the public of $15.00 per share. The total net proceeds to the Company from the offering were approximately $215.3 million, after deducting underwriting discounts and commissions and offering expenses. The shares were issued pursuant to the Company’s Registration Statement on Form S-3.</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The accompanying unaudited condensed financial statements as of June 30, 2022 and for the three and six months ended June 30, 2022 and 2021 have been prepared in accordance with U.S. generally accepted accounting principle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w:t>
      </w:r>
    </w:p>
    <w:p>
      <w:pPr>
        <w:spacing w:after="0" w:line="1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results for the three and six months ended June 30, 2022 are not necessarily indicative of the results expected for the full year or any subsequent interim period. The condensed balance sheet at December 31, 2021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2021, contained in the Company’s Annual Report on Form 10-K for the year ended December 31, 2021 filed by the Company with the Securities and Exchange Commission on March 17,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140" w:firstLine="509"/>
        <w:spacing w:after="0" w:line="280" w:lineRule="auto"/>
        <w:rPr>
          <w:sz w:val="20"/>
          <w:szCs w:val="20"/>
          <w:color w:val="auto"/>
        </w:rPr>
      </w:pPr>
      <w:r>
        <w:rPr>
          <w:rFonts w:ascii="Arial" w:cs="Arial" w:eastAsia="Arial" w:hAnsi="Arial"/>
          <w:sz w:val="16"/>
          <w:szCs w:val="16"/>
          <w:color w:val="auto"/>
        </w:rPr>
        <w:t>The COVID-19 pandemic has caused disruptions in the global economy and has affected and may affect the Company’s business and operations in the future.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2021 or the six months ended June 30, 2022. The Company continues to evaluate the impact of the CARES Act on its financial position, results of operations and cash flows. The Company currently does not expect to apply for loans or grants under the CARES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computation of the basic and diluted net loss per share (in thousands except share and per share data):</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Weighted average common shares outstanding</w:t>
      </w:r>
    </w:p>
    <w:p>
      <w:pPr>
        <w:spacing w:after="0" w:line="32" w:lineRule="exact"/>
        <w:rPr>
          <w:sz w:val="20"/>
          <w:szCs w:val="20"/>
          <w:color w:val="auto"/>
        </w:rPr>
      </w:pPr>
    </w:p>
    <w:p>
      <w:pPr>
        <w:ind w:left="340" w:right="1160" w:hanging="134"/>
        <w:spacing w:after="0" w:line="229" w:lineRule="auto"/>
        <w:rPr>
          <w:sz w:val="20"/>
          <w:szCs w:val="20"/>
          <w:color w:val="auto"/>
        </w:rPr>
      </w:pPr>
      <w:r>
        <w:rPr>
          <w:rFonts w:ascii="Arial" w:cs="Arial" w:eastAsia="Arial" w:hAnsi="Arial"/>
          <w:sz w:val="18"/>
          <w:szCs w:val="18"/>
          <w:color w:val="auto"/>
        </w:rPr>
        <w:t>Less: weighted average unvested common stock issued upon early exercise of common stock options</w:t>
      </w:r>
    </w:p>
    <w:p>
      <w:pPr>
        <w:spacing w:after="0" w:line="2" w:lineRule="exact"/>
        <w:rPr>
          <w:sz w:val="20"/>
          <w:szCs w:val="20"/>
          <w:color w:val="auto"/>
        </w:rPr>
      </w:pPr>
    </w:p>
    <w:p>
      <w:pPr>
        <w:ind w:left="160" w:right="1220" w:hanging="134"/>
        <w:spacing w:after="0" w:line="234" w:lineRule="auto"/>
        <w:rPr>
          <w:sz w:val="20"/>
          <w:szCs w:val="20"/>
          <w:color w:val="auto"/>
        </w:rPr>
      </w:pPr>
      <w:r>
        <w:rPr>
          <w:rFonts w:ascii="Arial" w:cs="Arial" w:eastAsia="Arial" w:hAnsi="Arial"/>
          <w:sz w:val="18"/>
          <w:szCs w:val="18"/>
          <w:color w:val="auto"/>
        </w:rPr>
        <w:t>Weighted average shares used to compute net loss per share, basic and diluted</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56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(26,923 )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(21,535 )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(52,910 )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(40,908 )</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43,844,869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32,879,406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38,452,511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32,843,343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40" w:type="dxa"/>
            <w:vAlign w:val="bottom"/>
          </w:tcPr>
          <w:p>
            <w:pPr>
              <w:spacing w:after="0"/>
              <w:rPr>
                <w:sz w:val="24"/>
                <w:szCs w:val="24"/>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(3,477 )</w:t>
            </w: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(52,041 )</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(5,555 )</w:t>
            </w: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(59,613 )</w:t>
            </w:r>
          </w:p>
        </w:tc>
        <w:tc>
          <w:tcPr>
            <w:tcW w:w="0" w:type="dxa"/>
            <w:vAlign w:val="bottom"/>
          </w:tcPr>
          <w:p>
            <w:pPr>
              <w:spacing w:after="0"/>
              <w:rPr>
                <w:sz w:val="1"/>
                <w:szCs w:val="1"/>
                <w:color w:val="auto"/>
              </w:rPr>
            </w:pPr>
          </w:p>
        </w:tc>
      </w:tr>
      <w:tr>
        <w:trPr>
          <w:trHeight w:val="358"/>
        </w:trPr>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43,841,392</w:t>
            </w:r>
          </w:p>
        </w:tc>
        <w:tc>
          <w:tcPr>
            <w:tcW w:w="26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32,827,365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38,446,956</w:t>
            </w:r>
          </w:p>
        </w:tc>
        <w:tc>
          <w:tcPr>
            <w:tcW w:w="26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32,783,730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(0.61</w:t>
            </w:r>
          </w:p>
        </w:tc>
        <w:tc>
          <w:tcPr>
            <w:tcW w:w="2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(0.66</w:t>
            </w:r>
          </w:p>
        </w:tc>
        <w:tc>
          <w:tcPr>
            <w:tcW w:w="1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w:t>
            </w:r>
          </w:p>
        </w:tc>
        <w:tc>
          <w:tcPr>
            <w:tcW w:w="2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-1370965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-1070610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-796290</wp:posOffset>
            </wp:positionV>
            <wp:extent cx="7132320" cy="377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-161925</wp:posOffset>
            </wp:positionV>
            <wp:extent cx="713232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341"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2" w:name="page13"/>
    <w:bookmarkEnd w:id="12"/>
    <w:p>
      <w:pPr>
        <w:ind w:right="20" w:firstLine="509"/>
        <w:spacing w:after="0" w:line="261" w:lineRule="auto"/>
        <w:rPr>
          <w:sz w:val="20"/>
          <w:szCs w:val="20"/>
          <w:color w:val="auto"/>
        </w:rPr>
      </w:pPr>
      <w:r>
        <w:rPr>
          <w:rFonts w:ascii="Arial" w:cs="Arial" w:eastAsia="Arial" w:hAnsi="Arial"/>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As of June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5,257,754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4,293,442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320,278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Unvested common stock upon early exercise of common stock</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46,849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options</w:t>
            </w: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5,580,507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4. Fair Value of Financial Instruments</w:t>
            </w: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40" w:type="dxa"/>
            <w:vAlign w:val="bottom"/>
            <w:gridSpan w:val="7"/>
          </w:tcPr>
          <w:p>
            <w:pPr>
              <w:ind w:left="520"/>
              <w:spacing w:after="0"/>
              <w:rPr>
                <w:sz w:val="20"/>
                <w:szCs w:val="20"/>
                <w:color w:val="auto"/>
              </w:rPr>
            </w:pPr>
            <w:r>
              <w:rPr>
                <w:rFonts w:ascii="Arial" w:cs="Arial" w:eastAsia="Arial" w:hAnsi="Arial"/>
                <w:sz w:val="18"/>
                <w:szCs w:val="18"/>
                <w:color w:val="auto"/>
                <w:w w:val="95"/>
              </w:rPr>
              <w:t>The following tables summarize the fair value of the Company’s financial instruments (in thousands):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976"/>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3"/>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9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June 30,</w:t>
            </w:r>
          </w:p>
        </w:tc>
        <w:tc>
          <w:tcPr>
            <w:tcW w:w="10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1"/>
              </w:rPr>
              <w:t>Identical Assets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70"/>
              <w:spacing w:after="0" w:line="158"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125,653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125,653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4,993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560"/>
              <w:spacing w:after="0"/>
              <w:rPr>
                <w:sz w:val="20"/>
                <w:szCs w:val="20"/>
                <w:color w:val="auto"/>
              </w:rPr>
            </w:pPr>
            <w:r>
              <w:rPr>
                <w:rFonts w:ascii="Arial" w:cs="Arial" w:eastAsia="Arial" w:hAnsi="Arial"/>
                <w:sz w:val="18"/>
                <w:szCs w:val="18"/>
                <w:color w:val="auto"/>
              </w:rPr>
              <w:t>Total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130,646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125,653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4,993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112,634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112,634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64,153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64,153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104,518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281,305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281,305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411,951</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125,653</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286,298</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976"/>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3"/>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9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1"/>
              </w:rPr>
              <w:t>Identical Assets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70"/>
              <w:spacing w:after="0" w:line="158"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57,018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57,018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111,466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111,466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21,272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44,534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56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177,272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234,290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57,018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-5151120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-5151120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-3051175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-3051175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-3051175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-2211070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-2211070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-2211070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-873760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-873760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-873760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-316865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-316865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-316865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10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Financial assets measured at fair value on a recurring basis consist of the Company’s cash equivalents and short-term investments. Cash equivalents consisted of money market funds and short-term investments consisted of commercial paper, U.S.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p>
    <w:p>
      <w:pPr>
        <w:spacing w:after="0" w:line="181"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Investments are classified as Level 1 within the fair value hierarchy if their quoted prices are available in active markets for identical securities. Investments in money market funds of $125.7 million and $57.0 million as of June 30, 2022 and December 31, 2021, respectively, were classified as Level 1 instruments and were included in cash and cash equivalents.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3" w:name="page14"/>
    <w:bookmarkEnd w:id="13"/>
    <w:p>
      <w:pPr>
        <w:ind w:right="80" w:firstLine="509"/>
        <w:spacing w:after="0" w:line="260" w:lineRule="auto"/>
        <w:rPr>
          <w:sz w:val="20"/>
          <w:szCs w:val="20"/>
          <w:color w:val="auto"/>
        </w:rPr>
      </w:pPr>
      <w:r>
        <w:rPr>
          <w:rFonts w:ascii="Arial" w:cs="Arial" w:eastAsia="Arial" w:hAnsi="Arial"/>
          <w:sz w:val="17"/>
          <w:szCs w:val="17"/>
          <w:color w:val="auto"/>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$286.3 million and $177.3 million as of June 30, 2022 and December 31, 2021, respectively, were classified as Level 2 instruments. As of June 30, 2022, marketable securities of $5.0 million and $281.3 million were included in cash and cash equivalents and short-term investments, respectively. As of December 31, 2021, marketable securities of $177.3 million were included in short-term investments. Accrued interest receivable related to short-term investments was $1.0 million as of both June 30, 2022 and December 31, 2021 and included as part of prepaid expenses and other current assets in the condensed balance sheets.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Company’s short-term investments accounted for as available-for-sale securities as of June 30, 2022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440" w:type="dxa"/>
            <w:vAlign w:val="bottom"/>
          </w:tcPr>
          <w:p>
            <w:pPr>
              <w:spacing w:after="0"/>
              <w:rPr>
                <w:sz w:val="11"/>
                <w:szCs w:val="11"/>
                <w:color w:val="auto"/>
              </w:rPr>
            </w:pPr>
          </w:p>
        </w:tc>
        <w:tc>
          <w:tcPr>
            <w:tcW w:w="13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2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5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tcPr>
          <w:p>
            <w:pPr>
              <w:jc w:val="center"/>
              <w:ind w:left="139"/>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r>
      <w:tr>
        <w:trPr>
          <w:trHeight w:val="185"/>
        </w:trPr>
        <w:tc>
          <w:tcPr>
            <w:tcW w:w="444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tcPr>
          <w:p>
            <w:pPr>
              <w:jc w:val="center"/>
              <w:ind w:left="15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0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 year or less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113,037</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112,634</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69,146</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securities</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105,046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(528 )</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104,518</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287,229</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(935 )</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286,298</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440" w:type="dxa"/>
            <w:vAlign w:val="bottom"/>
          </w:tcPr>
          <w:p>
            <w:pPr>
              <w:spacing w:after="0"/>
              <w:rPr>
                <w:sz w:val="11"/>
                <w:szCs w:val="11"/>
                <w:color w:val="auto"/>
              </w:rPr>
            </w:pPr>
          </w:p>
        </w:tc>
        <w:tc>
          <w:tcPr>
            <w:tcW w:w="13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2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5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tcPr>
          <w:p>
            <w:pPr>
              <w:jc w:val="center"/>
              <w:ind w:left="139"/>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r>
      <w:tr>
        <w:trPr>
          <w:trHeight w:val="185"/>
        </w:trPr>
        <w:tc>
          <w:tcPr>
            <w:tcW w:w="444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tcPr>
          <w:p>
            <w:pPr>
              <w:jc w:val="center"/>
              <w:ind w:left="15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10"/>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 year or less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111,548</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111,466</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21,272</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securities</w:t>
            </w: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(68 )</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44,534</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177,422</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(157 )</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-1216660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-1216660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-1216660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The Company has classified all of its available-for-sale investment securities as current assets on the condensed balance sheets based on the highly liquid nature of these investment securities and because these investment securities are considered available for use in current operations.</w:t>
      </w:r>
    </w:p>
    <w:p>
      <w:pPr>
        <w:spacing w:after="0" w:line="138"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The Company considers whether unrealized losses have resulted from a credit loss or other factors. The unrealized losses on the Company’s available-for-sale securities as of June 30, 2022 and December 31, 2021 were caused by fluctuations in market value and interest rates as a result of the economic environment and not credit risk. The Company concluded that an allowance for credit losses was unnecessary as of June 30, 2022 and December 31, 2021.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p>
    <w:p>
      <w:pPr>
        <w:spacing w:after="0" w:line="15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There was no realized gain or loss on available-for-sale securities in the periods presented. The Company uses the specific identification method to determine the cost basis of investments sold.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4580" w:type="dxa"/>
            <w:vAlign w:val="bottom"/>
          </w:tcPr>
          <w:p>
            <w:pPr>
              <w:spacing w:after="0"/>
              <w:rPr>
                <w:sz w:val="16"/>
                <w:szCs w:val="16"/>
                <w:color w:val="auto"/>
              </w:rPr>
            </w:pPr>
          </w:p>
        </w:tc>
        <w:tc>
          <w:tcPr>
            <w:tcW w:w="42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3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2,343</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2,085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prepaid expenses and other current assets</w:t>
            </w:r>
          </w:p>
        </w:tc>
        <w:tc>
          <w:tcPr>
            <w:tcW w:w="3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4,428</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4580" w:type="dxa"/>
            <w:vAlign w:val="bottom"/>
          </w:tcPr>
          <w:p>
            <w:pPr>
              <w:spacing w:after="0"/>
              <w:rPr>
                <w:sz w:val="24"/>
                <w:szCs w:val="24"/>
                <w:color w:val="auto"/>
              </w:rPr>
            </w:pPr>
          </w:p>
        </w:tc>
        <w:tc>
          <w:tcPr>
            <w:tcW w:w="3120" w:type="dxa"/>
            <w:vAlign w:val="bottom"/>
          </w:tcPr>
          <w:p>
            <w:pPr>
              <w:jc w:val="right"/>
              <w:ind w:right="1959"/>
              <w:spacing w:after="0"/>
              <w:rPr>
                <w:sz w:val="20"/>
                <w:szCs w:val="20"/>
                <w:color w:val="auto"/>
              </w:rPr>
            </w:pPr>
            <w:r>
              <w:rPr>
                <w:rFonts w:ascii="Arial" w:cs="Arial" w:eastAsia="Arial" w:hAnsi="Arial"/>
                <w:sz w:val="18"/>
                <w:szCs w:val="18"/>
                <w:color w:val="auto"/>
              </w:rPr>
              <w:t>9</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58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-504825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-487680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is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20" w:type="dxa"/>
            <w:vAlign w:val="bottom"/>
            <w:vMerge w:val="restart"/>
          </w:tcPr>
          <w:p>
            <w:pPr>
              <w:ind w:left="20"/>
              <w:spacing w:after="0"/>
              <w:rPr>
                <w:sz w:val="20"/>
                <w:szCs w:val="20"/>
                <w:color w:val="auto"/>
              </w:rPr>
            </w:pPr>
            <w:r>
              <w:rPr>
                <w:rFonts w:ascii="Arial" w:cs="Arial" w:eastAsia="Arial" w:hAnsi="Arial"/>
                <w:sz w:val="18"/>
                <w:szCs w:val="18"/>
                <w:color w:val="auto"/>
              </w:rPr>
              <w:t>Leasehold improvements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3,491</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Research equipment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11,466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Computers and software</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property and equipment</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21,369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(4,430 )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(3,187 )</w:t>
            </w: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property and equipment, net</w:t>
            </w:r>
          </w:p>
        </w:tc>
        <w:tc>
          <w:tcPr>
            <w:tcW w:w="104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16,939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Depreciation and amortization expense was $0.6 million and $1.2 million for the three and six months ended June 30, 2022, respectively, and $0.4 million and $0.7 million for the three and six months ended June 30,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7700" w:type="dxa"/>
            <w:vAlign w:val="bottom"/>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3,737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Accrued research and development costs</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property and equipment</w:t>
            </w: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accrued and current liabilities</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and other liabilities</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7,145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The Company has operating leases for its current corporate offices, laboratory space, manufacturing facility, and dedicated space in a vivarium in South San Francisco, California, as well as for an additional facility in South San Francisco that the Company plans to use for corporate offices, laboratories and manufacturing. Rent expense, which is recognized on a straight-line basis over the term of each lease, was $2.8 million and $5.4 million for the three and six months ended June 30, 2022, respectively, and $0.7 million and $1.2 million for the three and six months ended June 30, 2021, respectively. The total cash paid for operating leases included in the operating cash flows was $1.9 million and $1.0 million for the six months ended June 30, 2022 and 2021, respectively. The weighted-average remaining lease term was 11.0 years for the corporate office, laboratory space leases, and additional facility as of June 30, 2022. The weighted-average discount rate was 8.9% as of June 30, 2022.</w:t>
      </w:r>
    </w:p>
    <w:p>
      <w:pPr>
        <w:spacing w:after="0" w:line="64" w:lineRule="exact"/>
        <w:rPr>
          <w:sz w:val="20"/>
          <w:szCs w:val="20"/>
          <w:color w:val="auto"/>
        </w:rPr>
      </w:pPr>
    </w:p>
    <w:p>
      <w:pPr>
        <w:ind w:right="240" w:firstLine="509"/>
        <w:spacing w:after="0" w:line="303" w:lineRule="auto"/>
        <w:rPr>
          <w:sz w:val="20"/>
          <w:szCs w:val="20"/>
          <w:color w:val="auto"/>
        </w:rPr>
      </w:pPr>
      <w:r>
        <w:rPr>
          <w:rFonts w:ascii="Arial" w:cs="Arial" w:eastAsia="Arial" w:hAnsi="Arial"/>
          <w:sz w:val="16"/>
          <w:szCs w:val="16"/>
          <w:color w:val="auto"/>
        </w:rPr>
        <w:t>In May 2018, the Company entered into a lease agreement for its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and an extension to the lease term through April 2026.</w:t>
      </w:r>
    </w:p>
    <w:p>
      <w:pPr>
        <w:spacing w:after="0" w:line="32" w:lineRule="exact"/>
        <w:rPr>
          <w:sz w:val="20"/>
          <w:szCs w:val="20"/>
          <w:color w:val="auto"/>
        </w:rPr>
      </w:pPr>
    </w:p>
    <w:p>
      <w:pPr>
        <w:ind w:right="280" w:firstLine="509"/>
        <w:spacing w:after="0" w:line="283" w:lineRule="auto"/>
        <w:rPr>
          <w:sz w:val="20"/>
          <w:szCs w:val="20"/>
          <w:color w:val="auto"/>
        </w:rPr>
      </w:pPr>
      <w:r>
        <w:rPr>
          <w:rFonts w:ascii="Arial" w:cs="Arial" w:eastAsia="Arial" w:hAnsi="Arial"/>
          <w:sz w:val="16"/>
          <w:szCs w:val="16"/>
          <w:color w:val="auto"/>
        </w:rPr>
        <w:t>In May 2020, the Company signed a second amendment to the Initial Lease Agreement. The amended lease provides for an eight-year non-cancelable lease of additional office and laboratory space in the same building. The lease amendment for additional office and laboratory space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 the lease for an additional seven-year term.</w:t>
      </w:r>
    </w:p>
    <w:p>
      <w:pPr>
        <w:spacing w:after="0" w:line="63"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In January 2021, the Company signed a third amendment to the Initial Lease Agreement which provides for lease of additional space in the same building. The lease amendment for this additional space commenced in April 2021 and expires in March 2024.</w:t>
      </w:r>
    </w:p>
    <w:p>
      <w:pPr>
        <w:spacing w:after="0" w:line="63" w:lineRule="exact"/>
        <w:rPr>
          <w:sz w:val="20"/>
          <w:szCs w:val="20"/>
          <w:color w:val="auto"/>
        </w:rPr>
      </w:pPr>
    </w:p>
    <w:p>
      <w:pPr>
        <w:jc w:val="both"/>
        <w:ind w:right="100" w:firstLine="509"/>
        <w:spacing w:after="0" w:line="276" w:lineRule="auto"/>
        <w:rPr>
          <w:sz w:val="20"/>
          <w:szCs w:val="20"/>
          <w:color w:val="auto"/>
        </w:rPr>
      </w:pPr>
      <w:r>
        <w:rPr>
          <w:rFonts w:ascii="Arial" w:cs="Arial" w:eastAsia="Arial" w:hAnsi="Arial"/>
          <w:sz w:val="16"/>
          <w:szCs w:val="16"/>
          <w:color w:val="auto"/>
        </w:rPr>
        <w:t>In October 2021, the Company signed a fourth amendment to the Initial Lease Agreement which provides for lease of additional space in the same building. The lease for additional office and laboratory space contains rent escalations during the term of the lease. The lease amendment of this additional space commenced in April 2022 and expires in January 2029. The Company expects to pay base rent of approximately $4.6 million over the lease term.</w:t>
      </w:r>
    </w:p>
    <w:p>
      <w:pPr>
        <w:spacing w:after="0" w:line="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lease amendment also includes this additional space in the Company’s option to extend the amended Initial Lease Agreement for an additional seven-year term. The other terms of the Initial Lease Agreement, as amended, remain unchanged.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ind w:firstLine="509"/>
        <w:spacing w:after="0" w:line="280" w:lineRule="auto"/>
        <w:rPr>
          <w:sz w:val="20"/>
          <w:szCs w:val="20"/>
          <w:color w:val="auto"/>
        </w:rPr>
      </w:pPr>
      <w:r>
        <w:rPr>
          <w:rFonts w:ascii="Arial" w:cs="Arial" w:eastAsia="Arial" w:hAnsi="Arial"/>
          <w:sz w:val="16"/>
          <w:szCs w:val="16"/>
          <w:color w:val="auto"/>
        </w:rPr>
        <w:t>In July 2021, the Company entered into a lease agreement for corporate office, manufacturing and laboratory space located in South San Francisco, California with an expiration date approximately twelve years after the lease commencement date (the “Additional Lease Agreement”). The lease for this additional space and the Company's obligation to pay rent commenced in January 2022. In addition to ba</w:t>
      </w:r>
      <w:r>
        <w:rPr>
          <w:rFonts w:ascii="Arial" w:cs="Arial" w:eastAsia="Arial" w:hAnsi="Arial"/>
          <w:sz w:val="16"/>
          <w:szCs w:val="16"/>
          <w:color w:val="212529"/>
        </w:rPr>
        <w:t>se rent, the Company is responsible for payment of</w:t>
      </w:r>
      <w:r>
        <w:rPr>
          <w:rFonts w:ascii="Arial" w:cs="Arial" w:eastAsia="Arial" w:hAnsi="Arial"/>
          <w:sz w:val="16"/>
          <w:szCs w:val="16"/>
          <w:color w:val="auto"/>
        </w:rPr>
        <w:t xml:space="preserve"> </w:t>
      </w:r>
      <w:r>
        <w:rPr>
          <w:rFonts w:ascii="Arial" w:cs="Arial" w:eastAsia="Arial" w:hAnsi="Arial"/>
          <w:sz w:val="16"/>
          <w:szCs w:val="16"/>
          <w:color w:val="212529"/>
        </w:rPr>
        <w:t>direct expenses, which include operating, insurance and tax expenses. The lease also provides for certain tenant improvement allowances of up to approximately $25.2 million for tenant improvements and certain infrastructure upgrades in connection with the initial buildout of the premises, approximately $4.4 million of which, if utilized, would need to be repaid by the Company over the lease term. In 2021, the Company delivered a security deposit in the form of a letter of credit of $1.6 million to the landlord in connection with the Additional Lease Agreement.</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212529"/>
        </w:rPr>
        <w:t xml:space="preserve">In November </w:t>
      </w:r>
      <w:r>
        <w:rPr>
          <w:rFonts w:ascii="Arial" w:cs="Arial" w:eastAsia="Arial" w:hAnsi="Arial"/>
          <w:sz w:val="17"/>
          <w:szCs w:val="17"/>
          <w:color w:val="000000"/>
        </w:rPr>
        <w:t>2021, the Company entered into an amendment to the Additional Lease Agreement. The lease amendment expressly includes</w:t>
      </w:r>
    </w:p>
    <w:p>
      <w:pPr>
        <w:spacing w:after="0" w:line="35"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manufacturing as a permitted use at the facility, clarifies that Silicon Valley Bank is an acceptable bank for purposes of issuing a letter of credit under the lease, revises the letter of credit transferability terms and replaces the form of letter of credit attached to the lease.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operating lease liabilities under existing operating leases as of June 30, 2022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09"/>
        </w:trPr>
        <w:tc>
          <w:tcPr>
            <w:tcW w:w="9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2022 (remaining six months)</w:t>
            </w: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10,199</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75,067</w:t>
            </w:r>
          </w:p>
        </w:tc>
        <w:tc>
          <w:tcPr>
            <w:tcW w:w="100" w:type="dxa"/>
            <w:vAlign w:val="bottom"/>
          </w:tcPr>
          <w:p>
            <w:pPr>
              <w:spacing w:after="0"/>
              <w:rPr>
                <w:sz w:val="18"/>
                <w:szCs w:val="18"/>
                <w:color w:val="auto"/>
              </w:rPr>
            </w:pPr>
          </w:p>
        </w:tc>
      </w:tr>
      <w:tr>
        <w:trPr>
          <w:trHeight w:val="210"/>
        </w:trPr>
        <w:tc>
          <w:tcPr>
            <w:tcW w:w="9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undiscounted future minimum lease payments</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118,881</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(45,676 )</w:t>
            </w:r>
          </w:p>
        </w:tc>
      </w:tr>
      <w:tr>
        <w:trPr>
          <w:trHeight w:val="216"/>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tenant improvement receivable</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(726 )</w:t>
            </w:r>
          </w:p>
        </w:tc>
      </w:tr>
      <w:tr>
        <w:trPr>
          <w:trHeight w:val="209"/>
        </w:trPr>
        <w:tc>
          <w:tcPr>
            <w:tcW w:w="90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72,479</w:t>
            </w:r>
          </w:p>
        </w:tc>
        <w:tc>
          <w:tcPr>
            <w:tcW w:w="100" w:type="dxa"/>
            <w:vAlign w:val="bottom"/>
            <w:tcBorders>
              <w:top w:val="single" w:sz="8" w:color="CFF0FC"/>
            </w:tcBorders>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18"/>
                <w:szCs w:val="18"/>
                <w:color w:val="auto"/>
              </w:rPr>
            </w:pPr>
          </w:p>
        </w:tc>
      </w:tr>
      <w:tr>
        <w:trPr>
          <w:trHeight w:val="216"/>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00" w:type="dxa"/>
            <w:vAlign w:val="bottom"/>
          </w:tcPr>
          <w:p>
            <w:pPr>
              <w:ind w:left="200"/>
              <w:spacing w:after="0"/>
              <w:rPr>
                <w:sz w:val="20"/>
                <w:szCs w:val="20"/>
                <w:color w:val="auto"/>
              </w:rPr>
            </w:pPr>
            <w:r>
              <w:rPr>
                <w:rFonts w:ascii="Arial" w:cs="Arial" w:eastAsia="Arial" w:hAnsi="Arial"/>
                <w:sz w:val="18"/>
                <w:szCs w:val="18"/>
                <w:color w:val="auto"/>
              </w:rPr>
              <w:t>Total lease liability</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72,479</w:t>
            </w:r>
          </w:p>
        </w:tc>
        <w:tc>
          <w:tcPr>
            <w:tcW w:w="1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640" w:firstLine="8"/>
        <w:spacing w:after="0" w:line="416"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&amp; Contingencies </w:t>
      </w:r>
      <w:r>
        <w:rPr>
          <w:rFonts w:ascii="Arial" w:cs="Arial" w:eastAsia="Arial" w:hAnsi="Arial"/>
          <w:sz w:val="16"/>
          <w:szCs w:val="16"/>
          <w:b w:val="1"/>
          <w:bCs w:val="1"/>
          <w:i w:val="1"/>
          <w:iCs w:val="1"/>
          <w:color w:val="auto"/>
        </w:rPr>
        <w:t>Guarantee Agreement</w:t>
      </w:r>
    </w:p>
    <w:p>
      <w:pPr>
        <w:spacing w:after="0" w:line="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June 30, 2022 and December 31, 2021.</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As of June 30, 2022, the Company had $2.1 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 to 60 days of the annual expiration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CRISPR Collaboration Agreement</w:t>
      </w:r>
    </w:p>
    <w:p>
      <w:pPr>
        <w:spacing w:after="0" w:line="216"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7"/>
          <w:szCs w:val="17"/>
          <w:color w:val="auto"/>
        </w:rPr>
        <w:t>On May 5, 2021, the Company entered into a research collaboration agreement (as amended, the “CRISPR Agreement”) with CRISPR Therapeutics AG (“CRISPR”) to co-develop and co-commercialize an engineered CAR-NK product candidate targeting the CD70 tumor antigen and a second novel NK plus T cell (“NK+T”) product candidate. In addition, the Company has received licenses from CRISPR for two CRISPR-Cas9 gene editing targets and will receive a license from CRISPR for up to three more CRISPR-Cas9 gene editing targets that can be engineered into an unlimited number of its own NK cell products. CRISPR also has an option to co-develop and co-commercialize a future CAR-NK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ind w:right="60" w:firstLine="509"/>
        <w:spacing w:after="0" w:line="245" w:lineRule="auto"/>
        <w:rPr>
          <w:sz w:val="20"/>
          <w:szCs w:val="20"/>
          <w:color w:val="auto"/>
        </w:rPr>
      </w:pPr>
      <w:r>
        <w:rPr>
          <w:rFonts w:ascii="Arial" w:cs="Arial" w:eastAsia="Arial" w:hAnsi="Arial"/>
          <w:sz w:val="18"/>
          <w:szCs w:val="18"/>
          <w:color w:val="auto"/>
        </w:rPr>
        <w:t>Under the terms of the CRISPR Agreement, the Company and CRISPR share equally in all research and development costs and potential profits worldwide related to the CD70 CAR-NK product candidate, NK+T product candidate, and the potential future CAR-NK program. For the NK+T program, CRISPR is responsible for gene-editing activities and T cell related activities, and Nkarta is responsible for NK cell related activities. The related impact of the cost sharing associated with the research and development activities is included in research and development expense on the condensed statements of operations. Expenses related to services performed by the Company are classified as research and development expense. Payments received from CRISPR for partial reimbursement of expenses are recorded as a reduction of research and development expense. As of June 30, 2022, the Company had a $0.7 million receivable under the research cost sharing provision, which is included as part of prepaid expenses and other current assets in the condensed balance sheet.</w:t>
      </w:r>
    </w:p>
    <w:p>
      <w:pPr>
        <w:spacing w:after="0" w:line="173" w:lineRule="exact"/>
        <w:rPr>
          <w:sz w:val="20"/>
          <w:szCs w:val="20"/>
          <w:color w:val="auto"/>
        </w:rPr>
      </w:pPr>
    </w:p>
    <w:p>
      <w:pPr>
        <w:ind w:right="240" w:firstLine="554"/>
        <w:spacing w:after="0" w:line="245" w:lineRule="auto"/>
        <w:rPr>
          <w:sz w:val="20"/>
          <w:szCs w:val="20"/>
          <w:color w:val="auto"/>
        </w:rPr>
      </w:pPr>
      <w:r>
        <w:rPr>
          <w:rFonts w:ascii="Arial" w:cs="Arial" w:eastAsia="Arial" w:hAnsi="Arial"/>
          <w:sz w:val="18"/>
          <w:szCs w:val="18"/>
          <w:color w:val="auto"/>
        </w:rPr>
        <w:t>For each non-collaboration product candidate incorporating a gene editing target licensed from CRISPR, the Company would retain worldwide rights and may be required to make potential future payments based on the achievement of development and regulatory approval milestones totaling less than mid-twenty million dollars for each non-collaboration product, as well as tiered royalties up to the mid-single digits on net product sales of such product. As of June 30, 2022, the Company has not paid any amounts nor are any amounts owed by the Company under the CRISPR Agreement, and no milestones have been achieved.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04"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The Company’s 2020 Performance Incentive Plan (the “2020 Plan”), which was adopted by the Company’s board of directors in June 2020 and approved by the Company’s stockholders in July 2020, became effective upon the consummation of the Company’s initial public offering (“IPO”). Upon the effectiveness of the 2020 Plan, no further grants may be made under the Company’s 2015 Equity Incentive Plan (the “2015 Plan”). The Company’s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44"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A total of 5,945,002 shares of the Company’s common stock is authorized for issuance with respect to awards granted under the 2020 Plan.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w:t>
      </w:r>
    </w:p>
    <w:p>
      <w:pPr>
        <w:sectPr>
          <w:pgSz w:w="11900" w:h="16838" w:orient="portrait"/>
          <w:cols w:equalWidth="0" w:num="1">
            <w:col w:w="11240"/>
          </w:cols>
          <w:pgMar w:left="320" w:top="328" w:right="339" w:bottom="1440" w:gutter="0" w:footer="0" w:header="0"/>
        </w:sectPr>
      </w:pP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option activity under the 2020 Plan and 2015 Plan during the six months ended June 30, 2022:</w:t>
      </w:r>
    </w:p>
    <w:p>
      <w:pPr>
        <w:spacing w:after="0" w:line="32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Weighted-</w:t>
      </w:r>
    </w:p>
    <w:p>
      <w:pPr>
        <w:ind w:left="8600"/>
        <w:spacing w:after="0" w:line="226" w:lineRule="auto"/>
        <w:rPr>
          <w:sz w:val="20"/>
          <w:szCs w:val="20"/>
          <w:color w:val="auto"/>
        </w:rPr>
      </w:pPr>
      <w:r>
        <w:rPr>
          <w:rFonts w:ascii="Arial" w:cs="Arial" w:eastAsia="Arial" w:hAnsi="Arial"/>
          <w:sz w:val="14"/>
          <w:szCs w:val="14"/>
          <w:b w:val="1"/>
          <w:bCs w:val="1"/>
          <w:color w:val="auto"/>
        </w:rPr>
        <w:t>average</w:t>
      </w:r>
    </w:p>
    <w:p>
      <w:pPr>
        <w:ind w:left="8600"/>
        <w:spacing w:after="0"/>
        <w:rPr>
          <w:sz w:val="20"/>
          <w:szCs w:val="20"/>
          <w:color w:val="auto"/>
        </w:rPr>
      </w:pPr>
      <w:r>
        <w:rPr>
          <w:rFonts w:ascii="Arial" w:cs="Arial" w:eastAsia="Arial" w:hAnsi="Arial"/>
          <w:sz w:val="14"/>
          <w:szCs w:val="14"/>
          <w:b w:val="1"/>
          <w:bCs w:val="1"/>
          <w:color w:val="auto"/>
        </w:rPr>
        <w:t>exercise</w:t>
      </w:r>
    </w:p>
    <w:p>
      <w:pPr>
        <w:spacing w:after="0" w:line="1" w:lineRule="exact"/>
        <w:rPr>
          <w:sz w:val="20"/>
          <w:szCs w:val="20"/>
          <w:color w:val="auto"/>
        </w:rPr>
      </w:pPr>
    </w:p>
    <w:p>
      <w:pPr>
        <w:ind w:left="6720"/>
        <w:spacing w:after="0"/>
        <w:tabs>
          <w:tab w:leader="none" w:pos="8660" w:val="left"/>
        </w:tabs>
        <w:rPr>
          <w:sz w:val="20"/>
          <w:szCs w:val="20"/>
          <w:color w:val="auto"/>
        </w:rPr>
      </w:pPr>
      <w:r>
        <w:rPr>
          <w:rFonts w:ascii="Arial" w:cs="Arial" w:eastAsia="Arial" w:hAnsi="Arial"/>
          <w:sz w:val="14"/>
          <w:szCs w:val="14"/>
          <w:b w:val="1"/>
          <w:bCs w:val="1"/>
          <w:color w:val="auto"/>
        </w:rPr>
        <w:t>Number of shares</w:t>
      </w:r>
      <w:r>
        <w:rPr>
          <w:sz w:val="20"/>
          <w:szCs w:val="20"/>
          <w:color w:val="auto"/>
        </w:rPr>
        <w:tab/>
      </w:r>
      <w:r>
        <w:rPr>
          <w:rFonts w:ascii="Arial" w:cs="Arial" w:eastAsia="Arial" w:hAnsi="Arial"/>
          <w:sz w:val="13"/>
          <w:szCs w:val="13"/>
          <w:b w:val="1"/>
          <w:bCs w:val="1"/>
          <w:color w:val="auto"/>
        </w:rPr>
        <w:t>price</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Weighted-</w:t>
      </w:r>
    </w:p>
    <w:p>
      <w:pPr>
        <w:jc w:val="center"/>
        <w:ind w:right="440"/>
        <w:spacing w:after="0" w:line="226" w:lineRule="auto"/>
        <w:rPr>
          <w:sz w:val="20"/>
          <w:szCs w:val="20"/>
          <w:color w:val="auto"/>
        </w:rPr>
      </w:pPr>
      <w:r>
        <w:rPr>
          <w:rFonts w:ascii="Arial" w:cs="Arial" w:eastAsia="Arial" w:hAnsi="Arial"/>
          <w:sz w:val="14"/>
          <w:szCs w:val="14"/>
          <w:b w:val="1"/>
          <w:bCs w:val="1"/>
          <w:color w:val="auto"/>
        </w:rPr>
        <w:t>average</w:t>
      </w:r>
    </w:p>
    <w:p>
      <w:pPr>
        <w:jc w:val="center"/>
        <w:ind w:right="440"/>
        <w:spacing w:after="0"/>
        <w:rPr>
          <w:sz w:val="20"/>
          <w:szCs w:val="20"/>
          <w:color w:val="auto"/>
        </w:rPr>
      </w:pPr>
      <w:r>
        <w:rPr>
          <w:rFonts w:ascii="Arial" w:cs="Arial" w:eastAsia="Arial" w:hAnsi="Arial"/>
          <w:sz w:val="14"/>
          <w:szCs w:val="14"/>
          <w:b w:val="1"/>
          <w:bCs w:val="1"/>
          <w:color w:val="auto"/>
        </w:rPr>
        <w:t>remaining</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contractual</w:t>
      </w:r>
    </w:p>
    <w:p>
      <w:pPr>
        <w:jc w:val="center"/>
        <w:ind w:right="440"/>
        <w:spacing w:after="0" w:line="237" w:lineRule="auto"/>
        <w:rPr>
          <w:sz w:val="20"/>
          <w:szCs w:val="20"/>
          <w:color w:val="auto"/>
        </w:rPr>
      </w:pPr>
      <w:r>
        <w:rPr>
          <w:rFonts w:ascii="Arial" w:cs="Arial" w:eastAsia="Arial" w:hAnsi="Arial"/>
          <w:sz w:val="14"/>
          <w:szCs w:val="14"/>
          <w:b w:val="1"/>
          <w:bCs w:val="1"/>
          <w:color w:val="auto"/>
        </w:rPr>
        <w:t>term</w:t>
      </w:r>
    </w:p>
    <w:p>
      <w:pPr>
        <w:jc w:val="center"/>
        <w:ind w:right="440"/>
        <w:spacing w:after="0"/>
        <w:rPr>
          <w:sz w:val="20"/>
          <w:szCs w:val="20"/>
          <w:color w:val="auto"/>
        </w:rPr>
      </w:pPr>
      <w:r>
        <w:rPr>
          <w:rFonts w:ascii="Arial" w:cs="Arial" w:eastAsia="Arial" w:hAnsi="Arial"/>
          <w:sz w:val="14"/>
          <w:szCs w:val="14"/>
          <w:b w:val="1"/>
          <w:bCs w:val="1"/>
          <w:color w:val="auto"/>
        </w:rPr>
        <w:t>(in years)</w:t>
      </w:r>
    </w:p>
    <w:p>
      <w:pPr>
        <w:spacing w:after="0" w:line="8" w:lineRule="exact"/>
        <w:rPr>
          <w:sz w:val="20"/>
          <w:szCs w:val="20"/>
          <w:color w:val="auto"/>
        </w:rPr>
      </w:pPr>
    </w:p>
    <w:p>
      <w:pPr>
        <w:sectPr>
          <w:pgSz w:w="11900" w:h="16838" w:orient="portrait"/>
          <w:cols w:equalWidth="0" w:num="2">
            <w:col w:w="9940" w:space="160"/>
            <w:col w:w="1140"/>
          </w:cols>
          <w:pgMar w:left="320" w:top="32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4,204,686</w:t>
            </w:r>
          </w:p>
        </w:tc>
        <w:tc>
          <w:tcPr>
            <w:tcW w:w="2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24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1,642,598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(109,450 )</w:t>
            </w: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(480,080 )</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20.47</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5,257,754</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40" w:type="dxa"/>
            <w:vAlign w:val="bottom"/>
          </w:tcPr>
          <w:p>
            <w:pPr>
              <w:ind w:left="20"/>
              <w:spacing w:after="0" w:line="196" w:lineRule="exact"/>
              <w:rPr>
                <w:sz w:val="20"/>
                <w:szCs w:val="20"/>
                <w:color w:val="auto"/>
              </w:rPr>
            </w:pPr>
            <w:r>
              <w:rPr>
                <w:rFonts w:ascii="Arial" w:cs="Arial" w:eastAsia="Arial" w:hAnsi="Arial"/>
                <w:sz w:val="18"/>
                <w:szCs w:val="18"/>
                <w:color w:val="auto"/>
              </w:rPr>
              <w:t>Exercisable at June 30, 2022</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2,078,037</w:t>
            </w:r>
          </w:p>
        </w:tc>
        <w:tc>
          <w:tcPr>
            <w:tcW w:w="28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16.32</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Vested and expected to vest at June 30, 2022</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5,257,754</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17.31</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-351155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-334010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-351155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-334010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grant date fair value of stock option grants was $8.49 per share for the six months ended June 30, 2022.</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unit activity under the 2020 Plan during the six months ended June 30, 2022: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r>
      <w:tr>
        <w:trPr>
          <w:trHeight w:val="148"/>
        </w:trPr>
        <w:tc>
          <w:tcPr>
            <w:tcW w:w="7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grant date fair value per</w:t>
            </w:r>
          </w:p>
        </w:tc>
        <w:tc>
          <w:tcPr>
            <w:tcW w:w="100" w:type="dxa"/>
            <w:vAlign w:val="bottom"/>
          </w:tcPr>
          <w:p>
            <w:pPr>
              <w:spacing w:after="0"/>
              <w:rPr>
                <w:sz w:val="12"/>
                <w:szCs w:val="12"/>
                <w:color w:val="auto"/>
              </w:rPr>
            </w:pPr>
          </w:p>
        </w:tc>
      </w:tr>
      <w:tr>
        <w:trPr>
          <w:trHeight w:val="198"/>
        </w:trPr>
        <w:tc>
          <w:tcPr>
            <w:tcW w:w="7640" w:type="dxa"/>
            <w:vAlign w:val="bottom"/>
          </w:tcPr>
          <w:p>
            <w:pPr>
              <w:spacing w:after="0"/>
              <w:rPr>
                <w:sz w:val="17"/>
                <w:szCs w:val="17"/>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7"/>
                <w:szCs w:val="17"/>
                <w:color w:val="auto"/>
              </w:rPr>
            </w:pPr>
          </w:p>
        </w:tc>
        <w:tc>
          <w:tcPr>
            <w:tcW w:w="1440" w:type="dxa"/>
            <w:vAlign w:val="bottom"/>
          </w:tcPr>
          <w:p>
            <w:pPr>
              <w:jc w:val="center"/>
              <w:ind w:right="115"/>
              <w:spacing w:after="0"/>
              <w:rPr>
                <w:sz w:val="20"/>
                <w:szCs w:val="20"/>
                <w:color w:val="auto"/>
              </w:rPr>
            </w:pPr>
            <w:r>
              <w:rPr>
                <w:rFonts w:ascii="Arial" w:cs="Arial" w:eastAsia="Arial" w:hAnsi="Arial"/>
                <w:sz w:val="14"/>
                <w:szCs w:val="14"/>
                <w:b w:val="1"/>
                <w:bCs w:val="1"/>
                <w:color w:val="auto"/>
                <w:w w:val="85"/>
              </w:rPr>
              <w:t>share</w:t>
            </w:r>
          </w:p>
        </w:tc>
        <w:tc>
          <w:tcPr>
            <w:tcW w:w="100" w:type="dxa"/>
            <w:vAlign w:val="bottom"/>
          </w:tcPr>
          <w:p>
            <w:pPr>
              <w:spacing w:after="0"/>
              <w:rPr>
                <w:sz w:val="17"/>
                <w:szCs w:val="17"/>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356,908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(36,630 )</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320,278</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The Company’s 2020 Employee Stock Purchase Plan (the “ESPP”), which was adopted by the Company’s board of directors in June 2020 and approved by the Company’s stockholders in July 2020, became effective upon the consummation of the IPO. A total of 952,524 shares of the Company’s common stock is available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As of June 30, 2022, no shares had been issued under the ESPP, and the full number of shares authorized under the ESPP was available for issuance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Restricted Stock Options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Shares subject to repurchase by the Company were 2,475 shares and 16,181 shares, and the related liability recorded under other long-term liabilities in the condensed balance sheets was insignificant as of June 30, 2022 and December 31, 2021,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 expense for the three and six months ended June 30, 2022 and 2021 was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1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1,602</w:t>
            </w:r>
          </w:p>
        </w:tc>
        <w:tc>
          <w:tcPr>
            <w:tcW w:w="28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1,744</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88"/>
              </w:rPr>
              <w:t>3,457</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2,310</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1,946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8"/>
              </w:rPr>
              <w:t>4,552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18"/>
                <w:szCs w:val="18"/>
                <w:color w:val="auto"/>
              </w:rPr>
            </w:pPr>
          </w:p>
        </w:tc>
      </w:tr>
      <w:tr>
        <w:trPr>
          <w:trHeight w:val="250"/>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share-based compensation</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3,912</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3,690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88"/>
              </w:rPr>
              <w:t>8,009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both"/>
        <w:ind w:right="40" w:firstLine="509"/>
        <w:spacing w:after="0" w:line="303" w:lineRule="auto"/>
        <w:rPr>
          <w:sz w:val="20"/>
          <w:szCs w:val="20"/>
          <w:color w:val="auto"/>
        </w:rPr>
      </w:pPr>
      <w:r>
        <w:rPr>
          <w:rFonts w:ascii="Arial" w:cs="Arial" w:eastAsia="Arial" w:hAnsi="Arial"/>
          <w:sz w:val="16"/>
          <w:szCs w:val="16"/>
          <w:color w:val="auto"/>
        </w:rPr>
        <w:t>The total unrecognized compensation cost related to unvested stock options was $44.5 million, which is expected to be recognized over a weighted-average remaining service period of 2.60 years as of June 30, 2022. The total unrecognized compensation cost related to unvested restricted stock units was $3.9 million, which is expected to be recognized over a weighted-average remaining service period of 3.69 years as of June 30, 2022.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There was no provision for income taxes recorded during the three and six months ended June 30, 2022 and 2021. The Company’s deferred tax assets continue to be fully offset by a valuation allowance</w:t>
      </w:r>
      <w:r>
        <w:rPr>
          <w:rFonts w:ascii="Arial" w:cs="Arial" w:eastAsia="Arial" w:hAnsi="Arial"/>
          <w:sz w:val="18"/>
          <w:szCs w:val="18"/>
          <w:color w:val="212529"/>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In August 2022, the Company signed amendment lease agreements for its future cell therapy manufacturing facility and company headquarters and for its existing facilities in South San Francisco, California. The amendments provide for approximately $15.0 million of additional tenant improvement allowances, in addition to the tenant improvement allowances of $25.2 million included in the original lease agreement. Additionally, the amendments increase the rent and term of the lease for some of the Company's existing facilities. As a result of the amendments, the Company expects the lease liability and corresponding right-of-use-asset to increase based on the present value of the remaining minimum rental payments using discount rates as of the effective date of the amendments. At this time, the amount of the increase to the lease liability and corresponding right-of-use-asset has not been determined but will be reflected in the condensed balance sheet as of September 30, 2022.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Securities and Exchange Commission (the “SEC”), on March 17, 2022 for the fiscal year ended December 31, 2021,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We are a biopharmaceutical company focused on the discovery, development and commercialization of allogeneic, off-the-shelf engineered natural killer (“NK”) cell therapies to treat cancer. We currently have co-lead product candidates, NKX101, a CAR-NK product candidate targeting cells that display NKG2D ligands, and NKX019, a CAR-NK product candidate targeting CD19, in ongoing Phase 1 clinical trials. Both product candidates incorporate proprietary technologies that enable us to generate an abundant supply of NK cells, improve the persistence of these cells for sustained activity in the body, engineer enhanced NK cell recognition of tumor targets, enhance cell fitness and tumor microenvironment evasion, and freeze, store and thaw our engineered NK cells for the treatment of cancer. Our product candidates are designed to be allogeneic and off-the-shelf, which means they are produced using cells from a different person than the patient treated, and they are produced in quantity, then frozen and therefore available for treating patients without delay, unlike autologous cell therapies, which are derived from a patient’s own cells. Based on published data from clinical trials of certain NK cell therapies, we believe that engineered NK cells have the potential to be an effective cancer therapy, be well tolerated, and avoid some of the toxicities observed with other cell therapies.</w:t>
      </w:r>
    </w:p>
    <w:p>
      <w:pPr>
        <w:spacing w:after="0" w:line="72"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Our modular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w:t>
      </w:r>
    </w:p>
    <w:p>
      <w:pPr>
        <w:spacing w:after="0" w:line="7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NKX101 is currently being studied in a multi-center Phase 1 clinical trial in the U.S. for the treatment of relapsed/refractory acute myeloid leukemia ("AML") and higher-risk myelodysplastic syndromes ("MDS"). This ongoing first-in-human study evaluates the safety, pharmacokinetics, and preliminary anti-tumor activity of NKX101 when administered after lymphodepleting chemotherapy. The clinical trial consists of dose-finding followed by dose-expansion and is designed to identify the recommended Phase 2 dose.</w:t>
      </w:r>
    </w:p>
    <w:p>
      <w:pPr>
        <w:spacing w:after="0" w:line="93"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NKX019 is currently being studied in a multi-center Phase 1 clinical trial in the U.S. and Australia for the treatment of a variety of B-cell malignancies by targeting the CD19 antigen that is found on these types of cancerous cells and where CD19-targeted engineered NK cells, T cells and monoclonal antibodies have demonstrated clinical activity. This ongoing first-in-human study evaluates the safety, pharmacokinetics, and preliminary anti-tumor activity of NKX019 when administered after lymphodepleting chemotherapy. The clinical trial consists of dose-finding followed by dose-expansion and is designed to identify the recommended Phase 2 dose.</w:t>
      </w:r>
    </w:p>
    <w:p>
      <w:pPr>
        <w:spacing w:after="0" w:line="78"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Under the Company’s research collaboration agreement with CRISPR Therapeutics AG ("CRISPR") entered into in May 2021 (as amended, the "CRISPR Agreement"), we are collaboratively designing and advancing up to two allogeneic, gene-edited NK cell therapies, one of which is the engineered CAR-NK product candidate targeting the CD70 tumor antigen, and one allogeneic, gene-edited NK+T cell therapy.</w:t>
      </w:r>
    </w:p>
    <w:p>
      <w:pPr>
        <w:spacing w:after="0" w:line="50"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(“IPO”) completed in July 2020, the issuance of convertible promissory notes, private placements of our preferred stock, the secondary offering of our common stock completed in April 2022, and with proceeds from our previous collaboration. We incurred a net loss of $86.1 million and $91.4 million during the years ended December 31, 2021 and 2020, respectively, and $52.9 million and $40.9 million during the six months ended June 30, 2022 and 2021, respectively, and we expect to continue to incur significant losses for the foreseeable future. As of June 30, 2022, we had an accumulated deficit of $257.0 million. At June 30, 2022, we had cash, cash equivalents, restricted cash and short-term investments of $415.0 million.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140" w:firstLine="509"/>
        <w:spacing w:after="0" w:line="283" w:lineRule="auto"/>
        <w:rPr>
          <w:sz w:val="20"/>
          <w:szCs w:val="20"/>
          <w:color w:val="auto"/>
        </w:rPr>
      </w:pPr>
      <w:r>
        <w:rPr>
          <w:rFonts w:ascii="Arial" w:cs="Arial" w:eastAsia="Arial" w:hAnsi="Arial"/>
          <w:sz w:val="16"/>
          <w:szCs w:val="16"/>
          <w:color w:val="auto"/>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April 28, 2022, we issued and sold 15,333,334 shares of our common stock in an underwritten public offering, including 2,000,000 shares</w:t>
      </w:r>
    </w:p>
    <w:p>
      <w:pPr>
        <w:spacing w:after="0" w:line="1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associated with the full exercise of the underwriters’ option to purchase additional shares, at a price to the public of $15.00 per share. The total net proceeds from the offering were approximately $215.3 million, after deducting underwriting discounts and commissions and offering expenses.</w:t>
      </w:r>
    </w:p>
    <w:p>
      <w:pPr>
        <w:spacing w:after="0" w:line="3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Update on COVID-19 and Macroeconomic Conditions</w:t>
      </w:r>
    </w:p>
    <w:p>
      <w:pPr>
        <w:spacing w:after="0" w:line="108"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Our operations have been and may in the future be impacted by the COVID-19 pandemic, as well as by global and national economic and market conditions generally.</w:t>
      </w:r>
    </w:p>
    <w:p>
      <w:pPr>
        <w:spacing w:after="0" w:line="49"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The COVID-19 pandemic has caused and may in the future cause disruptions in the conduct and enrollment of current and future clinical trials due to, among other things, bed shortages and staffing challenges at our treating hospitals. Hospitals may experience staffing challenges as a result of employee turnover and attrition, the current labor shortage, and/or personnel being pulled off clinical trials to care for patients with COVID-19. In addition, the COVID-19 pandemic has resulted in a significant increase in FDA workload, as well as the need to reprioritize the projects under review. As a result, we may experience delays in FDA timelines along the course of the regulatory process.</w:t>
      </w:r>
    </w:p>
    <w:p>
      <w:pPr>
        <w:spacing w:after="0" w:line="9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continuing disruptions in the global supply chain have also resulted in limited disruptions in the supply of our product candidates, as well as global supply shortages of certain materials that we and our contract development and manufacturing organization (“CDMO”) partners use for research and current good manufacturing practice manufacturing, such as certain raw materials, cell culture media, disposable plastics, and equipment. To the extent there is a subsequent outbreak of COVID-19, or if it begins to significantly impact essential distribution systems or our third-party manufacturers, contractors or suppliers, we may experience further disruptions in our supply chain and operations with associated delays in the manufacturing and supply of our product candidates.</w:t>
      </w:r>
    </w:p>
    <w:p>
      <w:pPr>
        <w:spacing w:after="0" w:line="93"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In addition, we could in the future experience delays in the construction of our commercial-scale GMP manufacturing facility and future headquarters due to the COVID-19 pandemic and current macroeconomic conditions. We have seen significant inflation in construction costs in the last 6 months, which has negatively affected the costs of constructing our new facility. In addition, global supply chain disruptions, including procurement delays and long lead times on certain materials, could adversely impact the scheduled completion and/or costs of constructing our new facility.</w:t>
      </w:r>
    </w:p>
    <w:p>
      <w:pPr>
        <w:spacing w:after="0" w:line="61"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We continuously monitor the effects of domestic and global events, including but not limited to the current and expected impact of the COVID-19 pandemic, inflation, labor shortages, and supply chain matters on our operations, including continued enrollment in the NKX101 and NKX019 clinical trials, as well as on our CROs, CDMOs, and clinical trial sites, to ensure that we remain responsive and adaptable to the dynamic changes in our operating environment.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Research and development costs consist primarily of costs incurred for the discovery and clinical development of our drug candidates, which include:</w:t>
      </w:r>
    </w:p>
    <w:p>
      <w:pPr>
        <w:spacing w:after="0" w:line="76" w:lineRule="exact"/>
        <w:rPr>
          <w:sz w:val="20"/>
          <w:szCs w:val="20"/>
          <w:color w:val="auto"/>
        </w:rPr>
      </w:pPr>
    </w:p>
    <w:p>
      <w:pPr>
        <w:ind w:left="1020" w:right="36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in connection with research, laboratory consumables, sponsored research, and preclinical studies;</w:t>
      </w:r>
    </w:p>
    <w:p>
      <w:pPr>
        <w:spacing w:after="0" w:line="117"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consultants engaged in research and development related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to manufacture drug products for use in our preclinical studies and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0" w:name="page21"/>
    <w:bookmarkEnd w:id="20"/>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allocated expenses for rent and maintenance of facilities, insurance and supplies;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regulatory compliance;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annual license fees.</w:t>
      </w:r>
    </w:p>
    <w:p>
      <w:pPr>
        <w:spacing w:after="0" w:line="212" w:lineRule="exact"/>
        <w:rPr>
          <w:sz w:val="20"/>
          <w:szCs w:val="20"/>
          <w:color w:val="auto"/>
        </w:rPr>
      </w:pPr>
    </w:p>
    <w:p>
      <w:pPr>
        <w:ind w:right="280" w:firstLine="509"/>
        <w:spacing w:after="0" w:line="249" w:lineRule="auto"/>
        <w:rPr>
          <w:sz w:val="20"/>
          <w:szCs w:val="20"/>
          <w:color w:val="auto"/>
        </w:rPr>
      </w:pPr>
      <w:r>
        <w:rPr>
          <w:rFonts w:ascii="Arial" w:cs="Arial" w:eastAsia="Arial" w:hAnsi="Arial"/>
          <w:sz w:val="18"/>
          <w:szCs w:val="18"/>
          <w:color w:val="auto"/>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spacing w:after="0" w:line="181"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67"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following table summarizes our research and development expenses for the three and six months ended June 30, 2022 and 2021.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from the CRISPR Agreement. The unallocated internal research and development costs include personnel, facility costs, laboratory consumables and discovery and research related activities associated with our pipeline.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3"/>
          </w:tcPr>
          <w:p>
            <w:pPr>
              <w:jc w:val="center"/>
              <w:ind w:left="156"/>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center"/>
              <w:ind w:right="356"/>
              <w:spacing w:after="0"/>
              <w:rPr>
                <w:sz w:val="20"/>
                <w:szCs w:val="20"/>
                <w:color w:val="auto"/>
              </w:rPr>
            </w:pPr>
            <w:r>
              <w:rPr>
                <w:rFonts w:ascii="Arial" w:cs="Arial" w:eastAsia="Arial" w:hAnsi="Arial"/>
                <w:sz w:val="14"/>
                <w:szCs w:val="14"/>
                <w:b w:val="1"/>
                <w:bCs w:val="1"/>
                <w:color w:val="auto"/>
                <w:w w:val="84"/>
              </w:rPr>
              <w:t>thousands)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development program expenses: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NKX101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4,771</w:t>
            </w:r>
          </w:p>
        </w:tc>
        <w:tc>
          <w:tcPr>
            <w:tcW w:w="260" w:type="dxa"/>
            <w:vAlign w:val="bottom"/>
          </w:tcPr>
          <w:p>
            <w:pPr>
              <w:spacing w:after="0"/>
              <w:rPr>
                <w:sz w:val="18"/>
                <w:szCs w:val="18"/>
                <w:color w:val="auto"/>
              </w:rPr>
            </w:pPr>
          </w:p>
        </w:tc>
        <w:tc>
          <w:tcPr>
            <w:tcW w:w="820" w:type="dxa"/>
            <w:vAlign w:val="bottom"/>
          </w:tcPr>
          <w:p>
            <w:pPr>
              <w:jc w:val="center"/>
              <w:ind w:right="6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3,066</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8,258</w:t>
            </w:r>
          </w:p>
        </w:tc>
        <w:tc>
          <w:tcPr>
            <w:tcW w:w="240" w:type="dxa"/>
            <w:vAlign w:val="bottom"/>
          </w:tcPr>
          <w:p>
            <w:pPr>
              <w:spacing w:after="0"/>
              <w:rPr>
                <w:sz w:val="18"/>
                <w:szCs w:val="18"/>
                <w:color w:val="auto"/>
              </w:rPr>
            </w:pPr>
          </w:p>
        </w:tc>
        <w:tc>
          <w:tcPr>
            <w:tcW w:w="44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NKX019</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CD70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NK+T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Program 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Partner cost sharing</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(726 )</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(1,775 )</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Unallocated internal research and development costs: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 related (including share-based compensation)</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7,906</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16,632</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13,901</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Others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11,708</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100" w:type="dxa"/>
            <w:vAlign w:val="bottom"/>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research and development costs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21,049</w:t>
            </w: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center"/>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15,957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40,617</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center"/>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-24765</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p>
    <w:p>
      <w:pPr>
        <w:spacing w:after="0" w:line="200"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w:t>
      </w:r>
    </w:p>
    <w:p>
      <w:pPr>
        <w:spacing w:after="0" w:line="25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right="20" w:firstLine="509"/>
        <w:spacing w:after="0" w:line="24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Interest income consists of interest earned on our cash, cash equivalents and short-term investments and adjustments related to amortization of purchase premiums and accretion of discounts of short-term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21,049</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15,957</w:t>
            </w: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5,092</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40,617</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29,496</w:t>
            </w: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86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Total other income</w:t>
            </w:r>
          </w:p>
        </w:tc>
        <w:tc>
          <w:tcPr>
            <w:tcW w:w="2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(expense), net</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(26,923 )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(21,535 )</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(5,388 )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(52,910 )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(40,908 )</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(12,002 )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-1130935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-1130935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-1130935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-1130935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-1130935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-170815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2022 and 2021</w:t>
      </w:r>
    </w:p>
    <w:p>
      <w:pPr>
        <w:spacing w:after="0" w:line="221"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color w:val="auto"/>
        </w:rPr>
        <w:t>. Research and development expenses were $21.0 million and $16.0 million for the three months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2022 and 2021, respectively. The increase of $5.1 million was primarily due to an increase in personnel costs of $0.9 million as a result of continued growth in headcount, an increase of $3.1 million in program costs primarily relating to NKX101 and NKX019 and $1.9 million in other internal research costs, primarily consisting of research and laboratory supplies and facilities expenses, partially offset by $0.7 million in partner cost sharing reimbursable expenses from the CRISPR Agreement.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$40.6 million and $29.5 million for the six months ended June 30, 2022 and 2021,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of $11.1 million was primarily due to an increase in personnel costs of $2.7 million as a result of continued growth in headcount, an increase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$5.9 million in program costs primarily relating to NKX101 and NKX019 and $4.4 million in other internal research costs, primarily consisting of research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laboratory supplies and facilities expenses, partially offset by $1.8 million in partner cost sharing reimbursable expenses from the CRISPR Agreement.</w:t>
      </w:r>
    </w:p>
    <w:p>
      <w:pPr>
        <w:spacing w:after="0" w:line="23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increase in program costs relating to NKX101 and NKX019, in both the three and six months ended June 30, 2022, is primarily due to additional clinical development activities compared to the prior year period. We expect our research and development expenses will continue to increase in future periods as we progress our product candidates and conduct our clinical trials and development activities.</w:t>
      </w:r>
    </w:p>
    <w:p>
      <w:pPr>
        <w:spacing w:after="0" w:line="178" w:lineRule="exact"/>
        <w:rPr>
          <w:sz w:val="20"/>
          <w:szCs w:val="20"/>
          <w:color w:val="auto"/>
        </w:rPr>
      </w:pPr>
    </w:p>
    <w:p>
      <w:pPr>
        <w:ind w:right="160" w:firstLine="509"/>
        <w:spacing w:after="0" w:line="250"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 General and administrative expenses were $6.6 million and $5.7 million for the three months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2022 and 2021, respectively. The increase of $0.9 million was primarily due to an increase in personnel costs of $0.8 million, including an increase of $0.4 million in share-based compensation expense as a result of continued growth in headcount, and a $0.4 million increase in other general and administrative expenses that included insurance, rent, depreciation expense and other facilities expense, partially offset by a $0.3 million decrease in legal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right="100" w:firstLine="509"/>
        <w:spacing w:after="0" w:line="268" w:lineRule="auto"/>
        <w:rPr>
          <w:sz w:val="20"/>
          <w:szCs w:val="20"/>
          <w:color w:val="auto"/>
        </w:rPr>
      </w:pPr>
      <w:r>
        <w:rPr>
          <w:rFonts w:ascii="Arial" w:cs="Arial" w:eastAsia="Arial" w:hAnsi="Arial"/>
          <w:sz w:val="17"/>
          <w:szCs w:val="17"/>
          <w:color w:val="auto"/>
        </w:rPr>
        <w:t>General and administrative expenses were $13.1 million and $11.6 million for the six months ended June 30, 2022 and 2021, respectively. The increase of $1.5 million was primarily due to an increase in personnel costs of $1.5 million, including an increase of $0.8 million in share-based compensation expense as a result of continued growth in headcount, and a $0.7 million increase in other general and administrative expenses that included insurance, rent, depreciation expense and other facilities expense, partially offset by a $0.7 million decrease in legal expenses.</w:t>
      </w:r>
    </w:p>
    <w:p>
      <w:pPr>
        <w:spacing w:after="0" w:line="166"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We have incurred and expect to continue to incur additional expenses as a result of being a public company, which we expect will further increase when we no longer qualify as an “emerging growth company” under the JOBS Act. In addition, we have incurred and expect to continue to incur increased expenses related to additional insurance, investor relations and other increases related to needs for additional human resources and professional services associated with being a public company.</w:t>
      </w:r>
    </w:p>
    <w:p>
      <w:pPr>
        <w:spacing w:after="0" w:line="190" w:lineRule="exact"/>
        <w:rPr>
          <w:sz w:val="20"/>
          <w:szCs w:val="20"/>
          <w:color w:val="auto"/>
        </w:rPr>
      </w:pPr>
    </w:p>
    <w:p>
      <w:pPr>
        <w:ind w:right="140" w:firstLine="509"/>
        <w:spacing w:after="0" w:line="250"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 Interest income was $0.7 million and $0.1 million for the three months ended June 30, 2022 and 2021, respectively.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was due to interest earned from short-term investments, partially offset by amortization of purchase premiums and accretion of discounts of short-term investments.</w:t>
      </w:r>
    </w:p>
    <w:p>
      <w:pPr>
        <w:spacing w:after="0" w:line="181"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Interest income was $0.8 million and $0.2 million for the six months ended June 30, 2022 and 2021, respectively. Interest income was due to interest earned from short-term investments, partially offset by amortization of purchase premiums and accretion of discounts of short-term investments.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right="60" w:firstLine="509"/>
        <w:spacing w:after="0" w:line="324" w:lineRule="auto"/>
        <w:rPr>
          <w:sz w:val="20"/>
          <w:szCs w:val="20"/>
          <w:color w:val="auto"/>
        </w:rPr>
      </w:pPr>
      <w:r>
        <w:rPr>
          <w:rFonts w:ascii="Arial" w:cs="Arial" w:eastAsia="Arial" w:hAnsi="Arial"/>
          <w:sz w:val="16"/>
          <w:szCs w:val="16"/>
          <w:color w:val="auto"/>
        </w:rPr>
        <w:t>As of June 30, 2022, we had cash, cash equivalents, restricted cash and short-term investments of $415.0 million. In connection with our IPO which closed on July 14, 2020, we received $265.1 million in net proceeds, after deducting underwriting discounts and commissions and other offering expenses.</w:t>
      </w:r>
    </w:p>
    <w:p>
      <w:pPr>
        <w:spacing w:after="0" w:line="12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On August 12, 2021, we filed a Registration Statement on Form S-3 (the “Shelf Registration Statement”), covering the offer and sale from time to time, pursuant to Rule 415 of the Securities Act of 1933, as amended (the “Securities Act”), of up to $500.0 million in aggregate offering price of shares of our common stock, shares of our preferred stock, debt securities, warrants, and rights and units. The Shelf Registration Statement was declared effective by the SEC on September 2, 2021. The Shelf Registration Statement included a prospectus covering the offer and sale from time to time of up to $150.0 million in aggregate offering price of shares of the Company’s common stock through an “at-the-market” equity offering program under the Securities Act (the “ATM Offering Program”) with Cowen and Company, LLC, as sales agent. As of June 30, 2022, no sales of our common stock had been made pursuant to the ATM Offering Program.</w:t>
      </w:r>
    </w:p>
    <w:p>
      <w:pPr>
        <w:spacing w:after="0" w:line="18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On April 28, 2022, we issued and sold 15,333,334 shares of our common stock in an underwritten public offering, including 2,000,000 shares associated with the full exercise of the underwriters’ option to purchase additional shares, at a price to the public of $15.00 per share. The total net proceeds from the offering were approximately $215.3 million, after deducting underwriting discounts and commissions and offering expenses.</w:t>
      </w:r>
    </w:p>
    <w:p>
      <w:pPr>
        <w:spacing w:after="0" w:line="69" w:lineRule="exact"/>
        <w:rPr>
          <w:sz w:val="20"/>
          <w:szCs w:val="20"/>
          <w:color w:val="auto"/>
        </w:rPr>
      </w:pPr>
    </w:p>
    <w:p>
      <w:pPr>
        <w:ind w:right="140" w:firstLine="509"/>
        <w:spacing w:after="0" w:line="260" w:lineRule="auto"/>
        <w:rPr>
          <w:sz w:val="20"/>
          <w:szCs w:val="20"/>
          <w:color w:val="auto"/>
        </w:rPr>
      </w:pPr>
      <w:r>
        <w:rPr>
          <w:rFonts w:ascii="Arial" w:cs="Arial" w:eastAsia="Arial" w:hAnsi="Arial"/>
          <w:sz w:val="17"/>
          <w:szCs w:val="17"/>
          <w:color w:val="auto"/>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We will need substantial additional funding to support our continuing operations and pursue our long-term development strategy.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7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believe that our current cash, cash equivalents, restricted cash and short-term investments as of June 30, 2022 will be sufficient to meet our cash needs for at least 12 months following the issuance date of this Quarterly Report on Form 10-Q.</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17"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(34,872</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(110,322 )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(41,145 )</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216,024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70,830</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(72,232 )</w:t>
            </w: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Net cash used in operating activities was $34.9 million and $32.0 million for the six months ended June 30, 2022 and 2021, respectively. The net cash used in operating activities for the six months ended June 30, 2022 was primarily due to our net loss of $52.9 million, adjusted for $12.4 million of net non-cash charges consisting primarily of share-based compensation of $8.0 million, depreciation and amortization of $1.2 million, investment accretion and amortization of $1.1 million, non-cash lease expense of $2.0 million and a $5.7 million net change in operating assets and liabilities. The net cash used in operating activities for the six months ended June 30, 2021 was primarily due to our net loss of $40.9 million, adjusted for $9.5 million of net non-cash charges consisting primarily of share-based compensation of $7.0 million, depreciation and amortization of $0.7 million, and investment accretion and amortization of $1.6 million, and a $0.7 million net change in operating assets and liabilities.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Net cash used in investing activities was $110.3 million and $41.1 million for the six months ended June 30, 2022 and 2021, respectively. The net cash used in investing activities for the six months ended June 30, 2022 was primarily due to purchases of short-term investments of $175.0 million and purchases of property and equipment of $4.4 million primarily related to the construction of our manufacturing facility, partially offset by proceeds from maturities of short-term investments of $69.1 million. The net cash used in investing activities for the six months ended June 30, 2021 was primarily due to purchases of short-term investments of $86.2 million, partially offset by proceeds from maturities of short-term investments of $47.5 million and purchases of property and equipment of $2.4 million primarily related to the construction of our manufacturing facility.</w:t>
      </w:r>
    </w:p>
    <w:p>
      <w:pPr>
        <w:spacing w:after="0" w:line="29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ind w:right="80" w:firstLine="509"/>
        <w:spacing w:after="0" w:line="278" w:lineRule="auto"/>
        <w:rPr>
          <w:sz w:val="20"/>
          <w:szCs w:val="20"/>
          <w:color w:val="auto"/>
        </w:rPr>
      </w:pPr>
      <w:r>
        <w:rPr>
          <w:rFonts w:ascii="Arial" w:cs="Arial" w:eastAsia="Arial" w:hAnsi="Arial"/>
          <w:sz w:val="17"/>
          <w:szCs w:val="17"/>
          <w:color w:val="auto"/>
        </w:rPr>
        <w:t>Net cash provided by financing activities was $216.0 million for the six months ended June 30, 2022, primarily due to the proceeds of $215.6 million from our secondary offering, net of issuance costs, and proceeds of $0.4 million from the exercise of stock options. Net cash provided by financing activities was $1.0 million for the six months ended June 30, 2021, primarily due to proceeds from the exercise of stock options.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Based upon our current operating plans, we believe that our existing cash, cash equivalents, restricted cash and short-term investments will be</w:t>
      </w:r>
    </w:p>
    <w:p>
      <w:pPr>
        <w:spacing w:after="0" w:line="4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1020" w:right="40" w:hanging="503"/>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24" w:lineRule="exact"/>
        <w:rPr>
          <w:rFonts w:ascii="Arial" w:cs="Arial" w:eastAsia="Arial" w:hAnsi="Arial"/>
          <w:sz w:val="17"/>
          <w:szCs w:val="17"/>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costs of regulatory review of our product candidates;</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and the costs associated with building our manufacturing facilities;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left="1020" w:right="20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03"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48"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willingness or ability to pay out-of-pocket for any approved products in the absence of coverage and/or adequate reimbursement from third-party payors;</w:t>
      </w:r>
    </w:p>
    <w:p>
      <w:pPr>
        <w:spacing w:after="0" w:line="76"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 and other intellectual property rights;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any product candidates, products or technologies that we may in-license or acquire.</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Until such time as we can generate significant revenue from sales of our therapeutic product candidates, if ever, we expect to finance our cash needs through public or private equity, including pursuant to our ATM Offering Program, or debt financings or other capital sources, including potential collaborations, licenses and other similar arrangements.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Material Cash Requirements</w:t>
      </w:r>
    </w:p>
    <w:p>
      <w:pPr>
        <w:spacing w:after="0" w:line="81"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In May 2018, we entered into a lease agreement for our corporate office and laboratory space located in South San Francisco, California with an expiration date in May 2025 (the “Initial Lease Agreement”). In April 2019, we executed the first amendment to the Initial Lease Agreement for additional corporate space, laboratory space and manufacturing capabilities and an extension to the lease term through April 2026. The terms of the lease amendment contain a rent abatement for the first month and rent escalation provisions. In addition to the base rent payments, we will be obligated to pay certain customary amounts for our share of operating expenses and tax obligations related to the facilities.</w:t>
      </w:r>
    </w:p>
    <w:p>
      <w:pPr>
        <w:spacing w:after="0" w:line="63"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In May 2020, we executed the second amendment to the Initial Lease Agreement for an eight-year non-cancelable lease for additional office and laboratory space in the same building. The lease amendment for the additional space provided for abatement of rent during the first three months of the lease and contained rent escalations during the term of the lease. The lease amendment for this additional space commenced in January 2021 and expires in January 2029. The lease amendment also included an extension of the lease term of our existing office and laboratory space through January 2029, with an option to extend the lease for an additional seven-year term.</w:t>
      </w:r>
    </w:p>
    <w:p>
      <w:pPr>
        <w:spacing w:after="0" w:line="91" w:lineRule="exact"/>
        <w:rPr>
          <w:sz w:val="20"/>
          <w:szCs w:val="20"/>
          <w:color w:val="auto"/>
        </w:rPr>
      </w:pPr>
    </w:p>
    <w:p>
      <w:pPr>
        <w:ind w:right="20" w:firstLine="509"/>
        <w:spacing w:after="0" w:line="291" w:lineRule="auto"/>
        <w:rPr>
          <w:sz w:val="20"/>
          <w:szCs w:val="20"/>
          <w:color w:val="auto"/>
        </w:rPr>
      </w:pPr>
      <w:r>
        <w:rPr>
          <w:rFonts w:ascii="Arial" w:cs="Arial" w:eastAsia="Arial" w:hAnsi="Arial"/>
          <w:sz w:val="17"/>
          <w:szCs w:val="17"/>
          <w:color w:val="auto"/>
        </w:rPr>
        <w:t>In January 2021, we executed the third amendment to the Initial Lease Agreement for a three-year non-cancelable lease for additional office space in the same building. The lease amendment for this additional space commenced in the second quarter of 2021 and expires in March 2024.</w:t>
      </w:r>
    </w:p>
    <w:p>
      <w:pPr>
        <w:spacing w:after="0" w:line="3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October 2021, we executed the fourth amendment to the Initial Lease Agreement for a seven-year non-cancelable lease for additional office and laboratory space in the same building. The lease amendment for additional space provided for abatement of rent during the first two months of the lease and contained rent escalations during the term of the lease. The lease amendment for this additional space is anticipated to commence in April 2022 and expires in January 2029. The Company expects to pay base rent of approximately $4.6 million over the lease term. The lease amendment also includes this additional space in our option to extend the lease for an additional seven-year term. The other terms of the Initial Lease Agreement, as amended, remain unchanged.</w:t>
      </w:r>
    </w:p>
    <w:p>
      <w:pPr>
        <w:spacing w:after="0" w:line="7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 July 2021, we entered into a lease agreement for corporate office, manufacturing and laboratory space located in South San Francisco, California with an expirati</w:t>
      </w:r>
      <w:r>
        <w:rPr>
          <w:rFonts w:ascii="Arial" w:cs="Arial" w:eastAsia="Arial" w:hAnsi="Arial"/>
          <w:sz w:val="18"/>
          <w:szCs w:val="18"/>
          <w:color w:val="212529"/>
        </w:rPr>
        <w:t>on date approximately twelve years after the lease's commencement date (the “Additional Lease Agreement”). The lease for this additional</w:t>
      </w:r>
      <w:r>
        <w:rPr>
          <w:rFonts w:ascii="Arial" w:cs="Arial" w:eastAsia="Arial" w:hAnsi="Arial"/>
          <w:sz w:val="18"/>
          <w:szCs w:val="18"/>
          <w:color w:val="auto"/>
        </w:rPr>
        <w:t xml:space="preserve"> </w:t>
      </w:r>
      <w:r>
        <w:rPr>
          <w:rFonts w:ascii="Arial" w:cs="Arial" w:eastAsia="Arial" w:hAnsi="Arial"/>
          <w:sz w:val="18"/>
          <w:szCs w:val="18"/>
          <w:color w:val="212529"/>
        </w:rPr>
        <w:t>space commenced in January 2022. The Additional Lease Agreement also provides for certain tenant improvement allowances for tenant improvements and certain infrastructure upgrades in connection with the initial buildout of the premises, a portion of which, if utilized, would need to be repaid by us over the lease term.</w:t>
      </w:r>
    </w:p>
    <w:p>
      <w:pPr>
        <w:spacing w:after="0" w:line="7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212529"/>
        </w:rPr>
        <w:t xml:space="preserve">In November 2021, we </w:t>
      </w:r>
      <w:r>
        <w:rPr>
          <w:rFonts w:ascii="Arial" w:cs="Arial" w:eastAsia="Arial" w:hAnsi="Arial"/>
          <w:sz w:val="18"/>
          <w:szCs w:val="18"/>
          <w:color w:val="000000"/>
        </w:rPr>
        <w:t>executed an amendment to the Additional Lease Agreement for our corporate office, manufacturing and laboratory space.</w:t>
      </w:r>
      <w:r>
        <w:rPr>
          <w:rFonts w:ascii="Arial" w:cs="Arial" w:eastAsia="Arial" w:hAnsi="Arial"/>
          <w:sz w:val="18"/>
          <w:szCs w:val="18"/>
          <w:color w:val="212529"/>
        </w:rPr>
        <w:t xml:space="preserve"> </w:t>
      </w:r>
      <w:r>
        <w:rPr>
          <w:rFonts w:ascii="Arial" w:cs="Arial" w:eastAsia="Arial" w:hAnsi="Arial"/>
          <w:sz w:val="18"/>
          <w:szCs w:val="18"/>
          <w:color w:val="000000"/>
        </w:rPr>
        <w:t>The amendment 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 The other terms of the Additional Lease Agreement remain unchanged.</w:t>
      </w:r>
    </w:p>
    <w:p>
      <w:pPr>
        <w:spacing w:after="0" w:line="73"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In August 2022, we entered into amendments to the Initial Lease Agreement and the Additional Lease Agreement. See Item 5 of this Quarterly Report on Form 10-Q for additional information.</w:t>
      </w:r>
    </w:p>
    <w:p>
      <w:pPr>
        <w:spacing w:after="0" w:line="76"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See Note 6 to our financial statements included elsewhere in this Quarterly Report on Form 10-Q for additional information regarding our lease liability.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the incremental borrowing rate used in determining the lease liability and right-of-use asset for the Additional Lease Agreement,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6"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six months ended June 30, 2022, as compared to the critical accounting policies and estimates disclosed in “Management’s Discussion and Analysis of Financial Condition and Results of Operations” included in our Annual Report on Form 10-K.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Indemnification</w:t>
      </w:r>
    </w:p>
    <w:p>
      <w:pPr>
        <w:spacing w:after="0" w:line="108"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2022 and December 31, 2021.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7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June 30, 2022, this change would not have had a material effect on the fair value of our investment portfolio as of that date.</w:t>
      </w:r>
    </w:p>
    <w:p>
      <w:pPr>
        <w:spacing w:after="0" w:line="188"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p>
    <w:p>
      <w:pPr>
        <w:spacing w:after="0" w:line="195"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Inflation generally affects us by increasing labor, construction, and research and development contract costs. We do not believe inflation has had a material effect on our results of operations during the periods presented.</w:t>
      </w:r>
    </w:p>
    <w:p>
      <w:pPr>
        <w:spacing w:after="0" w:line="17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management, with the participation of our chief executive officer and chief financial and business officer, evaluated the effectiveness of our disclosures controls and procedures, as defined in Rules 13a-15(e) and 15d-15(e) under the Exchange Act,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and business officer concluded that, as of such date, our disclosure controls and procedures were effective at a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80" w:firstLine="509"/>
        <w:spacing w:after="0" w:line="324" w:lineRule="auto"/>
        <w:rPr>
          <w:sz w:val="20"/>
          <w:szCs w:val="20"/>
          <w:color w:val="auto"/>
        </w:rPr>
      </w:pPr>
      <w:r>
        <w:rPr>
          <w:rFonts w:ascii="Arial" w:cs="Arial" w:eastAsia="Arial" w:hAnsi="Arial"/>
          <w:sz w:val="16"/>
          <w:szCs w:val="16"/>
          <w:color w:val="auto"/>
        </w:rPr>
        <w:t>Management determined that, as of June 30, 2022,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19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Ex parte reexaminations have been filed by one or more third parties against certain licensed patents in our portfolio. Ex parte reexaminations of U.S. Patent Nos. 10,774,309 and 10,829,737, which relate to our NKX101 product candidate, are pending. One ex parte reexamination of U.S. Patent No. 9,511,092 (the “092 Patent”), which does not relate to any of our current product candidates, was concluded, resulting in cancellation of certain claims, while another ex parte reexamination of the 092 Patent is pending.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2021 and filed with the SEC on March 17, 2022 and in our Quarterly Report on Form 10-Q for the quarter ended March 31, 2022 and filed with the SEC on May 12, 2022, are set forth below and are unchanged substantively as of the date of this Quarterly Report on Form 10-Q, except for those risks designated by an asterisk (*).</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disclose further changes to the factors below or disclose additional factors from time to time in our future filings with the SEC.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do not have any products approved for sale.</w:t>
      </w:r>
    </w:p>
    <w:p>
      <w:pPr>
        <w:spacing w:after="0" w:line="212"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expect to continue to incur significant losses for the foreseeable future.*</w:t>
      </w:r>
    </w:p>
    <w:p>
      <w:pPr>
        <w:spacing w:after="0" w:line="237"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Since our inception in 2015, we have incurred significant operating losses. Our net losses were $52.9 million, $86.1 million and $91.4 million for the six months ended June 30, 2022 and the years ended December 31, 2021 and 2020, respectively. Our accumulated deficit was $257.0 million as of June 30, 2022. We expect to continue to incur increasing operating losses for the foreseeable future as we continue to develop our product candidates. In addition, we anticipate that our expenses will increase substantially if, and as, we:</w:t>
      </w:r>
    </w:p>
    <w:p>
      <w:pPr>
        <w:spacing w:after="0" w:line="73"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clinical development of NKX101 and NKX019;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9" w:name="page30"/>
    <w:bookmarkEnd w:id="29"/>
    <w:p>
      <w:pPr>
        <w:ind w:left="1020" w:right="4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additional product candidates to clinical trials, including product candidates under the collaboration with CRISPR Therapeutics AG ("CRISPR");</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our current product candidates for additional disease indications;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and qualify our own clinical- and commercial-scale clinical current good manufacturing practice ("cGMP") facilities;</w:t>
      </w:r>
    </w:p>
    <w:p>
      <w:pPr>
        <w:spacing w:after="0" w:line="117"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 a biologics license application ("BLA"), or marketing authorization application, (“MAA”), for NKX101 and/or NKX019 and/or seek marketing approvals for any of our other product candidates that successfully complete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in various jurisdictions for commercial sale;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 or secure marketing, sales and distribution capabilities, either internally or with third parties, to support commercialization;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 foregoing activities.</w:t>
      </w:r>
    </w:p>
    <w:p>
      <w:pPr>
        <w:spacing w:after="0" w:line="21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We continue to incur significant research and development and other expenses related to ongoing operations and the development of our co-lead product candidates, NKX101 and NKX019. All of our product candidates will require substantial additional development time and resources before we would be able to apply for or receive regulatory approvals and begin generating revenue from product sales. Neither the United Sates Food and Drug Administration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64"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clinical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seeking and obtaining regulatory approvals for product candidates for which we successfully complete positive clinical trials, if any;</w:t>
      </w:r>
    </w:p>
    <w:p>
      <w:pPr>
        <w:spacing w:after="0" w:line="115" w:lineRule="exact"/>
        <w:rPr>
          <w:rFonts w:ascii="Arial" w:cs="Arial" w:eastAsia="Arial" w:hAnsi="Arial"/>
          <w:sz w:val="17"/>
          <w:szCs w:val="17"/>
          <w:color w:val="auto"/>
        </w:rPr>
      </w:pPr>
    </w:p>
    <w:p>
      <w:pPr>
        <w:ind w:left="1020" w:right="5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by establishing a commercial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maintaining and enhancing a sustainable, scalable, reproducible and transferable manufacturing process for each of our cell therapy product candidates;</w:t>
      </w:r>
    </w:p>
    <w:p>
      <w:pPr>
        <w:spacing w:after="0" w:line="62" w:lineRule="exact"/>
        <w:rPr>
          <w:rFonts w:ascii="Arial" w:cs="Arial" w:eastAsia="Arial" w:hAnsi="Arial"/>
          <w:sz w:val="18"/>
          <w:szCs w:val="18"/>
          <w:color w:val="auto"/>
        </w:rPr>
      </w:pPr>
    </w:p>
    <w:p>
      <w:pPr>
        <w:ind w:left="1020" w:right="200" w:hanging="503"/>
        <w:spacing w:after="0" w:line="34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2"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viable treatment option;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0" w:name="page31"/>
    <w:bookmarkEnd w:id="30"/>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03"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48" w:lineRule="exact"/>
        <w:rPr>
          <w:rFonts w:ascii="Arial" w:cs="Arial" w:eastAsia="Arial" w:hAnsi="Arial"/>
          <w:sz w:val="18"/>
          <w:szCs w:val="18"/>
          <w:color w:val="auto"/>
        </w:rPr>
      </w:pPr>
    </w:p>
    <w:p>
      <w:pPr>
        <w:ind w:left="1020" w:right="8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know-how, and trademarks;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 other preclinical studies in addition to those that we currently anticipate.</w:t>
      </w:r>
    </w:p>
    <w:p>
      <w:pPr>
        <w:spacing w:after="0" w:line="175" w:lineRule="exact"/>
        <w:rPr>
          <w:sz w:val="20"/>
          <w:szCs w:val="20"/>
          <w:color w:val="auto"/>
        </w:rPr>
      </w:pPr>
    </w:p>
    <w:p>
      <w:pPr>
        <w:ind w:right="160" w:firstLine="509"/>
        <w:spacing w:after="0" w:line="303" w:lineRule="auto"/>
        <w:rPr>
          <w:sz w:val="20"/>
          <w:szCs w:val="20"/>
          <w:color w:val="auto"/>
        </w:rPr>
      </w:pPr>
      <w:r>
        <w:rPr>
          <w:rFonts w:ascii="Arial" w:cs="Arial" w:eastAsia="Arial" w:hAnsi="Arial"/>
          <w:sz w:val="16"/>
          <w:szCs w:val="16"/>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84"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We have financed our operations primarily through private placements of our preferred stock, proceeds from our previous collaboration with GlaxoSmithKline, proceeds from our IPO completed in July 2020 and proceeds from our underwritten public offering of our common stock completed in April 2022 (the “Secondary Offering”). We intend to continue to use the proceeds from our IPO and our Secondary Offering to, among other uses, advance NKX101 and NKX019 through clinical development. Developing pharmaceutical products and conducting preclinical studies and clinical trials is expensive. As of June 30, 2022, we had cash, cash equivalents, restricted cash and short-term investments of $415.0 million. Our research and development expenses increased from $36.2 million for the year ended December 31, 2020 to $63.4 million for the year ended December 31, 2021 and increased from $29.5 million for the six months ended June 30, 2021 to $40.6 million for the six months ended June 30, 2022.</w:t>
      </w:r>
    </w:p>
    <w:p>
      <w:pPr>
        <w:spacing w:after="0" w:line="15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Until and unless we can generate substantial product revenue, we expect to finance our cash needs through the proceeds from our IPO and Secondary Offering, a combination of equity offerings and debt financings, including pursuant to our ATM Offering Program (as defined below), and potentially through additional license and development agreements or strategic partnerships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95"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9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ind w:right="160"/>
        <w:spacing w:after="0" w:line="256" w:lineRule="auto"/>
        <w:rPr>
          <w:sz w:val="20"/>
          <w:szCs w:val="20"/>
          <w:color w:val="auto"/>
        </w:rPr>
      </w:pPr>
      <w:r>
        <w:rPr>
          <w:rFonts w:ascii="Arial" w:cs="Arial" w:eastAsia="Arial" w:hAnsi="Arial"/>
          <w:sz w:val="18"/>
          <w:szCs w:val="18"/>
          <w:b w:val="1"/>
          <w:bCs w:val="1"/>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175"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The COVID-19 pandemic has disrupted economic activity and business operations worldwide, including the San Francisco Bay Area, where our primary operations are located. The coronavirus pandemic continues to evolve, and multiple variants of the virus that causes COVID-19 are circulating globally, including the Omicron variants. To date the pandemic has led to the implementation of various responses, including government-imposed stay-at-home orders and quarantines, travel restrictions and other public health safety measures to mitigate the impact of the pandemic. We continue to monitor these changes and update our operations as necessary to comply with any state, county or local health orders.</w:t>
      </w:r>
    </w:p>
    <w:p>
      <w:pPr>
        <w:spacing w:after="0" w:line="144"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Some of our contract research organizations ("CROs") have experienced employee turnover/attrition, delays, or disruptions during the pandemic. Some of our clinical trial sites have had to temporarily restrict enrollment into clinical protocols in order to prioritize hospital beds for COVID-19 patients, or because of loss of trial personnel to support research activities (mitigated by having the trial opened in multiple clinical sites simultaneously). In addition, we experienced and could in the future experience some delays in construction of our cGMP manufacturing facilities and in our internal research efforts. COVID-19 has also caused global supply shortages of certain materials, such as certain raw materials, cell culture media, disposable plastics, and equipment, that we and our contract development and manufacturing organizations ("CDMOs") use for research and GMP manufacturing. If we are not able to obtain sufficient quantities of cell culture media for our purposes due to the shortage, we may need to reduce the number of manufacturing runs we have planned. Supply chain and operational disruptions due to COVID-19 have contributed to certain enrollment delays in our NKX101 clinical trial. In addition, we have had minor delays in setting up clinical sites in our NKX019 clinical trial due to COVID-19 restrictions due to repurposing of healthcare personnel and facilities to support local pandemic efforts. We will continue to monitor the impact of COVID-19 and any additional waves of the pandemic on our operations, including continued enrollment in the NKX101 and NKX019 clinical trials, as well as on our collaboration partners, CROs, CDMOs, and clinical trial sites with respect to COVID-19 related shutdowns, restrictions on travel, and restrictions on hospital visits for clinical trial participants or clinical research staff. Although most COVID-19 restrictions have been lifted in the State of California and the County of San Mateo, restrictions similar to those previously imposed or new restrictions could be imposed again later.</w:t>
      </w:r>
    </w:p>
    <w:p>
      <w:pPr>
        <w:spacing w:after="0" w:line="164" w:lineRule="exact"/>
        <w:rPr>
          <w:sz w:val="20"/>
          <w:szCs w:val="20"/>
          <w:color w:val="auto"/>
        </w:rPr>
      </w:pPr>
    </w:p>
    <w:p>
      <w:pPr>
        <w:ind w:right="380" w:firstLine="509"/>
        <w:spacing w:after="0" w:line="278" w:lineRule="auto"/>
        <w:rPr>
          <w:sz w:val="20"/>
          <w:szCs w:val="20"/>
          <w:color w:val="auto"/>
        </w:rPr>
      </w:pPr>
      <w:r>
        <w:rPr>
          <w:rFonts w:ascii="Arial" w:cs="Arial" w:eastAsia="Arial" w:hAnsi="Arial"/>
          <w:sz w:val="17"/>
          <w:szCs w:val="17"/>
          <w:color w:val="auto"/>
        </w:rPr>
        <w:t>In addition, the COVID-19 pandemic has significantly disrupted global financial markets and could continue to restrict the level of economic activity, and may limit our ability to access capital, which could in the future negatively affect our liquidity now or in the future. A recession or market correction resulting from the spread of COVID-19 could materially affect our business and the value of our common stock.</w:t>
      </w:r>
    </w:p>
    <w:p>
      <w:pPr>
        <w:spacing w:after="0" w:line="158"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COVID-19 pandemic has also impacted, and may impact in the future, the regulatory authorities to which we are subject in our industry, which may, in turn, hamper or delay our clinical development efforts.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w:t>
      </w:r>
    </w:p>
    <w:p>
      <w:pPr>
        <w:spacing w:after="0" w:line="15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cannot predict the potential future impacts of COVID-19, including its variants, on us, our research partners, including CRISPR, and other third parties with whom we conduct business. The extent of the impact of the COVID-19 pandemic on our operational and financial performance will depend on certain developments, including the duration and spread of the outbreak, the development and spread of more contagious and/or vaccine-resistant variants, the effectiveness of actions taken in the U.S. and other countries to contain, vaccinate against, and treat the disease, and its impact on our current and planned preclinical studies and clinical trials, employees and vendors, all of which are uncertain. As a result of the COVID-19 pandemic or other pandemic, epidemic or outbreak of an infectious disease, we have experienced and/or may experience disruptions that could severely impact our business, preclinical studies and clinical trials, including:</w:t>
      </w:r>
    </w:p>
    <w:p>
      <w:pPr>
        <w:spacing w:after="0" w:line="93"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including our ongoing NKX101 and NKX019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and in training medical personnel on how to properly thaw and administer our product candidates;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recruitment of key personnel;</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20" w:right="80" w:hanging="503"/>
        <w:spacing w:after="0" w:line="25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1020" w:right="680" w:hanging="503"/>
        <w:spacing w:after="0" w:line="32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 or delays in the operations of the FDA or other regulatory authorities, which may impact review and approval timelines, including the review of Investigational New Drug applications (“IND”) or other regulatory submissions for our product candidates;</w:t>
      </w:r>
    </w:p>
    <w:p>
      <w:pPr>
        <w:spacing w:after="0" w:line="29" w:lineRule="exact"/>
        <w:rPr>
          <w:rFonts w:ascii="Arial" w:cs="Arial" w:eastAsia="Arial" w:hAnsi="Arial"/>
          <w:sz w:val="16"/>
          <w:szCs w:val="16"/>
          <w:color w:val="auto"/>
        </w:rPr>
      </w:pPr>
    </w:p>
    <w:p>
      <w:pPr>
        <w:jc w:val="both"/>
        <w:ind w:left="1020" w:right="22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87" w:lineRule="exact"/>
        <w:rPr>
          <w:rFonts w:ascii="Arial" w:cs="Arial" w:eastAsia="Arial" w:hAnsi="Arial"/>
          <w:sz w:val="18"/>
          <w:szCs w:val="18"/>
          <w:color w:val="auto"/>
        </w:rPr>
      </w:pPr>
    </w:p>
    <w:p>
      <w:pPr>
        <w:ind w:left="1020" w:right="200" w:hanging="503"/>
        <w:spacing w:after="0" w:line="32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spacing w:after="0" w:line="16" w:lineRule="exact"/>
        <w:rPr>
          <w:rFonts w:ascii="Arial" w:cs="Arial" w:eastAsia="Arial" w:hAnsi="Arial"/>
          <w:sz w:val="16"/>
          <w:szCs w:val="16"/>
          <w:color w:val="auto"/>
        </w:rPr>
      </w:pPr>
    </w:p>
    <w:p>
      <w:pPr>
        <w:ind w:left="1020" w:right="3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disruptions in the planning, construction or qualification of our cGMP facility for commercial-scale manufacture of our product candidates;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interruptions, or delays in receiving supplies and materials necessary for our business operations, and research and development activities;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cost of services or supplies necessary for our research and development activities;</w:t>
      </w:r>
    </w:p>
    <w:p>
      <w:pPr>
        <w:spacing w:after="0" w:line="117" w:lineRule="exact"/>
        <w:rPr>
          <w:rFonts w:ascii="Arial" w:cs="Arial" w:eastAsia="Arial" w:hAnsi="Arial"/>
          <w:sz w:val="18"/>
          <w:szCs w:val="18"/>
          <w:color w:val="auto"/>
        </w:rPr>
      </w:pPr>
    </w:p>
    <w:p>
      <w:pPr>
        <w:ind w:left="1020" w:right="380" w:hanging="503"/>
        <w:spacing w:after="0" w:line="32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or delays to our discovery and clinical activities.</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magnitude of these disruptions will depend, in part, on the length and severity of the COVID-19 restrictions and other limitations on our ability and the ability of others to conduct business in the ordinary course.</w:t>
      </w:r>
    </w:p>
    <w:p>
      <w:pPr>
        <w:spacing w:after="0" w:line="171"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 ultimate impact of the COVID-19 outbreak or a similar health epidemic is highly uncertain. 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We do not yet know the full extent of potential delays or impacts on our business, our clinical trials, healthcare systems or the global economy as a whole, but these delays could have a material impact on our business, financial condition, and/or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success of our CAR-NK cell technology platform.</w:t>
      </w:r>
    </w:p>
    <w:p>
      <w:pPr>
        <w:spacing w:after="0" w:line="198"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Our success depends on our ability to utilize our chimeric antigen receptor-natural killer cell ("CAR-NK") technology platform to generate product candidates, to obtain regulatory approval for product candidates derived from it, and to then commercialize our product candidates addressing one or more indications. Phase 1 clinical trials to evaluate our first two CAR NK product candidates in humans is ongoing.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CAR-NK engineering technology.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right="480"/>
        <w:spacing w:after="0" w:line="246" w:lineRule="auto"/>
        <w:rPr>
          <w:sz w:val="20"/>
          <w:szCs w:val="20"/>
          <w:color w:val="auto"/>
        </w:rPr>
      </w:pPr>
      <w:r>
        <w:rPr>
          <w:rFonts w:ascii="Arial" w:cs="Arial" w:eastAsia="Arial" w:hAnsi="Arial"/>
          <w:sz w:val="18"/>
          <w:szCs w:val="18"/>
          <w:b w:val="1"/>
          <w:bCs w:val="1"/>
          <w:i w:val="1"/>
          <w:iCs w:val="1"/>
          <w:color w:val="auto"/>
        </w:rPr>
        <w:t>Utilizing CAR-NK cells represents a novel approach to the treatment of cancer, and we must overcome significant challenges in order to develop, commercialize and manufacture our product candidates.</w:t>
      </w:r>
    </w:p>
    <w:p>
      <w:pPr>
        <w:spacing w:after="0" w:line="183"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We have concentrated our research and development efforts on utilizing CAR-NK cells as an immuno-oncology therapy. To date, the FDA has approved only a few cell-based therapies for commercialization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CAR-NK platform product candidates are novel, and cell-based therapies are relatively new, regulatory agencies may lack precedents for evaluating product candidates like our CAR-NK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CAR-NK platform product candidates.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advancing novel immuno-oncology therapies creates significant challenges for us, including:</w:t>
      </w:r>
    </w:p>
    <w:p>
      <w:pPr>
        <w:spacing w:after="0" w:line="10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w:t>
      </w:r>
    </w:p>
    <w:p>
      <w:pPr>
        <w:spacing w:after="0" w:line="117"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thaw and administer our cells, especially in our planned solid tumor trial wherein the cells are given through a procedure by trained medical doctors;</w:t>
      </w:r>
    </w:p>
    <w:p>
      <w:pPr>
        <w:spacing w:after="0" w:line="62" w:lineRule="exact"/>
        <w:rPr>
          <w:rFonts w:ascii="Arial" w:cs="Arial" w:eastAsia="Arial" w:hAnsi="Arial"/>
          <w:sz w:val="18"/>
          <w:szCs w:val="18"/>
          <w:color w:val="auto"/>
        </w:rPr>
      </w:pPr>
    </w:p>
    <w:p>
      <w:pPr>
        <w:ind w:left="1020" w:right="80" w:hanging="503"/>
        <w:spacing w:after="0" w:line="25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spacing w:after="0" w:line="66"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observed side effects with the therapy;</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 reliable and safe and an effective means of genetically modifying our cells;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and cryopreservation our cells on a large scale and in a cost-effective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sourcing starting material suitable for clinical and commercial manufacturing; and</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must be able to overcome these challenges in order for us to develop, commercialize and manufacture our product candidates utilizing CAR-NK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cells.</w:t>
      </w:r>
    </w:p>
    <w:p>
      <w:pPr>
        <w:spacing w:after="0" w:line="305"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b w:val="1"/>
          <w:bCs w:val="1"/>
          <w:i w:val="1"/>
          <w:iCs w:val="1"/>
          <w:color w:val="auto"/>
        </w:rPr>
        <w:t>Certain aspects of the function and production of CAR-NK cells are currently unknown or poorly understood, and may only become known through further preclinical testing and clinical trials. Any potential re-engineering required may result in delays and additional expenses.</w:t>
      </w:r>
    </w:p>
    <w:p>
      <w:pPr>
        <w:spacing w:after="0" w:line="138"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Current clinical experience with NK cell therapy is predominantly based on cells from haplomatched donors, i.e., at least half of the major Human Leukocyte Antigen (“HLA”), types matched between donor and recipient. Our ongoing NKX101 Phase 1 clinical trial evaluated product manufactured from patient specific haplo-related donors and completely unrelated donors (used off the shelf). Based on preliminary clinical results, we have moved forward into expansion cohorts and further development of NKX101 using off the shelf product only. There is a risk that the early clinical results may not be reflective of future clinical trial results which may require us to re-evaluate HLA matching. If it becomes apparent through future preclinical testing or clinical trials that such matching is required, the production of NKX101, NKX019, and our other product candidates as standardized, off-the-shelf products for all patients will not be achievable. Instead, we would need to establish a bank of engineered CAR-NK cells for each of our product candidates where dozens of different donors will be required to achieve coverage of a large fraction of the addressable patient population.</w:t>
      </w:r>
    </w:p>
    <w:p>
      <w:pPr>
        <w:spacing w:after="0" w:line="164"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In both NKX101 and NKX019 Phase 1 clinical trials, product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products in the clinic.</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ind w:right="40" w:firstLine="509"/>
        <w:spacing w:after="0" w:line="245" w:lineRule="auto"/>
        <w:rPr>
          <w:sz w:val="20"/>
          <w:szCs w:val="20"/>
          <w:color w:val="auto"/>
        </w:rPr>
      </w:pPr>
      <w:r>
        <w:rPr>
          <w:rFonts w:ascii="Arial" w:cs="Arial" w:eastAsia="Arial" w:hAnsi="Arial"/>
          <w:sz w:val="18"/>
          <w:szCs w:val="18"/>
          <w:color w:val="auto"/>
        </w:rPr>
        <w:t>In addition,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99"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Finally, there is limited history of CAR-NK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w:t>
      </w:r>
    </w:p>
    <w:p>
      <w:pPr>
        <w:spacing w:after="0" w:line="186"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28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84"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failure of one or more of our clinical trials could occur at any stage, and any failure could prevent us from obtaining the FDA and other regulatory</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approvals necessary to commercialize our product candidates. Events that may prevent successful initiation, timely completion, or positive outcomes of our clinical development include, but are not limited to:</w:t>
      </w:r>
    </w:p>
    <w:p>
      <w:pPr>
        <w:spacing w:after="0" w:line="6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regulatory approval to commence a clinical trial;</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trial sites or CROs, the terms of which can be subject to extensive negotiation and may vary significantly among different trial sites and CROs;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recruit sufficient patients for our clinical trials in a timely manner or at all;</w:t>
      </w:r>
    </w:p>
    <w:p>
      <w:pPr>
        <w:spacing w:after="0" w:line="103"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achieving a sufficient number of clinical trial sites or obtaining the required institutional review board ("IRB"), approval at each clinical trial site;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or by the FDA or other regulatory agencies based on emerging data;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obtain long-term follow-up data due to patient drop out or in cases where patients elect to receive post-protocol treatment for their disease before it progresses;</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termination of a clinical trial by the IRB of the institutions in which such trials are being conducted or by the Data Safety Monitoring Board ("DSMB") (where applicable);</w:t>
      </w:r>
    </w:p>
    <w:p>
      <w:pPr>
        <w:spacing w:after="0" w:line="48"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clinical trials, or production delays, shutdowns or setbacks at any of our contract manufacturers;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left="1020" w:right="10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or guidance that may require us to amend or submit new clinical protocols, or such requirements may not be as we anticipate;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quantities or inadequate quality of our product candidates or other materials necessary to conduct preclinical studies or clinical trials of our product candidates;</w:t>
      </w:r>
    </w:p>
    <w:p>
      <w:pPr>
        <w:spacing w:after="0" w:line="76"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62"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76" w:lineRule="exact"/>
        <w:rPr>
          <w:rFonts w:ascii="Arial" w:cs="Arial" w:eastAsia="Arial" w:hAnsi="Arial"/>
          <w:sz w:val="18"/>
          <w:szCs w:val="18"/>
          <w:color w:val="auto"/>
        </w:rPr>
      </w:pPr>
    </w:p>
    <w:p>
      <w:pPr>
        <w:ind w:left="1020" w:right="26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95"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 Also, the FDA temporarily postponed routine surveillance inspections of domestic manufacturing facilities in response to the COVID-19 pandemic, and in July 2020, it began to work toward resuming prioritized domestic inspections of mission-critical inspections on a case-by-case basis.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Over the past year, FDA has periodically announced temporary changes to its inspection activities to ensure the safety of its employees and those of the firms it regulates as the FDA adapts to the evolving COVID-19 pandemic. As of February 7, 2022, the FDA resumed conducting domestic surveillance inspections. Regulatory authorities outside the U.S. may adopt similar restrictions or other policy measures in response to the COVID-19 pandemic and may experience delays in their regulatory activities. If global health concerns continue to prevent the FDA or other regulatory authorities from conducting their regular inspections, reviews or other regulatory activities, it could significantly impact the ability of the FDA to timely review and process our regulatory submissions.</w:t>
      </w:r>
    </w:p>
    <w:p>
      <w:pPr>
        <w:spacing w:after="0" w:line="181"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As regulatory expectations regarding the gene editing of cellular therapies continue to evolve with data emerging on chromosomal abnormalities from CAR-T therapies or other sources, our pipeline programs that involve gene-edited cells, including an allogeneic, off-the-shelf CAR-NK product candidate targeting the CD70 tumor antigen ("CD70 CAR-NK") and an allogeneic, off-the-shelf product candidate that comprises both engineered NK cells and engineered T cells ("NK+T") programs on which we are collaborating with CRISPR, may be delayed or we may be forced to incur additional costs for those programs. For example, the FDA may require additional or new release assays for manufactured lots of any product candidates that have been gene edited, which could slow development of our gene-edited product candidates and increase expenses.</w:t>
      </w:r>
    </w:p>
    <w:p>
      <w:pPr>
        <w:spacing w:after="0" w:line="17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If we experience further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ind w:right="120"/>
        <w:spacing w:after="0" w:line="324" w:lineRule="auto"/>
        <w:rPr>
          <w:sz w:val="20"/>
          <w:szCs w:val="20"/>
          <w:color w:val="auto"/>
        </w:rPr>
      </w:pPr>
      <w:r>
        <w:rPr>
          <w:rFonts w:ascii="Arial" w:cs="Arial" w:eastAsia="Arial" w:hAnsi="Arial"/>
          <w:sz w:val="16"/>
          <w:szCs w:val="16"/>
          <w:b w:val="1"/>
          <w:bCs w:val="1"/>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3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will be successful in clinical trials or receive regulatory approval. The FDA, and other comparable global regulatory authorities can delay, limit or deny approval of a product candidate for many reasons. For further details about such reasons, see “—Clinical development involves a lengthy and expensive process with an uncertain outcome, and we may encounter substantial delays due to a variety of reasons outside our control.” Any delay in obtaining, or inability to obtain, applicable regulatory approval will delay or harm our ability to successfully commercialize NKX101 and NKX019 and materially adversely affect our business, financial condition, results of operations and growth prospects.</w:t>
      </w:r>
    </w:p>
    <w:p>
      <w:pPr>
        <w:spacing w:after="0" w:line="174" w:lineRule="exact"/>
        <w:rPr>
          <w:sz w:val="20"/>
          <w:szCs w:val="20"/>
          <w:color w:val="auto"/>
        </w:rPr>
      </w:pPr>
    </w:p>
    <w:p>
      <w:pPr>
        <w:ind w:right="140" w:firstLine="509"/>
        <w:spacing w:after="0" w:line="280" w:lineRule="auto"/>
        <w:rPr>
          <w:sz w:val="20"/>
          <w:szCs w:val="20"/>
          <w:color w:val="auto"/>
        </w:rPr>
      </w:pPr>
      <w:r>
        <w:rPr>
          <w:rFonts w:ascii="Arial" w:cs="Arial" w:eastAsia="Arial" w:hAnsi="Arial"/>
          <w:sz w:val="16"/>
          <w:szCs w:val="16"/>
          <w:color w:val="auto"/>
        </w:rPr>
        <w:t>NKX101 is in an early-stage clinical trial and is subject to the risks inherent in drug development. In April 2022, we announced preliminary data from our Phase 1 clinical trial of NKX101 for the treatment of relapsed/refractory acute myeloid leukemia (“AML”) or higher risk myelodysplastic syndromes (“MDS”). If the ongoing Phase 1 or our later clinical trials of NKX101 encounter safety, efficacy, manufacturing problems, enrollment issues, development delays, regulatory issues, or other problems, our development plans for NKX101 could be significantly impaired, which could materially adversely affect our business, financial condition, results of operations and growth prospects. Furthermore, because NKX101 and NKX019 are our most advanced product candidates, and because our other product candidates are based on similar technology, if our clinical trials of NKX101 or NKX019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spacing w:after="0" w:line="159"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We also plan to develop NKX101 for additional indications, including solid tumor indications, if we are able to obtain clinical proof-of-concept from our NKX101 Phase 1 trials for blood cancers including AML and MDS.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p>
    <w:p>
      <w:pPr>
        <w:spacing w:after="0" w:line="185"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Furthermore, the development of NKX101 for treating solid tumors is subject to a number of risks related to use of cell therapies in general including a hostile tumor micro-environment and trafficking to tumor site. Additional risks from direct liver delivery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spacing w:after="0" w:line="186"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April 2022, we announced preliminary data from the multi-center Phase 1 clinical trial of NKX019 for the treatment of B-cell malignancies. Due to the availability of multiple commercially available agents that target CD19, we may have difficulty enrolling subjects into trials with NKX019 who have not previously been exposed to a CD19 directed agent. This could impact the ability to obtain data about NKX019 activity and slow enrollment.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spacing w:after="0" w:line="185"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52"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620"/>
        <w:spacing w:after="0" w:line="261"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84"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3"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open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and eligibility criteria of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of subjects to clinical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medical practice patterns or guidelines related to the indications we are investigating;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clinical trials or approved therapies which present an attractive alternative to patients and their physicians;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76"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due to various reasons, including but not limited to, patients’ unwillingness to participate due to the ongoing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enrolled subjects will drop out or die before completion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failing to complete a clinical trial or returning for post-treatment follow-up;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manufacture the requisite materials for a patient and clinical trial.</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commercializing our product candidates.</w:t>
      </w:r>
    </w:p>
    <w:p>
      <w:pPr>
        <w:spacing w:after="0" w:line="26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order to obtain FDA or other regulatory authority approval to market a new biological product we must demonstrate proof of safety, purity,</w:t>
      </w:r>
    </w:p>
    <w:p>
      <w:pPr>
        <w:spacing w:after="0" w:line="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and our second product candidate, NKX019, in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1"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trials;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acceptable clinical trial design or manufacturing process; and</w:t>
      </w:r>
    </w:p>
    <w:p>
      <w:pPr>
        <w:spacing w:after="0" w:line="90" w:lineRule="exact"/>
        <w:rPr>
          <w:rFonts w:ascii="Arial" w:cs="Arial" w:eastAsia="Arial" w:hAnsi="Arial"/>
          <w:sz w:val="18"/>
          <w:szCs w:val="18"/>
          <w:color w:val="auto"/>
        </w:rPr>
      </w:pPr>
    </w:p>
    <w:p>
      <w:pPr>
        <w:ind w:left="1020" w:right="160" w:hanging="503"/>
        <w:spacing w:after="0" w:line="23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not allowing us to rely on previous findings of safety and efficacy for other similar but approved products and published scientific literature.</w:t>
      </w:r>
    </w:p>
    <w:p>
      <w:pPr>
        <w:spacing w:after="0" w:line="189"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8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175"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p>
    <w:p>
      <w:pPr>
        <w:spacing w:after="0" w:line="19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including the preliminary Phase 1 clinical data for NKX101 and NKX019 reported in April 2022, may differ from, and may not be indicative of,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spacing w:after="0" w:line="18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57"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9" w:name="page40"/>
    <w:bookmarkEnd w:id="39"/>
    <w:p>
      <w:pPr>
        <w:ind w:firstLine="509"/>
        <w:spacing w:after="0" w:line="275" w:lineRule="auto"/>
        <w:rPr>
          <w:sz w:val="20"/>
          <w:szCs w:val="20"/>
          <w:color w:val="auto"/>
        </w:rPr>
      </w:pPr>
      <w:r>
        <w:rPr>
          <w:rFonts w:ascii="Arial" w:cs="Arial" w:eastAsia="Arial" w:hAnsi="Arial"/>
          <w:sz w:val="16"/>
          <w:szCs w:val="16"/>
          <w:color w:val="auto"/>
        </w:rPr>
        <w:t>While our preliminary data from NKX101 and NKX019 Phase 1 clinical trials indicate that NK cell-based therapies may be better-tolerated as compared to T cell-based therapies due to biologic differences between these cell types, there can be no assurance that patients will not experience cytokine release syndrome ("CRS"), neurotoxicity, graft-versus-host disease ("GVHD"), or other serious adverse events. Severe adverse events associated with our product candidates NKX101 or NKX019 or lymphodepleting chemotherapy may also develop. NKX101 targets NKG2D ligands, which is not yet a well-characterized modality. NKG2D targets multiple ligands, and the landscape of ligand expression is currently not fully understood. For example, there are risks that ligands may be expressed on either known or an as-yet-underappreciated population of healthy cells. Therefore, such cells may also be targeted by NKX101 and lead to adverse events of unknown frequency and severity. Such adverse events may cause delays in completion of our clinical programs. 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70" w:lineRule="exact"/>
        <w:rPr>
          <w:sz w:val="20"/>
          <w:szCs w:val="20"/>
          <w:color w:val="auto"/>
        </w:rPr>
      </w:pPr>
    </w:p>
    <w:p>
      <w:pPr>
        <w:ind w:right="860"/>
        <w:spacing w:after="0" w:line="291" w:lineRule="auto"/>
        <w:rPr>
          <w:sz w:val="20"/>
          <w:szCs w:val="20"/>
          <w:color w:val="auto"/>
        </w:rPr>
      </w:pPr>
      <w:r>
        <w:rPr>
          <w:rFonts w:ascii="Arial" w:cs="Arial" w:eastAsia="Arial" w:hAnsi="Arial"/>
          <w:sz w:val="17"/>
          <w:szCs w:val="17"/>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60"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may seek various expedited programs available through regulatory authority such as Regenerative Medicine Advanced Therapy ("RMAT") designation, Breakthrough Therapy designation, Fast Track designation, or PRIority MEdicine ("PRIME"), from regulatory authorities, for any product candidate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66"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30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7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right="80" w:firstLine="509"/>
        <w:spacing w:after="0" w:line="277"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78"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may impact public perception of our company and product candidates, or impair our ability to conduct our business.</w:t>
      </w:r>
    </w:p>
    <w:p>
      <w:pPr>
        <w:spacing w:after="0" w:line="157"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Our platform utilizes a relatively novel technology involving the genetic modification of human NK cells and utilization of those modified cells in other individuals, and no 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5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79"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research methodology or technology platform used may not be successful in identifying potential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choose to cease development if we determine that clinical results do not show promise;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 w:name="page42"/>
    <w:bookmarkEnd w:id="41"/>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03"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72"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65"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38"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such as contract research organizations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18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and the third parties on which we rely for clinical trials are required to comply with regulations and requirements,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64"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4"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2" w:name="page43"/>
    <w:bookmarkEnd w:id="42"/>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right="80" w:firstLine="509"/>
        <w:spacing w:after="0" w:line="278" w:lineRule="auto"/>
        <w:rPr>
          <w:sz w:val="20"/>
          <w:szCs w:val="20"/>
          <w:color w:val="auto"/>
        </w:rPr>
      </w:pPr>
      <w:r>
        <w:rPr>
          <w:rFonts w:ascii="Arial" w:cs="Arial" w:eastAsia="Arial" w:hAnsi="Arial"/>
          <w:sz w:val="17"/>
          <w:szCs w:val="17"/>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58"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57"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85"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70" w:lineRule="exact"/>
        <w:rPr>
          <w:sz w:val="20"/>
          <w:szCs w:val="20"/>
          <w:color w:val="auto"/>
        </w:rPr>
      </w:pPr>
    </w:p>
    <w:p>
      <w:pPr>
        <w:jc w:val="both"/>
        <w:ind w:right="340"/>
        <w:spacing w:after="0" w:line="303" w:lineRule="auto"/>
        <w:rPr>
          <w:sz w:val="20"/>
          <w:szCs w:val="20"/>
          <w:color w:val="auto"/>
        </w:rPr>
      </w:pPr>
      <w:r>
        <w:rPr>
          <w:rFonts w:ascii="Arial" w:cs="Arial" w:eastAsia="Arial" w:hAnsi="Arial"/>
          <w:sz w:val="16"/>
          <w:szCs w:val="16"/>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140"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3" w:name="page44"/>
    <w:bookmarkEnd w:id="43"/>
    <w:p>
      <w:pPr>
        <w:ind w:firstLine="509"/>
        <w:spacing w:after="0" w:line="244" w:lineRule="auto"/>
        <w:rPr>
          <w:sz w:val="20"/>
          <w:szCs w:val="20"/>
          <w:color w:val="auto"/>
        </w:rPr>
      </w:pPr>
      <w:r>
        <w:rPr>
          <w:rFonts w:ascii="Arial" w:cs="Arial" w:eastAsia="Arial" w:hAnsi="Arial"/>
          <w:sz w:val="18"/>
          <w:szCs w:val="18"/>
          <w:color w:val="auto"/>
        </w:rPr>
        <w:t>In May 2021, we entered into a Research Collaboration Agreement (as amended, the “CRISPR Agreement”) with CRISPR to establish research plans for the purpose of collaboratively designing and advancing allogeneic, gene-edited NK cell therapies and an allogeneic, gene-edited NK+T cell therapy for use in the treatment of oncology, autoimmune disease, or infectious disease up to the filing of an application to a regulatory authority to request the ability to start a clinical trial. See Item 1, Business for additional information. 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w:t>
      </w:r>
    </w:p>
    <w:p>
      <w:pPr>
        <w:spacing w:after="0" w:line="187"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Whenever we enter into collaborations with third parties, we could face the following risks:</w:t>
      </w:r>
    </w:p>
    <w:p>
      <w:pPr>
        <w:spacing w:after="0" w:line="117"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processes that compete directly or indirectly with our products or product candidates;</w:t>
      </w:r>
    </w:p>
    <w:p>
      <w:pPr>
        <w:spacing w:after="0" w:line="76" w:lineRule="exact"/>
        <w:rPr>
          <w:rFonts w:ascii="Arial" w:cs="Arial" w:eastAsia="Arial" w:hAnsi="Arial"/>
          <w:sz w:val="18"/>
          <w:szCs w:val="18"/>
          <w:color w:val="auto"/>
        </w:rPr>
      </w:pPr>
    </w:p>
    <w:p>
      <w:pPr>
        <w:ind w:left="1020" w:right="20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87"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6" w:lineRule="exact"/>
        <w:rPr>
          <w:rFonts w:ascii="Arial" w:cs="Arial" w:eastAsia="Arial" w:hAnsi="Arial"/>
          <w:sz w:val="16"/>
          <w:szCs w:val="16"/>
          <w:color w:val="auto"/>
        </w:rPr>
      </w:pPr>
    </w:p>
    <w:p>
      <w:pPr>
        <w:ind w:left="1020" w:right="160" w:hanging="503"/>
        <w:spacing w:after="0" w:line="308"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24"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12"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83" w:lineRule="exact"/>
        <w:rPr>
          <w:sz w:val="20"/>
          <w:szCs w:val="20"/>
          <w:color w:val="auto"/>
        </w:rPr>
      </w:pPr>
    </w:p>
    <w:p>
      <w:pPr>
        <w:ind w:right="360" w:firstLine="509"/>
        <w:spacing w:after="0" w:line="311" w:lineRule="auto"/>
        <w:rPr>
          <w:sz w:val="20"/>
          <w:szCs w:val="20"/>
          <w:color w:val="auto"/>
        </w:rPr>
      </w:pPr>
      <w:r>
        <w:rPr>
          <w:rFonts w:ascii="Arial" w:cs="Arial" w:eastAsia="Arial" w:hAnsi="Arial"/>
          <w:sz w:val="16"/>
          <w:szCs w:val="16"/>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420"/>
        <w:spacing w:after="0" w:line="261" w:lineRule="auto"/>
        <w:rPr>
          <w:sz w:val="20"/>
          <w:szCs w:val="20"/>
          <w:color w:val="auto"/>
        </w:rPr>
      </w:pPr>
      <w:r>
        <w:rPr>
          <w:rFonts w:ascii="Arial" w:cs="Arial" w:eastAsia="Arial" w:hAnsi="Arial"/>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84" w:lineRule="exact"/>
        <w:rPr>
          <w:sz w:val="20"/>
          <w:szCs w:val="20"/>
          <w:color w:val="auto"/>
        </w:rPr>
      </w:pPr>
    </w:p>
    <w:p>
      <w:pPr>
        <w:ind w:right="200" w:firstLine="509"/>
        <w:spacing w:after="0" w:line="255" w:lineRule="auto"/>
        <w:rPr>
          <w:sz w:val="20"/>
          <w:szCs w:val="20"/>
          <w:color w:val="auto"/>
        </w:rPr>
      </w:pPr>
      <w:r>
        <w:rPr>
          <w:rFonts w:ascii="Arial" w:cs="Arial" w:eastAsia="Arial" w:hAnsi="Arial"/>
          <w:sz w:val="16"/>
          <w:szCs w:val="16"/>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Arial" w:cs="Arial" w:eastAsia="Arial" w:hAnsi="Arial"/>
          <w:sz w:val="21"/>
          <w:szCs w:val="21"/>
          <w:color w:val="auto"/>
          <w:vertAlign w:val="superscript"/>
        </w:rPr>
        <w:t>®</w:t>
      </w:r>
      <w:r>
        <w:rPr>
          <w:rFonts w:ascii="Arial" w:cs="Arial" w:eastAsia="Arial" w:hAnsi="Arial"/>
          <w:sz w:val="16"/>
          <w:szCs w:val="16"/>
          <w:color w:val="auto"/>
        </w:rPr>
        <w:t>, Yescarta</w:t>
      </w:r>
      <w:r>
        <w:rPr>
          <w:rFonts w:ascii="Arial" w:cs="Arial" w:eastAsia="Arial" w:hAnsi="Arial"/>
          <w:sz w:val="21"/>
          <w:szCs w:val="21"/>
          <w:color w:val="auto"/>
          <w:vertAlign w:val="superscript"/>
        </w:rPr>
        <w:t>®</w:t>
      </w:r>
      <w:r>
        <w:rPr>
          <w:rFonts w:ascii="Arial" w:cs="Arial" w:eastAsia="Arial" w:hAnsi="Arial"/>
          <w:sz w:val="16"/>
          <w:szCs w:val="16"/>
          <w:color w:val="auto"/>
        </w:rPr>
        <w:t>, Tecartus™ and</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Breyanzi</w:t>
      </w:r>
      <w:r>
        <w:rPr>
          <w:rFonts w:ascii="Arial" w:cs="Arial" w:eastAsia="Arial" w:hAnsi="Arial"/>
          <w:sz w:val="23"/>
          <w:szCs w:val="23"/>
          <w:color w:val="auto"/>
          <w:vertAlign w:val="superscript"/>
        </w:rPr>
        <w:t>®</w:t>
      </w:r>
      <w:r>
        <w:rPr>
          <w:rFonts w:ascii="Arial" w:cs="Arial" w:eastAsia="Arial" w:hAnsi="Arial"/>
          <w:sz w:val="17"/>
          <w:szCs w:val="17"/>
          <w:color w:val="auto"/>
        </w:rPr>
        <w:t>, which have been commercially approved, are direct competitors to our product candidate NKX019. In addition, other competitors, including biopharmaceutical companies, have clinical-stage or earlier stage allogenic programs, and a number of other companies are seeking to harness NK biology through engagers that seek to direct a patient’s own NK cells to the site of a tumor or are investigating other types of immune cells. Numerous academic institutions are also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managing growth.*</w:t>
      </w:r>
    </w:p>
    <w:p>
      <w:pPr>
        <w:spacing w:after="0" w:line="212" w:lineRule="exact"/>
        <w:rPr>
          <w:sz w:val="20"/>
          <w:szCs w:val="20"/>
          <w:color w:val="auto"/>
        </w:rPr>
      </w:pPr>
    </w:p>
    <w:p>
      <w:pPr>
        <w:ind w:right="160" w:firstLine="509"/>
        <w:spacing w:after="0" w:line="268" w:lineRule="auto"/>
        <w:rPr>
          <w:sz w:val="20"/>
          <w:szCs w:val="20"/>
          <w:color w:val="auto"/>
        </w:rPr>
      </w:pPr>
      <w:r>
        <w:rPr>
          <w:rFonts w:ascii="Arial" w:cs="Arial" w:eastAsia="Arial" w:hAnsi="Arial"/>
          <w:sz w:val="17"/>
          <w:szCs w:val="17"/>
          <w:color w:val="auto"/>
        </w:rPr>
        <w:t>As of June 30, 2022, we had 127 full-time employees. We will need to continue to expand our managerial, operational, clinical, quality, human resources, legal, manufacturing,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spacing w:after="0" w:line="72" w:lineRule="exact"/>
        <w:rPr>
          <w:sz w:val="20"/>
          <w:szCs w:val="20"/>
          <w:color w:val="auto"/>
        </w:rPr>
      </w:pPr>
    </w:p>
    <w:p>
      <w:pPr>
        <w:jc w:val="both"/>
        <w:ind w:left="1020" w:right="2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into additional office and laboratory space as we grow our employee base;</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the qualification of our in-house clinical GMP manufacturing facility and establish and validate a commercial GMP manufacturing facility;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reports systems and procedures.</w:t>
      </w:r>
    </w:p>
    <w:p>
      <w:pPr>
        <w:spacing w:after="0" w:line="212"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p>
    <w:p>
      <w:pPr>
        <w:spacing w:after="0" w:line="21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84"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5" w:name="page46"/>
    <w:bookmarkEnd w:id="45"/>
    <w:p>
      <w:pPr>
        <w:ind w:firstLine="509"/>
        <w:spacing w:after="0" w:line="283" w:lineRule="auto"/>
        <w:rPr>
          <w:sz w:val="20"/>
          <w:szCs w:val="20"/>
          <w:color w:val="auto"/>
        </w:rPr>
      </w:pPr>
      <w:r>
        <w:rPr>
          <w:rFonts w:ascii="Arial" w:cs="Arial" w:eastAsia="Arial" w:hAnsi="Arial"/>
          <w:sz w:val="16"/>
          <w:szCs w:val="16"/>
          <w:color w:val="auto"/>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6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84"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39"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insurance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that we may develop;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such outcomes could materially adversely affect our business, financial condition, results of operations and growth prospects.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may be inadequate, may not cover all of our potential liabilities and may potentially expose us to unrecoverable risks.</w:t>
      </w:r>
    </w:p>
    <w:p>
      <w:pPr>
        <w:spacing w:after="0" w:line="24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86" w:lineRule="exact"/>
        <w:rPr>
          <w:sz w:val="20"/>
          <w:szCs w:val="20"/>
          <w:color w:val="auto"/>
        </w:rPr>
      </w:pPr>
    </w:p>
    <w:p>
      <w:pPr>
        <w:ind w:right="20" w:firstLine="509"/>
        <w:spacing w:after="0" w:line="303" w:lineRule="auto"/>
        <w:rPr>
          <w:sz w:val="20"/>
          <w:szCs w:val="20"/>
          <w:color w:val="auto"/>
        </w:rPr>
      </w:pPr>
      <w:r>
        <w:rPr>
          <w:rFonts w:ascii="Arial" w:cs="Arial" w:eastAsia="Arial" w:hAnsi="Arial"/>
          <w:sz w:val="16"/>
          <w:szCs w:val="16"/>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8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firstLine="509"/>
        <w:spacing w:after="0" w:line="258" w:lineRule="auto"/>
        <w:rPr>
          <w:sz w:val="20"/>
          <w:szCs w:val="20"/>
          <w:color w:val="auto"/>
        </w:rPr>
      </w:pPr>
      <w:r>
        <w:rPr>
          <w:rFonts w:ascii="Arial" w:cs="Arial" w:eastAsia="Arial" w:hAnsi="Arial"/>
          <w:sz w:val="17"/>
          <w:szCs w:val="17"/>
          <w:color w:val="auto"/>
        </w:rPr>
        <w:t>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08"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87" w:lineRule="exact"/>
        <w:rPr>
          <w:sz w:val="20"/>
          <w:szCs w:val="20"/>
          <w:color w:val="auto"/>
        </w:rPr>
      </w:pPr>
    </w:p>
    <w:p>
      <w:pPr>
        <w:ind w:right="160" w:firstLine="509"/>
        <w:spacing w:after="0" w:line="261" w:lineRule="auto"/>
        <w:rPr>
          <w:sz w:val="20"/>
          <w:szCs w:val="20"/>
          <w:color w:val="auto"/>
        </w:rPr>
      </w:pPr>
      <w:r>
        <w:rPr>
          <w:rFonts w:ascii="Arial" w:cs="Arial" w:eastAsia="Arial" w:hAnsi="Arial"/>
          <w:sz w:val="17"/>
          <w:szCs w:val="17"/>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introducing a gamma-retrovirus with genes encoding the proteins we wish to express, cryopreservation, storage and eventually shipment. As a result of these complexities, the cost to manufacture our cellular product candidates, engineered K562 cells and viral vector is generally higher than traditional small-molecule chemical compounds or biologics, and the manufacturing process is presently less reliable and more difficult to reproduce. Furthermore, for certain patients in the early portion of our Phase 1 study of NKX101, we dosed patients with haplomatched NKX101.</w:t>
      </w:r>
    </w:p>
    <w:p>
      <w:pPr>
        <w:spacing w:after="0" w:line="172" w:lineRule="exact"/>
        <w:rPr>
          <w:sz w:val="20"/>
          <w:szCs w:val="20"/>
          <w:color w:val="auto"/>
        </w:rPr>
      </w:pPr>
    </w:p>
    <w:p>
      <w:pPr>
        <w:ind w:right="200" w:firstLine="509"/>
        <w:spacing w:after="0" w:line="288" w:lineRule="auto"/>
        <w:rPr>
          <w:sz w:val="20"/>
          <w:szCs w:val="20"/>
          <w:color w:val="auto"/>
        </w:rPr>
      </w:pPr>
      <w:r>
        <w:rPr>
          <w:rFonts w:ascii="Arial" w:cs="Arial" w:eastAsia="Arial" w:hAnsi="Arial"/>
          <w:sz w:val="16"/>
          <w:szCs w:val="16"/>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5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spacing w:after="0" w:line="175" w:lineRule="exact"/>
        <w:rPr>
          <w:sz w:val="20"/>
          <w:szCs w:val="20"/>
          <w:color w:val="auto"/>
        </w:rPr>
      </w:pPr>
    </w:p>
    <w:p>
      <w:pPr>
        <w:ind w:right="120" w:firstLine="509"/>
        <w:spacing w:after="0" w:line="280" w:lineRule="auto"/>
        <w:rPr>
          <w:sz w:val="20"/>
          <w:szCs w:val="20"/>
          <w:color w:val="auto"/>
        </w:rPr>
      </w:pPr>
      <w:r>
        <w:rPr>
          <w:rFonts w:ascii="Arial" w:cs="Arial" w:eastAsia="Arial" w:hAnsi="Arial"/>
          <w:sz w:val="16"/>
          <w:szCs w:val="16"/>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delays related to obtaining additional regulatory, site and patient approvals to continue dosing the patient in the clinical trial. If the required additional approvals cannot be obtained, additional delays may occur as manufacturing would need to be restarted and/or the patient may be unable to remain in the study. We may lose the starting material for a manufactured product for one of our clinical trial patients at any point in the process, the manufacturing process for that patient would need to be restarted and the resulting delay could require restarting the manufacturing process or could result in such patient no longer participating in our clinical trial. Any delay in the clinical development or commercialization of NKX101, NKX019, or our other product candidates could materially adversely affect our business, financial condition, results of operations and growth prospects.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right="20" w:firstLine="509"/>
        <w:spacing w:after="0" w:line="257" w:lineRule="auto"/>
        <w:rPr>
          <w:sz w:val="20"/>
          <w:szCs w:val="20"/>
          <w:color w:val="auto"/>
        </w:rPr>
      </w:pPr>
      <w:r>
        <w:rPr>
          <w:rFonts w:ascii="Arial" w:cs="Arial" w:eastAsia="Arial" w:hAnsi="Arial"/>
          <w:sz w:val="17"/>
          <w:szCs w:val="17"/>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75" w:lineRule="exact"/>
        <w:rPr>
          <w:sz w:val="20"/>
          <w:szCs w:val="20"/>
          <w:color w:val="auto"/>
        </w:rPr>
      </w:pPr>
    </w:p>
    <w:p>
      <w:pPr>
        <w:ind w:right="80" w:firstLine="509"/>
        <w:spacing w:after="0" w:line="273" w:lineRule="auto"/>
        <w:rPr>
          <w:sz w:val="20"/>
          <w:szCs w:val="20"/>
          <w:color w:val="auto"/>
        </w:rPr>
      </w:pPr>
      <w:r>
        <w:rPr>
          <w:rFonts w:ascii="Arial" w:cs="Arial" w:eastAsia="Arial" w:hAnsi="Arial"/>
          <w:sz w:val="16"/>
          <w:szCs w:val="16"/>
          <w:color w:val="auto"/>
        </w:rPr>
        <w:t>Although we are manufacturing NKX019 in our own internal manufacturing facility for the NKX019 Phase 1 clinical trial, and plan to manufacture other product candidates in our internal manufacturing facilities in the future, we may encounter problems with the internal production of our product candidates. We believe our current clinical cGMP manufacturing facility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early-stage clinical trials has been completed, we do not yet have a cGMP facility for the commercial-scale manufacture of our product candidates. We have only recently begun building a commercial-scale cGMP manufacturing facility. Building a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the COVID-19 pandemic and COVID-19-related restrictions could impact our ability to properly staff production of our product candidates. We have experienced and may in the future experience delays in the construction of our cGMP manufacturing facilities due to the COVID-19 pandemic and current macroeconomic conditions. Current inflationary pressures are negatively affecting and could continue to negatively affect the costs of constructing our commercial-scale manufacturing facility. Global supply chain disruptions, including procurement delays and long lead times on certain materials, could adversely impact the scheduled completion and/or costs of constructing our commercial-scale manufacturing facility.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63"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b w:val="1"/>
          <w:bCs w:val="1"/>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188"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Although we are building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 We also currently rely on a third-party manufacturer for our clinical supply of NKX101. We expect to continue to outsource NKX101 manufacturing even though we have an internal cGMP facility for clinical supply, at least for a certain amount of time. We compete with other companies for access to third party cGMP facilities and cannot assure continued access.</w:t>
      </w:r>
    </w:p>
    <w:p>
      <w:pPr>
        <w:spacing w:after="0" w:line="158" w:lineRule="exact"/>
        <w:rPr>
          <w:sz w:val="20"/>
          <w:szCs w:val="20"/>
          <w:color w:val="auto"/>
        </w:rPr>
      </w:pPr>
    </w:p>
    <w:p>
      <w:pPr>
        <w:ind w:right="200" w:firstLine="509"/>
        <w:spacing w:after="0" w:line="268" w:lineRule="auto"/>
        <w:rPr>
          <w:sz w:val="20"/>
          <w:szCs w:val="20"/>
          <w:color w:val="auto"/>
        </w:rPr>
      </w:pPr>
      <w:r>
        <w:rPr>
          <w:rFonts w:ascii="Arial" w:cs="Arial" w:eastAsia="Arial" w:hAnsi="Arial"/>
          <w:sz w:val="17"/>
          <w:szCs w:val="17"/>
          <w:color w:val="auto"/>
        </w:rPr>
        <w:t>In addition, we currently outsource manufacturing of certain critical materials necessary for production of our product candidates, including K562 cells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at least for a certain amount of time.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right="240" w:firstLine="509"/>
        <w:spacing w:after="0" w:line="263" w:lineRule="auto"/>
        <w:rPr>
          <w:sz w:val="20"/>
          <w:szCs w:val="20"/>
          <w:color w:val="auto"/>
        </w:rPr>
      </w:pPr>
      <w:r>
        <w:rPr>
          <w:rFonts w:ascii="Arial" w:cs="Arial" w:eastAsia="Arial" w:hAnsi="Arial"/>
          <w:sz w:val="17"/>
          <w:szCs w:val="17"/>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73"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58"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212"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80"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p>
    <w:p>
      <w:pPr>
        <w:spacing w:after="0" w:line="172"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reliant on a sole supplier for certain steps of our manufacturing process.</w:t>
      </w:r>
    </w:p>
    <w:p>
      <w:pPr>
        <w:spacing w:after="0" w:line="212"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20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w:t>
      </w:r>
    </w:p>
    <w:p>
      <w:pPr>
        <w:spacing w:after="0" w:line="20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Any disruption in supply of these instruments and reagents could result in delays in our clinical trials, which would materially adversely affect our business, financial condition, results of operations and growth prospects.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right="120"/>
        <w:spacing w:after="0" w:line="246"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83" w:lineRule="exact"/>
        <w:rPr>
          <w:sz w:val="20"/>
          <w:szCs w:val="20"/>
          <w:color w:val="auto"/>
        </w:rPr>
      </w:pPr>
    </w:p>
    <w:p>
      <w:pPr>
        <w:ind w:right="400" w:firstLine="509"/>
        <w:spacing w:after="0" w:line="263" w:lineRule="auto"/>
        <w:rPr>
          <w:sz w:val="20"/>
          <w:szCs w:val="20"/>
          <w:color w:val="auto"/>
        </w:rPr>
      </w:pPr>
      <w:r>
        <w:rPr>
          <w:rFonts w:ascii="Arial" w:cs="Arial" w:eastAsia="Arial" w:hAnsi="Arial"/>
          <w:sz w:val="17"/>
          <w:szCs w:val="17"/>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leased a property where we are building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spacing w:after="0" w:line="171"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may encounter problems with the following:</w:t>
      </w:r>
    </w:p>
    <w:p>
      <w:pPr>
        <w:spacing w:after="0" w:line="117" w:lineRule="exact"/>
        <w:rPr>
          <w:sz w:val="20"/>
          <w:szCs w:val="20"/>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complying with regulations regarding evolving donor infectious disease testing, traceability, manufacturing, release of product candidates and other requirements from regulatory authorities outside the United States;</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due to natural disasters or supply chain interruptions;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212"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29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84"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spacing w:after="0" w:line="261" w:lineRule="auto"/>
        <w:rPr>
          <w:sz w:val="20"/>
          <w:szCs w:val="20"/>
          <w:color w:val="auto"/>
        </w:rPr>
      </w:pPr>
      <w:r>
        <w:rPr>
          <w:rFonts w:ascii="Arial" w:cs="Arial" w:eastAsia="Arial" w:hAnsi="Arial"/>
          <w:sz w:val="18"/>
          <w:szCs w:val="18"/>
          <w:b w:val="1"/>
          <w:bCs w:val="1"/>
          <w:i w:val="1"/>
          <w:iCs w:val="1"/>
          <w:color w:val="auto"/>
        </w:rPr>
        <w:t>We are dependent on third parties to store our CAR-NK cells, viral vector, master and working cell banks of the engineered K562 cells, and any damage or loss would cause delays in replacement, and our business could suffer.</w:t>
      </w:r>
    </w:p>
    <w:p>
      <w:pPr>
        <w:spacing w:after="0" w:line="184" w:lineRule="exact"/>
        <w:rPr>
          <w:sz w:val="20"/>
          <w:szCs w:val="20"/>
          <w:color w:val="auto"/>
        </w:rPr>
      </w:pPr>
    </w:p>
    <w:p>
      <w:pPr>
        <w:ind w:right="240" w:firstLine="509"/>
        <w:spacing w:after="0" w:line="260" w:lineRule="auto"/>
        <w:rPr>
          <w:sz w:val="20"/>
          <w:szCs w:val="20"/>
          <w:color w:val="auto"/>
        </w:rPr>
      </w:pPr>
      <w:r>
        <w:rPr>
          <w:rFonts w:ascii="Arial" w:cs="Arial" w:eastAsia="Arial" w:hAnsi="Arial"/>
          <w:sz w:val="17"/>
          <w:szCs w:val="17"/>
          <w:color w:val="auto"/>
        </w:rPr>
        <w:t>The CAR-NK cells, the viral vector, and the master and working cell banks of the engineered K562 cells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CAR-NK cells, viral vector, and master and working cell banks of the engineered K562 cells,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29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have not yet developed a validated methodology for freezing and thawing commercial-scale quantities of CAR-NK cells, which we believe will be required for the storage and distribution of our CAR-NK product candidates.</w:t>
      </w:r>
    </w:p>
    <w:p>
      <w:pPr>
        <w:spacing w:after="0" w:line="17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have not yet demonstrated that CAR-NK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CAR-NK cells for shipping purposes, our ability to promote adoption and standardization of our product candidates, as well as achieve economies of scale by centralizing our production facility, will be limited. Even if we are able to successfully freeze and thaw CAR-NK cells in large quantities, we will still need to develop a cost-effective and reliable distribution and logistics network, which we may be unable to accomplish.</w:t>
      </w:r>
    </w:p>
    <w:p>
      <w:pPr>
        <w:spacing w:after="0" w:line="18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Furthermore, we have not yet demonstrated long-term stability of cryopreserved CAR-NK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w:t>
      </w:r>
    </w:p>
    <w:p>
      <w:pPr>
        <w:spacing w:after="0" w:line="194" w:lineRule="exact"/>
        <w:rPr>
          <w:sz w:val="20"/>
          <w:szCs w:val="20"/>
          <w:color w:val="auto"/>
        </w:rPr>
      </w:pPr>
    </w:p>
    <w:p>
      <w:pPr>
        <w:jc w:val="both"/>
        <w:ind w:right="400" w:firstLine="509"/>
        <w:spacing w:after="0" w:line="270" w:lineRule="auto"/>
        <w:rPr>
          <w:sz w:val="20"/>
          <w:szCs w:val="20"/>
          <w:color w:val="auto"/>
        </w:rPr>
      </w:pPr>
      <w:r>
        <w:rPr>
          <w:rFonts w:ascii="Arial" w:cs="Arial" w:eastAsia="Arial" w:hAnsi="Arial"/>
          <w:sz w:val="17"/>
          <w:szCs w:val="17"/>
          <w:color w:val="auto"/>
        </w:rPr>
        <w:t>For these and other reasons, we have not yet established the long-term stability of our cryopreserved CAR-NK cells and we may not be able to commercialize CAR-NK cells on a large scale or in a cost-effective manner. If such product candidate is found to be instable, we would be required to conduct more frequent manufacturing runs, which could cause us to incur significant additional expenses.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171" w:lineRule="exact"/>
        <w:rPr>
          <w:sz w:val="20"/>
          <w:szCs w:val="20"/>
          <w:color w:val="auto"/>
        </w:rPr>
      </w:pPr>
    </w:p>
    <w:p>
      <w:pPr>
        <w:ind w:right="40" w:firstLine="509"/>
        <w:spacing w:after="0" w:line="278" w:lineRule="auto"/>
        <w:rPr>
          <w:sz w:val="20"/>
          <w:szCs w:val="20"/>
          <w:color w:val="auto"/>
        </w:rPr>
      </w:pPr>
      <w:r>
        <w:rPr>
          <w:rFonts w:ascii="Arial" w:cs="Arial" w:eastAsia="Arial" w:hAnsi="Arial"/>
          <w:sz w:val="16"/>
          <w:szCs w:val="16"/>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under specified patents and patent applications related to NK cell technology in the field of therapeutics.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which could impede or prevent our successful commercialization of such product candidates and materially adversely affect our business, financial condition, results of operations and growth prospects.</w:t>
      </w:r>
    </w:p>
    <w:p>
      <w:pPr>
        <w:spacing w:after="0" w:line="161"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Furthermore, our patent license agreement with the Licensors is field-specific and has been granted to us in the field of therapeutics. This license agreement permits to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480"/>
        <w:spacing w:after="0" w:line="261" w:lineRule="auto"/>
        <w:rPr>
          <w:sz w:val="20"/>
          <w:szCs w:val="20"/>
          <w:color w:val="auto"/>
        </w:rPr>
      </w:pPr>
      <w:r>
        <w:rPr>
          <w:rFonts w:ascii="Arial" w:cs="Arial" w:eastAsia="Arial" w:hAnsi="Arial"/>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8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patent portfolio consists of a combination of issued patents and pending patent applications licensed from third parties, jointly owned with third parties and assigned solely to us based on our ongoing development activities. We are reliant upon certain of these rights and proprietary technology from third parties for the engineering and development of our current and future product candidates. However, these and other licenses may not provide exclusive rights to use such intellectual property and technology in all relevant fields of use and in all territories in which we choose to develop or commercialize our technology and products in the future. As a result, we may not be able to prevent competitors from developing and commercializing competitive products in territories included in all of our licenses.</w:t>
      </w:r>
    </w:p>
    <w:p>
      <w:pPr>
        <w:spacing w:after="0" w:line="20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an institution.</w:t>
      </w:r>
    </w:p>
    <w:p>
      <w:pPr>
        <w:spacing w:after="0" w:line="201"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We also may in some instances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spacing w:after="0" w:line="17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have materially adversely affect our business, financial condition, results of operations and growth prospects.</w:t>
      </w:r>
    </w:p>
    <w:p>
      <w:pPr>
        <w:spacing w:after="0" w:line="182"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Under certain circumstances such as a material breach of terms, our licensors could terminate our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5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201"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380"/>
        <w:spacing w:after="0" w:line="261" w:lineRule="auto"/>
        <w:rPr>
          <w:sz w:val="20"/>
          <w:szCs w:val="20"/>
          <w:color w:val="auto"/>
        </w:rPr>
      </w:pPr>
      <w:r>
        <w:rPr>
          <w:rFonts w:ascii="Arial" w:cs="Arial" w:eastAsia="Arial" w:hAnsi="Arial"/>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84"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As of June 30, 2022,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NKX101, NKX019, and CD70 CAR-NK patent families. Our portfolio of issued patents, excluding pending patent applications, has expiration dates between 2024 and 2040. Our portfolio, including issued patents, and including pending applications if they issue, has expiration dates between 2024 and 2043. We plan to file additional patent applications that could potentially allow for further increase of the exclusive market protection for use of NKX101, NKX019, and the product candidate from our CD70 CAR-NK program. However, we can provide no assurance that we will be able to file or receive additional patent protection for these or other product candidates.</w:t>
      </w:r>
    </w:p>
    <w:p>
      <w:pPr>
        <w:spacing w:after="0" w:line="15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p>
    <w:p>
      <w:pPr>
        <w:spacing w:after="0" w:line="201" w:lineRule="exact"/>
        <w:rPr>
          <w:sz w:val="20"/>
          <w:szCs w:val="20"/>
          <w:color w:val="auto"/>
        </w:rPr>
      </w:pPr>
    </w:p>
    <w:p>
      <w:pPr>
        <w:ind w:right="60" w:firstLine="509"/>
        <w:spacing w:after="0" w:line="273" w:lineRule="auto"/>
        <w:rPr>
          <w:sz w:val="20"/>
          <w:szCs w:val="20"/>
          <w:color w:val="auto"/>
        </w:rPr>
      </w:pPr>
      <w:r>
        <w:rPr>
          <w:rFonts w:ascii="Arial" w:cs="Arial" w:eastAsia="Arial" w:hAnsi="Arial"/>
          <w:sz w:val="16"/>
          <w:szCs w:val="16"/>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26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83"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58"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66" w:lineRule="exact"/>
        <w:rPr>
          <w:sz w:val="20"/>
          <w:szCs w:val="20"/>
          <w:color w:val="auto"/>
        </w:rPr>
      </w:pPr>
    </w:p>
    <w:p>
      <w:pPr>
        <w:jc w:val="both"/>
        <w:ind w:right="120" w:firstLine="509"/>
        <w:spacing w:after="0" w:line="256"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We may also fail to identify patentable aspects of our research and development output before it is too late to obtain patent protection.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60" w:firstLine="509"/>
        <w:spacing w:after="0" w:line="268" w:lineRule="auto"/>
        <w:rPr>
          <w:sz w:val="20"/>
          <w:szCs w:val="20"/>
          <w:color w:val="auto"/>
        </w:rPr>
      </w:pPr>
      <w:r>
        <w:rPr>
          <w:rFonts w:ascii="Arial" w:cs="Arial" w:eastAsia="Arial" w:hAnsi="Arial"/>
          <w:sz w:val="17"/>
          <w:szCs w:val="17"/>
          <w:color w:val="auto"/>
        </w:rPr>
        <w:t>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p>
    <w:p>
      <w:pPr>
        <w:spacing w:after="0" w:line="175"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66"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5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Ex parte reexaminations have been filed by one or more third parties against certain licensed patents in our portfolio. Ex parte reexaminations of U.S. Patent Nos. 10,774,309 and 10,829,737, which relate to our NKX101 product candidate, are pending. One ex parte reexamination of U.S. Patent No. 9,511,092 (the “092 Patent”), which does not relate to any of our current product candidates, was concluded, resulting in cancellation of certain claims, while another ex parte reexamination of the 092 Patent is pending.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94"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89"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8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products or technology similar to ours. Any such patent application may have priority over our patent applications or patents, which could further require us to obtain rights to patents directed to such technologies. If third parties have filed such patent applications, an interference proceeding in the United States can be initiated by such third party, or by the USPTO itself, to determine who was the first to invent any of the subject matter recited by the patent claims of our applications.</w:t>
      </w:r>
    </w:p>
    <w:p>
      <w:pPr>
        <w:spacing w:after="0" w:line="158"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are not covered by a third party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ind w:right="340"/>
        <w:spacing w:after="0" w:line="256" w:lineRule="auto"/>
        <w:rPr>
          <w:sz w:val="20"/>
          <w:szCs w:val="20"/>
          <w:color w:val="auto"/>
        </w:rPr>
      </w:pPr>
      <w:r>
        <w:rPr>
          <w:rFonts w:ascii="Arial" w:cs="Arial" w:eastAsia="Arial" w:hAnsi="Arial"/>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success depends in part on our ability to develop, manufacture and market our technology and use our technology without infringing the</w:t>
      </w:r>
    </w:p>
    <w:p>
      <w:pPr>
        <w:spacing w:after="0" w:line="1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proprietary rights of third parties. As the relevant product industries expand and more patents are issued, the risk increases that there may be patents issued to third parties that relate to our products and technology of which we are not aware or that we may need to challenge to continue our operations as currently contemplated. As a result, our technology and any future products that we commercialize could be alleged to infringe patent rights and other proprietary rights of third parties, which may require costly litigation and, if we are not successful, could cause us to pay substantial damages and/or limit our ability to commercialize our product candidates.</w:t>
      </w:r>
    </w:p>
    <w:p>
      <w:pPr>
        <w:spacing w:after="0" w:line="18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may face allegations that we have infringed the trademarks, copyrights, patents and other intellectual property rights of third parties. 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7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Results of any such litigation are difficult to predict and may require us to stop treating certain conditions, obtain licenses or modify our product candidates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or require us to take a license from a third party, which the third party is not required to do at a commercially reasonable price or at all. If a license is available from a third party, we may have to pay substantial royalties, upfront fees, milestone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w:t>
      </w:r>
    </w:p>
    <w:p>
      <w:pPr>
        <w:spacing w:after="0" w:line="294" w:lineRule="exact"/>
        <w:rPr>
          <w:sz w:val="20"/>
          <w:szCs w:val="20"/>
          <w:color w:val="auto"/>
        </w:rPr>
      </w:pPr>
    </w:p>
    <w:p>
      <w:pPr>
        <w:ind w:right="640"/>
        <w:spacing w:after="0" w:line="381" w:lineRule="auto"/>
        <w:rPr>
          <w:sz w:val="20"/>
          <w:szCs w:val="20"/>
          <w:color w:val="auto"/>
        </w:rPr>
      </w:pPr>
      <w:r>
        <w:rPr>
          <w:rFonts w:ascii="Arial" w:cs="Arial" w:eastAsia="Arial" w:hAnsi="Arial"/>
          <w:sz w:val="15"/>
          <w:szCs w:val="15"/>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8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or service features, which could in turn reduce demand for our products.</w:t>
      </w:r>
    </w:p>
    <w:p>
      <w:pPr>
        <w:spacing w:after="0" w:line="181"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8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ind w:firstLine="509"/>
        <w:spacing w:after="0" w:line="263" w:lineRule="auto"/>
        <w:rPr>
          <w:sz w:val="20"/>
          <w:szCs w:val="20"/>
          <w:color w:val="auto"/>
        </w:rPr>
      </w:pPr>
      <w:r>
        <w:rPr>
          <w:rFonts w:ascii="Arial" w:cs="Arial" w:eastAsia="Arial" w:hAnsi="Arial"/>
          <w:sz w:val="17"/>
          <w:szCs w:val="17"/>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73" w:lineRule="exact"/>
        <w:rPr>
          <w:sz w:val="20"/>
          <w:szCs w:val="20"/>
          <w:color w:val="auto"/>
        </w:rPr>
      </w:pPr>
    </w:p>
    <w:p>
      <w:pPr>
        <w:ind w:right="380" w:firstLine="509"/>
        <w:spacing w:after="0" w:line="249" w:lineRule="auto"/>
        <w:rPr>
          <w:sz w:val="20"/>
          <w:szCs w:val="20"/>
          <w:color w:val="auto"/>
        </w:rPr>
      </w:pPr>
      <w:r>
        <w:rPr>
          <w:rFonts w:ascii="Arial" w:cs="Arial" w:eastAsia="Arial" w:hAnsi="Arial"/>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1"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30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71"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Under the Leahy-Smith America Invents Act, or the America Invents Act,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However, the America Invents Act and its implementation could increase the uncertainties and costs surrounding the prosecution of our patent applications and the enforcement or defense of our issued patents, all of which could materially adversely affect our business, financial condition, results of operations and growth prospects.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firstLine="509"/>
        <w:spacing w:after="0" w:line="277"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enforce assignments of intellectual property rights from our employees and contractors.</w:t>
      </w:r>
    </w:p>
    <w:p>
      <w:pPr>
        <w:spacing w:after="0" w:line="198"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2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57"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10"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auto"/>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p>
    <w:p>
      <w:pPr>
        <w:spacing w:after="0" w:line="187"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future in-licensed intellectual property is generated through the use of U.S. government funding, these provisions of the Bayh-Dole Act may apply.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ind w:right="160" w:firstLine="509"/>
        <w:spacing w:after="0" w:line="268" w:lineRule="auto"/>
        <w:rPr>
          <w:sz w:val="20"/>
          <w:szCs w:val="20"/>
          <w:color w:val="auto"/>
        </w:rPr>
      </w:pPr>
      <w:r>
        <w:rPr>
          <w:rFonts w:ascii="Arial" w:cs="Arial" w:eastAsia="Arial" w:hAnsi="Arial"/>
          <w:sz w:val="17"/>
          <w:szCs w:val="17"/>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p>
    <w:p>
      <w:pPr>
        <w:spacing w:after="0" w:line="166"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95"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currently have no sales, marketing or distribution organizational infrastructure. We will need to develop internal sales, marketing and distribution capabilities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product candidates, including NKX101 and NKX019, could be subject to regulatory limitations following approval, if and when such approval is granted.</w:t>
      </w:r>
    </w:p>
    <w:p>
      <w:pPr>
        <w:spacing w:after="0" w:line="157"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p>
    <w:p>
      <w:pPr>
        <w:spacing w:after="0" w:line="18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85" w:lineRule="exact"/>
        <w:rPr>
          <w:sz w:val="20"/>
          <w:szCs w:val="20"/>
          <w:color w:val="auto"/>
        </w:rPr>
      </w:pPr>
    </w:p>
    <w:p>
      <w:pPr>
        <w:ind w:right="80" w:firstLine="509"/>
        <w:spacing w:after="0" w:line="278" w:lineRule="auto"/>
        <w:rPr>
          <w:sz w:val="20"/>
          <w:szCs w:val="20"/>
          <w:color w:val="auto"/>
        </w:rPr>
      </w:pPr>
      <w:r>
        <w:rPr>
          <w:rFonts w:ascii="Arial" w:cs="Arial" w:eastAsia="Arial" w:hAnsi="Arial"/>
          <w:sz w:val="17"/>
          <w:szCs w:val="17"/>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50"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such products’ manufacturing processes;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the product label;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of a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distribution;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Untitled or Warning Letters from the FDA;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12"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57"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72" w:lineRule="exact"/>
        <w:rPr>
          <w:sz w:val="20"/>
          <w:szCs w:val="20"/>
          <w:color w:val="auto"/>
        </w:rPr>
      </w:pPr>
    </w:p>
    <w:p>
      <w:pPr>
        <w:ind w:right="380" w:firstLine="509"/>
        <w:spacing w:after="0" w:line="263" w:lineRule="auto"/>
        <w:rPr>
          <w:sz w:val="20"/>
          <w:szCs w:val="20"/>
          <w:color w:val="auto"/>
        </w:rPr>
      </w:pPr>
      <w:r>
        <w:rPr>
          <w:rFonts w:ascii="Arial" w:cs="Arial" w:eastAsia="Arial" w:hAnsi="Arial"/>
          <w:sz w:val="17"/>
          <w:szCs w:val="17"/>
          <w:color w:val="auto"/>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9" w:name="page60"/>
    <w:bookmarkEnd w:id="59"/>
    <w:p>
      <w:pPr>
        <w:ind w:right="480"/>
        <w:spacing w:after="0" w:line="261" w:lineRule="auto"/>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8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67"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physicians to refer patients and prescribe new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prevalence and severity of any side effects;</w:t>
      </w:r>
    </w:p>
    <w:p>
      <w:pPr>
        <w:spacing w:after="0" w:line="117"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labeling or product insert requirements imposed by the FDA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publicity concerning our product candidates or favorable publicity about competing products and treatments;</w:t>
      </w:r>
    </w:p>
    <w:p>
      <w:pPr>
        <w:spacing w:after="0" w:line="103"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sufficient third-party payor coverage, any limitations in terms of center or personnel training requirement imposed by third parties and adequate reimbursement;</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labeling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FDA requirement to undertake a REMS;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84"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0" w:name="page61"/>
    <w:bookmarkEnd w:id="60"/>
    <w:p>
      <w:pPr>
        <w:ind w:right="460"/>
        <w:spacing w:after="0" w:line="324"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3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8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6"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p>
    <w:p>
      <w:pPr>
        <w:spacing w:after="0" w:line="171"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6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harm our business.</w:t>
      </w:r>
    </w:p>
    <w:p>
      <w:pPr>
        <w:spacing w:after="0" w:line="21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65" w:lineRule="exact"/>
        <w:rPr>
          <w:sz w:val="20"/>
          <w:szCs w:val="20"/>
          <w:color w:val="auto"/>
        </w:rPr>
      </w:pPr>
    </w:p>
    <w:p>
      <w:pPr>
        <w:ind w:left="1020" w:right="400" w:hanging="503"/>
        <w:spacing w:after="0" w:line="25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66" w:lineRule="exact"/>
        <w:rPr>
          <w:rFonts w:ascii="Arial" w:cs="Arial" w:eastAsia="Arial" w:hAnsi="Arial"/>
          <w:sz w:val="18"/>
          <w:szCs w:val="18"/>
          <w:color w:val="auto"/>
        </w:rPr>
      </w:pPr>
    </w:p>
    <w:p>
      <w:pPr>
        <w:ind w:left="1020" w:right="180" w:hanging="503"/>
        <w:spacing w:after="0" w:line="25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66"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6" w:lineRule="exact"/>
        <w:rPr>
          <w:rFonts w:ascii="Arial" w:cs="Arial" w:eastAsia="Arial" w:hAnsi="Arial"/>
          <w:sz w:val="18"/>
          <w:szCs w:val="18"/>
          <w:color w:val="auto"/>
        </w:rPr>
      </w:pPr>
    </w:p>
    <w:p>
      <w:pPr>
        <w:ind w:left="1020" w:right="44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6"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of the CMS to test innovative payment and service delivery models to lower Medicare and Medicaid spending, potentially including prescription drug spending.</w:t>
      </w:r>
    </w:p>
    <w:p>
      <w:pPr>
        <w:spacing w:after="0" w:line="171"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For example, the Tax Cuts and Jobs Act of 2017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eliminated, effective January 1, 2020, the ACA-mandated “Cadillac” tax on high-cost employer-sponsored health coverage and medical device tax and, effective January 1, 2021, also eliminated the health insurer. On December 14, 2018, a U.S. District Court Judge in the Northern District of Texas ruled that the individual mandate is an inseverable feature of the ACA, and therefore, because it was repealed as part of the Tax Act, the remaining provisions of the ACA are invalid as well. The case was appealed to the U.S. Court of Appeals for the Fifth Circuit. On December 18, 2019, a three-judge panel of the U.S. Court of Appeals for the Fifth Circuit declared the ACA’s individual mandate unconstitutional and remanded the case back to the Texas Federal District Court to determine whether the remainder of the ACA also is unconstitutional. On March 2, 2020, the U.S. Supreme Court agreed to hear two consolidated cases, filed by the State of California and the United States House of Representatives, asking the U.S. Supreme Court to review the severability issue. On June 17, 2021, the U.S. Supreme Court dismissed the case, finding that the plaintiffs lacked standing. Additionally,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There can be no assurances that opponents to the ACA and other healthcare reform measures will not continue attempts to repeal and/or replace the ACA.</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right="20" w:firstLine="509"/>
        <w:spacing w:after="0" w:line="258"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March 31, 2021 due to the COVID-19 pandemic. Proposed legislation, if passed, would extend this suspension until the end of the COVID-19 pandemic; however, the reductions are expected to continue through 2030.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80" w:lineRule="exact"/>
        <w:rPr>
          <w:sz w:val="20"/>
          <w:szCs w:val="20"/>
          <w:color w:val="auto"/>
        </w:rPr>
      </w:pPr>
    </w:p>
    <w:p>
      <w:pPr>
        <w:ind w:right="240" w:firstLine="509"/>
        <w:spacing w:after="0" w:line="283" w:lineRule="auto"/>
        <w:rPr>
          <w:sz w:val="20"/>
          <w:szCs w:val="20"/>
          <w:color w:val="auto"/>
        </w:rPr>
      </w:pPr>
      <w:r>
        <w:rPr>
          <w:rFonts w:ascii="Arial" w:cs="Arial" w:eastAsia="Arial" w:hAnsi="Arial"/>
          <w:sz w:val="16"/>
          <w:szCs w:val="16"/>
          <w:color w:val="auto"/>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Recent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Congress and the administration have each indicated that it will continue to seek new legislative and/or administrative measures to control drug costs.</w:t>
      </w:r>
    </w:p>
    <w:p>
      <w:pPr>
        <w:spacing w:after="0" w:line="156"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 On July 24, 2020 and September 13, 2020, former President Trump signed several executive orders aimed at lowering drug prices. As a result, the FDA released a final rule on September 24, 2020, effective November 30, 2020, providing guidance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Congress and the Biden administration have indicated that they will continue to pursue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what initiatives may be adopted in the future.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spacing w:after="0" w:line="200" w:lineRule="exact"/>
        <w:rPr>
          <w:sz w:val="20"/>
          <w:szCs w:val="20"/>
          <w:color w:val="auto"/>
        </w:rPr>
      </w:pPr>
    </w:p>
    <w:p>
      <w:pPr>
        <w:spacing w:after="0" w:line="2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57" w:lineRule="exact"/>
        <w:rPr>
          <w:sz w:val="20"/>
          <w:szCs w:val="20"/>
          <w:color w:val="auto"/>
        </w:rPr>
      </w:pPr>
    </w:p>
    <w:p>
      <w:pPr>
        <w:ind w:right="280" w:firstLine="509"/>
        <w:spacing w:after="0" w:line="290" w:lineRule="auto"/>
        <w:rPr>
          <w:sz w:val="20"/>
          <w:szCs w:val="20"/>
          <w:color w:val="auto"/>
        </w:rPr>
      </w:pPr>
      <w:r>
        <w:rPr>
          <w:rFonts w:ascii="Arial" w:cs="Arial" w:eastAsia="Arial" w:hAnsi="Arial"/>
          <w:sz w:val="16"/>
          <w:szCs w:val="16"/>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left="520"/>
        <w:spacing w:after="0"/>
        <w:rPr>
          <w:sz w:val="20"/>
          <w:szCs w:val="20"/>
          <w:color w:val="auto"/>
        </w:rPr>
      </w:pPr>
      <w:r>
        <w:rPr>
          <w:rFonts w:ascii="Arial" w:cs="Arial" w:eastAsia="Arial" w:hAnsi="Arial"/>
          <w:sz w:val="17"/>
          <w:szCs w:val="17"/>
          <w:color w:val="auto"/>
        </w:rPr>
        <w:t>If we market approved products outside the United States, we expect that we will be subject to additional risks in commercialization, including:</w:t>
      </w:r>
    </w:p>
    <w:p>
      <w:pPr>
        <w:spacing w:after="0" w:line="115"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therapies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020" w:right="220" w:hanging="503"/>
        <w:spacing w:after="0" w:line="342"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and other public health crises, illnesses, epidemics or pandemics, such as the potential impact of the COVID-19 outbreak.</w:t>
      </w:r>
    </w:p>
    <w:p>
      <w:pPr>
        <w:spacing w:after="0" w:line="110" w:lineRule="exact"/>
        <w:rPr>
          <w:sz w:val="20"/>
          <w:szCs w:val="20"/>
          <w:color w:val="auto"/>
        </w:rPr>
      </w:pPr>
    </w:p>
    <w:p>
      <w:pPr>
        <w:jc w:val="both"/>
        <w:ind w:right="220" w:firstLine="509"/>
        <w:spacing w:after="0" w:line="256" w:lineRule="auto"/>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83" w:lineRule="exact"/>
        <w:rPr>
          <w:sz w:val="20"/>
          <w:szCs w:val="20"/>
          <w:color w:val="auto"/>
        </w:rPr>
      </w:pPr>
    </w:p>
    <w:p>
      <w:pPr>
        <w:ind w:right="480"/>
        <w:spacing w:after="0" w:line="362" w:lineRule="auto"/>
        <w:rPr>
          <w:sz w:val="20"/>
          <w:szCs w:val="20"/>
          <w:color w:val="auto"/>
        </w:rPr>
      </w:pPr>
      <w:r>
        <w:rPr>
          <w:rFonts w:ascii="Arial" w:cs="Arial" w:eastAsia="Arial" w:hAnsi="Arial"/>
          <w:sz w:val="15"/>
          <w:szCs w:val="15"/>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1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8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may fail to comply with evolving global privacy laws.</w:t>
      </w:r>
    </w:p>
    <w:p>
      <w:pPr>
        <w:spacing w:after="0" w:line="212"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79"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86"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66"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(the “CCPA”), which went into effect on January 1, 2020, is creating similar risks and obligations as those created by the GDPR, though the California Consumer Privacy Act does exempt certain clinical trial data.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 which could contribute to the loss of all or part of your investment.</w:t>
      </w:r>
    </w:p>
    <w:p>
      <w:pPr>
        <w:spacing w:after="0" w:line="212"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are beyond our control.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affecting the trading price of our common stock may include, but are not limited to:</w:t>
      </w:r>
    </w:p>
    <w:p>
      <w:pPr>
        <w:spacing w:after="0" w:line="104"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decision to initiate a clinical study, not to initiate a clinical study or to terminate an existing clinical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announcement of initial data or clinical results from our clinical trials or expectations that such delays may occur;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 or failure of competitive products, immunotherapy drugs or cellular therapies more generally;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strategic partnerships;</w:t>
      </w:r>
    </w:p>
    <w:p>
      <w:pPr>
        <w:spacing w:after="0" w:line="117"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w:t>
      </w:r>
    </w:p>
    <w:p>
      <w:pPr>
        <w:spacing w:after="0" w:line="62" w:lineRule="exact"/>
        <w:rPr>
          <w:rFonts w:ascii="Arial" w:cs="Arial" w:eastAsia="Arial" w:hAnsi="Arial"/>
          <w:sz w:val="18"/>
          <w:szCs w:val="18"/>
          <w:color w:val="auto"/>
        </w:rPr>
      </w:pPr>
    </w:p>
    <w:p>
      <w:pPr>
        <w:ind w:left="1020" w:hanging="503"/>
        <w:spacing w:after="0" w:line="25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inflationary pressures, interest rates, fuel prices, elections, drug pricing policies, international currency fluctuations, acts of war or terrorism, and other public health crises, illnesses, epidemics or pandemics, such as the potential impact of the COVID-19 outbreak; and</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discussed in these risk factors.</w:t>
      </w:r>
    </w:p>
    <w:p>
      <w:pPr>
        <w:spacing w:after="0" w:line="212" w:lineRule="exact"/>
        <w:rPr>
          <w:sz w:val="20"/>
          <w:szCs w:val="20"/>
          <w:color w:val="auto"/>
        </w:rPr>
      </w:pPr>
    </w:p>
    <w:p>
      <w:pPr>
        <w:ind w:right="180" w:firstLine="509"/>
        <w:spacing w:after="0" w:line="278" w:lineRule="auto"/>
        <w:rPr>
          <w:sz w:val="20"/>
          <w:szCs w:val="20"/>
          <w:color w:val="auto"/>
        </w:rPr>
      </w:pPr>
      <w:r>
        <w:rPr>
          <w:rFonts w:ascii="Arial" w:cs="Arial" w:eastAsia="Arial" w:hAnsi="Arial"/>
          <w:sz w:val="17"/>
          <w:szCs w:val="17"/>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15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5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As of August 8, 2022, our directors and executive officers, and entities affiliated with them, as well as holders of more than 5% of our outstanding shares of common stock, in the aggregate beneficially own 42%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1" w:lineRule="exact"/>
        <w:rPr>
          <w:sz w:val="20"/>
          <w:szCs w:val="20"/>
          <w:color w:val="auto"/>
        </w:rPr>
      </w:pPr>
    </w:p>
    <w:p>
      <w:pPr>
        <w:jc w:val="both"/>
        <w:ind w:right="160" w:firstLine="509"/>
        <w:spacing w:after="0" w:line="303" w:lineRule="auto"/>
        <w:rPr>
          <w:sz w:val="20"/>
          <w:szCs w:val="20"/>
          <w:color w:val="auto"/>
        </w:rPr>
      </w:pPr>
      <w:r>
        <w:rPr>
          <w:rFonts w:ascii="Arial" w:cs="Arial" w:eastAsia="Arial" w:hAnsi="Arial"/>
          <w:sz w:val="16"/>
          <w:szCs w:val="16"/>
          <w:color w:val="auto"/>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57"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August 8, 2022, we had 48,656,798 shares of common stock outstanding.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ind w:right="40" w:firstLine="509"/>
        <w:spacing w:after="0" w:line="259" w:lineRule="auto"/>
        <w:rPr>
          <w:sz w:val="20"/>
          <w:szCs w:val="20"/>
          <w:color w:val="auto"/>
        </w:rPr>
      </w:pPr>
      <w:r>
        <w:rPr>
          <w:rFonts w:ascii="Arial" w:cs="Arial" w:eastAsia="Arial" w:hAnsi="Arial"/>
          <w:sz w:val="17"/>
          <w:szCs w:val="17"/>
          <w:color w:val="auto"/>
        </w:rPr>
        <w:t>Holders of an aggregate of 13,200,076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 less attractive to investors.</w:t>
      </w:r>
    </w:p>
    <w:p>
      <w:pPr>
        <w:spacing w:after="0" w:line="196"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5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$1.07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2"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6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8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Our ability to use our net operating loss carryovers and certain other tax attributes may be limited.</w:t>
      </w:r>
    </w:p>
    <w:p>
      <w:pPr>
        <w:spacing w:after="0" w:line="21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spacing w:after="0" w:line="18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to the holders of our common stock for the foreseeable future.</w:t>
      </w:r>
    </w:p>
    <w:p>
      <w:pPr>
        <w:spacing w:after="0" w:line="212"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8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7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76" w:lineRule="exact"/>
        <w:rPr>
          <w:sz w:val="20"/>
          <w:szCs w:val="20"/>
          <w:color w:val="auto"/>
        </w:rPr>
      </w:pPr>
    </w:p>
    <w:p>
      <w:pPr>
        <w:ind w:left="1020" w:right="44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386"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386"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265"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a majority of directors then in office, even though less than a quorum, may fill vacancies on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bylaws;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supermajority votes of the holders of our common stock to amend specified provisions of our Certificate of Incorporation and bylaws.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540" w:firstLine="509"/>
        <w:spacing w:after="0" w:line="324" w:lineRule="auto"/>
        <w:rPr>
          <w:sz w:val="20"/>
          <w:szCs w:val="20"/>
          <w:color w:val="auto"/>
        </w:rPr>
      </w:pPr>
      <w:r>
        <w:rPr>
          <w:rFonts w:ascii="Arial" w:cs="Arial" w:eastAsia="Arial" w:hAnsi="Arial"/>
          <w:sz w:val="16"/>
          <w:szCs w:val="16"/>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8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84" w:lineRule="exact"/>
        <w:rPr>
          <w:sz w:val="20"/>
          <w:szCs w:val="20"/>
          <w:color w:val="auto"/>
        </w:rPr>
      </w:pPr>
    </w:p>
    <w:p>
      <w:pPr>
        <w:ind w:right="320" w:firstLine="509"/>
        <w:spacing w:after="0" w:line="324" w:lineRule="auto"/>
        <w:rPr>
          <w:sz w:val="20"/>
          <w:szCs w:val="20"/>
          <w:color w:val="auto"/>
        </w:rPr>
      </w:pPr>
      <w:r>
        <w:rPr>
          <w:rFonts w:ascii="Arial" w:cs="Arial" w:eastAsia="Arial" w:hAnsi="Arial"/>
          <w:sz w:val="16"/>
          <w:szCs w:val="16"/>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16"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of our directors, officers or other employees to us or our stockholders;</w:t>
      </w:r>
    </w:p>
    <w:p>
      <w:pPr>
        <w:spacing w:after="0" w:line="115" w:lineRule="exact"/>
        <w:rPr>
          <w:rFonts w:ascii="Arial" w:cs="Arial" w:eastAsia="Arial" w:hAnsi="Arial"/>
          <w:sz w:val="17"/>
          <w:szCs w:val="17"/>
          <w:color w:val="auto"/>
        </w:rPr>
      </w:pPr>
    </w:p>
    <w:p>
      <w:pPr>
        <w:ind w:left="1020" w:right="96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 asserting a claim against us arising pursuant to any provision of the Delaware General Corporation Law, our certificate of incorporation or our bylaws; or</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action asserting a claim against us that is governed by the internal affairs doctrine.</w:t>
      </w:r>
    </w:p>
    <w:p>
      <w:pPr>
        <w:spacing w:after="0" w:line="212"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1"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72"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General Risk Factors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macroeconomic conditions, including rising inflation, interest rates and supply chain constraints.*</w:t>
      </w:r>
    </w:p>
    <w:p>
      <w:pPr>
        <w:spacing w:after="0" w:line="333" w:lineRule="exact"/>
        <w:rPr>
          <w:sz w:val="20"/>
          <w:szCs w:val="20"/>
          <w:color w:val="auto"/>
        </w:rPr>
      </w:pPr>
    </w:p>
    <w:p>
      <w:pPr>
        <w:ind w:right="300" w:firstLine="509"/>
        <w:spacing w:after="0" w:line="276" w:lineRule="auto"/>
        <w:rPr>
          <w:sz w:val="20"/>
          <w:szCs w:val="20"/>
          <w:color w:val="auto"/>
        </w:rPr>
      </w:pPr>
      <w:r>
        <w:rPr>
          <w:rFonts w:ascii="Arial" w:cs="Arial" w:eastAsia="Arial" w:hAnsi="Arial"/>
          <w:sz w:val="16"/>
          <w:szCs w:val="16"/>
          <w:color w:val="auto"/>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global financial markets. For instance, inflation has negatively impacted us and could continue to negatively impact us by increasing our cost of labor (through higher</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wages), commercial support, construction, manufacturing and clinical supply expenditures. See above under “</w:t>
      </w:r>
      <w:r>
        <w:rPr>
          <w:rFonts w:ascii="Arial" w:cs="Arial" w:eastAsia="Arial" w:hAnsi="Arial"/>
          <w:sz w:val="16"/>
          <w:szCs w:val="16"/>
          <w:i w:val="1"/>
          <w:iCs w:val="1"/>
          <w:color w:val="auto"/>
        </w:rPr>
        <w:t>Our manufacturing process is novel and</w:t>
      </w:r>
      <w:r>
        <w:rPr>
          <w:rFonts w:ascii="Arial" w:cs="Arial" w:eastAsia="Arial" w:hAnsi="Arial"/>
          <w:sz w:val="16"/>
          <w:szCs w:val="16"/>
          <w:color w:val="auto"/>
        </w:rPr>
        <w:t xml:space="preserve"> </w:t>
      </w:r>
      <w:r>
        <w:rPr>
          <w:rFonts w:ascii="Arial" w:cs="Arial" w:eastAsia="Arial" w:hAnsi="Arial"/>
          <w:sz w:val="16"/>
          <w:szCs w:val="16"/>
          <w:i w:val="1"/>
          <w:iCs w:val="1"/>
          <w:color w:val="auto"/>
        </w:rPr>
        <w:t>complex, and we may encounter difficulties in production, or difficulties with internal manufacturing, which would delay or prevent our ability to provide a sufficient supply of our product candidates for clinical trials or our products for patients, if approved</w:t>
      </w:r>
      <w:r>
        <w:rPr>
          <w:rFonts w:ascii="Arial" w:cs="Arial" w:eastAsia="Arial" w:hAnsi="Arial"/>
          <w:sz w:val="16"/>
          <w:szCs w:val="16"/>
          <w:color w:val="auto"/>
        </w:rPr>
        <w:t>” for the risks related to the impact of inflation on the</w:t>
      </w:r>
    </w:p>
    <w:p>
      <w:pPr>
        <w:jc w:val="both"/>
        <w:ind w:right="100"/>
        <w:spacing w:after="0" w:line="238" w:lineRule="auto"/>
        <w:rPr>
          <w:sz w:val="20"/>
          <w:szCs w:val="20"/>
          <w:color w:val="auto"/>
        </w:rPr>
      </w:pPr>
      <w:r>
        <w:rPr>
          <w:rFonts w:ascii="Arial" w:cs="Arial" w:eastAsia="Arial" w:hAnsi="Arial"/>
          <w:sz w:val="18"/>
          <w:szCs w:val="18"/>
          <w:color w:val="auto"/>
        </w:rPr>
        <w:t>construction of our commercial-scale manufacturing facility.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Similarly, these macroeconomic factors could affect the ability of our third-party manufacturers, contractors or suppliers to manufacture materials required for our product candidates on a cost effective basis, if at all.</w:t>
      </w:r>
    </w:p>
    <w:p>
      <w:pPr>
        <w:spacing w:after="0" w:line="312"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71" w:lineRule="exact"/>
        <w:rPr>
          <w:sz w:val="20"/>
          <w:szCs w:val="20"/>
          <w:color w:val="auto"/>
        </w:rPr>
      </w:pPr>
    </w:p>
    <w:p>
      <w:pPr>
        <w:ind w:right="360" w:firstLine="509"/>
        <w:spacing w:after="0" w:line="256"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67"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assumption of indebtedness or contingent or unknown liabilities;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drugs of an acquired company, including difficulties associated with integrating new personnel;</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adequately prosecuting and maintaining protection of any acquired intellectual property rights;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drug programs and initiatives in pursuing such a strategic partnership, merger or acquisition;</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about our ability to maintain key business relationships;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drugs or product candidates and regulatory approvals; and</w:t>
      </w:r>
    </w:p>
    <w:p>
      <w:pPr>
        <w:spacing w:after="0" w:line="62" w:lineRule="exact"/>
        <w:rPr>
          <w:rFonts w:ascii="Arial" w:cs="Arial" w:eastAsia="Arial" w:hAnsi="Arial"/>
          <w:sz w:val="18"/>
          <w:szCs w:val="18"/>
          <w:color w:val="auto"/>
        </w:rPr>
      </w:pPr>
    </w:p>
    <w:p>
      <w:pPr>
        <w:ind w:left="1020" w:right="400" w:hanging="503"/>
        <w:spacing w:after="0" w:line="30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33"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0" w:name="page71"/>
    <w:bookmarkEnd w:id="70"/>
    <w:p>
      <w:pPr>
        <w:ind w:right="12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8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29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71"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spacing w:after="0" w:line="18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79" w:lineRule="exact"/>
        <w:rPr>
          <w:sz w:val="20"/>
          <w:szCs w:val="20"/>
          <w:color w:val="auto"/>
        </w:rPr>
      </w:pPr>
    </w:p>
    <w:p>
      <w:pPr>
        <w:ind w:right="160" w:firstLine="509"/>
        <w:spacing w:after="0" w:line="260" w:lineRule="auto"/>
        <w:rPr>
          <w:sz w:val="20"/>
          <w:szCs w:val="20"/>
          <w:color w:val="auto"/>
        </w:rPr>
      </w:pPr>
      <w:r>
        <w:rPr>
          <w:rFonts w:ascii="Arial" w:cs="Arial" w:eastAsia="Arial" w:hAnsi="Arial"/>
          <w:sz w:val="17"/>
          <w:szCs w:val="17"/>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ind w:right="140"/>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7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2"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9"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0"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83"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560"/>
        <w:spacing w:after="0" w:line="261" w:lineRule="auto"/>
        <w:rPr>
          <w:sz w:val="20"/>
          <w:szCs w:val="20"/>
          <w:color w:val="auto"/>
        </w:rPr>
      </w:pPr>
      <w:r>
        <w:rPr>
          <w:rFonts w:ascii="Arial" w:cs="Arial" w:eastAsia="Arial" w:hAnsi="Arial"/>
          <w:sz w:val="18"/>
          <w:szCs w:val="18"/>
          <w:b w:val="1"/>
          <w:bCs w:val="1"/>
          <w:i w:val="1"/>
          <w:iCs w:val="1"/>
          <w:color w:val="auto"/>
        </w:rPr>
        <w:t>Computer system interruptions or security breaches could significantly disrupt our product development programs and our ability to operate our business.</w:t>
      </w:r>
    </w:p>
    <w:p>
      <w:pPr>
        <w:spacing w:after="0" w:line="76"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It is possible that in the future our safety and security measures will not prevent the improper functioning or damaging of our systems, or the improper access or disclosure of personally identifiable information, and any such event could materially and adversely impact our business, financial condition or results of operations. In addition,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On July 14, 2020, we completed our IPO. Our registration statement on Form S-1 (File No. 333-239301) relating to the IPO was declared effective by the SEC on July 9, 2020.</w:t>
      </w:r>
    </w:p>
    <w:p>
      <w:pPr>
        <w:spacing w:after="0" w:line="171"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July 13, 2020 pursuant to Rule 424(b)(4) under the Securities Act. As of June 30, 2022, we estimate that we have used $72.8 million from the net proceeds from the IPO primarily to advance our product candidates through preclinical studies and clinical trial programs, the construction of our manufacturing facility, and for working capital and general corporate purposes. We invested the remaining funds received in cash equivalents and other marketable securities in accordance with our investment policy.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Amendments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ind w:firstLine="509"/>
        <w:spacing w:after="0" w:line="243" w:lineRule="auto"/>
        <w:rPr>
          <w:sz w:val="20"/>
          <w:szCs w:val="20"/>
          <w:color w:val="auto"/>
        </w:rPr>
      </w:pPr>
      <w:r>
        <w:rPr>
          <w:rFonts w:ascii="Arial" w:cs="Arial" w:eastAsia="Arial" w:hAnsi="Arial"/>
          <w:sz w:val="18"/>
          <w:szCs w:val="18"/>
          <w:color w:val="auto"/>
        </w:rPr>
        <w:t>On August 11, 2022, we entered into a Second Amendment (the “Second Amendment”) to the Additional Lease Agreement with HCP BTC, LLC, which increased the tenant improvement allowance available to us by the amount of $15 million, which amount is in addition to the allowance previously established under the Additional Lease Agreement. The allowance funds may be used by us for tenant improvements and certain infrastructure upgrades in connection with the initial buildout of the premises. As consideration for the landlord agreeing to such increase to the tenant improvement allowance under the Additional Lease Agreement, we agreed to increased base rental rates under the Additional Lease Agreement pursuant to the Second Amendment, as well as under the Initial Lease Agreement pursuant to a Fifth Amendment (the “Fifth Amendment”) to such Initial Lease Agreement with HCP Life Science REIT, Inc. also executed on August 11, 2022. In addition, the Second Amendment provides for an increase to the letter of credit under the Additional Lease Agreement from $1,646,491 to $1,968,071. The Fifth Amendment provides for an increase of the letter of credit under the Initial Lease Agreement from $451,913 to $775,258 and an 18-month extension of the lease term thereunder to July 31, 2030 for portions of the facility leased thereunder.</w:t>
      </w:r>
    </w:p>
    <w:p>
      <w:pPr>
        <w:spacing w:after="0" w:line="78"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The foregoing descriptions of the Second Amendment and the Fifth Amendment are qualified in their entirety by reference to the full text of such Second Amendment and Fifth Amendment, copies of which are filed as Exhibit 10.1 and Exhibit 10.2, respectively, to this Quarterly Report on Form 10-Q and incorporated by reference herein.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w:t>
      </w:r>
    </w:p>
    <w:p>
      <w:pPr>
        <w:spacing w:after="0" w:line="121" w:lineRule="exact"/>
        <w:rPr>
          <w:sz w:val="20"/>
          <w:szCs w:val="20"/>
          <w:color w:val="auto"/>
        </w:rPr>
      </w:pPr>
    </w:p>
    <w:p>
      <w:pPr>
        <w:ind w:right="520" w:firstLine="509"/>
        <w:spacing w:after="0" w:line="248" w:lineRule="auto"/>
        <w:rPr>
          <w:sz w:val="20"/>
          <w:szCs w:val="20"/>
          <w:color w:val="auto"/>
        </w:rPr>
      </w:pPr>
      <w:r>
        <w:rPr>
          <w:rFonts w:ascii="Arial" w:cs="Arial" w:eastAsia="Arial" w:hAnsi="Arial"/>
          <w:sz w:val="18"/>
          <w:szCs w:val="18"/>
          <w:color w:val="auto"/>
        </w:rPr>
        <w:t>On August 9, 2022, Tiba Aynechi notified the Company’s Board of Directors of her decision to resign as a member of the Board of Directors, effective August 15, 2022. Dr. Aynechi’s resignation is not a result of a disagreement with the Company on any matter relating to the Company’s operations, policies or practices.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Exhibit</w:t>
            </w:r>
          </w:p>
        </w:tc>
        <w:tc>
          <w:tcPr>
            <w:tcW w:w="17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17"/>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2"/>
          </w:tcPr>
          <w:p>
            <w:pPr>
              <w:spacing w:after="0"/>
              <w:rPr>
                <w:rFonts w:ascii="Arial" w:cs="Arial" w:eastAsia="Arial" w:hAnsi="Arial"/>
                <w:sz w:val="18"/>
                <w:szCs w:val="18"/>
                <w:color w:val="0000FF"/>
              </w:rPr>
            </w:pPr>
            <w:hyperlink r:id="rId280">
              <w:r>
                <w:rPr>
                  <w:rFonts w:ascii="Arial" w:cs="Arial" w:eastAsia="Arial" w:hAnsi="Arial"/>
                  <w:sz w:val="18"/>
                  <w:szCs w:val="18"/>
                  <w:color w:val="0000FF"/>
                </w:rPr>
                <w:t>Amended and Restated Certificate of</w:t>
              </w:r>
            </w:hyperlink>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740" w:type="dxa"/>
            <w:vAlign w:val="bottom"/>
          </w:tcPr>
          <w:p>
            <w:pPr>
              <w:ind w:left="540"/>
              <w:spacing w:after="0"/>
              <w:rPr>
                <w:sz w:val="20"/>
                <w:szCs w:val="20"/>
                <w:color w:val="auto"/>
              </w:rPr>
            </w:pPr>
            <w:r>
              <w:rPr>
                <w:rFonts w:ascii="Arial" w:cs="Arial" w:eastAsia="Arial" w:hAnsi="Arial"/>
                <w:sz w:val="18"/>
                <w:szCs w:val="18"/>
                <w:color w:val="auto"/>
              </w:rPr>
              <w:t>7/14/2020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2"/>
              </w:rPr>
            </w:pPr>
            <w:hyperlink r:id="rId280">
              <w:r>
                <w:rPr>
                  <w:rFonts w:ascii="Arial" w:cs="Arial" w:eastAsia="Arial" w:hAnsi="Arial"/>
                  <w:sz w:val="18"/>
                  <w:szCs w:val="18"/>
                  <w:color w:val="0000FF"/>
                  <w:w w:val="92"/>
                </w:rPr>
                <w:t>Incorporation of Nkarta, Inc.</w:t>
              </w:r>
            </w:hyperlink>
          </w:p>
        </w:tc>
        <w:tc>
          <w:tcPr>
            <w:tcW w:w="20" w:type="dxa"/>
            <w:vAlign w:val="bottom"/>
            <w:tcBorders>
              <w:top w:val="single" w:sz="8" w:color="0000FF"/>
              <w:bottom w:val="single" w:sz="8" w:color="0000EE"/>
            </w:tcBorders>
          </w:tcPr>
          <w:p>
            <w:pPr>
              <w:spacing w:after="0"/>
              <w:rPr>
                <w:sz w:val="14"/>
                <w:szCs w:val="14"/>
                <w:color w:val="auto"/>
              </w:rPr>
            </w:pPr>
          </w:p>
        </w:tc>
        <w:tc>
          <w:tcPr>
            <w:tcW w:w="620" w:type="dxa"/>
            <w:vAlign w:val="bottom"/>
            <w:tcBorders>
              <w:top w:val="single" w:sz="8" w:color="0000FF"/>
            </w:tcBorders>
            <w:gridSpan w:val="2"/>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2"/>
          </w:tcPr>
          <w:p>
            <w:pPr>
              <w:spacing w:after="0"/>
              <w:rPr>
                <w:rFonts w:ascii="Arial" w:cs="Arial" w:eastAsia="Arial" w:hAnsi="Arial"/>
                <w:sz w:val="18"/>
                <w:szCs w:val="18"/>
                <w:color w:val="0000FF"/>
                <w:w w:val="99"/>
              </w:rPr>
            </w:pPr>
            <w:hyperlink r:id="rId281">
              <w:r>
                <w:rPr>
                  <w:rFonts w:ascii="Arial" w:cs="Arial" w:eastAsia="Arial" w:hAnsi="Arial"/>
                  <w:sz w:val="18"/>
                  <w:szCs w:val="18"/>
                  <w:color w:val="0000FF"/>
                  <w:w w:val="99"/>
                </w:rPr>
                <w:t>Amended and Restated Bylaws of Nkarta, Inc.</w:t>
              </w:r>
            </w:hyperlink>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740" w:type="dxa"/>
            <w:vAlign w:val="bottom"/>
          </w:tcPr>
          <w:p>
            <w:pPr>
              <w:ind w:left="540"/>
              <w:spacing w:after="0"/>
              <w:rPr>
                <w:sz w:val="20"/>
                <w:szCs w:val="20"/>
                <w:color w:val="auto"/>
              </w:rPr>
            </w:pPr>
            <w:r>
              <w:rPr>
                <w:rFonts w:ascii="Arial" w:cs="Arial" w:eastAsia="Arial" w:hAnsi="Arial"/>
                <w:sz w:val="18"/>
                <w:szCs w:val="18"/>
                <w:color w:val="auto"/>
              </w:rPr>
              <w:t>7/14/2020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0000FF"/>
                <w:w w:val="95"/>
              </w:rPr>
              <w:t>Second Amendment to Lease, dated August 11,</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8"/>
                <w:szCs w:val="18"/>
                <w:color w:val="0000FF"/>
              </w:rPr>
              <w:t>2022, by and between HCP BTC, LLC and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1"/>
              </w:rPr>
              <w:t>Nkarta, Inc.</w:t>
            </w:r>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Fifth Amendment to Lease, dated August 11,</w:t>
            </w:r>
          </w:p>
        </w:tc>
        <w:tc>
          <w:tcPr>
            <w:tcW w:w="400" w:type="dxa"/>
            <w:vAlign w:val="bottom"/>
            <w:gridSpan w:val="9"/>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gridSpan w:val="22"/>
          </w:tcPr>
          <w:p>
            <w:pPr>
              <w:spacing w:after="0" w:line="169" w:lineRule="exact"/>
              <w:rPr>
                <w:sz w:val="20"/>
                <w:szCs w:val="20"/>
                <w:color w:val="auto"/>
              </w:rPr>
            </w:pPr>
            <w:r>
              <w:rPr>
                <w:rFonts w:ascii="Arial" w:cs="Arial" w:eastAsia="Arial" w:hAnsi="Arial"/>
                <w:sz w:val="18"/>
                <w:szCs w:val="18"/>
                <w:color w:val="0000FF"/>
                <w:w w:val="97"/>
              </w:rPr>
              <w:t>2022, by and between HCP Life Science REIT,</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0"/>
              </w:rPr>
              <w:t>Inc. and Nkarta, Inc.</w:t>
            </w:r>
          </w:p>
        </w:tc>
        <w:tc>
          <w:tcPr>
            <w:tcW w:w="20" w:type="dxa"/>
            <w:vAlign w:val="bottom"/>
            <w:tcBorders>
              <w:top w:val="single" w:sz="8" w:color="0000FF"/>
              <w:bottom w:val="single" w:sz="8" w:color="0000EE"/>
            </w:tcBorders>
          </w:tcPr>
          <w:p>
            <w:pPr>
              <w:spacing w:after="0"/>
              <w:rPr>
                <w:sz w:val="14"/>
                <w:szCs w:val="14"/>
                <w:color w:val="auto"/>
              </w:rPr>
            </w:pPr>
          </w:p>
        </w:tc>
        <w:tc>
          <w:tcPr>
            <w:tcW w:w="194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Borders>
              <w:bottom w:val="single" w:sz="8" w:color="0000FF"/>
            </w:tcBorders>
            <w:gridSpan w:val="14"/>
          </w:tcPr>
          <w:p>
            <w:pPr>
              <w:spacing w:after="0"/>
              <w:rPr>
                <w:rFonts w:ascii="Arial" w:cs="Arial" w:eastAsia="Arial" w:hAnsi="Arial"/>
                <w:sz w:val="18"/>
                <w:szCs w:val="18"/>
                <w:color w:val="0000FF"/>
                <w:w w:val="92"/>
              </w:rPr>
            </w:pPr>
            <w:hyperlink r:id="rId282">
              <w:r>
                <w:rPr>
                  <w:rFonts w:ascii="Arial" w:cs="Arial" w:eastAsia="Arial" w:hAnsi="Arial"/>
                  <w:sz w:val="18"/>
                  <w:szCs w:val="18"/>
                  <w:color w:val="0000FF"/>
                  <w:w w:val="92"/>
                </w:rPr>
                <w:t>Amendment No. 1 to Research Collaboration</w:t>
              </w:r>
            </w:hyperlink>
          </w:p>
        </w:tc>
        <w:tc>
          <w:tcPr>
            <w:tcW w:w="320" w:type="dxa"/>
            <w:vAlign w:val="bottom"/>
            <w:gridSpan w:val="8"/>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40" w:type="dxa"/>
            <w:vAlign w:val="bottom"/>
          </w:tcPr>
          <w:p>
            <w:pPr>
              <w:ind w:left="540"/>
              <w:spacing w:after="0"/>
              <w:rPr>
                <w:sz w:val="20"/>
                <w:szCs w:val="20"/>
                <w:color w:val="auto"/>
              </w:rPr>
            </w:pPr>
            <w:r>
              <w:rPr>
                <w:rFonts w:ascii="Arial" w:cs="Arial" w:eastAsia="Arial" w:hAnsi="Arial"/>
                <w:sz w:val="18"/>
                <w:szCs w:val="18"/>
                <w:color w:val="auto"/>
              </w:rPr>
              <w:t>5/12/2022</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gridSpan w:val="22"/>
          </w:tcPr>
          <w:p>
            <w:pPr>
              <w:spacing w:after="0" w:line="169" w:lineRule="exact"/>
              <w:rPr>
                <w:rFonts w:ascii="Arial" w:cs="Arial" w:eastAsia="Arial" w:hAnsi="Arial"/>
                <w:sz w:val="18"/>
                <w:szCs w:val="18"/>
                <w:color w:val="0000FF"/>
                <w:w w:val="95"/>
              </w:rPr>
            </w:pPr>
            <w:hyperlink r:id="rId282">
              <w:r>
                <w:rPr>
                  <w:rFonts w:ascii="Arial" w:cs="Arial" w:eastAsia="Arial" w:hAnsi="Arial"/>
                  <w:sz w:val="18"/>
                  <w:szCs w:val="18"/>
                  <w:color w:val="0000FF"/>
                  <w:w w:val="95"/>
                </w:rPr>
                <w:t>Agreement, dated May 4, 2022, by and between</w:t>
              </w:r>
            </w:hyperlink>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282">
              <w:r>
                <w:rPr>
                  <w:rFonts w:ascii="Arial" w:cs="Arial" w:eastAsia="Arial" w:hAnsi="Arial"/>
                  <w:sz w:val="18"/>
                  <w:szCs w:val="18"/>
                  <w:color w:val="0000FF"/>
                </w:rPr>
                <w:t>Nkarta, Inc. and CRISPR Therapeutics AG</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0000FF"/>
              </w:rPr>
              <w:t>Certification of Principal Executive Officer</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w w:val="91"/>
              </w:rPr>
              <w:t>Pursuant to Rules 13a-14(a) and 15d-14(a)</w:t>
            </w:r>
          </w:p>
        </w:tc>
        <w:tc>
          <w:tcPr>
            <w:tcW w:w="500" w:type="dxa"/>
            <w:vAlign w:val="bottom"/>
            <w:gridSpan w:val="10"/>
          </w:tcPr>
          <w:p>
            <w:pPr>
              <w:jc w:val="right"/>
              <w:ind w:right="160"/>
              <w:spacing w:after="0" w:line="169" w:lineRule="exact"/>
              <w:rPr>
                <w:sz w:val="20"/>
                <w:szCs w:val="20"/>
                <w:color w:val="auto"/>
              </w:rPr>
            </w:pPr>
            <w:r>
              <w:rPr>
                <w:rFonts w:ascii="Arial" w:cs="Arial" w:eastAsia="Arial" w:hAnsi="Arial"/>
                <w:sz w:val="17"/>
                <w:szCs w:val="17"/>
                <w:color w:val="0000FF"/>
                <w:w w:val="73"/>
              </w:rPr>
              <w:t>under</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19"/>
          </w:tcPr>
          <w:p>
            <w:pPr>
              <w:spacing w:after="0" w:line="169" w:lineRule="exact"/>
              <w:rPr>
                <w:sz w:val="20"/>
                <w:szCs w:val="20"/>
                <w:color w:val="auto"/>
              </w:rPr>
            </w:pPr>
            <w:r>
              <w:rPr>
                <w:rFonts w:ascii="Arial" w:cs="Arial" w:eastAsia="Arial" w:hAnsi="Arial"/>
                <w:sz w:val="18"/>
                <w:szCs w:val="18"/>
                <w:color w:val="0000FF"/>
                <w:w w:val="90"/>
              </w:rPr>
              <w:t>the Securities Exchange Act of 1934, as Adopted</w:t>
            </w:r>
          </w:p>
        </w:tc>
        <w:tc>
          <w:tcPr>
            <w:tcW w:w="2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bottom w:val="single" w:sz="8" w:color="0000FF"/>
            </w:tcBorders>
            <w:gridSpan w:val="22"/>
          </w:tcPr>
          <w:p>
            <w:pPr>
              <w:spacing w:after="0" w:line="169" w:lineRule="exact"/>
              <w:rPr>
                <w:sz w:val="20"/>
                <w:szCs w:val="20"/>
                <w:color w:val="auto"/>
              </w:rPr>
            </w:pPr>
            <w:r>
              <w:rPr>
                <w:rFonts w:ascii="Arial" w:cs="Arial" w:eastAsia="Arial" w:hAnsi="Arial"/>
                <w:sz w:val="18"/>
                <w:szCs w:val="18"/>
                <w:color w:val="0000FF"/>
                <w:w w:val="89"/>
              </w:rPr>
              <w:t>Pursuant to Section 302 of the Sarbanes-Oxley Act</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gridSpan w:val="22"/>
          </w:tcPr>
          <w:p>
            <w:pPr>
              <w:spacing w:after="0" w:line="169" w:lineRule="exact"/>
              <w:rPr>
                <w:sz w:val="20"/>
                <w:szCs w:val="20"/>
                <w:color w:val="auto"/>
              </w:rPr>
            </w:pPr>
            <w:r>
              <w:rPr>
                <w:rFonts w:ascii="Arial" w:cs="Arial" w:eastAsia="Arial" w:hAnsi="Arial"/>
                <w:sz w:val="18"/>
                <w:szCs w:val="18"/>
                <w:color w:val="0000FF"/>
              </w:rPr>
              <w:t>of 2002.</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0000FF"/>
              </w:rPr>
              <w:t>Certification of Principal Financial Officer</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89"/>
              </w:rPr>
              <w:t>Pursuant to Rules 13a-14(a) and 15d-14(a)</w:t>
            </w:r>
          </w:p>
        </w:tc>
        <w:tc>
          <w:tcPr>
            <w:tcW w:w="560" w:type="dxa"/>
            <w:vAlign w:val="bottom"/>
            <w:gridSpan w:val="12"/>
          </w:tcPr>
          <w:p>
            <w:pPr>
              <w:jc w:val="right"/>
              <w:ind w:right="160"/>
              <w:spacing w:after="0" w:line="169" w:lineRule="exact"/>
              <w:rPr>
                <w:sz w:val="20"/>
                <w:szCs w:val="20"/>
                <w:color w:val="auto"/>
              </w:rPr>
            </w:pPr>
            <w:r>
              <w:rPr>
                <w:rFonts w:ascii="Arial" w:cs="Arial" w:eastAsia="Arial" w:hAnsi="Arial"/>
                <w:sz w:val="18"/>
                <w:szCs w:val="18"/>
                <w:color w:val="0000FF"/>
                <w:w w:val="82"/>
              </w:rPr>
              <w:t>under</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19"/>
          </w:tcPr>
          <w:p>
            <w:pPr>
              <w:spacing w:after="0" w:line="169" w:lineRule="exact"/>
              <w:rPr>
                <w:sz w:val="20"/>
                <w:szCs w:val="20"/>
                <w:color w:val="auto"/>
              </w:rPr>
            </w:pPr>
            <w:r>
              <w:rPr>
                <w:rFonts w:ascii="Arial" w:cs="Arial" w:eastAsia="Arial" w:hAnsi="Arial"/>
                <w:sz w:val="18"/>
                <w:szCs w:val="18"/>
                <w:color w:val="0000FF"/>
                <w:w w:val="90"/>
              </w:rPr>
              <w:t>the Securities Exchange Act of 1934, as Adopted</w:t>
            </w:r>
          </w:p>
        </w:tc>
        <w:tc>
          <w:tcPr>
            <w:tcW w:w="2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bottom w:val="single" w:sz="8" w:color="0000FF"/>
            </w:tcBorders>
            <w:gridSpan w:val="22"/>
          </w:tcPr>
          <w:p>
            <w:pPr>
              <w:spacing w:after="0" w:line="169" w:lineRule="exact"/>
              <w:rPr>
                <w:sz w:val="20"/>
                <w:szCs w:val="20"/>
                <w:color w:val="auto"/>
              </w:rPr>
            </w:pPr>
            <w:r>
              <w:rPr>
                <w:rFonts w:ascii="Arial" w:cs="Arial" w:eastAsia="Arial" w:hAnsi="Arial"/>
                <w:sz w:val="18"/>
                <w:szCs w:val="18"/>
                <w:color w:val="0000FF"/>
                <w:w w:val="89"/>
              </w:rPr>
              <w:t>Pursuant to Section 302 of the Sarbanes-Oxley Act</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gridSpan w:val="22"/>
          </w:tcPr>
          <w:p>
            <w:pPr>
              <w:spacing w:after="0" w:line="169" w:lineRule="exact"/>
              <w:rPr>
                <w:sz w:val="20"/>
                <w:szCs w:val="20"/>
                <w:color w:val="auto"/>
              </w:rPr>
            </w:pPr>
            <w:r>
              <w:rPr>
                <w:rFonts w:ascii="Arial" w:cs="Arial" w:eastAsia="Arial" w:hAnsi="Arial"/>
                <w:sz w:val="18"/>
                <w:szCs w:val="18"/>
                <w:color w:val="0000FF"/>
              </w:rPr>
              <w:t>of 2002.</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32</w:t>
            </w:r>
            <w:r>
              <w:rPr>
                <w:rFonts w:ascii="Arial" w:cs="Arial" w:eastAsia="Arial" w:hAnsi="Arial"/>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0000FF"/>
              </w:rPr>
              <w:t>Certification of Principal Executive Officer and</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8"/>
                <w:szCs w:val="18"/>
                <w:color w:val="0000FF"/>
                <w:w w:val="90"/>
              </w:rPr>
              <w:t>Principal Financial Officer Pursuant to 18 U.S.C.</w:t>
            </w:r>
          </w:p>
        </w:tc>
        <w:tc>
          <w:tcPr>
            <w:tcW w:w="120" w:type="dxa"/>
            <w:vAlign w:val="bottom"/>
            <w:tcBorders>
              <w:bottom w:val="single" w:sz="8" w:color="0000FF"/>
            </w:tcBorders>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bottom w:val="single" w:sz="8" w:color="0000FF"/>
            </w:tcBorders>
            <w:gridSpan w:val="20"/>
          </w:tcPr>
          <w:p>
            <w:pPr>
              <w:spacing w:after="0" w:line="169" w:lineRule="exact"/>
              <w:rPr>
                <w:sz w:val="20"/>
                <w:szCs w:val="20"/>
                <w:color w:val="auto"/>
              </w:rPr>
            </w:pPr>
            <w:r>
              <w:rPr>
                <w:rFonts w:ascii="Arial" w:cs="Arial" w:eastAsia="Arial" w:hAnsi="Arial"/>
                <w:sz w:val="18"/>
                <w:szCs w:val="18"/>
                <w:color w:val="0000FF"/>
                <w:w w:val="88"/>
              </w:rPr>
              <w:t>Section 1350, as Adopted Pursuant to Section 906</w:t>
            </w:r>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90"/>
              </w:rPr>
              <w:t>of the Sarbanes-Oxley Act of 2002.</w:t>
            </w:r>
          </w:p>
        </w:tc>
        <w:tc>
          <w:tcPr>
            <w:tcW w:w="110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auto"/>
              </w:rPr>
              <w:t>Inline XBRL Instance Document</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Schema</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2"/>
          </w:tcPr>
          <w:p>
            <w:pPr>
              <w:spacing w:after="0" w:line="202" w:lineRule="exact"/>
              <w:rPr>
                <w:sz w:val="20"/>
                <w:szCs w:val="20"/>
                <w:color w:val="auto"/>
              </w:rPr>
            </w:pPr>
            <w:r>
              <w:rPr>
                <w:rFonts w:ascii="Arial" w:cs="Arial" w:eastAsia="Arial" w:hAnsi="Arial"/>
                <w:sz w:val="18"/>
                <w:szCs w:val="18"/>
                <w:color w:val="auto"/>
              </w:rPr>
              <w:t>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2"/>
          </w:tcPr>
          <w:p>
            <w:pPr>
              <w:spacing w:after="0" w:line="202" w:lineRule="exact"/>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Definition</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2"/>
          </w:tcPr>
          <w:p>
            <w:pPr>
              <w:spacing w:after="0" w:line="202" w:lineRule="exact"/>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2"/>
          </w:tcPr>
          <w:p>
            <w:pPr>
              <w:spacing w:after="0" w:line="189" w:lineRule="exact"/>
              <w:rPr>
                <w:sz w:val="20"/>
                <w:szCs w:val="20"/>
                <w:color w:val="auto"/>
              </w:rPr>
            </w:pPr>
            <w:r>
              <w:rPr>
                <w:rFonts w:ascii="Arial" w:cs="Arial" w:eastAsia="Arial" w:hAnsi="Arial"/>
                <w:sz w:val="18"/>
                <w:szCs w:val="18"/>
                <w:color w:val="auto"/>
              </w:rPr>
              <w:t>Inline XBRL Taxonomy Extension Label</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2"/>
          </w:tcPr>
          <w:p>
            <w:pPr>
              <w:spacing w:after="0" w:line="202" w:lineRule="exact"/>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2"/>
          </w:tcPr>
          <w:p>
            <w:pPr>
              <w:spacing w:after="0" w:line="189" w:lineRule="exact"/>
              <w:rPr>
                <w:sz w:val="20"/>
                <w:szCs w:val="20"/>
                <w:color w:val="auto"/>
              </w:rPr>
            </w:pPr>
            <w:r>
              <w:rPr>
                <w:rFonts w:ascii="Arial" w:cs="Arial" w:eastAsia="Arial" w:hAnsi="Arial"/>
                <w:sz w:val="18"/>
                <w:szCs w:val="18"/>
                <w:color w:val="auto"/>
                <w:w w:val="97"/>
              </w:rPr>
              <w:t>Inline XBRL Taxonomy Extension Presentation</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2"/>
          </w:tcPr>
          <w:p>
            <w:pPr>
              <w:spacing w:after="0" w:line="202" w:lineRule="exact"/>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2"/>
          </w:tcPr>
          <w:p>
            <w:pPr>
              <w:spacing w:after="0" w:line="189" w:lineRule="exact"/>
              <w:rPr>
                <w:sz w:val="20"/>
                <w:szCs w:val="20"/>
                <w:color w:val="auto"/>
              </w:rPr>
            </w:pPr>
            <w:r>
              <w:rPr>
                <w:rFonts w:ascii="Arial" w:cs="Arial" w:eastAsia="Arial" w:hAnsi="Arial"/>
                <w:sz w:val="18"/>
                <w:szCs w:val="18"/>
                <w:color w:val="auto"/>
                <w:w w:val="98"/>
              </w:rPr>
              <w:t>Cover Page Interactive Data File (formatted as</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gridSpan w:val="22"/>
          </w:tcPr>
          <w:p>
            <w:pPr>
              <w:spacing w:after="0"/>
              <w:rPr>
                <w:sz w:val="20"/>
                <w:szCs w:val="20"/>
                <w:color w:val="auto"/>
              </w:rPr>
            </w:pPr>
            <w:r>
              <w:rPr>
                <w:rFonts w:ascii="Arial" w:cs="Arial" w:eastAsia="Arial" w:hAnsi="Arial"/>
                <w:sz w:val="18"/>
                <w:szCs w:val="18"/>
                <w:color w:val="auto"/>
              </w:rPr>
              <w:t>Inline XBRL and contained in Exhibit 101)</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6" w:lineRule="exact"/>
        <w:rPr>
          <w:sz w:val="20"/>
          <w:szCs w:val="20"/>
          <w:color w:val="auto"/>
        </w:rPr>
      </w:pPr>
    </w:p>
    <w:p>
      <w:pPr>
        <w:ind w:right="700" w:firstLine="8"/>
        <w:spacing w:after="0" w:line="291" w:lineRule="auto"/>
        <w:tabs>
          <w:tab w:leader="none" w:pos="1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Portions of this exhibit have been omitted in accordance with Item 601(b)(10)(iv) of Regulation S-K. The Company undertakes to provide to the Securities and Exchange Commission or its staff, if requested and on a supplemental basis, an unredacted copy of this exhibit.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left="-8" w:firstLine="8"/>
        <w:spacing w:after="0"/>
        <w:tabs>
          <w:tab w:leader="none" w:pos="90" w:val="left"/>
        </w:tabs>
        <w:numPr>
          <w:ilvl w:val="0"/>
          <w:numId w:val="42"/>
        </w:numPr>
        <w:rPr>
          <w:rFonts w:ascii="Arial" w:cs="Arial" w:eastAsia="Arial" w:hAnsi="Arial"/>
          <w:sz w:val="23"/>
          <w:szCs w:val="23"/>
          <w:color w:val="auto"/>
          <w:vertAlign w:val="superscript"/>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8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179" w:right="519" w:bottom="1440" w:gutter="0" w:footer="0" w:header="0"/>
        </w:sectPr>
      </w:pPr>
    </w:p>
    <w:bookmarkStart w:id="76" w:name="page77"/>
    <w:bookmarkEnd w:id="76"/>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Nkarta, Inc.</w:t>
      </w:r>
    </w:p>
    <w:p>
      <w:pPr>
        <w:spacing w:after="0" w:line="198" w:lineRule="exact"/>
        <w:rPr>
          <w:sz w:val="20"/>
          <w:szCs w:val="20"/>
          <w:color w:val="auto"/>
        </w:rPr>
      </w:pPr>
    </w:p>
    <w:p>
      <w:pPr>
        <w:jc w:val="center"/>
        <w:ind w:right="1540"/>
        <w:spacing w:after="0"/>
        <w:tabs>
          <w:tab w:leader="none" w:pos="3920" w:val="left"/>
          <w:tab w:leader="none" w:pos="20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Paul J. Hastings</w:t>
      </w:r>
    </w:p>
    <w:p>
      <w:pPr>
        <w:jc w:val="center"/>
        <w:ind w:left="60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5580" w:right="1540" w:hanging="8009"/>
        <w:spacing w:after="0" w:line="251" w:lineRule="auto"/>
        <w:tabs>
          <w:tab w:leader="none" w:pos="556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 /s/ Nadir Mahmood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0</wp:posOffset>
            </wp:positionV>
            <wp:extent cx="33172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80"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and Business Officer</w:t>
      </w:r>
    </w:p>
    <w:p>
      <w:pPr>
        <w:jc w:val="center"/>
        <w:ind w:left="600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LEASE</w:t>
      </w:r>
    </w:p>
    <w:p>
      <w:pPr>
        <w:spacing w:after="0" w:line="22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This SECOND AMENDMENT TO LEASE (this "</w:t>
      </w:r>
      <w:r>
        <w:rPr>
          <w:rFonts w:ascii="Arial" w:cs="Arial" w:eastAsia="Arial" w:hAnsi="Arial"/>
          <w:sz w:val="22"/>
          <w:szCs w:val="22"/>
          <w:b w:val="1"/>
          <w:bCs w:val="1"/>
          <w:color w:val="auto"/>
        </w:rPr>
        <w:t>Second Amendment</w:t>
      </w:r>
      <w:r>
        <w:rPr>
          <w:rFonts w:ascii="Arial" w:cs="Arial" w:eastAsia="Arial" w:hAnsi="Arial"/>
          <w:sz w:val="22"/>
          <w:szCs w:val="22"/>
          <w:color w:val="auto"/>
        </w:rPr>
        <w:t xml:space="preserve">") is made and entered into as of the 11th of August, 2022, by and between </w:t>
      </w:r>
      <w:r>
        <w:rPr>
          <w:rFonts w:ascii="Arial" w:cs="Arial" w:eastAsia="Arial" w:hAnsi="Arial"/>
          <w:sz w:val="22"/>
          <w:szCs w:val="22"/>
          <w:b w:val="1"/>
          <w:bCs w:val="1"/>
          <w:color w:val="auto"/>
        </w:rPr>
        <w:t>HCP BTC, LLC</w:t>
      </w:r>
      <w:r>
        <w:rPr>
          <w:rFonts w:ascii="Arial" w:cs="Arial" w:eastAsia="Arial" w:hAnsi="Arial"/>
          <w:sz w:val="22"/>
          <w:szCs w:val="22"/>
          <w:color w:val="auto"/>
        </w:rPr>
        <w:t>, a Delaware limited company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NKARTA,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 xml:space="preserve"> :</w:t>
      </w:r>
    </w:p>
    <w:p>
      <w:pPr>
        <w:spacing w:after="0" w:line="200" w:lineRule="exact"/>
        <w:rPr>
          <w:sz w:val="20"/>
          <w:szCs w:val="20"/>
          <w:color w:val="auto"/>
        </w:rPr>
      </w:pPr>
    </w:p>
    <w:p>
      <w:pPr>
        <w:jc w:val="both"/>
        <w:ind w:firstLine="757"/>
        <w:spacing w:after="0" w:line="243" w:lineRule="auto"/>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Landlord and Tenant entered into that certain Lease dated July 9, 2021 (the "</w:t>
      </w:r>
      <w:r>
        <w:rPr>
          <w:rFonts w:ascii="Arial" w:cs="Arial" w:eastAsia="Arial" w:hAnsi="Arial"/>
          <w:sz w:val="22"/>
          <w:szCs w:val="22"/>
          <w:b w:val="1"/>
          <w:bCs w:val="1"/>
          <w:color w:val="auto"/>
        </w:rPr>
        <w:t>Original Lease</w:t>
      </w:r>
      <w:r>
        <w:rPr>
          <w:rFonts w:ascii="Arial" w:cs="Arial" w:eastAsia="Arial" w:hAnsi="Arial"/>
          <w:sz w:val="22"/>
          <w:szCs w:val="22"/>
          <w:color w:val="auto"/>
        </w:rPr>
        <w:t>"), as amended by that certain First Amendment to Lease dated November 5, 2021 (the “</w:t>
      </w:r>
      <w:r>
        <w:rPr>
          <w:rFonts w:ascii="Arial" w:cs="Arial" w:eastAsia="Arial" w:hAnsi="Arial"/>
          <w:sz w:val="22"/>
          <w:szCs w:val="22"/>
          <w:b w:val="1"/>
          <w:bCs w:val="1"/>
          <w:color w:val="auto"/>
        </w:rPr>
        <w:t>First Amendment</w:t>
      </w:r>
      <w:r>
        <w:rPr>
          <w:rFonts w:ascii="Arial" w:cs="Arial" w:eastAsia="Arial" w:hAnsi="Arial"/>
          <w:sz w:val="22"/>
          <w:szCs w:val="22"/>
          <w:color w:val="auto"/>
        </w:rPr>
        <w:t>” and together with the Original Lease, the “</w:t>
      </w:r>
      <w:r>
        <w:rPr>
          <w:rFonts w:ascii="Arial" w:cs="Arial" w:eastAsia="Arial" w:hAnsi="Arial"/>
          <w:sz w:val="22"/>
          <w:szCs w:val="22"/>
          <w:b w:val="1"/>
          <w:bCs w:val="1"/>
          <w:color w:val="auto"/>
        </w:rPr>
        <w:t>Lease</w:t>
      </w:r>
      <w:r>
        <w:rPr>
          <w:rFonts w:ascii="Arial" w:cs="Arial" w:eastAsia="Arial" w:hAnsi="Arial"/>
          <w:sz w:val="22"/>
          <w:szCs w:val="22"/>
          <w:color w:val="auto"/>
        </w:rPr>
        <w:t>”), whereby Landlord leases to Tenant and Tenant leases from Landlord those certain premises containing approximately 88,106 rentable square feet (collectively, the "</w:t>
      </w:r>
      <w:r>
        <w:rPr>
          <w:rFonts w:ascii="Arial" w:cs="Arial" w:eastAsia="Arial" w:hAnsi="Arial"/>
          <w:sz w:val="22"/>
          <w:szCs w:val="22"/>
          <w:b w:val="1"/>
          <w:bCs w:val="1"/>
          <w:color w:val="auto"/>
        </w:rPr>
        <w:t>Premises</w:t>
      </w:r>
      <w:r>
        <w:rPr>
          <w:rFonts w:ascii="Arial" w:cs="Arial" w:eastAsia="Arial" w:hAnsi="Arial"/>
          <w:sz w:val="22"/>
          <w:szCs w:val="22"/>
          <w:color w:val="auto"/>
        </w:rPr>
        <w:t>") consisting of the entire building located at 1150 Veterans Boulevard, South San Francisco, California ("</w:t>
      </w:r>
      <w:r>
        <w:rPr>
          <w:rFonts w:ascii="Arial" w:cs="Arial" w:eastAsia="Arial" w:hAnsi="Arial"/>
          <w:sz w:val="22"/>
          <w:szCs w:val="22"/>
          <w:b w:val="1"/>
          <w:bCs w:val="1"/>
          <w:color w:val="auto"/>
        </w:rPr>
        <w:t>Building</w:t>
      </w:r>
      <w:r>
        <w:rPr>
          <w:rFonts w:ascii="Arial" w:cs="Arial" w:eastAsia="Arial" w:hAnsi="Arial"/>
          <w:sz w:val="22"/>
          <w:szCs w:val="22"/>
          <w:color w:val="auto"/>
        </w:rPr>
        <w:t>").</w:t>
      </w:r>
    </w:p>
    <w:p>
      <w:pPr>
        <w:spacing w:after="0" w:line="183" w:lineRule="exact"/>
        <w:rPr>
          <w:rFonts w:ascii="Arial" w:cs="Arial" w:eastAsia="Arial" w:hAnsi="Arial"/>
          <w:sz w:val="22"/>
          <w:szCs w:val="22"/>
          <w:color w:val="auto"/>
        </w:rPr>
      </w:pPr>
    </w:p>
    <w:p>
      <w:pPr>
        <w:ind w:right="20" w:firstLine="757"/>
        <w:spacing w:after="0" w:line="263" w:lineRule="auto"/>
        <w:tabs>
          <w:tab w:leader="none" w:pos="11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Landlord and Tenant desire to make modifications to the Lease, and in connection therewith, Landlord and Tenant desire to amend the Lease as hereinafter provided.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 G R E E M E N T</w:t>
      </w:r>
      <w:r>
        <w:rPr>
          <w:rFonts w:ascii="Arial" w:cs="Arial" w:eastAsia="Arial" w:hAnsi="Arial"/>
          <w:sz w:val="22"/>
          <w:szCs w:val="22"/>
          <w:color w:val="auto"/>
        </w:rPr>
        <w:t xml:space="preserve"> :</w:t>
      </w:r>
    </w:p>
    <w:p>
      <w:pPr>
        <w:spacing w:after="0" w:line="20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2"/>
          <w:szCs w:val="22"/>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85" w:lineRule="exact"/>
        <w:rPr>
          <w:sz w:val="20"/>
          <w:szCs w:val="20"/>
          <w:color w:val="auto"/>
        </w:rPr>
      </w:pPr>
    </w:p>
    <w:p>
      <w:pPr>
        <w:ind w:firstLine="757"/>
        <w:spacing w:after="0" w:line="256" w:lineRule="auto"/>
        <w:tabs>
          <w:tab w:leader="none" w:pos="1498"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Capitalized Terms</w:t>
      </w:r>
      <w:r>
        <w:rPr>
          <w:rFonts w:ascii="Arial" w:cs="Arial" w:eastAsia="Arial" w:hAnsi="Arial"/>
          <w:sz w:val="22"/>
          <w:szCs w:val="22"/>
          <w:color w:val="auto"/>
        </w:rPr>
        <w:t>. All capitalized terms when used herein shall have the same meaning as is given such terms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Lease unless expressly superseded by the terms of this Second Amendment.</w:t>
      </w:r>
    </w:p>
    <w:p>
      <w:pPr>
        <w:spacing w:after="0" w:line="162" w:lineRule="exact"/>
        <w:rPr>
          <w:rFonts w:ascii="Arial" w:cs="Arial" w:eastAsia="Arial" w:hAnsi="Arial"/>
          <w:sz w:val="22"/>
          <w:szCs w:val="22"/>
          <w:color w:val="auto"/>
        </w:rPr>
      </w:pPr>
    </w:p>
    <w:p>
      <w:pPr>
        <w:jc w:val="both"/>
        <w:ind w:firstLine="757"/>
        <w:spacing w:after="0" w:line="254" w:lineRule="auto"/>
        <w:tabs>
          <w:tab w:leader="none" w:pos="1498" w:val="left"/>
        </w:tabs>
        <w:numPr>
          <w:ilvl w:val="0"/>
          <w:numId w:val="44"/>
        </w:numPr>
        <w:rPr>
          <w:rFonts w:ascii="Arial" w:cs="Arial" w:eastAsia="Arial" w:hAnsi="Arial"/>
          <w:sz w:val="21"/>
          <w:szCs w:val="21"/>
          <w:color w:val="auto"/>
        </w:rPr>
      </w:pPr>
      <w:r>
        <w:rPr>
          <w:rFonts w:ascii="Arial" w:cs="Arial" w:eastAsia="Arial" w:hAnsi="Arial"/>
          <w:sz w:val="21"/>
          <w:szCs w:val="21"/>
          <w:b w:val="1"/>
          <w:bCs w:val="1"/>
          <w:u w:val="single" w:color="auto"/>
          <w:color w:val="auto"/>
        </w:rPr>
        <w:t>Modification of Tenant Improvement Allowance</w:t>
      </w:r>
      <w:r>
        <w:rPr>
          <w:rFonts w:ascii="Arial" w:cs="Arial" w:eastAsia="Arial" w:hAnsi="Arial"/>
          <w:sz w:val="21"/>
          <w:szCs w:val="21"/>
          <w:color w:val="auto"/>
        </w:rPr>
        <w:t>. Pursuant to the Lease, Tenant is currently entitled to a</w:t>
      </w:r>
      <w:r>
        <w:rPr>
          <w:rFonts w:ascii="Arial" w:cs="Arial" w:eastAsia="Arial" w:hAnsi="Arial"/>
          <w:sz w:val="21"/>
          <w:szCs w:val="21"/>
          <w:b w:val="1"/>
          <w:bCs w:val="1"/>
          <w:color w:val="auto"/>
        </w:rPr>
        <w:t xml:space="preserve"> </w:t>
      </w:r>
      <w:r>
        <w:rPr>
          <w:rFonts w:ascii="Arial" w:cs="Arial" w:eastAsia="Arial" w:hAnsi="Arial"/>
          <w:sz w:val="21"/>
          <w:szCs w:val="21"/>
          <w:color w:val="auto"/>
        </w:rPr>
        <w:t>Tenant Improvement Allowance in the amount of $15,418,550.00 for the costs relating to the initial design and construction of Tenant’s improvements in the Premises. Effective as of the date of this Second Amendment, such Tenant Improvement Allowance is hereby increased by $15,000,000.00 to a new aggregate total of $30,418,550.00. The Base Building Allowance and Additional TI Allowance shall remain unmodified by the terms of this Second Amendment, and the Allowance Deadline set forth in the Tenant Work Letter attached to the Lease shall continue to apply to each of the Tenant Improvement Allowance, the Base Building Allowance and Additional TI Allowance.</w:t>
      </w:r>
    </w:p>
    <w:p>
      <w:pPr>
        <w:spacing w:after="0" w:line="168" w:lineRule="exact"/>
        <w:rPr>
          <w:rFonts w:ascii="Arial" w:cs="Arial" w:eastAsia="Arial" w:hAnsi="Arial"/>
          <w:sz w:val="21"/>
          <w:szCs w:val="21"/>
          <w:color w:val="auto"/>
        </w:rPr>
      </w:pPr>
    </w:p>
    <w:p>
      <w:pPr>
        <w:jc w:val="both"/>
        <w:ind w:firstLine="757"/>
        <w:spacing w:after="0" w:line="294" w:lineRule="auto"/>
        <w:tabs>
          <w:tab w:leader="none" w:pos="1498"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Rent Schedule</w:t>
      </w:r>
      <w:r>
        <w:rPr>
          <w:rFonts w:ascii="Arial" w:cs="Arial" w:eastAsia="Arial" w:hAnsi="Arial"/>
          <w:sz w:val="19"/>
          <w:szCs w:val="19"/>
          <w:color w:val="auto"/>
        </w:rPr>
        <w:t>. Effective as of the date of this Second Amendment, the Base Rent schedule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of the Summary is hereby deleted in its entirety and replaced with the schedule below. In connection with such replaced Base Rent schedule and the first months’ Base Rent payment that was paid upon Tenant’s execution of the Original Lease in accordance with the terms of Article 3 thereof, concurrently with Tenant’s execution of this Second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ind w:left="10120"/>
        <w:spacing w:after="0"/>
        <w:rPr>
          <w:sz w:val="20"/>
          <w:szCs w:val="20"/>
          <w:color w:val="auto"/>
        </w:rPr>
      </w:pPr>
      <w:r>
        <w:rPr>
          <w:rFonts w:ascii="Arial" w:cs="Arial" w:eastAsia="Arial" w:hAnsi="Arial"/>
          <w:sz w:val="19"/>
          <w:szCs w:val="19"/>
          <w:b w:val="1"/>
          <w:bCs w:val="1"/>
          <w:color w:val="auto"/>
        </w:rPr>
        <w:t>Exhibit 10.1</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Amendment, Tenant shall pay to Landlord the amount of $110,132.50 so that Tenant shall have paid the full first months’ Base Rent payment as set forth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gridSpan w:val="5"/>
          </w:tcPr>
          <w:p>
            <w:pPr>
              <w:ind w:left="200"/>
              <w:spacing w:after="0"/>
              <w:rPr>
                <w:sz w:val="20"/>
                <w:szCs w:val="20"/>
                <w:color w:val="auto"/>
              </w:rPr>
            </w:pPr>
            <w:r>
              <w:rPr>
                <w:rFonts w:ascii="Arial" w:cs="Arial" w:eastAsia="Arial" w:hAnsi="Arial"/>
                <w:sz w:val="22"/>
                <w:szCs w:val="22"/>
                <w:color w:val="auto"/>
              </w:rPr>
              <w:t>4.   Base Rent (Article 3):</w:t>
            </w: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00" w:type="dxa"/>
            <w:vAlign w:val="bottom"/>
            <w:gridSpan w:val="3"/>
          </w:tcPr>
          <w:p>
            <w:pPr>
              <w:jc w:val="center"/>
              <w:spacing w:after="0"/>
              <w:rPr>
                <w:sz w:val="20"/>
                <w:szCs w:val="20"/>
                <w:color w:val="auto"/>
              </w:rPr>
            </w:pPr>
            <w:r>
              <w:rPr>
                <w:rFonts w:ascii="Arial" w:cs="Arial" w:eastAsia="Arial" w:hAnsi="Arial"/>
                <w:sz w:val="22"/>
                <w:szCs w:val="22"/>
                <w:color w:val="auto"/>
                <w:w w:val="92"/>
              </w:rPr>
              <w:t>Approximate</w:t>
            </w:r>
          </w:p>
        </w:tc>
        <w:tc>
          <w:tcPr>
            <w:tcW w:w="0" w:type="dxa"/>
            <w:vAlign w:val="bottom"/>
          </w:tcPr>
          <w:p>
            <w:pPr>
              <w:spacing w:after="0"/>
              <w:rPr>
                <w:sz w:val="1"/>
                <w:szCs w:val="1"/>
                <w:color w:val="auto"/>
              </w:rPr>
            </w:pPr>
          </w:p>
        </w:tc>
      </w:tr>
      <w:tr>
        <w:trPr>
          <w:trHeight w:val="229"/>
        </w:trPr>
        <w:tc>
          <w:tcPr>
            <w:tcW w:w="3180" w:type="dxa"/>
            <w:vAlign w:val="bottom"/>
            <w:gridSpan w:val="5"/>
            <w:vMerge w:val="restart"/>
          </w:tcPr>
          <w:p>
            <w:pPr>
              <w:jc w:val="center"/>
              <w:ind w:right="240"/>
              <w:spacing w:after="0"/>
              <w:rPr>
                <w:sz w:val="20"/>
                <w:szCs w:val="20"/>
                <w:color w:val="auto"/>
              </w:rPr>
            </w:pPr>
            <w:r>
              <w:rPr>
                <w:rFonts w:ascii="Arial" w:cs="Arial" w:eastAsia="Arial" w:hAnsi="Arial"/>
                <w:sz w:val="22"/>
                <w:szCs w:val="22"/>
                <w:color w:val="auto"/>
                <w:w w:val="90"/>
              </w:rPr>
              <w:t>Period During</w:t>
            </w:r>
          </w:p>
        </w:tc>
        <w:tc>
          <w:tcPr>
            <w:tcW w:w="660" w:type="dxa"/>
            <w:vAlign w:val="bottom"/>
          </w:tcPr>
          <w:p>
            <w:pPr>
              <w:spacing w:after="0"/>
              <w:rPr>
                <w:sz w:val="19"/>
                <w:szCs w:val="19"/>
                <w:color w:val="auto"/>
              </w:rPr>
            </w:pP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22"/>
                <w:szCs w:val="22"/>
                <w:color w:val="auto"/>
                <w:w w:val="93"/>
              </w:rPr>
              <w:t>Annual</w:t>
            </w:r>
          </w:p>
        </w:tc>
        <w:tc>
          <w:tcPr>
            <w:tcW w:w="1260" w:type="dxa"/>
            <w:vAlign w:val="bottom"/>
          </w:tcPr>
          <w:p>
            <w:pPr>
              <w:spacing w:after="0"/>
              <w:rPr>
                <w:sz w:val="19"/>
                <w:szCs w:val="19"/>
                <w:color w:val="auto"/>
              </w:rPr>
            </w:pPr>
          </w:p>
        </w:tc>
        <w:tc>
          <w:tcPr>
            <w:tcW w:w="1840" w:type="dxa"/>
            <w:vAlign w:val="bottom"/>
            <w:gridSpan w:val="2"/>
          </w:tcPr>
          <w:p>
            <w:pPr>
              <w:jc w:val="center"/>
              <w:ind w:right="740"/>
              <w:spacing w:after="0" w:line="229" w:lineRule="exact"/>
              <w:rPr>
                <w:sz w:val="20"/>
                <w:szCs w:val="20"/>
                <w:color w:val="auto"/>
              </w:rPr>
            </w:pPr>
            <w:r>
              <w:rPr>
                <w:rFonts w:ascii="Arial" w:cs="Arial" w:eastAsia="Arial" w:hAnsi="Arial"/>
                <w:sz w:val="22"/>
                <w:szCs w:val="22"/>
                <w:color w:val="auto"/>
                <w:w w:val="96"/>
              </w:rPr>
              <w:t>Monthly</w:t>
            </w:r>
          </w:p>
        </w:tc>
        <w:tc>
          <w:tcPr>
            <w:tcW w:w="2900" w:type="dxa"/>
            <w:vAlign w:val="bottom"/>
            <w:gridSpan w:val="3"/>
          </w:tcPr>
          <w:p>
            <w:pPr>
              <w:jc w:val="center"/>
              <w:spacing w:after="0" w:line="229" w:lineRule="exact"/>
              <w:rPr>
                <w:sz w:val="20"/>
                <w:szCs w:val="20"/>
                <w:color w:val="auto"/>
              </w:rPr>
            </w:pPr>
            <w:r>
              <w:rPr>
                <w:rFonts w:ascii="Arial" w:cs="Arial" w:eastAsia="Arial" w:hAnsi="Arial"/>
                <w:sz w:val="22"/>
                <w:szCs w:val="22"/>
                <w:color w:val="auto"/>
                <w:w w:val="91"/>
              </w:rPr>
              <w:t>Monthly Base</w:t>
            </w:r>
          </w:p>
        </w:tc>
        <w:tc>
          <w:tcPr>
            <w:tcW w:w="0" w:type="dxa"/>
            <w:vAlign w:val="bottom"/>
          </w:tcPr>
          <w:p>
            <w:pPr>
              <w:spacing w:after="0"/>
              <w:rPr>
                <w:sz w:val="1"/>
                <w:szCs w:val="1"/>
                <w:color w:val="auto"/>
              </w:rPr>
            </w:pPr>
          </w:p>
        </w:tc>
      </w:tr>
      <w:tr>
        <w:trPr>
          <w:trHeight w:val="216"/>
        </w:trPr>
        <w:tc>
          <w:tcPr>
            <w:tcW w:w="3180" w:type="dxa"/>
            <w:vAlign w:val="bottom"/>
            <w:gridSpan w:val="5"/>
            <w:vMerge w:val="continue"/>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gridSpan w:val="2"/>
          </w:tcPr>
          <w:p>
            <w:pPr>
              <w:jc w:val="center"/>
              <w:ind w:right="720"/>
              <w:spacing w:after="0" w:line="216" w:lineRule="exact"/>
              <w:rPr>
                <w:sz w:val="20"/>
                <w:szCs w:val="20"/>
                <w:color w:val="auto"/>
              </w:rPr>
            </w:pPr>
            <w:r>
              <w:rPr>
                <w:rFonts w:ascii="Arial" w:cs="Arial" w:eastAsia="Arial" w:hAnsi="Arial"/>
                <w:sz w:val="22"/>
                <w:szCs w:val="22"/>
                <w:color w:val="auto"/>
                <w:w w:val="90"/>
              </w:rPr>
              <w:t>Installment</w:t>
            </w:r>
          </w:p>
        </w:tc>
        <w:tc>
          <w:tcPr>
            <w:tcW w:w="2900" w:type="dxa"/>
            <w:vAlign w:val="bottom"/>
            <w:gridSpan w:val="3"/>
          </w:tcPr>
          <w:p>
            <w:pPr>
              <w:jc w:val="center"/>
              <w:spacing w:after="0" w:line="216" w:lineRule="exact"/>
              <w:rPr>
                <w:sz w:val="20"/>
                <w:szCs w:val="20"/>
                <w:color w:val="auto"/>
              </w:rPr>
            </w:pPr>
            <w:r>
              <w:rPr>
                <w:rFonts w:ascii="Arial" w:cs="Arial" w:eastAsia="Arial" w:hAnsi="Arial"/>
                <w:sz w:val="22"/>
                <w:szCs w:val="22"/>
                <w:color w:val="auto"/>
                <w:w w:val="87"/>
              </w:rPr>
              <w:t>Rent per Rentable</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180" w:type="dxa"/>
            <w:vAlign w:val="bottom"/>
            <w:gridSpan w:val="4"/>
          </w:tcPr>
          <w:p>
            <w:pPr>
              <w:spacing w:after="0" w:line="204" w:lineRule="exact"/>
              <w:rPr>
                <w:sz w:val="20"/>
                <w:szCs w:val="20"/>
                <w:color w:val="auto"/>
              </w:rPr>
            </w:pPr>
            <w:r>
              <w:rPr>
                <w:rFonts w:ascii="Arial" w:cs="Arial" w:eastAsia="Arial" w:hAnsi="Arial"/>
                <w:sz w:val="22"/>
                <w:szCs w:val="22"/>
                <w:color w:val="auto"/>
              </w:rPr>
              <w:t>Lease Term</w:t>
            </w:r>
          </w:p>
        </w:tc>
        <w:tc>
          <w:tcPr>
            <w:tcW w:w="2060" w:type="dxa"/>
            <w:vAlign w:val="bottom"/>
            <w:gridSpan w:val="3"/>
          </w:tcPr>
          <w:p>
            <w:pPr>
              <w:jc w:val="center"/>
              <w:ind w:left="32"/>
              <w:spacing w:after="0" w:line="204" w:lineRule="exact"/>
              <w:rPr>
                <w:sz w:val="20"/>
                <w:szCs w:val="20"/>
                <w:color w:val="auto"/>
              </w:rPr>
            </w:pPr>
            <w:r>
              <w:rPr>
                <w:rFonts w:ascii="Arial" w:cs="Arial" w:eastAsia="Arial" w:hAnsi="Arial"/>
                <w:sz w:val="22"/>
                <w:szCs w:val="22"/>
                <w:color w:val="auto"/>
                <w:w w:val="85"/>
              </w:rPr>
              <w:t>Base Rent</w:t>
            </w:r>
          </w:p>
        </w:tc>
        <w:tc>
          <w:tcPr>
            <w:tcW w:w="3100" w:type="dxa"/>
            <w:vAlign w:val="bottom"/>
            <w:gridSpan w:val="3"/>
          </w:tcPr>
          <w:p>
            <w:pPr>
              <w:jc w:val="center"/>
              <w:ind w:left="433"/>
              <w:spacing w:after="0" w:line="204" w:lineRule="exact"/>
              <w:rPr>
                <w:sz w:val="20"/>
                <w:szCs w:val="20"/>
                <w:color w:val="auto"/>
              </w:rPr>
            </w:pPr>
            <w:r>
              <w:rPr>
                <w:rFonts w:ascii="Arial" w:cs="Arial" w:eastAsia="Arial" w:hAnsi="Arial"/>
                <w:sz w:val="22"/>
                <w:szCs w:val="22"/>
                <w:color w:val="auto"/>
                <w:w w:val="88"/>
              </w:rPr>
              <w:t>of Base Rent</w:t>
            </w:r>
          </w:p>
        </w:tc>
        <w:tc>
          <w:tcPr>
            <w:tcW w:w="960" w:type="dxa"/>
            <w:vAlign w:val="bottom"/>
          </w:tcPr>
          <w:p>
            <w:pPr>
              <w:spacing w:after="0"/>
              <w:rPr>
                <w:sz w:val="19"/>
                <w:szCs w:val="19"/>
                <w:color w:val="auto"/>
              </w:rPr>
            </w:pPr>
          </w:p>
        </w:tc>
        <w:tc>
          <w:tcPr>
            <w:tcW w:w="1940" w:type="dxa"/>
            <w:vAlign w:val="bottom"/>
            <w:gridSpan w:val="2"/>
          </w:tcPr>
          <w:p>
            <w:pPr>
              <w:jc w:val="center"/>
              <w:ind w:right="880"/>
              <w:spacing w:after="0" w:line="204" w:lineRule="exact"/>
              <w:rPr>
                <w:sz w:val="20"/>
                <w:szCs w:val="20"/>
                <w:color w:val="auto"/>
              </w:rPr>
            </w:pPr>
            <w:r>
              <w:rPr>
                <w:rFonts w:ascii="Arial" w:cs="Arial" w:eastAsia="Arial" w:hAnsi="Arial"/>
                <w:sz w:val="22"/>
                <w:szCs w:val="22"/>
                <w:color w:val="auto"/>
                <w:w w:val="87"/>
              </w:rPr>
              <w:t>Square Foot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6"/>
              </w:rPr>
              <w:t>September 4, 2022 –</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180" w:type="dxa"/>
            <w:vAlign w:val="bottom"/>
            <w:gridSpan w:val="5"/>
          </w:tcPr>
          <w:p>
            <w:pPr>
              <w:jc w:val="center"/>
              <w:ind w:right="200"/>
              <w:spacing w:after="0"/>
              <w:rPr>
                <w:sz w:val="20"/>
                <w:szCs w:val="20"/>
                <w:color w:val="auto"/>
              </w:rPr>
            </w:pPr>
            <w:r>
              <w:rPr>
                <w:rFonts w:ascii="Arial" w:cs="Arial" w:eastAsia="Arial" w:hAnsi="Arial"/>
                <w:sz w:val="22"/>
                <w:szCs w:val="22"/>
                <w:color w:val="auto"/>
                <w:w w:val="87"/>
              </w:rPr>
              <w:t>September 30, 2023</w:t>
            </w: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$8,088,130.80</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$674,010.90</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$7.65</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2023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30, 2024</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$8,371,215.38</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$697,601.28</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$7.92</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2024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30, 2025</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$8,664,207.92</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$722,017.33</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$8.19</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2025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30, 2026</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$8,967,455.19</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$747,287.93</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$8.48</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2026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30, 2027</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$9,281,316.13</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$773,443.01</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$8.78</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2027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30, 2028</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$9,606,162.19</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$800,513.52</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$9.09</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2028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30, 2029</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$9,942,377.87</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$828,531.49</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$9.40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2029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30, 2030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$10,290,361.09</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$857,530.09</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$9.73</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2030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30, 2031</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32"/>
              <w:spacing w:after="0"/>
              <w:rPr>
                <w:sz w:val="20"/>
                <w:szCs w:val="20"/>
                <w:color w:val="auto"/>
              </w:rPr>
            </w:pPr>
            <w:r>
              <w:rPr>
                <w:rFonts w:ascii="Arial" w:cs="Arial" w:eastAsia="Arial" w:hAnsi="Arial"/>
                <w:sz w:val="22"/>
                <w:szCs w:val="22"/>
                <w:color w:val="auto"/>
                <w:w w:val="88"/>
              </w:rPr>
              <w:t>$10,650,523.73</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$887,543.64</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86"/>
              </w:rPr>
              <w:t>$10.07</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2031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30, 2032</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12"/>
              <w:spacing w:after="0"/>
              <w:rPr>
                <w:sz w:val="20"/>
                <w:szCs w:val="20"/>
                <w:color w:val="auto"/>
              </w:rPr>
            </w:pPr>
            <w:r>
              <w:rPr>
                <w:rFonts w:ascii="Arial" w:cs="Arial" w:eastAsia="Arial" w:hAnsi="Arial"/>
                <w:sz w:val="22"/>
                <w:szCs w:val="22"/>
                <w:color w:val="auto"/>
                <w:w w:val="87"/>
              </w:rPr>
              <w:t>$11,023,292.06</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$918,607.67</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86"/>
              </w:rPr>
              <w:t>$10.43</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2032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30, 2033</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12"/>
              <w:spacing w:after="0"/>
              <w:rPr>
                <w:sz w:val="20"/>
                <w:szCs w:val="20"/>
                <w:color w:val="auto"/>
              </w:rPr>
            </w:pPr>
            <w:r>
              <w:rPr>
                <w:rFonts w:ascii="Arial" w:cs="Arial" w:eastAsia="Arial" w:hAnsi="Arial"/>
                <w:sz w:val="22"/>
                <w:szCs w:val="22"/>
                <w:color w:val="auto"/>
                <w:w w:val="87"/>
              </w:rPr>
              <w:t>$11,409,107.28</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$950,758.94</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86"/>
              </w:rPr>
              <w:t>$10.79</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180" w:type="dxa"/>
            <w:vAlign w:val="bottom"/>
            <w:gridSpan w:val="5"/>
          </w:tcPr>
          <w:p>
            <w:pPr>
              <w:jc w:val="center"/>
              <w:ind w:right="240"/>
              <w:spacing w:after="0"/>
              <w:rPr>
                <w:sz w:val="20"/>
                <w:szCs w:val="20"/>
                <w:color w:val="auto"/>
              </w:rPr>
            </w:pPr>
            <w:r>
              <w:rPr>
                <w:rFonts w:ascii="Arial" w:cs="Arial" w:eastAsia="Arial" w:hAnsi="Arial"/>
                <w:sz w:val="22"/>
                <w:szCs w:val="22"/>
                <w:color w:val="auto"/>
                <w:w w:val="87"/>
              </w:rPr>
              <w:t>October 1, 2033 – September</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0" w:type="dxa"/>
            <w:vAlign w:val="bottom"/>
            <w:gridSpan w:val="3"/>
          </w:tcPr>
          <w:p>
            <w:pPr>
              <w:jc w:val="center"/>
              <w:ind w:left="892"/>
              <w:spacing w:after="0"/>
              <w:rPr>
                <w:sz w:val="20"/>
                <w:szCs w:val="20"/>
                <w:color w:val="auto"/>
              </w:rPr>
            </w:pPr>
            <w:r>
              <w:rPr>
                <w:rFonts w:ascii="Arial" w:cs="Arial" w:eastAsia="Arial" w:hAnsi="Arial"/>
                <w:sz w:val="22"/>
                <w:szCs w:val="22"/>
                <w:color w:val="auto"/>
                <w:w w:val="88"/>
              </w:rPr>
              <w:t>30, 2034</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60" w:type="dxa"/>
            <w:vAlign w:val="bottom"/>
            <w:gridSpan w:val="3"/>
          </w:tcPr>
          <w:p>
            <w:pPr>
              <w:jc w:val="center"/>
              <w:ind w:left="12"/>
              <w:spacing w:after="0"/>
              <w:rPr>
                <w:sz w:val="20"/>
                <w:szCs w:val="20"/>
                <w:color w:val="auto"/>
              </w:rPr>
            </w:pPr>
            <w:r>
              <w:rPr>
                <w:rFonts w:ascii="Arial" w:cs="Arial" w:eastAsia="Arial" w:hAnsi="Arial"/>
                <w:sz w:val="22"/>
                <w:szCs w:val="22"/>
                <w:color w:val="auto"/>
                <w:w w:val="87"/>
              </w:rPr>
              <w:t>$11,808,426.04</w:t>
            </w:r>
          </w:p>
        </w:tc>
        <w:tc>
          <w:tcPr>
            <w:tcW w:w="2380" w:type="dxa"/>
            <w:vAlign w:val="bottom"/>
            <w:gridSpan w:val="2"/>
          </w:tcPr>
          <w:p>
            <w:pPr>
              <w:jc w:val="center"/>
              <w:ind w:left="1153"/>
              <w:spacing w:after="0"/>
              <w:rPr>
                <w:sz w:val="20"/>
                <w:szCs w:val="20"/>
                <w:color w:val="auto"/>
              </w:rPr>
            </w:pPr>
            <w:r>
              <w:rPr>
                <w:rFonts w:ascii="Arial" w:cs="Arial" w:eastAsia="Arial" w:hAnsi="Arial"/>
                <w:sz w:val="22"/>
                <w:szCs w:val="22"/>
                <w:color w:val="auto"/>
                <w:w w:val="88"/>
              </w:rPr>
              <w:t>$984,035.50</w:t>
            </w:r>
          </w:p>
        </w:tc>
        <w:tc>
          <w:tcPr>
            <w:tcW w:w="720" w:type="dxa"/>
            <w:vAlign w:val="bottom"/>
          </w:tcPr>
          <w:p>
            <w:pPr>
              <w:spacing w:after="0"/>
              <w:rPr>
                <w:sz w:val="23"/>
                <w:szCs w:val="23"/>
                <w:color w:val="auto"/>
              </w:rPr>
            </w:pPr>
          </w:p>
        </w:tc>
        <w:tc>
          <w:tcPr>
            <w:tcW w:w="2020" w:type="dxa"/>
            <w:vAlign w:val="bottom"/>
            <w:gridSpan w:val="2"/>
          </w:tcPr>
          <w:p>
            <w:pPr>
              <w:jc w:val="center"/>
              <w:ind w:left="852"/>
              <w:spacing w:after="0"/>
              <w:rPr>
                <w:sz w:val="20"/>
                <w:szCs w:val="20"/>
                <w:color w:val="auto"/>
              </w:rPr>
            </w:pPr>
            <w:r>
              <w:rPr>
                <w:rFonts w:ascii="Arial" w:cs="Arial" w:eastAsia="Arial" w:hAnsi="Arial"/>
                <w:sz w:val="22"/>
                <w:szCs w:val="22"/>
                <w:color w:val="auto"/>
                <w:w w:val="86"/>
              </w:rPr>
              <w:t>$11.17</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7"/>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jc w:val="right"/>
              <w:ind w:right="653"/>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ind w:left="1012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jc w:val="both"/>
        <w:ind w:firstLine="757"/>
        <w:spacing w:after="0" w:line="241" w:lineRule="auto"/>
        <w:tabs>
          <w:tab w:leader="none" w:pos="1498"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of Credit</w:t>
      </w:r>
      <w:r>
        <w:rPr>
          <w:rFonts w:ascii="Arial" w:cs="Arial" w:eastAsia="Arial" w:hAnsi="Arial"/>
          <w:sz w:val="22"/>
          <w:szCs w:val="22"/>
          <w:color w:val="auto"/>
        </w:rPr>
        <w:t>. Landlord and Tenant acknowledge that, in accordance with the Lease Tenant has previously</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an L-C in the amount of $1,646,490.78. Notwithstanding anything in the Lease to the contrary, concurrently with Tenant’s execution of this Second Amendment, Tenant shall provide an L-C (via delivery of a new L-C in such amount or an amendment to the existing L-C, which shall in either event be in a form reasonably acceptable to Landlord and in conformance with the terms of the Lease) in the total amount of $1,968,071.00. To the extent that Tenant delivers a new, replacement L-C (rather than an amendment to the existing L-C), Landlord shall return the existing L-C within ten (10) business days following receipt of such new, replacement L-C.</w:t>
      </w:r>
    </w:p>
    <w:p>
      <w:pPr>
        <w:spacing w:after="0" w:line="179" w:lineRule="exact"/>
        <w:rPr>
          <w:rFonts w:ascii="Arial" w:cs="Arial" w:eastAsia="Arial" w:hAnsi="Arial"/>
          <w:sz w:val="22"/>
          <w:szCs w:val="22"/>
          <w:color w:val="auto"/>
        </w:rPr>
      </w:pPr>
    </w:p>
    <w:p>
      <w:pPr>
        <w:jc w:val="both"/>
        <w:ind w:firstLine="757"/>
        <w:spacing w:after="0" w:line="239" w:lineRule="auto"/>
        <w:tabs>
          <w:tab w:leader="none" w:pos="1498"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No Broker</w:t>
      </w:r>
      <w:r>
        <w:rPr>
          <w:rFonts w:ascii="Arial" w:cs="Arial" w:eastAsia="Arial" w:hAnsi="Arial"/>
          <w:sz w:val="22"/>
          <w:szCs w:val="22"/>
          <w:color w:val="auto"/>
        </w:rPr>
        <w:t>. Landlord and Tenant hereby warrant to each other that they have had no dealings with any real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estate broker or agent in connection with the negotiation of this Second Amendment, and that they know of no real estate broker or agent who is entitled to a commission in connection with this Second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The terms of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shall survive the expiration or earlier termination of the term of the Lease, as hereby amended.</w:t>
      </w:r>
    </w:p>
    <w:p>
      <w:pPr>
        <w:spacing w:after="0" w:line="185" w:lineRule="exact"/>
        <w:rPr>
          <w:rFonts w:ascii="Arial" w:cs="Arial" w:eastAsia="Arial" w:hAnsi="Arial"/>
          <w:sz w:val="22"/>
          <w:szCs w:val="22"/>
          <w:color w:val="auto"/>
        </w:rPr>
      </w:pPr>
    </w:p>
    <w:p>
      <w:pPr>
        <w:jc w:val="both"/>
        <w:ind w:firstLine="757"/>
        <w:spacing w:after="0" w:line="254" w:lineRule="auto"/>
        <w:tabs>
          <w:tab w:leader="none" w:pos="1498" w:val="left"/>
        </w:tabs>
        <w:numPr>
          <w:ilvl w:val="0"/>
          <w:numId w:val="45"/>
        </w:numPr>
        <w:rPr>
          <w:rFonts w:ascii="Arial" w:cs="Arial" w:eastAsia="Arial" w:hAnsi="Arial"/>
          <w:sz w:val="21"/>
          <w:szCs w:val="21"/>
          <w:color w:val="auto"/>
        </w:rPr>
      </w:pPr>
      <w:r>
        <w:rPr>
          <w:rFonts w:ascii="Arial" w:cs="Arial" w:eastAsia="Arial" w:hAnsi="Arial"/>
          <w:sz w:val="21"/>
          <w:szCs w:val="21"/>
          <w:b w:val="1"/>
          <w:bCs w:val="1"/>
          <w:u w:val="single" w:color="auto"/>
          <w:color w:val="auto"/>
        </w:rPr>
        <w:t>Signatures</w:t>
      </w:r>
      <w:r>
        <w:rPr>
          <w:rFonts w:ascii="Arial" w:cs="Arial" w:eastAsia="Arial" w:hAnsi="Arial"/>
          <w:sz w:val="21"/>
          <w:szCs w:val="21"/>
          <w:color w:val="auto"/>
        </w:rPr>
        <w:t>. The parties hereto consent and agree that this Second Amendment may be signed and/or</w:t>
      </w:r>
      <w:r>
        <w:rPr>
          <w:rFonts w:ascii="Arial" w:cs="Arial" w:eastAsia="Arial" w:hAnsi="Arial"/>
          <w:sz w:val="21"/>
          <w:szCs w:val="21"/>
          <w:b w:val="1"/>
          <w:bCs w:val="1"/>
          <w:color w:val="auto"/>
        </w:rPr>
        <w:t xml:space="preserve"> </w:t>
      </w:r>
      <w:r>
        <w:rPr>
          <w:rFonts w:ascii="Arial" w:cs="Arial" w:eastAsia="Arial" w:hAnsi="Arial"/>
          <w:sz w:val="21"/>
          <w:szCs w:val="21"/>
          <w:color w:val="auto"/>
        </w:rPr>
        <w:t>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Second Amendment using electronic signature technology, by clicking “SIGN”, such party is signing this Second Amendment electronically, and (2) the electronic signatures appearing on this Second Amendment shall be treated, for purposes of validity, enforceability and admissibility, the same as handwritten signatures.</w:t>
      </w:r>
    </w:p>
    <w:p>
      <w:pPr>
        <w:spacing w:after="0" w:line="168" w:lineRule="exact"/>
        <w:rPr>
          <w:rFonts w:ascii="Arial" w:cs="Arial" w:eastAsia="Arial" w:hAnsi="Arial"/>
          <w:sz w:val="21"/>
          <w:szCs w:val="21"/>
          <w:color w:val="auto"/>
        </w:rPr>
      </w:pPr>
    </w:p>
    <w:p>
      <w:pPr>
        <w:jc w:val="both"/>
        <w:ind w:firstLine="757"/>
        <w:spacing w:after="0" w:line="249" w:lineRule="auto"/>
        <w:tabs>
          <w:tab w:leader="none" w:pos="1498"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Certified Access Specialist</w:t>
      </w:r>
      <w:r>
        <w:rPr>
          <w:rFonts w:ascii="Arial" w:cs="Arial" w:eastAsia="Arial" w:hAnsi="Arial"/>
          <w:sz w:val="22"/>
          <w:szCs w:val="22"/>
          <w:color w:val="auto"/>
        </w:rPr>
        <w:t>. For purposes of Section 1938 of the California Civil Code, Landlord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discloses to Tenant, and Tenant hereby acknowledges, that the Premises have not undergone inspection by a Certified Access Specialist (CASp).</w:t>
      </w:r>
    </w:p>
    <w:p>
      <w:pPr>
        <w:spacing w:after="0" w:line="171" w:lineRule="exact"/>
        <w:rPr>
          <w:rFonts w:ascii="Arial" w:cs="Arial" w:eastAsia="Arial" w:hAnsi="Arial"/>
          <w:sz w:val="22"/>
          <w:szCs w:val="22"/>
          <w:color w:val="auto"/>
        </w:rPr>
      </w:pPr>
    </w:p>
    <w:p>
      <w:pPr>
        <w:jc w:val="both"/>
        <w:ind w:firstLine="757"/>
        <w:spacing w:after="0" w:line="249" w:lineRule="auto"/>
        <w:tabs>
          <w:tab w:leader="none" w:pos="1498"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No Further Modification; Conflict</w:t>
      </w:r>
      <w:r>
        <w:rPr>
          <w:rFonts w:ascii="Arial" w:cs="Arial" w:eastAsia="Arial" w:hAnsi="Arial"/>
          <w:sz w:val="22"/>
          <w:szCs w:val="22"/>
          <w:color w:val="auto"/>
        </w:rPr>
        <w:t>. Except as set forth in this Second Amendment, all of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Lease shall remain unmodified and in full force and effect. In the event of a conflict between the Lease and this Second Amendment, the terms of this Second Amendment shall prevail.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this Second Amendment has been executed as of the day and year first above written.</w:t>
      </w:r>
    </w:p>
    <w:p>
      <w:pPr>
        <w:spacing w:after="0" w:line="200" w:lineRule="exact"/>
        <w:rPr>
          <w:sz w:val="20"/>
          <w:szCs w:val="20"/>
          <w:color w:val="auto"/>
        </w:rPr>
      </w:pPr>
    </w:p>
    <w:tbl>
      <w:tblPr>
        <w:tblLayout w:type="fixed"/>
        <w:tblInd w:w="100" w:type="dxa"/>
        <w:tblCellMar>
          <w:top w:w="0" w:type="dxa"/>
          <w:left w:w="0" w:type="dxa"/>
          <w:bottom w:w="0" w:type="dxa"/>
          <w:right w:w="0" w:type="dxa"/>
        </w:tblCellMar>
      </w:tblPr>
      <w:tr>
        <w:trPr>
          <w:trHeight w:val="280"/>
        </w:trPr>
        <w:tc>
          <w:tcPr>
            <w:tcW w:w="4320" w:type="dxa"/>
            <w:vAlign w:val="bottom"/>
            <w:gridSpan w:val="7"/>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w:t>
            </w:r>
            <w:r>
              <w:rPr>
                <w:rFonts w:ascii="Arial" w:cs="Arial" w:eastAsia="Arial" w:hAnsi="Arial"/>
                <w:sz w:val="22"/>
                <w:szCs w:val="22"/>
                <w:color w:val="auto"/>
              </w:rPr>
              <w:t>"</w:t>
            </w:r>
          </w:p>
        </w:tc>
        <w:tc>
          <w:tcPr>
            <w:tcW w:w="3140" w:type="dxa"/>
            <w:vAlign w:val="bottom"/>
            <w:gridSpan w:val="7"/>
          </w:tcPr>
          <w:p>
            <w:pPr>
              <w:ind w:left="1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TENANT</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28"/>
        </w:trPr>
        <w:tc>
          <w:tcPr>
            <w:tcW w:w="4320" w:type="dxa"/>
            <w:vAlign w:val="bottom"/>
            <w:gridSpan w:val="7"/>
          </w:tcPr>
          <w:p>
            <w:pPr>
              <w:spacing w:after="0"/>
              <w:rPr>
                <w:sz w:val="20"/>
                <w:szCs w:val="20"/>
                <w:color w:val="auto"/>
              </w:rPr>
            </w:pPr>
            <w:r>
              <w:rPr>
                <w:rFonts w:ascii="Arial" w:cs="Arial" w:eastAsia="Arial" w:hAnsi="Arial"/>
                <w:sz w:val="22"/>
                <w:szCs w:val="22"/>
                <w:b w:val="1"/>
                <w:bCs w:val="1"/>
                <w:color w:val="auto"/>
              </w:rPr>
              <w:t>HCP BTC, LLC.</w:t>
            </w:r>
            <w:r>
              <w:rPr>
                <w:rFonts w:ascii="Arial" w:cs="Arial" w:eastAsia="Arial" w:hAnsi="Arial"/>
                <w:sz w:val="22"/>
                <w:szCs w:val="22"/>
                <w:color w:val="auto"/>
              </w:rPr>
              <w:t>,</w:t>
            </w:r>
          </w:p>
        </w:tc>
        <w:tc>
          <w:tcPr>
            <w:tcW w:w="3140" w:type="dxa"/>
            <w:vAlign w:val="bottom"/>
            <w:gridSpan w:val="7"/>
          </w:tcPr>
          <w:p>
            <w:pPr>
              <w:ind w:left="1100"/>
              <w:spacing w:after="0"/>
              <w:rPr>
                <w:sz w:val="20"/>
                <w:szCs w:val="20"/>
                <w:color w:val="auto"/>
              </w:rPr>
            </w:pPr>
            <w:r>
              <w:rPr>
                <w:rFonts w:ascii="Arial" w:cs="Arial" w:eastAsia="Arial" w:hAnsi="Arial"/>
                <w:sz w:val="22"/>
                <w:szCs w:val="22"/>
                <w:b w:val="1"/>
                <w:bCs w:val="1"/>
                <w:color w:val="auto"/>
              </w:rPr>
              <w:t>NKARTA, INC.</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4320" w:type="dxa"/>
            <w:vAlign w:val="bottom"/>
            <w:gridSpan w:val="7"/>
          </w:tcPr>
          <w:p>
            <w:pPr>
              <w:spacing w:after="0"/>
              <w:rPr>
                <w:sz w:val="20"/>
                <w:szCs w:val="20"/>
                <w:color w:val="auto"/>
              </w:rPr>
            </w:pPr>
            <w:r>
              <w:rPr>
                <w:rFonts w:ascii="Arial" w:cs="Arial" w:eastAsia="Arial" w:hAnsi="Arial"/>
                <w:sz w:val="22"/>
                <w:szCs w:val="22"/>
                <w:color w:val="auto"/>
              </w:rPr>
              <w:t>a Delaware limited liability company</w:t>
            </w:r>
          </w:p>
        </w:tc>
        <w:tc>
          <w:tcPr>
            <w:tcW w:w="3140" w:type="dxa"/>
            <w:vAlign w:val="bottom"/>
            <w:gridSpan w:val="7"/>
          </w:tcPr>
          <w:p>
            <w:pPr>
              <w:ind w:left="1100"/>
              <w:spacing w:after="0"/>
              <w:rPr>
                <w:sz w:val="20"/>
                <w:szCs w:val="20"/>
                <w:color w:val="auto"/>
              </w:rPr>
            </w:pPr>
            <w:r>
              <w:rPr>
                <w:rFonts w:ascii="Arial" w:cs="Arial" w:eastAsia="Arial" w:hAnsi="Arial"/>
                <w:sz w:val="22"/>
                <w:szCs w:val="22"/>
                <w:color w:val="auto"/>
                <w:w w:val="88"/>
              </w:rPr>
              <w:t>a Delaware corporation</w:t>
            </w:r>
          </w:p>
        </w:tc>
        <w:tc>
          <w:tcPr>
            <w:tcW w:w="0" w:type="dxa"/>
            <w:vAlign w:val="bottom"/>
          </w:tcPr>
          <w:p>
            <w:pPr>
              <w:spacing w:after="0"/>
              <w:rPr>
                <w:sz w:val="1"/>
                <w:szCs w:val="1"/>
                <w:color w:val="auto"/>
              </w:rPr>
            </w:pPr>
          </w:p>
        </w:tc>
      </w:tr>
      <w:tr>
        <w:trPr>
          <w:trHeight w:val="422"/>
        </w:trPr>
        <w:tc>
          <w:tcPr>
            <w:tcW w:w="4320" w:type="dxa"/>
            <w:vAlign w:val="bottom"/>
            <w:gridSpan w:val="7"/>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color w:val="auto"/>
              </w:rPr>
              <w:t>/s/ Scott R. Bohn</w:t>
            </w:r>
          </w:p>
        </w:tc>
        <w:tc>
          <w:tcPr>
            <w:tcW w:w="3140" w:type="dxa"/>
            <w:vAlign w:val="bottom"/>
            <w:gridSpan w:val="7"/>
          </w:tcPr>
          <w:p>
            <w:pPr>
              <w:ind w:left="1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color w:val="auto"/>
              </w:rPr>
              <w:t>/s/ Paul Hastings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660" w:type="dxa"/>
            <w:vAlign w:val="bottom"/>
            <w:gridSpan w:val="3"/>
          </w:tcPr>
          <w:p>
            <w:pPr>
              <w:spacing w:after="0" w:line="209" w:lineRule="exact"/>
              <w:rPr>
                <w:sz w:val="20"/>
                <w:szCs w:val="20"/>
                <w:color w:val="auto"/>
              </w:rPr>
            </w:pPr>
            <w:r>
              <w:rPr>
                <w:rFonts w:ascii="Arial" w:cs="Arial" w:eastAsia="Arial" w:hAnsi="Arial"/>
                <w:sz w:val="22"/>
                <w:szCs w:val="22"/>
                <w:color w:val="auto"/>
                <w:w w:val="87"/>
              </w:rPr>
              <w:t xml:space="preserve">Name: </w:t>
            </w:r>
            <w:r>
              <w:rPr>
                <w:rFonts w:ascii="Arial" w:cs="Arial" w:eastAsia="Arial" w:hAnsi="Arial"/>
                <w:sz w:val="19"/>
                <w:szCs w:val="19"/>
                <w:color w:val="auto"/>
                <w:w w:val="87"/>
              </w:rPr>
              <w:t>Scott R. Bohn</w:t>
            </w:r>
          </w:p>
        </w:tc>
        <w:tc>
          <w:tcPr>
            <w:tcW w:w="4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720" w:type="dxa"/>
            <w:vAlign w:val="bottom"/>
            <w:gridSpan w:val="6"/>
          </w:tcPr>
          <w:p>
            <w:pPr>
              <w:spacing w:after="0" w:line="209" w:lineRule="exact"/>
              <w:rPr>
                <w:sz w:val="20"/>
                <w:szCs w:val="20"/>
                <w:color w:val="auto"/>
              </w:rPr>
            </w:pPr>
            <w:r>
              <w:rPr>
                <w:rFonts w:ascii="Arial" w:cs="Arial" w:eastAsia="Arial" w:hAnsi="Arial"/>
                <w:sz w:val="22"/>
                <w:szCs w:val="22"/>
                <w:color w:val="auto"/>
                <w:w w:val="90"/>
              </w:rPr>
              <w:t xml:space="preserve">Name: </w:t>
            </w:r>
            <w:r>
              <w:rPr>
                <w:rFonts w:ascii="Arial" w:cs="Arial" w:eastAsia="Arial" w:hAnsi="Arial"/>
                <w:sz w:val="19"/>
                <w:szCs w:val="19"/>
                <w:color w:val="auto"/>
                <w:w w:val="90"/>
              </w:rPr>
              <w:t>Paul Hastings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000" w:type="dxa"/>
            <w:vAlign w:val="bottom"/>
            <w:gridSpan w:val="6"/>
          </w:tcPr>
          <w:p>
            <w:pPr>
              <w:spacing w:after="0" w:line="209" w:lineRule="exact"/>
              <w:rPr>
                <w:sz w:val="20"/>
                <w:szCs w:val="20"/>
                <w:color w:val="auto"/>
              </w:rPr>
            </w:pPr>
            <w:r>
              <w:rPr>
                <w:rFonts w:ascii="Arial" w:cs="Arial" w:eastAsia="Arial" w:hAnsi="Arial"/>
                <w:sz w:val="22"/>
                <w:szCs w:val="22"/>
                <w:color w:val="auto"/>
              </w:rPr>
              <w:t xml:space="preserve">Its: </w:t>
            </w:r>
            <w:r>
              <w:rPr>
                <w:rFonts w:ascii="Arial" w:cs="Arial" w:eastAsia="Arial" w:hAnsi="Arial"/>
                <w:sz w:val="19"/>
                <w:szCs w:val="19"/>
                <w:color w:val="auto"/>
              </w:rPr>
              <w:t>Executive Vice President</w:t>
            </w:r>
          </w:p>
        </w:tc>
        <w:tc>
          <w:tcPr>
            <w:tcW w:w="3080" w:type="dxa"/>
            <w:vAlign w:val="bottom"/>
            <w:gridSpan w:val="6"/>
          </w:tcPr>
          <w:p>
            <w:pPr>
              <w:ind w:left="1360"/>
              <w:spacing w:after="0" w:line="209" w:lineRule="exact"/>
              <w:rPr>
                <w:sz w:val="20"/>
                <w:szCs w:val="20"/>
                <w:color w:val="auto"/>
              </w:rPr>
            </w:pPr>
            <w:r>
              <w:rPr>
                <w:rFonts w:ascii="Arial" w:cs="Arial" w:eastAsia="Arial" w:hAnsi="Arial"/>
                <w:sz w:val="22"/>
                <w:szCs w:val="22"/>
                <w:color w:val="auto"/>
              </w:rPr>
              <w:t xml:space="preserve">Its: </w:t>
            </w:r>
            <w:r>
              <w:rPr>
                <w:rFonts w:ascii="Arial" w:cs="Arial" w:eastAsia="Arial" w:hAnsi="Arial"/>
                <w:sz w:val="19"/>
                <w:szCs w:val="19"/>
                <w:color w:val="auto"/>
              </w:rPr>
              <w:t>CEO</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FIFTH AMENDMENT TO LEASE</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This FIFTH AMENDMENT TO LEASE (this "</w:t>
      </w:r>
      <w:r>
        <w:rPr>
          <w:rFonts w:ascii="Arial" w:cs="Arial" w:eastAsia="Arial" w:hAnsi="Arial"/>
          <w:sz w:val="20"/>
          <w:szCs w:val="20"/>
          <w:b w:val="1"/>
          <w:bCs w:val="1"/>
          <w:color w:val="auto"/>
        </w:rPr>
        <w:t>Fifth Amendment</w:t>
      </w:r>
      <w:r>
        <w:rPr>
          <w:rFonts w:ascii="Arial" w:cs="Arial" w:eastAsia="Arial" w:hAnsi="Arial"/>
          <w:sz w:val="20"/>
          <w:szCs w:val="20"/>
          <w:color w:val="auto"/>
        </w:rPr>
        <w:t>") is made and entered into as of August 11, 2022 (the “</w:t>
      </w:r>
      <w:r>
        <w:rPr>
          <w:rFonts w:ascii="Arial" w:cs="Arial" w:eastAsia="Arial" w:hAnsi="Arial"/>
          <w:sz w:val="20"/>
          <w:szCs w:val="20"/>
          <w:b w:val="1"/>
          <w:b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by and between</w:t>
      </w:r>
      <w:r>
        <w:rPr>
          <w:rFonts w:ascii="Arial" w:cs="Arial" w:eastAsia="Arial" w:hAnsi="Arial"/>
          <w:sz w:val="20"/>
          <w:szCs w:val="20"/>
          <w:b w:val="1"/>
          <w:bCs w:val="1"/>
          <w:color w:val="auto"/>
        </w:rPr>
        <w:t xml:space="preserve"> HCP LIFE SCIENCE REIT, INC.</w:t>
      </w:r>
      <w:r>
        <w:rPr>
          <w:rFonts w:ascii="Arial" w:cs="Arial" w:eastAsia="Arial" w:hAnsi="Arial"/>
          <w:sz w:val="20"/>
          <w:szCs w:val="20"/>
          <w:color w:val="auto"/>
        </w:rPr>
        <w:t>, a Maryland corporation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NKARTA,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 xml:space="preserve"> :</w:t>
      </w:r>
    </w:p>
    <w:p>
      <w:pPr>
        <w:spacing w:after="0" w:line="210" w:lineRule="exact"/>
        <w:rPr>
          <w:sz w:val="20"/>
          <w:szCs w:val="20"/>
          <w:color w:val="auto"/>
        </w:rPr>
      </w:pPr>
    </w:p>
    <w:p>
      <w:pPr>
        <w:jc w:val="both"/>
        <w:ind w:firstLine="757"/>
        <w:spacing w:after="0" w:line="237" w:lineRule="auto"/>
        <w:tabs>
          <w:tab w:leader="none" w:pos="1145" w:val="left"/>
        </w:tabs>
        <w:numPr>
          <w:ilvl w:val="0"/>
          <w:numId w:val="46"/>
        </w:numPr>
        <w:rPr>
          <w:rFonts w:ascii="Arial" w:cs="Arial" w:eastAsia="Arial" w:hAnsi="Arial"/>
          <w:sz w:val="19"/>
          <w:szCs w:val="19"/>
          <w:color w:val="auto"/>
        </w:rPr>
      </w:pPr>
      <w:r>
        <w:rPr>
          <w:rFonts w:ascii="Arial" w:cs="Arial" w:eastAsia="Arial" w:hAnsi="Arial"/>
          <w:sz w:val="19"/>
          <w:szCs w:val="19"/>
          <w:color w:val="auto"/>
        </w:rPr>
        <w:t>Landlord and Tenant entered into that certain Lease dated May 29, 2018 (the "</w:t>
      </w:r>
      <w:r>
        <w:rPr>
          <w:rFonts w:ascii="Arial" w:cs="Arial" w:eastAsia="Arial" w:hAnsi="Arial"/>
          <w:sz w:val="19"/>
          <w:szCs w:val="19"/>
          <w:b w:val="1"/>
          <w:bCs w:val="1"/>
          <w:color w:val="auto"/>
        </w:rPr>
        <w:t>Original Lease</w:t>
      </w:r>
      <w:r>
        <w:rPr>
          <w:rFonts w:ascii="Arial" w:cs="Arial" w:eastAsia="Arial" w:hAnsi="Arial"/>
          <w:sz w:val="19"/>
          <w:szCs w:val="19"/>
          <w:color w:val="auto"/>
        </w:rPr>
        <w:t>"), as amended by that certain First Amendment to Lease dated April 24, 2019 (the "</w:t>
      </w:r>
      <w:r>
        <w:rPr>
          <w:rFonts w:ascii="Arial" w:cs="Arial" w:eastAsia="Arial" w:hAnsi="Arial"/>
          <w:sz w:val="19"/>
          <w:szCs w:val="19"/>
          <w:b w:val="1"/>
          <w:bCs w:val="1"/>
          <w:color w:val="auto"/>
        </w:rPr>
        <w:t>First Amendment</w:t>
      </w:r>
      <w:r>
        <w:rPr>
          <w:rFonts w:ascii="Arial" w:cs="Arial" w:eastAsia="Arial" w:hAnsi="Arial"/>
          <w:sz w:val="19"/>
          <w:szCs w:val="19"/>
          <w:color w:val="auto"/>
        </w:rPr>
        <w:t>"), that certain Second Amendment to Lease dated May 5, 2020 (the "</w:t>
      </w:r>
      <w:r>
        <w:rPr>
          <w:rFonts w:ascii="Arial" w:cs="Arial" w:eastAsia="Arial" w:hAnsi="Arial"/>
          <w:sz w:val="19"/>
          <w:szCs w:val="19"/>
          <w:b w:val="1"/>
          <w:bCs w:val="1"/>
          <w:color w:val="auto"/>
        </w:rPr>
        <w:t>Second Amendment</w:t>
      </w:r>
      <w:r>
        <w:rPr>
          <w:rFonts w:ascii="Arial" w:cs="Arial" w:eastAsia="Arial" w:hAnsi="Arial"/>
          <w:sz w:val="19"/>
          <w:szCs w:val="19"/>
          <w:color w:val="auto"/>
        </w:rPr>
        <w:t>"), that certain Third Amendment to Lease dated January 14, 2021 (the "</w:t>
      </w:r>
      <w:r>
        <w:rPr>
          <w:rFonts w:ascii="Arial" w:cs="Arial" w:eastAsia="Arial" w:hAnsi="Arial"/>
          <w:sz w:val="19"/>
          <w:szCs w:val="19"/>
          <w:b w:val="1"/>
          <w:bCs w:val="1"/>
          <w:color w:val="auto"/>
        </w:rPr>
        <w:t>Third Amendment</w:t>
      </w:r>
      <w:r>
        <w:rPr>
          <w:rFonts w:ascii="Arial" w:cs="Arial" w:eastAsia="Arial" w:hAnsi="Arial"/>
          <w:sz w:val="19"/>
          <w:szCs w:val="19"/>
          <w:color w:val="auto"/>
        </w:rPr>
        <w:t>"), and that certain Fourth Amendment to Lease dated October 19, 2021 (the “</w:t>
      </w:r>
      <w:r>
        <w:rPr>
          <w:rFonts w:ascii="Arial" w:cs="Arial" w:eastAsia="Arial" w:hAnsi="Arial"/>
          <w:sz w:val="19"/>
          <w:szCs w:val="19"/>
          <w:b w:val="1"/>
          <w:bCs w:val="1"/>
          <w:color w:val="auto"/>
        </w:rPr>
        <w:t>Fourth Amendment</w:t>
      </w:r>
      <w:r>
        <w:rPr>
          <w:rFonts w:ascii="Arial" w:cs="Arial" w:eastAsia="Arial" w:hAnsi="Arial"/>
          <w:sz w:val="19"/>
          <w:szCs w:val="19"/>
          <w:color w:val="auto"/>
        </w:rPr>
        <w:t>” and together with the Original Lease, the First Amendment, the Second Amendment, and the Third Amendment, the "</w:t>
      </w:r>
      <w:r>
        <w:rPr>
          <w:rFonts w:ascii="Arial" w:cs="Arial" w:eastAsia="Arial" w:hAnsi="Arial"/>
          <w:sz w:val="19"/>
          <w:szCs w:val="19"/>
          <w:b w:val="1"/>
          <w:bCs w:val="1"/>
          <w:color w:val="auto"/>
        </w:rPr>
        <w:t>Lease</w:t>
      </w:r>
      <w:r>
        <w:rPr>
          <w:rFonts w:ascii="Arial" w:cs="Arial" w:eastAsia="Arial" w:hAnsi="Arial"/>
          <w:sz w:val="19"/>
          <w:szCs w:val="19"/>
          <w:color w:val="auto"/>
        </w:rPr>
        <w:t>"), whereby Landlord leases to Tenant and Tenant leases from Landlord those certain premises containing approximately 42,145 rentable square feet (collectively, the "</w:t>
      </w:r>
      <w:r>
        <w:rPr>
          <w:rFonts w:ascii="Arial" w:cs="Arial" w:eastAsia="Arial" w:hAnsi="Arial"/>
          <w:sz w:val="19"/>
          <w:szCs w:val="19"/>
          <w:b w:val="1"/>
          <w:bCs w:val="1"/>
          <w:color w:val="auto"/>
        </w:rPr>
        <w:t>Premises</w:t>
      </w:r>
      <w:r>
        <w:rPr>
          <w:rFonts w:ascii="Arial" w:cs="Arial" w:eastAsia="Arial" w:hAnsi="Arial"/>
          <w:sz w:val="19"/>
          <w:szCs w:val="19"/>
          <w:color w:val="auto"/>
        </w:rPr>
        <w:t>") consisting of (i) that certain space containing 7,163 rentable square feet commonly known as Suite 102 (“</w:t>
      </w:r>
      <w:r>
        <w:rPr>
          <w:rFonts w:ascii="Arial" w:cs="Arial" w:eastAsia="Arial" w:hAnsi="Arial"/>
          <w:sz w:val="19"/>
          <w:szCs w:val="19"/>
          <w:b w:val="1"/>
          <w:bCs w:val="1"/>
          <w:color w:val="auto"/>
        </w:rPr>
        <w:t>Suite 102</w:t>
      </w:r>
      <w:r>
        <w:rPr>
          <w:rFonts w:ascii="Arial" w:cs="Arial" w:eastAsia="Arial" w:hAnsi="Arial"/>
          <w:sz w:val="19"/>
          <w:szCs w:val="19"/>
          <w:color w:val="auto"/>
        </w:rPr>
        <w:t>”) on the first (1</w:t>
      </w:r>
      <w:r>
        <w:rPr>
          <w:rFonts w:ascii="Arial" w:cs="Arial" w:eastAsia="Arial" w:hAnsi="Arial"/>
          <w:sz w:val="25"/>
          <w:szCs w:val="25"/>
          <w:color w:val="auto"/>
          <w:vertAlign w:val="superscript"/>
        </w:rPr>
        <w:t>st</w:t>
      </w:r>
      <w:r>
        <w:rPr>
          <w:rFonts w:ascii="Arial" w:cs="Arial" w:eastAsia="Arial" w:hAnsi="Arial"/>
          <w:sz w:val="19"/>
          <w:szCs w:val="19"/>
          <w:color w:val="auto"/>
        </w:rPr>
        <w:t>) floor of the building located at 6000 Shoreline Court, South San Francisco, California ("</w:t>
      </w:r>
      <w:r>
        <w:rPr>
          <w:rFonts w:ascii="Arial" w:cs="Arial" w:eastAsia="Arial" w:hAnsi="Arial"/>
          <w:sz w:val="19"/>
          <w:szCs w:val="19"/>
          <w:b w:val="1"/>
          <w:bCs w:val="1"/>
          <w:color w:val="auto"/>
        </w:rPr>
        <w:t>Building</w:t>
      </w:r>
      <w:r>
        <w:rPr>
          <w:rFonts w:ascii="Arial" w:cs="Arial" w:eastAsia="Arial" w:hAnsi="Arial"/>
          <w:sz w:val="19"/>
          <w:szCs w:val="19"/>
          <w:color w:val="auto"/>
        </w:rPr>
        <w:t>"), (ii) that certain space consisting of approximately 1,553 rentable square feet of space commonly known as Suite 201 on the second (2</w:t>
      </w:r>
      <w:r>
        <w:rPr>
          <w:rFonts w:ascii="Arial" w:cs="Arial" w:eastAsia="Arial" w:hAnsi="Arial"/>
          <w:sz w:val="25"/>
          <w:szCs w:val="25"/>
          <w:color w:val="auto"/>
          <w:vertAlign w:val="superscript"/>
        </w:rPr>
        <w:t>nd</w:t>
      </w:r>
      <w:r>
        <w:rPr>
          <w:rFonts w:ascii="Arial" w:cs="Arial" w:eastAsia="Arial" w:hAnsi="Arial"/>
          <w:sz w:val="19"/>
          <w:szCs w:val="19"/>
          <w:color w:val="auto"/>
        </w:rPr>
        <w:t>) floor of the Building, (iii) that certain space consisting of approximately 4,048 rentable square feet of space commonly known as Suite 203 on the second (2</w:t>
      </w:r>
      <w:r>
        <w:rPr>
          <w:rFonts w:ascii="Arial" w:cs="Arial" w:eastAsia="Arial" w:hAnsi="Arial"/>
          <w:sz w:val="25"/>
          <w:szCs w:val="25"/>
          <w:color w:val="auto"/>
          <w:vertAlign w:val="superscript"/>
        </w:rPr>
        <w:t>nd</w:t>
      </w:r>
      <w:r>
        <w:rPr>
          <w:rFonts w:ascii="Arial" w:cs="Arial" w:eastAsia="Arial" w:hAnsi="Arial"/>
          <w:sz w:val="19"/>
          <w:szCs w:val="19"/>
          <w:color w:val="auto"/>
        </w:rPr>
        <w:t>) floor of the Building, (iv) that certain space consisting of approximately 13,772 rentable square feet of space commonly known as Suite 204 (“</w:t>
      </w:r>
      <w:r>
        <w:rPr>
          <w:rFonts w:ascii="Arial" w:cs="Arial" w:eastAsia="Arial" w:hAnsi="Arial"/>
          <w:sz w:val="19"/>
          <w:szCs w:val="19"/>
          <w:b w:val="1"/>
          <w:bCs w:val="1"/>
          <w:color w:val="auto"/>
        </w:rPr>
        <w:t>Suite 204</w:t>
      </w:r>
      <w:r>
        <w:rPr>
          <w:rFonts w:ascii="Arial" w:cs="Arial" w:eastAsia="Arial" w:hAnsi="Arial"/>
          <w:sz w:val="19"/>
          <w:szCs w:val="19"/>
          <w:color w:val="auto"/>
        </w:rPr>
        <w:t>”) on the second (2</w:t>
      </w:r>
      <w:r>
        <w:rPr>
          <w:rFonts w:ascii="Arial" w:cs="Arial" w:eastAsia="Arial" w:hAnsi="Arial"/>
          <w:sz w:val="25"/>
          <w:szCs w:val="25"/>
          <w:color w:val="auto"/>
          <w:vertAlign w:val="superscript"/>
        </w:rPr>
        <w:t>nd</w:t>
      </w:r>
      <w:r>
        <w:rPr>
          <w:rFonts w:ascii="Arial" w:cs="Arial" w:eastAsia="Arial" w:hAnsi="Arial"/>
          <w:sz w:val="19"/>
          <w:szCs w:val="19"/>
          <w:color w:val="auto"/>
        </w:rPr>
        <w:t>) floor of the Building, (v) that certain space consisting of approximately 7,534 rentable square feet of space in Suite 325 (“</w:t>
      </w:r>
      <w:r>
        <w:rPr>
          <w:rFonts w:ascii="Arial" w:cs="Arial" w:eastAsia="Arial" w:hAnsi="Arial"/>
          <w:sz w:val="19"/>
          <w:szCs w:val="19"/>
          <w:b w:val="1"/>
          <w:bCs w:val="1"/>
          <w:color w:val="auto"/>
        </w:rPr>
        <w:t>Suite 325</w:t>
      </w:r>
      <w:r>
        <w:rPr>
          <w:rFonts w:ascii="Arial" w:cs="Arial" w:eastAsia="Arial" w:hAnsi="Arial"/>
          <w:sz w:val="19"/>
          <w:szCs w:val="19"/>
          <w:color w:val="auto"/>
        </w:rPr>
        <w:t>”) on the third (3rd) floor of the Building, and (vi) that certain space consisting of approximately 8,075 rentable square feet of space in Suite 104 (“</w:t>
      </w:r>
      <w:r>
        <w:rPr>
          <w:rFonts w:ascii="Arial" w:cs="Arial" w:eastAsia="Arial" w:hAnsi="Arial"/>
          <w:sz w:val="19"/>
          <w:szCs w:val="19"/>
          <w:b w:val="1"/>
          <w:bCs w:val="1"/>
          <w:color w:val="auto"/>
        </w:rPr>
        <w:t>Suite 104</w:t>
      </w:r>
      <w:r>
        <w:rPr>
          <w:rFonts w:ascii="Arial" w:cs="Arial" w:eastAsia="Arial" w:hAnsi="Arial"/>
          <w:sz w:val="19"/>
          <w:szCs w:val="19"/>
          <w:color w:val="auto"/>
        </w:rPr>
        <w:t>”) on the first (1</w:t>
      </w:r>
      <w:r>
        <w:rPr>
          <w:rFonts w:ascii="Arial" w:cs="Arial" w:eastAsia="Arial" w:hAnsi="Arial"/>
          <w:sz w:val="25"/>
          <w:szCs w:val="25"/>
          <w:color w:val="auto"/>
          <w:vertAlign w:val="superscript"/>
        </w:rPr>
        <w:t>st</w:t>
      </w:r>
      <w:r>
        <w:rPr>
          <w:rFonts w:ascii="Arial" w:cs="Arial" w:eastAsia="Arial" w:hAnsi="Arial"/>
          <w:sz w:val="19"/>
          <w:szCs w:val="19"/>
          <w:color w:val="auto"/>
        </w:rPr>
        <w:t>) floor of the Building.</w:t>
      </w:r>
    </w:p>
    <w:p>
      <w:pPr>
        <w:spacing w:after="0" w:line="114" w:lineRule="exact"/>
        <w:rPr>
          <w:rFonts w:ascii="Arial" w:cs="Arial" w:eastAsia="Arial" w:hAnsi="Arial"/>
          <w:sz w:val="19"/>
          <w:szCs w:val="19"/>
          <w:color w:val="auto"/>
        </w:rPr>
      </w:pPr>
    </w:p>
    <w:p>
      <w:pPr>
        <w:ind w:left="1160" w:hanging="403"/>
        <w:spacing w:after="0"/>
        <w:tabs>
          <w:tab w:leader="none" w:pos="11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Landlord and Tenant desire to amend the Lease as hereinafter provided.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 G R E E M E N T</w:t>
      </w:r>
      <w:r>
        <w:rPr>
          <w:rFonts w:ascii="Arial" w:cs="Arial" w:eastAsia="Arial" w:hAnsi="Arial"/>
          <w:sz w:val="20"/>
          <w:szCs w:val="20"/>
          <w:color w:val="auto"/>
        </w:rPr>
        <w:t xml:space="preserve"> :</w:t>
      </w:r>
    </w:p>
    <w:p>
      <w:pPr>
        <w:spacing w:after="0" w:line="202" w:lineRule="exact"/>
        <w:rPr>
          <w:sz w:val="20"/>
          <w:szCs w:val="20"/>
          <w:color w:val="auto"/>
        </w:rPr>
      </w:pPr>
    </w:p>
    <w:p>
      <w:pPr>
        <w:ind w:firstLine="749"/>
        <w:spacing w:after="0" w:line="316" w:lineRule="auto"/>
        <w:rPr>
          <w:sz w:val="20"/>
          <w:szCs w:val="20"/>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37" w:lineRule="exact"/>
        <w:rPr>
          <w:sz w:val="20"/>
          <w:szCs w:val="20"/>
          <w:color w:val="auto"/>
        </w:rPr>
      </w:pPr>
    </w:p>
    <w:p>
      <w:pPr>
        <w:ind w:firstLine="757"/>
        <w:spacing w:after="0" w:line="257"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0"/>
          <w:szCs w:val="20"/>
          <w:b w:val="1"/>
          <w:bCs w:val="1"/>
          <w:u w:val="single" w:color="auto"/>
          <w:color w:val="auto"/>
        </w:rPr>
        <w:t>Capitalized Terms</w:t>
      </w:r>
      <w:r>
        <w:rPr>
          <w:rFonts w:ascii="Arial" w:cs="Arial" w:eastAsia="Arial" w:hAnsi="Arial"/>
          <w:sz w:val="20"/>
          <w:szCs w:val="20"/>
          <w:color w:val="auto"/>
        </w:rPr>
        <w:t>. All capitalized terms when used herein shall have the same meaning as is given such terms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unless expressly superseded by the terms of this Fifth Amendment.</w:t>
      </w:r>
    </w:p>
    <w:p>
      <w:pPr>
        <w:spacing w:after="0" w:line="171" w:lineRule="exact"/>
        <w:rPr>
          <w:rFonts w:ascii="Arial" w:cs="Arial" w:eastAsia="Arial" w:hAnsi="Arial"/>
          <w:sz w:val="22"/>
          <w:szCs w:val="22"/>
          <w:color w:val="auto"/>
        </w:rPr>
      </w:pPr>
    </w:p>
    <w:p>
      <w:pPr>
        <w:jc w:val="both"/>
        <w:ind w:firstLine="757"/>
        <w:spacing w:after="0" w:line="251" w:lineRule="auto"/>
        <w:tabs>
          <w:tab w:leader="none" w:pos="1498" w:val="left"/>
        </w:tabs>
        <w:numPr>
          <w:ilvl w:val="0"/>
          <w:numId w:val="47"/>
        </w:numPr>
        <w:rPr>
          <w:rFonts w:ascii="Arial" w:cs="Arial" w:eastAsia="Arial" w:hAnsi="Arial"/>
          <w:sz w:val="21"/>
          <w:szCs w:val="21"/>
          <w:color w:val="auto"/>
        </w:rPr>
      </w:pPr>
      <w:r>
        <w:rPr>
          <w:rFonts w:ascii="Arial" w:cs="Arial" w:eastAsia="Arial" w:hAnsi="Arial"/>
          <w:sz w:val="19"/>
          <w:szCs w:val="19"/>
          <w:b w:val="1"/>
          <w:bCs w:val="1"/>
          <w:u w:val="single" w:color="auto"/>
          <w:color w:val="auto"/>
        </w:rPr>
        <w:t>Lease Term</w:t>
      </w:r>
      <w:r>
        <w:rPr>
          <w:rFonts w:ascii="Arial" w:cs="Arial" w:eastAsia="Arial" w:hAnsi="Arial"/>
          <w:sz w:val="19"/>
          <w:szCs w:val="19"/>
          <w:color w:val="auto"/>
        </w:rPr>
        <w:t>. Notwithstanding any provision to the contrary contained in the Lease, the term of Tenant's lease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Suite 102, Suite 204, Suite 325 and Suite 104 (i.e., the entire Premises (excluding the Third Expansion Premises (as that term is defined in the Third Amendment) which shall terminate pursuant to the terms of the Third Amendment)) shall be extended for a period of eighteen (18) months, expiring on July 31, 2030 (the "</w:t>
      </w:r>
      <w:r>
        <w:rPr>
          <w:rFonts w:ascii="Arial" w:cs="Arial" w:eastAsia="Arial" w:hAnsi="Arial"/>
          <w:sz w:val="19"/>
          <w:szCs w:val="19"/>
          <w:b w:val="1"/>
          <w:bCs w:val="1"/>
          <w:color w:val="auto"/>
        </w:rPr>
        <w:t>New Expiration Date</w:t>
      </w:r>
      <w:r>
        <w:rPr>
          <w:rFonts w:ascii="Arial" w:cs="Arial" w:eastAsia="Arial" w:hAnsi="Arial"/>
          <w:sz w:val="19"/>
          <w:szCs w:val="19"/>
          <w:color w:val="auto"/>
        </w:rPr>
        <w:t>"), unless sooner terminated as provided in the Lease, as hereby amended. Landlord and Tenant acknowledge that Tenant has been occupying the Premises pursuant to the Lease, and therefore Tenant continues to accept the Premises in its presently existing, "as is" condition, provided that, the foregoing shall not relieve Landlord of any of its maintenance, repair or replacement obligations under the Lease, if any. Landlord shall not be obligated to provide or pay for any improvement work or services related to the improvement of the Premises. Tenant also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acknowledges that neither Landlord nor any agent of Landlord has made any representation or warranty regarding the condition of the Premises, the Building, or the Project or with respect to the suitability of the same for the conduct of Tenant's business</w:t>
      </w:r>
    </w:p>
    <w:p>
      <w:pPr>
        <w:spacing w:after="0" w:line="146" w:lineRule="exact"/>
        <w:rPr>
          <w:sz w:val="20"/>
          <w:szCs w:val="20"/>
          <w:color w:val="auto"/>
        </w:rPr>
      </w:pPr>
    </w:p>
    <w:p>
      <w:pPr>
        <w:ind w:left="1500" w:hanging="743"/>
        <w:spacing w:after="0"/>
        <w:tabs>
          <w:tab w:leader="none" w:pos="1500" w:val="left"/>
        </w:tabs>
        <w:numPr>
          <w:ilvl w:val="0"/>
          <w:numId w:val="48"/>
        </w:numPr>
        <w:rPr>
          <w:rFonts w:ascii="Arial" w:cs="Arial" w:eastAsia="Arial" w:hAnsi="Arial"/>
          <w:sz w:val="22"/>
          <w:szCs w:val="22"/>
          <w:color w:val="auto"/>
        </w:rPr>
      </w:pPr>
      <w:r>
        <w:rPr>
          <w:rFonts w:ascii="Arial" w:cs="Arial" w:eastAsia="Arial" w:hAnsi="Arial"/>
          <w:sz w:val="20"/>
          <w:szCs w:val="20"/>
          <w:b w:val="1"/>
          <w:bCs w:val="1"/>
          <w:u w:val="single" w:color="auto"/>
          <w:color w:val="auto"/>
        </w:rPr>
        <w:t>Base Rent</w:t>
      </w:r>
      <w:r>
        <w:rPr>
          <w:rFonts w:ascii="Arial" w:cs="Arial" w:eastAsia="Arial" w:hAnsi="Arial"/>
          <w:sz w:val="20"/>
          <w:szCs w:val="20"/>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u w:val="single" w:color="auto"/>
          <w:color w:val="auto"/>
        </w:rPr>
        <w:t>Third Expansion Premises</w:t>
      </w:r>
      <w:r>
        <w:rPr>
          <w:rFonts w:ascii="Arial" w:cs="Arial" w:eastAsia="Arial" w:hAnsi="Arial"/>
          <w:sz w:val="20"/>
          <w:szCs w:val="20"/>
          <w:color w:val="auto"/>
        </w:rPr>
        <w:t>. Notwithstanding anything to the contrary in the Lease Tenant shall continue to pay to Landlord monthly installments of Base Rent for the Third Expansion Premises in accordance with the terms of the Third Amendment.</w:t>
      </w:r>
    </w:p>
    <w:p>
      <w:pPr>
        <w:spacing w:after="0" w:line="184" w:lineRule="exact"/>
        <w:rPr>
          <w:sz w:val="20"/>
          <w:szCs w:val="20"/>
          <w:color w:val="auto"/>
        </w:rPr>
      </w:pPr>
    </w:p>
    <w:p>
      <w:pPr>
        <w:jc w:val="both"/>
        <w:ind w:firstLine="1497"/>
        <w:spacing w:after="0" w:line="280"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Suite 102</w:t>
      </w:r>
      <w:r>
        <w:rPr>
          <w:rFonts w:ascii="Arial" w:cs="Arial" w:eastAsia="Arial" w:hAnsi="Arial"/>
          <w:sz w:val="18"/>
          <w:szCs w:val="18"/>
          <w:color w:val="auto"/>
        </w:rPr>
        <w:t>. Commencing retroactively as of July 1, 2022, the Base Rent schedule applicable to Suite 102 shall be replaced with the Base Rent schedule set forth below, and Tenant shall otherwise pay Base Rent in accordance with the terms of the Lease. In connection with the foregoing, as Tenant has paid Base Rent for the months of July 2022 and August 2022, concurrently with Tenant’s execution of this Fifth Amendment Tenant shall pay to Landlord an amount equal to the difference between the original Base Rent amount due for Suite 102 for such months and the Base Rent due and owing pursuant to the replacement Base Rent schedule below.</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40"/>
        <w:spacing w:after="0"/>
        <w:rPr>
          <w:sz w:val="20"/>
          <w:szCs w:val="20"/>
          <w:color w:val="auto"/>
        </w:rPr>
      </w:pPr>
      <w:r>
        <w:rPr>
          <w:rFonts w:ascii="Arial" w:cs="Arial" w:eastAsia="Arial" w:hAnsi="Arial"/>
          <w:sz w:val="18"/>
          <w:szCs w:val="18"/>
          <w:u w:val="single" w:color="auto"/>
          <w:color w:val="auto"/>
        </w:rPr>
        <w:t>Period During Lease Term</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July 1, 2022 –</w:t>
      </w:r>
    </w:p>
    <w:p>
      <w:pPr>
        <w:ind w:left="1340"/>
        <w:spacing w:after="0"/>
        <w:rPr>
          <w:sz w:val="20"/>
          <w:szCs w:val="20"/>
          <w:color w:val="auto"/>
        </w:rPr>
      </w:pPr>
      <w:r>
        <w:rPr>
          <w:rFonts w:ascii="Arial" w:cs="Arial" w:eastAsia="Arial" w:hAnsi="Arial"/>
          <w:sz w:val="20"/>
          <w:szCs w:val="20"/>
          <w:color w:val="auto"/>
        </w:rPr>
        <w:t>May 31, 2023</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June 1, 2023 –</w:t>
      </w:r>
    </w:p>
    <w:p>
      <w:pPr>
        <w:ind w:left="1340"/>
        <w:spacing w:after="0"/>
        <w:rPr>
          <w:sz w:val="20"/>
          <w:szCs w:val="20"/>
          <w:color w:val="auto"/>
        </w:rPr>
      </w:pPr>
      <w:r>
        <w:rPr>
          <w:rFonts w:ascii="Arial" w:cs="Arial" w:eastAsia="Arial" w:hAnsi="Arial"/>
          <w:sz w:val="20"/>
          <w:szCs w:val="20"/>
          <w:color w:val="auto"/>
        </w:rPr>
        <w:t>May 31, 2024</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June 1, 2024 –</w:t>
      </w:r>
    </w:p>
    <w:p>
      <w:pPr>
        <w:ind w:left="1340"/>
        <w:spacing w:after="0"/>
        <w:rPr>
          <w:sz w:val="20"/>
          <w:szCs w:val="20"/>
          <w:color w:val="auto"/>
        </w:rPr>
      </w:pPr>
      <w:r>
        <w:rPr>
          <w:rFonts w:ascii="Arial" w:cs="Arial" w:eastAsia="Arial" w:hAnsi="Arial"/>
          <w:sz w:val="20"/>
          <w:szCs w:val="20"/>
          <w:color w:val="auto"/>
        </w:rPr>
        <w:t>May 31, 2025</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June 1, 2025 –</w:t>
      </w:r>
    </w:p>
    <w:p>
      <w:pPr>
        <w:ind w:left="1340"/>
        <w:spacing w:after="0"/>
        <w:rPr>
          <w:sz w:val="20"/>
          <w:szCs w:val="20"/>
          <w:color w:val="auto"/>
        </w:rPr>
      </w:pPr>
      <w:r>
        <w:rPr>
          <w:rFonts w:ascii="Arial" w:cs="Arial" w:eastAsia="Arial" w:hAnsi="Arial"/>
          <w:sz w:val="20"/>
          <w:szCs w:val="20"/>
          <w:color w:val="auto"/>
        </w:rPr>
        <w:t>May 31, 2026</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June 1, 2026 –</w:t>
      </w:r>
    </w:p>
    <w:p>
      <w:pPr>
        <w:ind w:left="1340"/>
        <w:spacing w:after="0"/>
        <w:rPr>
          <w:sz w:val="20"/>
          <w:szCs w:val="20"/>
          <w:color w:val="auto"/>
        </w:rPr>
      </w:pPr>
      <w:r>
        <w:rPr>
          <w:rFonts w:ascii="Arial" w:cs="Arial" w:eastAsia="Arial" w:hAnsi="Arial"/>
          <w:sz w:val="20"/>
          <w:szCs w:val="20"/>
          <w:color w:val="auto"/>
        </w:rPr>
        <w:t>May 31, 2027</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June 1, 2027 –</w:t>
      </w:r>
    </w:p>
    <w:p>
      <w:pPr>
        <w:ind w:left="1340"/>
        <w:spacing w:after="0"/>
        <w:rPr>
          <w:sz w:val="20"/>
          <w:szCs w:val="20"/>
          <w:color w:val="auto"/>
        </w:rPr>
      </w:pPr>
      <w:r>
        <w:rPr>
          <w:rFonts w:ascii="Arial" w:cs="Arial" w:eastAsia="Arial" w:hAnsi="Arial"/>
          <w:sz w:val="20"/>
          <w:szCs w:val="20"/>
          <w:color w:val="auto"/>
        </w:rPr>
        <w:t>May 31, 2028</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June 1, 2028 –</w:t>
      </w:r>
    </w:p>
    <w:p>
      <w:pPr>
        <w:ind w:left="1340"/>
        <w:spacing w:after="0"/>
        <w:rPr>
          <w:sz w:val="20"/>
          <w:szCs w:val="20"/>
          <w:color w:val="auto"/>
        </w:rPr>
      </w:pPr>
      <w:r>
        <w:rPr>
          <w:rFonts w:ascii="Arial" w:cs="Arial" w:eastAsia="Arial" w:hAnsi="Arial"/>
          <w:sz w:val="20"/>
          <w:szCs w:val="20"/>
          <w:color w:val="auto"/>
        </w:rPr>
        <w:t>May 31, 2029</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June 1, 2029 –</w:t>
      </w:r>
    </w:p>
    <w:p>
      <w:pPr>
        <w:ind w:left="1340"/>
        <w:spacing w:after="0"/>
        <w:rPr>
          <w:sz w:val="20"/>
          <w:szCs w:val="20"/>
          <w:color w:val="auto"/>
        </w:rPr>
      </w:pPr>
      <w:r>
        <w:rPr>
          <w:rFonts w:ascii="Arial" w:cs="Arial" w:eastAsia="Arial" w:hAnsi="Arial"/>
          <w:sz w:val="20"/>
          <w:szCs w:val="20"/>
          <w:color w:val="auto"/>
        </w:rPr>
        <w:t>May 31, 2030</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June 1, 2030 –</w:t>
      </w:r>
    </w:p>
    <w:p>
      <w:pPr>
        <w:ind w:left="1360"/>
        <w:spacing w:after="0"/>
        <w:rPr>
          <w:sz w:val="20"/>
          <w:szCs w:val="20"/>
          <w:color w:val="auto"/>
        </w:rPr>
      </w:pPr>
      <w:r>
        <w:rPr>
          <w:rFonts w:ascii="Arial" w:cs="Arial" w:eastAsia="Arial" w:hAnsi="Arial"/>
          <w:sz w:val="20"/>
          <w:szCs w:val="20"/>
          <w:color w:val="auto"/>
        </w:rPr>
        <w:t>July 31, 2030</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80" w:type="dxa"/>
            <w:vAlign w:val="bottom"/>
            <w:gridSpan w:val="3"/>
          </w:tcPr>
          <w:p>
            <w:pPr>
              <w:jc w:val="center"/>
              <w:ind w:left="641"/>
              <w:spacing w:after="0"/>
              <w:rPr>
                <w:sz w:val="20"/>
                <w:szCs w:val="20"/>
                <w:color w:val="auto"/>
              </w:rPr>
            </w:pPr>
            <w:r>
              <w:rPr>
                <w:rFonts w:ascii="Arial" w:cs="Arial" w:eastAsia="Arial" w:hAnsi="Arial"/>
                <w:sz w:val="20"/>
                <w:szCs w:val="20"/>
                <w:color w:val="auto"/>
                <w:w w:val="92"/>
              </w:rPr>
              <w:t>Approximate</w:t>
            </w: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gridSpan w:val="2"/>
          </w:tcPr>
          <w:p>
            <w:pPr>
              <w:jc w:val="center"/>
              <w:ind w:right="40"/>
              <w:spacing w:after="0" w:line="203" w:lineRule="exact"/>
              <w:rPr>
                <w:sz w:val="20"/>
                <w:szCs w:val="20"/>
                <w:color w:val="auto"/>
              </w:rPr>
            </w:pPr>
            <w:r>
              <w:rPr>
                <w:rFonts w:ascii="Arial" w:cs="Arial" w:eastAsia="Arial" w:hAnsi="Arial"/>
                <w:sz w:val="20"/>
                <w:szCs w:val="20"/>
                <w:color w:val="auto"/>
                <w:w w:val="97"/>
              </w:rPr>
              <w:t>Monthly</w:t>
            </w: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gridSpan w:val="2"/>
          </w:tcPr>
          <w:p>
            <w:pPr>
              <w:jc w:val="center"/>
              <w:ind w:right="740"/>
              <w:spacing w:after="0" w:line="216" w:lineRule="exact"/>
              <w:rPr>
                <w:sz w:val="20"/>
                <w:szCs w:val="20"/>
                <w:color w:val="auto"/>
              </w:rPr>
            </w:pPr>
            <w:r>
              <w:rPr>
                <w:rFonts w:ascii="Arial" w:cs="Arial" w:eastAsia="Arial" w:hAnsi="Arial"/>
                <w:sz w:val="20"/>
                <w:szCs w:val="20"/>
                <w:color w:val="auto"/>
                <w:w w:val="97"/>
              </w:rPr>
              <w:t>Monthly</w:t>
            </w:r>
          </w:p>
        </w:tc>
        <w:tc>
          <w:tcPr>
            <w:tcW w:w="780" w:type="dxa"/>
            <w:vAlign w:val="bottom"/>
          </w:tcPr>
          <w:p>
            <w:pPr>
              <w:spacing w:after="0"/>
              <w:rPr>
                <w:sz w:val="18"/>
                <w:szCs w:val="18"/>
                <w:color w:val="auto"/>
              </w:rPr>
            </w:pPr>
          </w:p>
        </w:tc>
        <w:tc>
          <w:tcPr>
            <w:tcW w:w="1000" w:type="dxa"/>
            <w:vAlign w:val="bottom"/>
            <w:gridSpan w:val="2"/>
          </w:tcPr>
          <w:p>
            <w:pPr>
              <w:jc w:val="center"/>
              <w:ind w:right="60"/>
              <w:spacing w:after="0" w:line="216" w:lineRule="exact"/>
              <w:rPr>
                <w:sz w:val="20"/>
                <w:szCs w:val="20"/>
                <w:color w:val="auto"/>
              </w:rPr>
            </w:pPr>
            <w:r>
              <w:rPr>
                <w:rFonts w:ascii="Arial" w:cs="Arial" w:eastAsia="Arial" w:hAnsi="Arial"/>
                <w:sz w:val="20"/>
                <w:szCs w:val="20"/>
                <w:color w:val="auto"/>
                <w:w w:val="88"/>
              </w:rPr>
              <w:t>Rental Rate</w:t>
            </w:r>
          </w:p>
        </w:tc>
      </w:tr>
      <w:tr>
        <w:trPr>
          <w:trHeight w:val="203"/>
        </w:trPr>
        <w:tc>
          <w:tcPr>
            <w:tcW w:w="80" w:type="dxa"/>
            <w:vAlign w:val="bottom"/>
          </w:tcPr>
          <w:p>
            <w:pPr>
              <w:spacing w:after="0"/>
              <w:rPr>
                <w:sz w:val="17"/>
                <w:szCs w:val="17"/>
                <w:color w:val="auto"/>
              </w:rPr>
            </w:pPr>
          </w:p>
        </w:tc>
        <w:tc>
          <w:tcPr>
            <w:tcW w:w="2380" w:type="dxa"/>
            <w:vAlign w:val="bottom"/>
            <w:gridSpan w:val="2"/>
          </w:tcPr>
          <w:p>
            <w:pPr>
              <w:jc w:val="center"/>
              <w:ind w:right="1560"/>
              <w:spacing w:after="0" w:line="203" w:lineRule="exact"/>
              <w:rPr>
                <w:sz w:val="20"/>
                <w:szCs w:val="20"/>
                <w:color w:val="auto"/>
              </w:rPr>
            </w:pPr>
            <w:r>
              <w:rPr>
                <w:rFonts w:ascii="Arial" w:cs="Arial" w:eastAsia="Arial" w:hAnsi="Arial"/>
                <w:sz w:val="20"/>
                <w:szCs w:val="20"/>
                <w:color w:val="auto"/>
                <w:w w:val="93"/>
              </w:rPr>
              <w:t>Annual</w:t>
            </w:r>
          </w:p>
        </w:tc>
        <w:tc>
          <w:tcPr>
            <w:tcW w:w="1740" w:type="dxa"/>
            <w:vAlign w:val="bottom"/>
            <w:gridSpan w:val="2"/>
          </w:tcPr>
          <w:p>
            <w:pPr>
              <w:jc w:val="center"/>
              <w:ind w:right="740"/>
              <w:spacing w:after="0" w:line="203" w:lineRule="exact"/>
              <w:rPr>
                <w:sz w:val="20"/>
                <w:szCs w:val="20"/>
                <w:color w:val="auto"/>
              </w:rPr>
            </w:pPr>
            <w:r>
              <w:rPr>
                <w:rFonts w:ascii="Arial" w:cs="Arial" w:eastAsia="Arial" w:hAnsi="Arial"/>
                <w:sz w:val="20"/>
                <w:szCs w:val="20"/>
                <w:color w:val="auto"/>
                <w:w w:val="90"/>
              </w:rPr>
              <w:t>Installment</w:t>
            </w:r>
          </w:p>
        </w:tc>
        <w:tc>
          <w:tcPr>
            <w:tcW w:w="1780" w:type="dxa"/>
            <w:vAlign w:val="bottom"/>
            <w:gridSpan w:val="3"/>
          </w:tcPr>
          <w:p>
            <w:pPr>
              <w:jc w:val="center"/>
              <w:ind w:left="641"/>
              <w:spacing w:after="0" w:line="203" w:lineRule="exact"/>
              <w:rPr>
                <w:sz w:val="20"/>
                <w:szCs w:val="20"/>
                <w:color w:val="auto"/>
              </w:rPr>
            </w:pPr>
            <w:r>
              <w:rPr>
                <w:rFonts w:ascii="Arial" w:cs="Arial" w:eastAsia="Arial" w:hAnsi="Arial"/>
                <w:sz w:val="20"/>
                <w:szCs w:val="20"/>
                <w:color w:val="auto"/>
                <w:w w:val="87"/>
              </w:rPr>
              <w:t>per Rentable</w:t>
            </w:r>
          </w:p>
        </w:tc>
      </w:tr>
      <w:tr>
        <w:trPr>
          <w:trHeight w:val="206"/>
        </w:trPr>
        <w:tc>
          <w:tcPr>
            <w:tcW w:w="80" w:type="dxa"/>
            <w:vAlign w:val="bottom"/>
          </w:tcPr>
          <w:p>
            <w:pPr>
              <w:spacing w:after="0"/>
              <w:rPr>
                <w:sz w:val="17"/>
                <w:szCs w:val="17"/>
                <w:color w:val="auto"/>
              </w:rPr>
            </w:pPr>
          </w:p>
        </w:tc>
        <w:tc>
          <w:tcPr>
            <w:tcW w:w="2380" w:type="dxa"/>
            <w:vAlign w:val="bottom"/>
            <w:gridSpan w:val="2"/>
          </w:tcPr>
          <w:p>
            <w:pPr>
              <w:jc w:val="center"/>
              <w:ind w:right="1580"/>
              <w:spacing w:after="0" w:line="206" w:lineRule="exact"/>
              <w:rPr>
                <w:sz w:val="20"/>
                <w:szCs w:val="20"/>
                <w:color w:val="auto"/>
              </w:rPr>
            </w:pPr>
            <w:r>
              <w:rPr>
                <w:rFonts w:ascii="Arial" w:cs="Arial" w:eastAsia="Arial" w:hAnsi="Arial"/>
                <w:sz w:val="20"/>
                <w:szCs w:val="20"/>
                <w:color w:val="auto"/>
                <w:w w:val="85"/>
              </w:rPr>
              <w:t>Base Rent</w:t>
            </w:r>
          </w:p>
        </w:tc>
        <w:tc>
          <w:tcPr>
            <w:tcW w:w="1740" w:type="dxa"/>
            <w:vAlign w:val="bottom"/>
            <w:gridSpan w:val="2"/>
          </w:tcPr>
          <w:p>
            <w:pPr>
              <w:jc w:val="center"/>
              <w:ind w:right="720"/>
              <w:spacing w:after="0" w:line="206" w:lineRule="exact"/>
              <w:rPr>
                <w:sz w:val="20"/>
                <w:szCs w:val="20"/>
                <w:color w:val="auto"/>
              </w:rPr>
            </w:pPr>
            <w:r>
              <w:rPr>
                <w:rFonts w:ascii="Arial" w:cs="Arial" w:eastAsia="Arial" w:hAnsi="Arial"/>
                <w:sz w:val="20"/>
                <w:szCs w:val="20"/>
                <w:color w:val="auto"/>
                <w:w w:val="88"/>
              </w:rPr>
              <w:t>of Base Rent</w:t>
            </w:r>
          </w:p>
        </w:tc>
        <w:tc>
          <w:tcPr>
            <w:tcW w:w="1780" w:type="dxa"/>
            <w:vAlign w:val="bottom"/>
            <w:gridSpan w:val="3"/>
          </w:tcPr>
          <w:p>
            <w:pPr>
              <w:jc w:val="center"/>
              <w:ind w:left="641"/>
              <w:spacing w:after="0" w:line="206" w:lineRule="exact"/>
              <w:rPr>
                <w:sz w:val="20"/>
                <w:szCs w:val="20"/>
                <w:color w:val="auto"/>
              </w:rPr>
            </w:pPr>
            <w:r>
              <w:rPr>
                <w:rFonts w:ascii="Arial" w:cs="Arial" w:eastAsia="Arial" w:hAnsi="Arial"/>
                <w:sz w:val="20"/>
                <w:szCs w:val="20"/>
                <w:color w:val="auto"/>
                <w:w w:val="87"/>
              </w:rPr>
              <w:t>Square Foot</w:t>
            </w:r>
          </w:p>
        </w:tc>
      </w:tr>
      <w:tr>
        <w:trPr>
          <w:trHeight w:val="592"/>
        </w:trPr>
        <w:tc>
          <w:tcPr>
            <w:tcW w:w="8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N/A</w:t>
            </w:r>
          </w:p>
        </w:tc>
        <w:tc>
          <w:tcPr>
            <w:tcW w:w="158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$54,796.95</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$7.65</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$680,578.12</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$56,714.84</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$7.92</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$704,398.35</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$58,699.86</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$8.19</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$729,052.30</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$60,754.36</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$8.48</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$754,569.13</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$62,880.76</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$8.78</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$780,979.05</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$65,081.59</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$9.09</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$808,313.31</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$67,359.44</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$9.40</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$836,604.28</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$69,717.02</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$9.73</w:t>
            </w:r>
          </w:p>
        </w:tc>
        <w:tc>
          <w:tcPr>
            <w:tcW w:w="40" w:type="dxa"/>
            <w:vAlign w:val="bottom"/>
          </w:tcPr>
          <w:p>
            <w:pPr>
              <w:spacing w:after="0"/>
              <w:rPr>
                <w:sz w:val="24"/>
                <w:szCs w:val="24"/>
                <w:color w:val="auto"/>
              </w:rPr>
            </w:pPr>
          </w:p>
        </w:tc>
      </w:tr>
      <w:tr>
        <w:trPr>
          <w:trHeight w:val="662"/>
        </w:trPr>
        <w:tc>
          <w:tcPr>
            <w:tcW w:w="80" w:type="dxa"/>
            <w:vAlign w:val="bottom"/>
          </w:tcPr>
          <w:p>
            <w:pPr>
              <w:spacing w:after="0"/>
              <w:rPr>
                <w:sz w:val="24"/>
                <w:szCs w:val="24"/>
                <w:color w:val="auto"/>
              </w:rPr>
            </w:pPr>
          </w:p>
        </w:tc>
        <w:tc>
          <w:tcPr>
            <w:tcW w:w="2380" w:type="dxa"/>
            <w:vAlign w:val="bottom"/>
            <w:gridSpan w:val="2"/>
          </w:tcPr>
          <w:p>
            <w:pPr>
              <w:jc w:val="center"/>
              <w:ind w:right="1560"/>
              <w:spacing w:after="0"/>
              <w:rPr>
                <w:sz w:val="20"/>
                <w:szCs w:val="20"/>
                <w:color w:val="auto"/>
              </w:rPr>
            </w:pPr>
            <w:r>
              <w:rPr>
                <w:rFonts w:ascii="Arial" w:cs="Arial" w:eastAsia="Arial" w:hAnsi="Arial"/>
                <w:sz w:val="20"/>
                <w:szCs w:val="20"/>
                <w:color w:val="auto"/>
              </w:rPr>
              <w:t>N/A</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$72,157.12</w:t>
            </w:r>
          </w:p>
        </w:tc>
        <w:tc>
          <w:tcPr>
            <w:tcW w:w="720" w:type="dxa"/>
            <w:vAlign w:val="bottom"/>
          </w:tcPr>
          <w:p>
            <w:pPr>
              <w:spacing w:after="0"/>
              <w:rPr>
                <w:sz w:val="24"/>
                <w:szCs w:val="24"/>
                <w:color w:val="auto"/>
              </w:rPr>
            </w:pPr>
          </w:p>
        </w:tc>
        <w:tc>
          <w:tcPr>
            <w:tcW w:w="1740" w:type="dxa"/>
            <w:vAlign w:val="bottom"/>
            <w:gridSpan w:val="2"/>
          </w:tcPr>
          <w:p>
            <w:pPr>
              <w:jc w:val="center"/>
              <w:ind w:left="661"/>
              <w:spacing w:after="0"/>
              <w:rPr>
                <w:sz w:val="20"/>
                <w:szCs w:val="20"/>
                <w:color w:val="auto"/>
              </w:rPr>
            </w:pPr>
            <w:r>
              <w:rPr>
                <w:rFonts w:ascii="Arial" w:cs="Arial" w:eastAsia="Arial" w:hAnsi="Arial"/>
                <w:sz w:val="20"/>
                <w:szCs w:val="20"/>
                <w:color w:val="auto"/>
                <w:w w:val="88"/>
              </w:rPr>
              <w:t>$10.07</w:t>
            </w:r>
          </w:p>
        </w:tc>
        <w:tc>
          <w:tcPr>
            <w:tcW w:w="40" w:type="dxa"/>
            <w:vAlign w:val="bottom"/>
          </w:tcPr>
          <w:p>
            <w:pPr>
              <w:spacing w:after="0"/>
              <w:rPr>
                <w:sz w:val="24"/>
                <w:szCs w:val="24"/>
                <w:color w:val="auto"/>
              </w:rPr>
            </w:pPr>
          </w:p>
        </w:tc>
      </w:tr>
    </w:tbl>
    <w:p>
      <w:pPr>
        <w:spacing w:after="0" w:line="28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200025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760" w:space="720"/>
            <w:col w:w="6760"/>
          </w:cols>
          <w:pgMar w:left="320" w:top="118" w:right="33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21"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Suite 204</w:t>
      </w:r>
      <w:r>
        <w:rPr>
          <w:rFonts w:ascii="Arial" w:cs="Arial" w:eastAsia="Arial" w:hAnsi="Arial"/>
          <w:sz w:val="18"/>
          <w:szCs w:val="18"/>
          <w:color w:val="auto"/>
        </w:rPr>
        <w:t>. Commencing retroactively as of July 1, 2022, the Base Rent schedule applicable to Suite 204 shall be replaced with the Base Rent schedule set forth below, and Tenant shall otherwise pay Base Rent in accordance with the terms of the Lease. In connection with the foregoing, as Tenant has paid Base Rent for the months of July 2022 and August 2022, concurrently with Tenant’s execution of this Fifth Amendment Tenant shall pay to Landlord an amount equal to the difference between the original Base Rent amount due for Suite 204 for such months and the Base Rent due and owing pursuant to the replacement Base Rent schedule below.</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60" w:type="dxa"/>
            <w:vAlign w:val="bottom"/>
            <w:gridSpan w:val="3"/>
          </w:tcPr>
          <w:p>
            <w:pPr>
              <w:jc w:val="center"/>
              <w:ind w:right="40"/>
              <w:spacing w:after="0"/>
              <w:rPr>
                <w:sz w:val="20"/>
                <w:szCs w:val="20"/>
                <w:color w:val="auto"/>
              </w:rPr>
            </w:pPr>
            <w:r>
              <w:rPr>
                <w:rFonts w:ascii="Arial" w:cs="Arial" w:eastAsia="Arial" w:hAnsi="Arial"/>
                <w:sz w:val="20"/>
                <w:szCs w:val="20"/>
                <w:color w:val="auto"/>
                <w:w w:val="92"/>
              </w:rPr>
              <w:t>Approximate</w:t>
            </w:r>
          </w:p>
        </w:tc>
      </w:tr>
      <w:tr>
        <w:trPr>
          <w:trHeight w:val="216"/>
        </w:trPr>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80" w:type="dxa"/>
            <w:vAlign w:val="bottom"/>
            <w:gridSpan w:val="2"/>
          </w:tcPr>
          <w:p>
            <w:pPr>
              <w:jc w:val="center"/>
              <w:ind w:right="820"/>
              <w:spacing w:after="0" w:line="216" w:lineRule="exact"/>
              <w:rPr>
                <w:sz w:val="20"/>
                <w:szCs w:val="20"/>
                <w:color w:val="auto"/>
              </w:rPr>
            </w:pPr>
            <w:r>
              <w:rPr>
                <w:rFonts w:ascii="Arial" w:cs="Arial" w:eastAsia="Arial" w:hAnsi="Arial"/>
                <w:sz w:val="20"/>
                <w:szCs w:val="20"/>
                <w:color w:val="auto"/>
                <w:w w:val="97"/>
              </w:rPr>
              <w:t>Monthly</w:t>
            </w:r>
          </w:p>
        </w:tc>
      </w:tr>
      <w:tr>
        <w:trPr>
          <w:trHeight w:val="203"/>
        </w:trPr>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gridSpan w:val="2"/>
          </w:tcPr>
          <w:p>
            <w:pPr>
              <w:jc w:val="center"/>
              <w:ind w:right="740"/>
              <w:spacing w:after="0" w:line="203" w:lineRule="exact"/>
              <w:rPr>
                <w:sz w:val="20"/>
                <w:szCs w:val="20"/>
                <w:color w:val="auto"/>
              </w:rPr>
            </w:pPr>
            <w:r>
              <w:rPr>
                <w:rFonts w:ascii="Arial" w:cs="Arial" w:eastAsia="Arial" w:hAnsi="Arial"/>
                <w:sz w:val="20"/>
                <w:szCs w:val="20"/>
                <w:color w:val="auto"/>
                <w:w w:val="97"/>
              </w:rPr>
              <w:t>Monthly</w:t>
            </w:r>
          </w:p>
        </w:tc>
        <w:tc>
          <w:tcPr>
            <w:tcW w:w="780" w:type="dxa"/>
            <w:vAlign w:val="bottom"/>
          </w:tcPr>
          <w:p>
            <w:pPr>
              <w:spacing w:after="0"/>
              <w:rPr>
                <w:sz w:val="17"/>
                <w:szCs w:val="17"/>
                <w:color w:val="auto"/>
              </w:rPr>
            </w:pPr>
          </w:p>
        </w:tc>
        <w:tc>
          <w:tcPr>
            <w:tcW w:w="1780" w:type="dxa"/>
            <w:vAlign w:val="bottom"/>
            <w:gridSpan w:val="2"/>
          </w:tcPr>
          <w:p>
            <w:pPr>
              <w:jc w:val="center"/>
              <w:ind w:right="840"/>
              <w:spacing w:after="0" w:line="203" w:lineRule="exact"/>
              <w:rPr>
                <w:sz w:val="20"/>
                <w:szCs w:val="20"/>
                <w:color w:val="auto"/>
              </w:rPr>
            </w:pPr>
            <w:r>
              <w:rPr>
                <w:rFonts w:ascii="Arial" w:cs="Arial" w:eastAsia="Arial" w:hAnsi="Arial"/>
                <w:sz w:val="20"/>
                <w:szCs w:val="20"/>
                <w:color w:val="auto"/>
                <w:w w:val="88"/>
              </w:rPr>
              <w:t>Rental Rate</w:t>
            </w:r>
          </w:p>
        </w:tc>
      </w:tr>
      <w:tr>
        <w:trPr>
          <w:trHeight w:val="203"/>
        </w:trPr>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gridSpan w:val="2"/>
          </w:tcPr>
          <w:p>
            <w:pPr>
              <w:jc w:val="center"/>
              <w:ind w:right="1560"/>
              <w:spacing w:after="0" w:line="203" w:lineRule="exact"/>
              <w:rPr>
                <w:sz w:val="20"/>
                <w:szCs w:val="20"/>
                <w:color w:val="auto"/>
              </w:rPr>
            </w:pPr>
            <w:r>
              <w:rPr>
                <w:rFonts w:ascii="Arial" w:cs="Arial" w:eastAsia="Arial" w:hAnsi="Arial"/>
                <w:sz w:val="20"/>
                <w:szCs w:val="20"/>
                <w:color w:val="auto"/>
                <w:w w:val="93"/>
              </w:rPr>
              <w:t>Annual</w:t>
            </w:r>
          </w:p>
        </w:tc>
        <w:tc>
          <w:tcPr>
            <w:tcW w:w="1740" w:type="dxa"/>
            <w:vAlign w:val="bottom"/>
            <w:gridSpan w:val="2"/>
          </w:tcPr>
          <w:p>
            <w:pPr>
              <w:jc w:val="center"/>
              <w:ind w:right="740"/>
              <w:spacing w:after="0" w:line="203" w:lineRule="exact"/>
              <w:rPr>
                <w:sz w:val="20"/>
                <w:szCs w:val="20"/>
                <w:color w:val="auto"/>
              </w:rPr>
            </w:pPr>
            <w:r>
              <w:rPr>
                <w:rFonts w:ascii="Arial" w:cs="Arial" w:eastAsia="Arial" w:hAnsi="Arial"/>
                <w:sz w:val="20"/>
                <w:szCs w:val="20"/>
                <w:color w:val="auto"/>
                <w:w w:val="90"/>
              </w:rPr>
              <w:t>Installment</w:t>
            </w:r>
          </w:p>
        </w:tc>
        <w:tc>
          <w:tcPr>
            <w:tcW w:w="2560" w:type="dxa"/>
            <w:vAlign w:val="bottom"/>
            <w:gridSpan w:val="3"/>
          </w:tcPr>
          <w:p>
            <w:pPr>
              <w:jc w:val="center"/>
              <w:ind w:right="40"/>
              <w:spacing w:after="0" w:line="203" w:lineRule="exact"/>
              <w:rPr>
                <w:sz w:val="20"/>
                <w:szCs w:val="20"/>
                <w:color w:val="auto"/>
              </w:rPr>
            </w:pPr>
            <w:r>
              <w:rPr>
                <w:rFonts w:ascii="Arial" w:cs="Arial" w:eastAsia="Arial" w:hAnsi="Arial"/>
                <w:sz w:val="20"/>
                <w:szCs w:val="20"/>
                <w:color w:val="auto"/>
                <w:w w:val="87"/>
              </w:rPr>
              <w:t>per Rentable</w:t>
            </w:r>
          </w:p>
        </w:tc>
      </w:tr>
      <w:tr>
        <w:trPr>
          <w:trHeight w:val="213"/>
        </w:trPr>
        <w:tc>
          <w:tcPr>
            <w:tcW w:w="2120" w:type="dxa"/>
            <w:vAlign w:val="bottom"/>
          </w:tcPr>
          <w:p>
            <w:pPr>
              <w:spacing w:after="0" w:line="185" w:lineRule="exact"/>
              <w:rPr>
                <w:sz w:val="20"/>
                <w:szCs w:val="20"/>
                <w:color w:val="auto"/>
              </w:rPr>
            </w:pPr>
            <w:r>
              <w:rPr>
                <w:rFonts w:ascii="Arial" w:cs="Arial" w:eastAsia="Arial" w:hAnsi="Arial"/>
                <w:sz w:val="20"/>
                <w:szCs w:val="20"/>
                <w:color w:val="auto"/>
                <w:w w:val="89"/>
              </w:rPr>
              <w:t>Period During Lease Term</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80" w:type="dxa"/>
            <w:vAlign w:val="bottom"/>
            <w:gridSpan w:val="2"/>
          </w:tcPr>
          <w:p>
            <w:pPr>
              <w:jc w:val="center"/>
              <w:ind w:right="1580"/>
              <w:spacing w:after="0" w:line="185" w:lineRule="exact"/>
              <w:rPr>
                <w:sz w:val="20"/>
                <w:szCs w:val="20"/>
                <w:color w:val="auto"/>
              </w:rPr>
            </w:pPr>
            <w:r>
              <w:rPr>
                <w:rFonts w:ascii="Arial" w:cs="Arial" w:eastAsia="Arial" w:hAnsi="Arial"/>
                <w:sz w:val="20"/>
                <w:szCs w:val="20"/>
                <w:color w:val="auto"/>
                <w:w w:val="85"/>
              </w:rPr>
              <w:t>Base Rent</w:t>
            </w:r>
          </w:p>
        </w:tc>
        <w:tc>
          <w:tcPr>
            <w:tcW w:w="1740" w:type="dxa"/>
            <w:vAlign w:val="bottom"/>
            <w:gridSpan w:val="2"/>
          </w:tcPr>
          <w:p>
            <w:pPr>
              <w:jc w:val="center"/>
              <w:ind w:right="720"/>
              <w:spacing w:after="0" w:line="185" w:lineRule="exact"/>
              <w:rPr>
                <w:sz w:val="20"/>
                <w:szCs w:val="20"/>
                <w:color w:val="auto"/>
              </w:rPr>
            </w:pPr>
            <w:r>
              <w:rPr>
                <w:rFonts w:ascii="Arial" w:cs="Arial" w:eastAsia="Arial" w:hAnsi="Arial"/>
                <w:sz w:val="20"/>
                <w:szCs w:val="20"/>
                <w:color w:val="auto"/>
                <w:w w:val="88"/>
              </w:rPr>
              <w:t>of Base Rent</w:t>
            </w:r>
          </w:p>
        </w:tc>
        <w:tc>
          <w:tcPr>
            <w:tcW w:w="2560" w:type="dxa"/>
            <w:vAlign w:val="bottom"/>
            <w:gridSpan w:val="3"/>
          </w:tcPr>
          <w:p>
            <w:pPr>
              <w:jc w:val="center"/>
              <w:ind w:right="40"/>
              <w:spacing w:after="0" w:line="185" w:lineRule="exact"/>
              <w:rPr>
                <w:sz w:val="20"/>
                <w:szCs w:val="20"/>
                <w:color w:val="auto"/>
              </w:rPr>
            </w:pPr>
            <w:r>
              <w:rPr>
                <w:rFonts w:ascii="Arial" w:cs="Arial" w:eastAsia="Arial" w:hAnsi="Arial"/>
                <w:sz w:val="20"/>
                <w:szCs w:val="20"/>
                <w:color w:val="auto"/>
                <w:w w:val="87"/>
              </w:rPr>
              <w:t>Square Foot</w:t>
            </w:r>
          </w:p>
        </w:tc>
      </w:tr>
      <w:tr>
        <w:trPr>
          <w:trHeight w:val="429"/>
        </w:trPr>
        <w:tc>
          <w:tcPr>
            <w:tcW w:w="2120" w:type="dxa"/>
            <w:vAlign w:val="bottom"/>
            <w:tcBorders>
              <w:top w:val="single" w:sz="8" w:color="auto"/>
            </w:tcBorders>
          </w:tcPr>
          <w:p>
            <w:pPr>
              <w:ind w:left="480"/>
              <w:spacing w:after="0"/>
              <w:rPr>
                <w:sz w:val="20"/>
                <w:szCs w:val="20"/>
                <w:color w:val="auto"/>
              </w:rPr>
            </w:pPr>
            <w:r>
              <w:rPr>
                <w:rFonts w:ascii="Arial" w:cs="Arial" w:eastAsia="Arial" w:hAnsi="Arial"/>
                <w:sz w:val="20"/>
                <w:szCs w:val="20"/>
                <w:color w:val="auto"/>
              </w:rPr>
              <w:t>July 1, 2022 –</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480"/>
              <w:spacing w:after="0"/>
              <w:rPr>
                <w:sz w:val="20"/>
                <w:szCs w:val="20"/>
                <w:color w:val="auto"/>
              </w:rPr>
            </w:pPr>
            <w:r>
              <w:rPr>
                <w:rFonts w:ascii="Arial" w:cs="Arial" w:eastAsia="Arial" w:hAnsi="Arial"/>
                <w:sz w:val="20"/>
                <w:szCs w:val="20"/>
                <w:color w:val="auto"/>
              </w:rPr>
              <w:t>April 30, 2023</w:t>
            </w: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380" w:type="dxa"/>
            <w:vAlign w:val="bottom"/>
            <w:gridSpan w:val="2"/>
          </w:tcPr>
          <w:p>
            <w:pPr>
              <w:jc w:val="center"/>
              <w:ind w:right="1560"/>
              <w:spacing w:after="0"/>
              <w:rPr>
                <w:sz w:val="20"/>
                <w:szCs w:val="20"/>
                <w:color w:val="auto"/>
              </w:rPr>
            </w:pPr>
            <w:r>
              <w:rPr>
                <w:rFonts w:ascii="Arial" w:cs="Arial" w:eastAsia="Arial" w:hAnsi="Arial"/>
                <w:sz w:val="20"/>
                <w:szCs w:val="20"/>
                <w:color w:val="auto"/>
              </w:rPr>
              <w:t>N/A</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$105,355.80</w:t>
            </w:r>
          </w:p>
        </w:tc>
        <w:tc>
          <w:tcPr>
            <w:tcW w:w="720" w:type="dxa"/>
            <w:vAlign w:val="bottom"/>
          </w:tcPr>
          <w:p>
            <w:pPr>
              <w:spacing w:after="0"/>
              <w:rPr>
                <w:sz w:val="22"/>
                <w:szCs w:val="22"/>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$7.65</w:t>
            </w:r>
          </w:p>
        </w:tc>
        <w:tc>
          <w:tcPr>
            <w:tcW w:w="820" w:type="dxa"/>
            <w:vAlign w:val="bottom"/>
          </w:tcPr>
          <w:p>
            <w:pPr>
              <w:spacing w:after="0"/>
              <w:rPr>
                <w:sz w:val="22"/>
                <w:szCs w:val="22"/>
                <w:color w:val="auto"/>
              </w:rPr>
            </w:pPr>
          </w:p>
        </w:tc>
      </w:tr>
      <w:tr>
        <w:trPr>
          <w:trHeight w:val="398"/>
        </w:trPr>
        <w:tc>
          <w:tcPr>
            <w:tcW w:w="2160" w:type="dxa"/>
            <w:vAlign w:val="bottom"/>
            <w:gridSpan w:val="2"/>
          </w:tcPr>
          <w:p>
            <w:pPr>
              <w:ind w:left="460"/>
              <w:spacing w:after="0"/>
              <w:rPr>
                <w:sz w:val="20"/>
                <w:szCs w:val="20"/>
                <w:color w:val="auto"/>
              </w:rPr>
            </w:pPr>
            <w:r>
              <w:rPr>
                <w:rFonts w:ascii="Arial" w:cs="Arial" w:eastAsia="Arial" w:hAnsi="Arial"/>
                <w:sz w:val="20"/>
                <w:szCs w:val="20"/>
                <w:color w:val="auto"/>
              </w:rPr>
              <w:t>May 1, 2023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480"/>
              <w:spacing w:after="0"/>
              <w:rPr>
                <w:sz w:val="20"/>
                <w:szCs w:val="20"/>
                <w:color w:val="auto"/>
              </w:rPr>
            </w:pPr>
            <w:r>
              <w:rPr>
                <w:rFonts w:ascii="Arial" w:cs="Arial" w:eastAsia="Arial" w:hAnsi="Arial"/>
                <w:sz w:val="20"/>
                <w:szCs w:val="20"/>
                <w:color w:val="auto"/>
              </w:rPr>
              <w:t>April 30, 2024</w:t>
            </w:r>
          </w:p>
        </w:tc>
        <w:tc>
          <w:tcPr>
            <w:tcW w:w="3940" w:type="dxa"/>
            <w:vAlign w:val="bottom"/>
            <w:gridSpan w:val="4"/>
          </w:tcPr>
          <w:p>
            <w:pPr>
              <w:jc w:val="center"/>
              <w:spacing w:after="0"/>
              <w:rPr>
                <w:sz w:val="20"/>
                <w:szCs w:val="20"/>
                <w:color w:val="auto"/>
              </w:rPr>
            </w:pPr>
            <w:r>
              <w:rPr>
                <w:rFonts w:ascii="Arial" w:cs="Arial" w:eastAsia="Arial" w:hAnsi="Arial"/>
                <w:sz w:val="20"/>
                <w:szCs w:val="20"/>
                <w:color w:val="auto"/>
                <w:w w:val="89"/>
              </w:rPr>
              <w:t>$1,308,519.04</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$109,043.25</w:t>
            </w:r>
          </w:p>
        </w:tc>
        <w:tc>
          <w:tcPr>
            <w:tcW w:w="720" w:type="dxa"/>
            <w:vAlign w:val="bottom"/>
          </w:tcPr>
          <w:p>
            <w:pPr>
              <w:spacing w:after="0"/>
              <w:rPr>
                <w:sz w:val="22"/>
                <w:szCs w:val="22"/>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$7.92</w:t>
            </w:r>
          </w:p>
        </w:tc>
        <w:tc>
          <w:tcPr>
            <w:tcW w:w="820" w:type="dxa"/>
            <w:vAlign w:val="bottom"/>
          </w:tcPr>
          <w:p>
            <w:pPr>
              <w:spacing w:after="0"/>
              <w:rPr>
                <w:sz w:val="22"/>
                <w:szCs w:val="22"/>
                <w:color w:val="auto"/>
              </w:rPr>
            </w:pPr>
          </w:p>
        </w:tc>
      </w:tr>
      <w:tr>
        <w:trPr>
          <w:trHeight w:val="398"/>
        </w:trPr>
        <w:tc>
          <w:tcPr>
            <w:tcW w:w="2160" w:type="dxa"/>
            <w:vAlign w:val="bottom"/>
            <w:gridSpan w:val="2"/>
          </w:tcPr>
          <w:p>
            <w:pPr>
              <w:ind w:left="460"/>
              <w:spacing w:after="0"/>
              <w:rPr>
                <w:sz w:val="20"/>
                <w:szCs w:val="20"/>
                <w:color w:val="auto"/>
              </w:rPr>
            </w:pPr>
            <w:r>
              <w:rPr>
                <w:rFonts w:ascii="Arial" w:cs="Arial" w:eastAsia="Arial" w:hAnsi="Arial"/>
                <w:sz w:val="20"/>
                <w:szCs w:val="20"/>
                <w:color w:val="auto"/>
              </w:rPr>
              <w:t>May 1, 2024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480"/>
              <w:spacing w:after="0"/>
              <w:rPr>
                <w:sz w:val="20"/>
                <w:szCs w:val="20"/>
                <w:color w:val="auto"/>
              </w:rPr>
            </w:pPr>
            <w:r>
              <w:rPr>
                <w:rFonts w:ascii="Arial" w:cs="Arial" w:eastAsia="Arial" w:hAnsi="Arial"/>
                <w:sz w:val="20"/>
                <w:szCs w:val="20"/>
                <w:color w:val="auto"/>
              </w:rPr>
              <w:t>April 30, 2025</w:t>
            </w:r>
          </w:p>
        </w:tc>
        <w:tc>
          <w:tcPr>
            <w:tcW w:w="3940" w:type="dxa"/>
            <w:vAlign w:val="bottom"/>
            <w:gridSpan w:val="4"/>
          </w:tcPr>
          <w:p>
            <w:pPr>
              <w:jc w:val="center"/>
              <w:spacing w:after="0"/>
              <w:rPr>
                <w:sz w:val="20"/>
                <w:szCs w:val="20"/>
                <w:color w:val="auto"/>
              </w:rPr>
            </w:pPr>
            <w:r>
              <w:rPr>
                <w:rFonts w:ascii="Arial" w:cs="Arial" w:eastAsia="Arial" w:hAnsi="Arial"/>
                <w:sz w:val="20"/>
                <w:szCs w:val="20"/>
                <w:color w:val="auto"/>
                <w:w w:val="89"/>
              </w:rPr>
              <w:t>$1,354,317.20</w:t>
            </w: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$112,859.77</w:t>
            </w:r>
          </w:p>
        </w:tc>
        <w:tc>
          <w:tcPr>
            <w:tcW w:w="720" w:type="dxa"/>
            <w:vAlign w:val="bottom"/>
          </w:tcPr>
          <w:p>
            <w:pPr>
              <w:spacing w:after="0"/>
              <w:rPr>
                <w:sz w:val="22"/>
                <w:szCs w:val="22"/>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$8.19</w:t>
            </w:r>
          </w:p>
        </w:tc>
        <w:tc>
          <w:tcPr>
            <w:tcW w:w="820" w:type="dxa"/>
            <w:vAlign w:val="bottom"/>
          </w:tcPr>
          <w:p>
            <w:pPr>
              <w:spacing w:after="0"/>
              <w:rPr>
                <w:sz w:val="22"/>
                <w:szCs w:val="22"/>
                <w:color w:val="auto"/>
              </w:rPr>
            </w:pPr>
          </w:p>
        </w:tc>
      </w:tr>
      <w:tr>
        <w:trPr>
          <w:trHeight w:val="398"/>
        </w:trPr>
        <w:tc>
          <w:tcPr>
            <w:tcW w:w="2160" w:type="dxa"/>
            <w:vAlign w:val="bottom"/>
            <w:gridSpan w:val="2"/>
          </w:tcPr>
          <w:p>
            <w:pPr>
              <w:ind w:left="460"/>
              <w:spacing w:after="0"/>
              <w:rPr>
                <w:sz w:val="20"/>
                <w:szCs w:val="20"/>
                <w:color w:val="auto"/>
              </w:rPr>
            </w:pPr>
            <w:r>
              <w:rPr>
                <w:rFonts w:ascii="Arial" w:cs="Arial" w:eastAsia="Arial" w:hAnsi="Arial"/>
                <w:sz w:val="20"/>
                <w:szCs w:val="20"/>
                <w:color w:val="auto"/>
              </w:rPr>
              <w:t>May 1, 2025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480"/>
              <w:spacing w:after="0"/>
              <w:rPr>
                <w:sz w:val="20"/>
                <w:szCs w:val="20"/>
                <w:color w:val="auto"/>
              </w:rPr>
            </w:pPr>
            <w:r>
              <w:rPr>
                <w:rFonts w:ascii="Arial" w:cs="Arial" w:eastAsia="Arial" w:hAnsi="Arial"/>
                <w:sz w:val="20"/>
                <w:szCs w:val="20"/>
                <w:color w:val="auto"/>
              </w:rPr>
              <w:t>April 30, 2026</w:t>
            </w:r>
          </w:p>
        </w:tc>
        <w:tc>
          <w:tcPr>
            <w:tcW w:w="3940" w:type="dxa"/>
            <w:vAlign w:val="bottom"/>
            <w:gridSpan w:val="4"/>
          </w:tcPr>
          <w:p>
            <w:pPr>
              <w:jc w:val="center"/>
              <w:spacing w:after="0"/>
              <w:rPr>
                <w:sz w:val="20"/>
                <w:szCs w:val="20"/>
                <w:color w:val="auto"/>
              </w:rPr>
            </w:pPr>
            <w:r>
              <w:rPr>
                <w:rFonts w:ascii="Arial" w:cs="Arial" w:eastAsia="Arial" w:hAnsi="Arial"/>
                <w:sz w:val="20"/>
                <w:szCs w:val="20"/>
                <w:color w:val="auto"/>
                <w:w w:val="89"/>
              </w:rPr>
              <w:t>$1,401,718.30</w:t>
            </w:r>
          </w:p>
        </w:tc>
        <w:tc>
          <w:tcPr>
            <w:tcW w:w="1020" w:type="dxa"/>
            <w:vAlign w:val="bottom"/>
          </w:tcPr>
          <w:p>
            <w:pPr>
              <w:jc w:val="center"/>
              <w:spacing w:after="0"/>
              <w:rPr>
                <w:sz w:val="20"/>
                <w:szCs w:val="20"/>
                <w:color w:val="auto"/>
              </w:rPr>
            </w:pPr>
            <w:r>
              <w:rPr>
                <w:rFonts w:ascii="Arial" w:cs="Arial" w:eastAsia="Arial" w:hAnsi="Arial"/>
                <w:sz w:val="20"/>
                <w:szCs w:val="20"/>
                <w:color w:val="auto"/>
                <w:w w:val="88"/>
              </w:rPr>
              <w:t>$116,809.86</w:t>
            </w:r>
          </w:p>
        </w:tc>
        <w:tc>
          <w:tcPr>
            <w:tcW w:w="720" w:type="dxa"/>
            <w:vAlign w:val="bottom"/>
          </w:tcPr>
          <w:p>
            <w:pPr>
              <w:spacing w:after="0"/>
              <w:rPr>
                <w:sz w:val="22"/>
                <w:szCs w:val="22"/>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$8.48</w:t>
            </w:r>
          </w:p>
        </w:tc>
        <w:tc>
          <w:tcPr>
            <w:tcW w:w="820" w:type="dxa"/>
            <w:vAlign w:val="bottom"/>
          </w:tcPr>
          <w:p>
            <w:pPr>
              <w:spacing w:after="0"/>
              <w:rPr>
                <w:sz w:val="22"/>
                <w:szCs w:val="22"/>
                <w:color w:val="auto"/>
              </w:rPr>
            </w:pPr>
          </w:p>
        </w:tc>
      </w:tr>
      <w:tr>
        <w:trPr>
          <w:trHeight w:val="398"/>
        </w:trPr>
        <w:tc>
          <w:tcPr>
            <w:tcW w:w="2160" w:type="dxa"/>
            <w:vAlign w:val="bottom"/>
            <w:gridSpan w:val="2"/>
          </w:tcPr>
          <w:p>
            <w:pPr>
              <w:ind w:left="460"/>
              <w:spacing w:after="0"/>
              <w:rPr>
                <w:sz w:val="20"/>
                <w:szCs w:val="20"/>
                <w:color w:val="auto"/>
              </w:rPr>
            </w:pPr>
            <w:r>
              <w:rPr>
                <w:rFonts w:ascii="Arial" w:cs="Arial" w:eastAsia="Arial" w:hAnsi="Arial"/>
                <w:sz w:val="20"/>
                <w:szCs w:val="20"/>
                <w:color w:val="auto"/>
              </w:rPr>
              <w:t>May 1, 2026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480"/>
              <w:spacing w:after="0"/>
              <w:rPr>
                <w:sz w:val="20"/>
                <w:szCs w:val="20"/>
                <w:color w:val="auto"/>
              </w:rPr>
            </w:pPr>
            <w:r>
              <w:rPr>
                <w:rFonts w:ascii="Arial" w:cs="Arial" w:eastAsia="Arial" w:hAnsi="Arial"/>
                <w:sz w:val="20"/>
                <w:szCs w:val="20"/>
                <w:color w:val="auto"/>
              </w:rPr>
              <w:t>April 30, 2027</w:t>
            </w:r>
          </w:p>
        </w:tc>
        <w:tc>
          <w:tcPr>
            <w:tcW w:w="3940" w:type="dxa"/>
            <w:vAlign w:val="bottom"/>
            <w:gridSpan w:val="4"/>
          </w:tcPr>
          <w:p>
            <w:pPr>
              <w:jc w:val="center"/>
              <w:spacing w:after="0"/>
              <w:rPr>
                <w:sz w:val="20"/>
                <w:szCs w:val="20"/>
                <w:color w:val="auto"/>
              </w:rPr>
            </w:pPr>
            <w:r>
              <w:rPr>
                <w:rFonts w:ascii="Arial" w:cs="Arial" w:eastAsia="Arial" w:hAnsi="Arial"/>
                <w:sz w:val="20"/>
                <w:szCs w:val="20"/>
                <w:color w:val="auto"/>
                <w:w w:val="89"/>
              </w:rPr>
              <w:t>$1,450,778.44</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$120,898.20</w:t>
            </w:r>
          </w:p>
        </w:tc>
        <w:tc>
          <w:tcPr>
            <w:tcW w:w="720" w:type="dxa"/>
            <w:vAlign w:val="bottom"/>
          </w:tcPr>
          <w:p>
            <w:pPr>
              <w:spacing w:after="0"/>
              <w:rPr>
                <w:sz w:val="22"/>
                <w:szCs w:val="22"/>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$8.78</w:t>
            </w:r>
          </w:p>
        </w:tc>
        <w:tc>
          <w:tcPr>
            <w:tcW w:w="820" w:type="dxa"/>
            <w:vAlign w:val="bottom"/>
          </w:tcPr>
          <w:p>
            <w:pPr>
              <w:spacing w:after="0"/>
              <w:rPr>
                <w:sz w:val="22"/>
                <w:szCs w:val="22"/>
                <w:color w:val="auto"/>
              </w:rPr>
            </w:pPr>
          </w:p>
        </w:tc>
      </w:tr>
      <w:tr>
        <w:trPr>
          <w:trHeight w:val="398"/>
        </w:trPr>
        <w:tc>
          <w:tcPr>
            <w:tcW w:w="2160" w:type="dxa"/>
            <w:vAlign w:val="bottom"/>
            <w:gridSpan w:val="2"/>
          </w:tcPr>
          <w:p>
            <w:pPr>
              <w:ind w:left="460"/>
              <w:spacing w:after="0"/>
              <w:rPr>
                <w:sz w:val="20"/>
                <w:szCs w:val="20"/>
                <w:color w:val="auto"/>
              </w:rPr>
            </w:pPr>
            <w:r>
              <w:rPr>
                <w:rFonts w:ascii="Arial" w:cs="Arial" w:eastAsia="Arial" w:hAnsi="Arial"/>
                <w:sz w:val="20"/>
                <w:szCs w:val="20"/>
                <w:color w:val="auto"/>
              </w:rPr>
              <w:t>May 1, 2027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480"/>
              <w:spacing w:after="0"/>
              <w:rPr>
                <w:sz w:val="20"/>
                <w:szCs w:val="20"/>
                <w:color w:val="auto"/>
              </w:rPr>
            </w:pPr>
            <w:r>
              <w:rPr>
                <w:rFonts w:ascii="Arial" w:cs="Arial" w:eastAsia="Arial" w:hAnsi="Arial"/>
                <w:sz w:val="20"/>
                <w:szCs w:val="20"/>
                <w:color w:val="auto"/>
              </w:rPr>
              <w:t>April 30, 2028</w:t>
            </w:r>
          </w:p>
        </w:tc>
        <w:tc>
          <w:tcPr>
            <w:tcW w:w="3940" w:type="dxa"/>
            <w:vAlign w:val="bottom"/>
            <w:gridSpan w:val="4"/>
          </w:tcPr>
          <w:p>
            <w:pPr>
              <w:jc w:val="center"/>
              <w:spacing w:after="0"/>
              <w:rPr>
                <w:sz w:val="20"/>
                <w:szCs w:val="20"/>
                <w:color w:val="auto"/>
              </w:rPr>
            </w:pPr>
            <w:r>
              <w:rPr>
                <w:rFonts w:ascii="Arial" w:cs="Arial" w:eastAsia="Arial" w:hAnsi="Arial"/>
                <w:sz w:val="20"/>
                <w:szCs w:val="20"/>
                <w:color w:val="auto"/>
                <w:w w:val="89"/>
              </w:rPr>
              <w:t>$1,501,555.69</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$125,129.64</w:t>
            </w:r>
          </w:p>
        </w:tc>
        <w:tc>
          <w:tcPr>
            <w:tcW w:w="720" w:type="dxa"/>
            <w:vAlign w:val="bottom"/>
          </w:tcPr>
          <w:p>
            <w:pPr>
              <w:spacing w:after="0"/>
              <w:rPr>
                <w:sz w:val="22"/>
                <w:szCs w:val="22"/>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$9.09</w:t>
            </w:r>
          </w:p>
        </w:tc>
        <w:tc>
          <w:tcPr>
            <w:tcW w:w="820" w:type="dxa"/>
            <w:vAlign w:val="bottom"/>
          </w:tcPr>
          <w:p>
            <w:pPr>
              <w:spacing w:after="0"/>
              <w:rPr>
                <w:sz w:val="22"/>
                <w:szCs w:val="22"/>
                <w:color w:val="auto"/>
              </w:rPr>
            </w:pPr>
          </w:p>
        </w:tc>
      </w:tr>
      <w:tr>
        <w:trPr>
          <w:trHeight w:val="398"/>
        </w:trPr>
        <w:tc>
          <w:tcPr>
            <w:tcW w:w="2160" w:type="dxa"/>
            <w:vAlign w:val="bottom"/>
            <w:gridSpan w:val="2"/>
          </w:tcPr>
          <w:p>
            <w:pPr>
              <w:ind w:left="460"/>
              <w:spacing w:after="0"/>
              <w:rPr>
                <w:sz w:val="20"/>
                <w:szCs w:val="20"/>
                <w:color w:val="auto"/>
              </w:rPr>
            </w:pPr>
            <w:r>
              <w:rPr>
                <w:rFonts w:ascii="Arial" w:cs="Arial" w:eastAsia="Arial" w:hAnsi="Arial"/>
                <w:sz w:val="20"/>
                <w:szCs w:val="20"/>
                <w:color w:val="auto"/>
              </w:rPr>
              <w:t>May 1, 2028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480"/>
              <w:spacing w:after="0"/>
              <w:rPr>
                <w:sz w:val="20"/>
                <w:szCs w:val="20"/>
                <w:color w:val="auto"/>
              </w:rPr>
            </w:pPr>
            <w:r>
              <w:rPr>
                <w:rFonts w:ascii="Arial" w:cs="Arial" w:eastAsia="Arial" w:hAnsi="Arial"/>
                <w:sz w:val="20"/>
                <w:szCs w:val="20"/>
                <w:color w:val="auto"/>
              </w:rPr>
              <w:t>April 30, 2029</w:t>
            </w:r>
          </w:p>
        </w:tc>
        <w:tc>
          <w:tcPr>
            <w:tcW w:w="3940" w:type="dxa"/>
            <w:vAlign w:val="bottom"/>
            <w:gridSpan w:val="4"/>
          </w:tcPr>
          <w:p>
            <w:pPr>
              <w:jc w:val="center"/>
              <w:spacing w:after="0"/>
              <w:rPr>
                <w:sz w:val="20"/>
                <w:szCs w:val="20"/>
                <w:color w:val="auto"/>
              </w:rPr>
            </w:pPr>
            <w:r>
              <w:rPr>
                <w:rFonts w:ascii="Arial" w:cs="Arial" w:eastAsia="Arial" w:hAnsi="Arial"/>
                <w:sz w:val="20"/>
                <w:szCs w:val="20"/>
                <w:color w:val="auto"/>
                <w:w w:val="89"/>
              </w:rPr>
              <w:t>$1,554,110.14</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$129,509.18</w:t>
            </w:r>
          </w:p>
        </w:tc>
        <w:tc>
          <w:tcPr>
            <w:tcW w:w="720" w:type="dxa"/>
            <w:vAlign w:val="bottom"/>
          </w:tcPr>
          <w:p>
            <w:pPr>
              <w:spacing w:after="0"/>
              <w:rPr>
                <w:sz w:val="22"/>
                <w:szCs w:val="22"/>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$9.40</w:t>
            </w:r>
          </w:p>
        </w:tc>
        <w:tc>
          <w:tcPr>
            <w:tcW w:w="820" w:type="dxa"/>
            <w:vAlign w:val="bottom"/>
          </w:tcPr>
          <w:p>
            <w:pPr>
              <w:spacing w:after="0"/>
              <w:rPr>
                <w:sz w:val="22"/>
                <w:szCs w:val="22"/>
                <w:color w:val="auto"/>
              </w:rPr>
            </w:pPr>
          </w:p>
        </w:tc>
      </w:tr>
      <w:tr>
        <w:trPr>
          <w:trHeight w:val="398"/>
        </w:trPr>
        <w:tc>
          <w:tcPr>
            <w:tcW w:w="2160" w:type="dxa"/>
            <w:vAlign w:val="bottom"/>
            <w:gridSpan w:val="2"/>
          </w:tcPr>
          <w:p>
            <w:pPr>
              <w:ind w:left="460"/>
              <w:spacing w:after="0"/>
              <w:rPr>
                <w:sz w:val="20"/>
                <w:szCs w:val="20"/>
                <w:color w:val="auto"/>
              </w:rPr>
            </w:pPr>
            <w:r>
              <w:rPr>
                <w:rFonts w:ascii="Arial" w:cs="Arial" w:eastAsia="Arial" w:hAnsi="Arial"/>
                <w:sz w:val="20"/>
                <w:szCs w:val="20"/>
                <w:color w:val="auto"/>
              </w:rPr>
              <w:t>May 1, 2029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480"/>
              <w:spacing w:after="0"/>
              <w:rPr>
                <w:sz w:val="20"/>
                <w:szCs w:val="20"/>
                <w:color w:val="auto"/>
              </w:rPr>
            </w:pPr>
            <w:r>
              <w:rPr>
                <w:rFonts w:ascii="Arial" w:cs="Arial" w:eastAsia="Arial" w:hAnsi="Arial"/>
                <w:sz w:val="20"/>
                <w:szCs w:val="20"/>
                <w:color w:val="auto"/>
              </w:rPr>
              <w:t>April 30, 2030</w:t>
            </w:r>
          </w:p>
        </w:tc>
        <w:tc>
          <w:tcPr>
            <w:tcW w:w="3940" w:type="dxa"/>
            <w:vAlign w:val="bottom"/>
            <w:gridSpan w:val="4"/>
          </w:tcPr>
          <w:p>
            <w:pPr>
              <w:jc w:val="center"/>
              <w:spacing w:after="0"/>
              <w:rPr>
                <w:sz w:val="20"/>
                <w:szCs w:val="20"/>
                <w:color w:val="auto"/>
              </w:rPr>
            </w:pPr>
            <w:r>
              <w:rPr>
                <w:rFonts w:ascii="Arial" w:cs="Arial" w:eastAsia="Arial" w:hAnsi="Arial"/>
                <w:sz w:val="20"/>
                <w:szCs w:val="20"/>
                <w:color w:val="auto"/>
                <w:w w:val="89"/>
              </w:rPr>
              <w:t>$1,608,503.99</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$134,042.00</w:t>
            </w:r>
          </w:p>
        </w:tc>
        <w:tc>
          <w:tcPr>
            <w:tcW w:w="720" w:type="dxa"/>
            <w:vAlign w:val="bottom"/>
          </w:tcPr>
          <w:p>
            <w:pPr>
              <w:spacing w:after="0"/>
              <w:rPr>
                <w:sz w:val="22"/>
                <w:szCs w:val="22"/>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$9.73</w:t>
            </w:r>
          </w:p>
        </w:tc>
        <w:tc>
          <w:tcPr>
            <w:tcW w:w="820" w:type="dxa"/>
            <w:vAlign w:val="bottom"/>
          </w:tcPr>
          <w:p>
            <w:pPr>
              <w:spacing w:after="0"/>
              <w:rPr>
                <w:sz w:val="22"/>
                <w:szCs w:val="22"/>
                <w:color w:val="auto"/>
              </w:rPr>
            </w:pPr>
          </w:p>
        </w:tc>
      </w:tr>
      <w:tr>
        <w:trPr>
          <w:trHeight w:val="398"/>
        </w:trPr>
        <w:tc>
          <w:tcPr>
            <w:tcW w:w="2160" w:type="dxa"/>
            <w:vAlign w:val="bottom"/>
            <w:gridSpan w:val="2"/>
          </w:tcPr>
          <w:p>
            <w:pPr>
              <w:ind w:left="460"/>
              <w:spacing w:after="0"/>
              <w:rPr>
                <w:sz w:val="20"/>
                <w:szCs w:val="20"/>
                <w:color w:val="auto"/>
              </w:rPr>
            </w:pPr>
            <w:r>
              <w:rPr>
                <w:rFonts w:ascii="Arial" w:cs="Arial" w:eastAsia="Arial" w:hAnsi="Arial"/>
                <w:sz w:val="20"/>
                <w:szCs w:val="20"/>
                <w:color w:val="auto"/>
              </w:rPr>
              <w:t>May 1, 2030 –</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2160" w:type="dxa"/>
            <w:vAlign w:val="bottom"/>
            <w:gridSpan w:val="2"/>
          </w:tcPr>
          <w:p>
            <w:pPr>
              <w:ind w:left="520"/>
              <w:spacing w:after="0"/>
              <w:rPr>
                <w:sz w:val="20"/>
                <w:szCs w:val="20"/>
                <w:color w:val="auto"/>
              </w:rPr>
            </w:pPr>
            <w:r>
              <w:rPr>
                <w:rFonts w:ascii="Arial" w:cs="Arial" w:eastAsia="Arial" w:hAnsi="Arial"/>
                <w:sz w:val="20"/>
                <w:szCs w:val="20"/>
                <w:color w:val="auto"/>
              </w:rPr>
              <w:t>July 31, 2030</w:t>
            </w: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380" w:type="dxa"/>
            <w:vAlign w:val="bottom"/>
            <w:gridSpan w:val="2"/>
          </w:tcPr>
          <w:p>
            <w:pPr>
              <w:jc w:val="center"/>
              <w:ind w:right="1560"/>
              <w:spacing w:after="0"/>
              <w:rPr>
                <w:sz w:val="20"/>
                <w:szCs w:val="20"/>
                <w:color w:val="auto"/>
              </w:rPr>
            </w:pPr>
            <w:r>
              <w:rPr>
                <w:rFonts w:ascii="Arial" w:cs="Arial" w:eastAsia="Arial" w:hAnsi="Arial"/>
                <w:sz w:val="20"/>
                <w:szCs w:val="20"/>
                <w:color w:val="auto"/>
              </w:rPr>
              <w:t>N/A</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$138,733.47</w:t>
            </w:r>
          </w:p>
        </w:tc>
        <w:tc>
          <w:tcPr>
            <w:tcW w:w="720" w:type="dxa"/>
            <w:vAlign w:val="bottom"/>
          </w:tcPr>
          <w:p>
            <w:pPr>
              <w:spacing w:after="0"/>
              <w:rPr>
                <w:sz w:val="22"/>
                <w:szCs w:val="22"/>
                <w:color w:val="auto"/>
              </w:rPr>
            </w:pPr>
          </w:p>
        </w:tc>
        <w:tc>
          <w:tcPr>
            <w:tcW w:w="1740" w:type="dxa"/>
            <w:vAlign w:val="bottom"/>
            <w:gridSpan w:val="2"/>
          </w:tcPr>
          <w:p>
            <w:pPr>
              <w:jc w:val="center"/>
              <w:ind w:left="661"/>
              <w:spacing w:after="0"/>
              <w:rPr>
                <w:sz w:val="20"/>
                <w:szCs w:val="20"/>
                <w:color w:val="auto"/>
              </w:rPr>
            </w:pPr>
            <w:r>
              <w:rPr>
                <w:rFonts w:ascii="Arial" w:cs="Arial" w:eastAsia="Arial" w:hAnsi="Arial"/>
                <w:sz w:val="20"/>
                <w:szCs w:val="20"/>
                <w:color w:val="auto"/>
                <w:w w:val="88"/>
              </w:rPr>
              <w:t>$10.07</w:t>
            </w:r>
          </w:p>
        </w:tc>
        <w:tc>
          <w:tcPr>
            <w:tcW w:w="820" w:type="dxa"/>
            <w:vAlign w:val="bottom"/>
          </w:tcPr>
          <w:p>
            <w:pPr>
              <w:spacing w:after="0"/>
              <w:rPr>
                <w:sz w:val="22"/>
                <w:szCs w:val="22"/>
                <w:color w:val="auto"/>
              </w:rPr>
            </w:pPr>
          </w:p>
        </w:tc>
      </w:tr>
      <w:tr>
        <w:trPr>
          <w:trHeight w:val="401"/>
        </w:trPr>
        <w:tc>
          <w:tcPr>
            <w:tcW w:w="2120" w:type="dxa"/>
            <w:vAlign w:val="bottom"/>
          </w:tcPr>
          <w:p>
            <w:pPr>
              <w:ind w:left="660"/>
              <w:spacing w:after="0"/>
              <w:rPr>
                <w:sz w:val="20"/>
                <w:szCs w:val="20"/>
                <w:color w:val="auto"/>
              </w:rPr>
            </w:pPr>
            <w:r>
              <w:rPr>
                <w:rFonts w:ascii="Arial" w:cs="Arial" w:eastAsia="Arial" w:hAnsi="Arial"/>
                <w:sz w:val="20"/>
                <w:szCs w:val="20"/>
                <w:color w:val="auto"/>
              </w:rPr>
              <w:t>3.4.</w:t>
            </w:r>
          </w:p>
        </w:tc>
        <w:tc>
          <w:tcPr>
            <w:tcW w:w="40" w:type="dxa"/>
            <w:vAlign w:val="bottom"/>
          </w:tcPr>
          <w:p>
            <w:pPr>
              <w:spacing w:after="0"/>
              <w:rPr>
                <w:sz w:val="24"/>
                <w:szCs w:val="24"/>
                <w:color w:val="auto"/>
              </w:rPr>
            </w:pPr>
          </w:p>
        </w:tc>
        <w:tc>
          <w:tcPr>
            <w:tcW w:w="8240" w:type="dxa"/>
            <w:vAlign w:val="bottom"/>
            <w:gridSpan w:val="9"/>
          </w:tcPr>
          <w:p>
            <w:pPr>
              <w:spacing w:after="0"/>
              <w:rPr>
                <w:sz w:val="20"/>
                <w:szCs w:val="20"/>
                <w:color w:val="auto"/>
              </w:rPr>
            </w:pPr>
            <w:r>
              <w:rPr>
                <w:rFonts w:ascii="Arial" w:cs="Arial" w:eastAsia="Arial" w:hAnsi="Arial"/>
                <w:sz w:val="20"/>
                <w:szCs w:val="20"/>
                <w:b w:val="1"/>
                <w:bCs w:val="1"/>
                <w:color w:val="auto"/>
                <w:w w:val="92"/>
              </w:rPr>
              <w:t>Suite 325</w:t>
            </w:r>
            <w:r>
              <w:rPr>
                <w:rFonts w:ascii="Arial" w:cs="Arial" w:eastAsia="Arial" w:hAnsi="Arial"/>
                <w:sz w:val="20"/>
                <w:szCs w:val="20"/>
                <w:color w:val="auto"/>
                <w:w w:val="92"/>
              </w:rPr>
              <w:t>.  Commencing retroactively as of July 1, 2022, the Base Rent schedule applicable to Suite</w:t>
            </w:r>
          </w:p>
        </w:tc>
      </w:tr>
      <w:tr>
        <w:trPr>
          <w:trHeight w:val="20"/>
        </w:trPr>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325 shall be replaced with the Base Rent schedule set forth below, and Tenant shall otherwise pay Base Rent in accordance with the terms of the Lease. In connection with the foregoing, as Tenant has paid Base Rent for the months of July 2022 and August 2022, concurrently with Tenant’s execution of this Fifth Amendment Tenant shall pay to Landlord an amount equal to the difference between</w:t>
      </w: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original Base Rent amount due for Suite 325 for such months and the Base Rent due and owing pursuant to the replacement Base Rent schedule below.</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0"/>
        <w:spacing w:after="0"/>
        <w:rPr>
          <w:sz w:val="20"/>
          <w:szCs w:val="20"/>
          <w:color w:val="auto"/>
        </w:rPr>
      </w:pPr>
      <w:r>
        <w:rPr>
          <w:rFonts w:ascii="Arial" w:cs="Arial" w:eastAsia="Arial" w:hAnsi="Arial"/>
          <w:sz w:val="18"/>
          <w:szCs w:val="18"/>
          <w:u w:val="single" w:color="auto"/>
          <w:color w:val="auto"/>
        </w:rPr>
        <w:t>Period During Lease Term</w:t>
      </w:r>
    </w:p>
    <w:p>
      <w:pPr>
        <w:spacing w:after="0" w:line="239"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July 1, 2022 –</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January 12, 2023</w:t>
      </w:r>
    </w:p>
    <w:p>
      <w:pPr>
        <w:spacing w:after="0" w:line="200" w:lineRule="exact"/>
        <w:rPr>
          <w:sz w:val="20"/>
          <w:szCs w:val="20"/>
          <w:color w:val="auto"/>
        </w:rPr>
      </w:pPr>
    </w:p>
    <w:p>
      <w:pPr>
        <w:jc w:val="right"/>
        <w:ind w:right="1140"/>
        <w:spacing w:after="0"/>
        <w:rPr>
          <w:sz w:val="20"/>
          <w:szCs w:val="20"/>
          <w:color w:val="auto"/>
        </w:rPr>
      </w:pPr>
      <w:r>
        <w:rPr>
          <w:rFonts w:ascii="Arial" w:cs="Arial" w:eastAsia="Arial" w:hAnsi="Arial"/>
          <w:sz w:val="20"/>
          <w:szCs w:val="20"/>
          <w:color w:val="auto"/>
        </w:rPr>
        <w:t>January 13, 2023 –</w:t>
      </w:r>
    </w:p>
    <w:p>
      <w:pPr>
        <w:spacing w:after="0" w:line="2" w:lineRule="exact"/>
        <w:rPr>
          <w:sz w:val="20"/>
          <w:szCs w:val="20"/>
          <w:color w:val="auto"/>
        </w:rPr>
      </w:pPr>
    </w:p>
    <w:p>
      <w:pPr>
        <w:jc w:val="right"/>
        <w:ind w:right="1180"/>
        <w:spacing w:after="0"/>
        <w:rPr>
          <w:sz w:val="20"/>
          <w:szCs w:val="20"/>
          <w:color w:val="auto"/>
        </w:rPr>
      </w:pPr>
      <w:r>
        <w:rPr>
          <w:rFonts w:ascii="Arial" w:cs="Arial" w:eastAsia="Arial" w:hAnsi="Arial"/>
          <w:sz w:val="20"/>
          <w:szCs w:val="20"/>
          <w:color w:val="auto"/>
        </w:rPr>
        <w:t>January 12, 2024</w:t>
      </w:r>
    </w:p>
    <w:p>
      <w:pPr>
        <w:spacing w:after="0" w:line="200" w:lineRule="exact"/>
        <w:rPr>
          <w:sz w:val="20"/>
          <w:szCs w:val="20"/>
          <w:color w:val="auto"/>
        </w:rPr>
      </w:pPr>
    </w:p>
    <w:p>
      <w:pPr>
        <w:jc w:val="right"/>
        <w:ind w:right="1140"/>
        <w:spacing w:after="0"/>
        <w:rPr>
          <w:sz w:val="20"/>
          <w:szCs w:val="20"/>
          <w:color w:val="auto"/>
        </w:rPr>
      </w:pPr>
      <w:r>
        <w:rPr>
          <w:rFonts w:ascii="Arial" w:cs="Arial" w:eastAsia="Arial" w:hAnsi="Arial"/>
          <w:sz w:val="20"/>
          <w:szCs w:val="20"/>
          <w:color w:val="auto"/>
        </w:rPr>
        <w:t>January 13, 2024 –</w:t>
      </w:r>
    </w:p>
    <w:p>
      <w:pPr>
        <w:spacing w:after="0" w:line="2" w:lineRule="exact"/>
        <w:rPr>
          <w:sz w:val="20"/>
          <w:szCs w:val="20"/>
          <w:color w:val="auto"/>
        </w:rPr>
      </w:pPr>
    </w:p>
    <w:p>
      <w:pPr>
        <w:jc w:val="right"/>
        <w:ind w:right="1180"/>
        <w:spacing w:after="0"/>
        <w:rPr>
          <w:sz w:val="20"/>
          <w:szCs w:val="20"/>
          <w:color w:val="auto"/>
        </w:rPr>
      </w:pPr>
      <w:r>
        <w:rPr>
          <w:rFonts w:ascii="Arial" w:cs="Arial" w:eastAsia="Arial" w:hAnsi="Arial"/>
          <w:sz w:val="20"/>
          <w:szCs w:val="20"/>
          <w:color w:val="auto"/>
        </w:rPr>
        <w:t>January 12, 2025</w:t>
      </w:r>
    </w:p>
    <w:p>
      <w:pPr>
        <w:spacing w:after="0" w:line="200" w:lineRule="exact"/>
        <w:rPr>
          <w:sz w:val="20"/>
          <w:szCs w:val="20"/>
          <w:color w:val="auto"/>
        </w:rPr>
      </w:pPr>
    </w:p>
    <w:p>
      <w:pPr>
        <w:jc w:val="right"/>
        <w:ind w:right="1140"/>
        <w:spacing w:after="0"/>
        <w:rPr>
          <w:sz w:val="20"/>
          <w:szCs w:val="20"/>
          <w:color w:val="auto"/>
        </w:rPr>
      </w:pPr>
      <w:r>
        <w:rPr>
          <w:rFonts w:ascii="Arial" w:cs="Arial" w:eastAsia="Arial" w:hAnsi="Arial"/>
          <w:sz w:val="20"/>
          <w:szCs w:val="20"/>
          <w:color w:val="auto"/>
        </w:rPr>
        <w:t>January 13, 2025 –</w:t>
      </w:r>
    </w:p>
    <w:p>
      <w:pPr>
        <w:spacing w:after="0" w:line="2" w:lineRule="exact"/>
        <w:rPr>
          <w:sz w:val="20"/>
          <w:szCs w:val="20"/>
          <w:color w:val="auto"/>
        </w:rPr>
      </w:pPr>
    </w:p>
    <w:p>
      <w:pPr>
        <w:jc w:val="right"/>
        <w:ind w:right="1180"/>
        <w:spacing w:after="0"/>
        <w:rPr>
          <w:sz w:val="20"/>
          <w:szCs w:val="20"/>
          <w:color w:val="auto"/>
        </w:rPr>
      </w:pPr>
      <w:r>
        <w:rPr>
          <w:rFonts w:ascii="Arial" w:cs="Arial" w:eastAsia="Arial" w:hAnsi="Arial"/>
          <w:sz w:val="20"/>
          <w:szCs w:val="20"/>
          <w:color w:val="auto"/>
        </w:rPr>
        <w:t>January 12, 2026</w:t>
      </w:r>
    </w:p>
    <w:p>
      <w:pPr>
        <w:spacing w:after="0" w:line="200" w:lineRule="exact"/>
        <w:rPr>
          <w:sz w:val="20"/>
          <w:szCs w:val="20"/>
          <w:color w:val="auto"/>
        </w:rPr>
      </w:pPr>
    </w:p>
    <w:p>
      <w:pPr>
        <w:jc w:val="right"/>
        <w:ind w:right="1140"/>
        <w:spacing w:after="0"/>
        <w:rPr>
          <w:sz w:val="20"/>
          <w:szCs w:val="20"/>
          <w:color w:val="auto"/>
        </w:rPr>
      </w:pPr>
      <w:r>
        <w:rPr>
          <w:rFonts w:ascii="Arial" w:cs="Arial" w:eastAsia="Arial" w:hAnsi="Arial"/>
          <w:sz w:val="20"/>
          <w:szCs w:val="20"/>
          <w:color w:val="auto"/>
        </w:rPr>
        <w:t>January 13, 2026 –</w:t>
      </w:r>
    </w:p>
    <w:p>
      <w:pPr>
        <w:spacing w:after="0" w:line="2" w:lineRule="exact"/>
        <w:rPr>
          <w:sz w:val="20"/>
          <w:szCs w:val="20"/>
          <w:color w:val="auto"/>
        </w:rPr>
      </w:pPr>
    </w:p>
    <w:p>
      <w:pPr>
        <w:jc w:val="right"/>
        <w:ind w:right="1180"/>
        <w:spacing w:after="0"/>
        <w:rPr>
          <w:sz w:val="20"/>
          <w:szCs w:val="20"/>
          <w:color w:val="auto"/>
        </w:rPr>
      </w:pPr>
      <w:r>
        <w:rPr>
          <w:rFonts w:ascii="Arial" w:cs="Arial" w:eastAsia="Arial" w:hAnsi="Arial"/>
          <w:sz w:val="20"/>
          <w:szCs w:val="20"/>
          <w:color w:val="auto"/>
        </w:rPr>
        <w:t>January 12, 2027</w:t>
      </w:r>
    </w:p>
    <w:p>
      <w:pPr>
        <w:spacing w:after="0" w:line="200" w:lineRule="exact"/>
        <w:rPr>
          <w:sz w:val="20"/>
          <w:szCs w:val="20"/>
          <w:color w:val="auto"/>
        </w:rPr>
      </w:pPr>
    </w:p>
    <w:p>
      <w:pPr>
        <w:jc w:val="right"/>
        <w:ind w:right="1140"/>
        <w:spacing w:after="0"/>
        <w:rPr>
          <w:sz w:val="20"/>
          <w:szCs w:val="20"/>
          <w:color w:val="auto"/>
        </w:rPr>
      </w:pPr>
      <w:r>
        <w:rPr>
          <w:rFonts w:ascii="Arial" w:cs="Arial" w:eastAsia="Arial" w:hAnsi="Arial"/>
          <w:sz w:val="20"/>
          <w:szCs w:val="20"/>
          <w:color w:val="auto"/>
        </w:rPr>
        <w:t>January 13, 2027 –</w:t>
      </w:r>
    </w:p>
    <w:p>
      <w:pPr>
        <w:spacing w:after="0" w:line="2" w:lineRule="exact"/>
        <w:rPr>
          <w:sz w:val="20"/>
          <w:szCs w:val="20"/>
          <w:color w:val="auto"/>
        </w:rPr>
      </w:pPr>
    </w:p>
    <w:p>
      <w:pPr>
        <w:jc w:val="right"/>
        <w:ind w:right="1180"/>
        <w:spacing w:after="0"/>
        <w:rPr>
          <w:sz w:val="20"/>
          <w:szCs w:val="20"/>
          <w:color w:val="auto"/>
        </w:rPr>
      </w:pPr>
      <w:r>
        <w:rPr>
          <w:rFonts w:ascii="Arial" w:cs="Arial" w:eastAsia="Arial" w:hAnsi="Arial"/>
          <w:sz w:val="20"/>
          <w:szCs w:val="20"/>
          <w:color w:val="auto"/>
        </w:rPr>
        <w:t>January 12, 2028</w:t>
      </w:r>
    </w:p>
    <w:p>
      <w:pPr>
        <w:spacing w:after="0" w:line="200" w:lineRule="exact"/>
        <w:rPr>
          <w:sz w:val="20"/>
          <w:szCs w:val="20"/>
          <w:color w:val="auto"/>
        </w:rPr>
      </w:pPr>
    </w:p>
    <w:p>
      <w:pPr>
        <w:jc w:val="right"/>
        <w:ind w:right="1140"/>
        <w:spacing w:after="0"/>
        <w:rPr>
          <w:sz w:val="20"/>
          <w:szCs w:val="20"/>
          <w:color w:val="auto"/>
        </w:rPr>
      </w:pPr>
      <w:r>
        <w:rPr>
          <w:rFonts w:ascii="Arial" w:cs="Arial" w:eastAsia="Arial" w:hAnsi="Arial"/>
          <w:sz w:val="20"/>
          <w:szCs w:val="20"/>
          <w:color w:val="auto"/>
        </w:rPr>
        <w:t>January 13, 2028 –</w:t>
      </w:r>
    </w:p>
    <w:p>
      <w:pPr>
        <w:spacing w:after="0" w:line="2" w:lineRule="exact"/>
        <w:rPr>
          <w:sz w:val="20"/>
          <w:szCs w:val="20"/>
          <w:color w:val="auto"/>
        </w:rPr>
      </w:pPr>
    </w:p>
    <w:p>
      <w:pPr>
        <w:jc w:val="right"/>
        <w:ind w:right="1180"/>
        <w:spacing w:after="0"/>
        <w:rPr>
          <w:sz w:val="20"/>
          <w:szCs w:val="20"/>
          <w:color w:val="auto"/>
        </w:rPr>
      </w:pPr>
      <w:r>
        <w:rPr>
          <w:rFonts w:ascii="Arial" w:cs="Arial" w:eastAsia="Arial" w:hAnsi="Arial"/>
          <w:sz w:val="20"/>
          <w:szCs w:val="20"/>
          <w:color w:val="auto"/>
        </w:rPr>
        <w:t>January 12, 2029</w:t>
      </w:r>
    </w:p>
    <w:p>
      <w:pPr>
        <w:spacing w:after="0" w:line="200" w:lineRule="exact"/>
        <w:rPr>
          <w:sz w:val="20"/>
          <w:szCs w:val="20"/>
          <w:color w:val="auto"/>
        </w:rPr>
      </w:pPr>
    </w:p>
    <w:p>
      <w:pPr>
        <w:jc w:val="right"/>
        <w:ind w:right="1140"/>
        <w:spacing w:after="0"/>
        <w:rPr>
          <w:sz w:val="20"/>
          <w:szCs w:val="20"/>
          <w:color w:val="auto"/>
        </w:rPr>
      </w:pPr>
      <w:r>
        <w:rPr>
          <w:rFonts w:ascii="Arial" w:cs="Arial" w:eastAsia="Arial" w:hAnsi="Arial"/>
          <w:sz w:val="20"/>
          <w:szCs w:val="20"/>
          <w:color w:val="auto"/>
        </w:rPr>
        <w:t>January 13, 2029 –</w:t>
      </w:r>
    </w:p>
    <w:p>
      <w:pPr>
        <w:spacing w:after="0" w:line="2" w:lineRule="exact"/>
        <w:rPr>
          <w:sz w:val="20"/>
          <w:szCs w:val="20"/>
          <w:color w:val="auto"/>
        </w:rPr>
      </w:pPr>
    </w:p>
    <w:p>
      <w:pPr>
        <w:jc w:val="right"/>
        <w:ind w:right="1180"/>
        <w:spacing w:after="0"/>
        <w:rPr>
          <w:sz w:val="20"/>
          <w:szCs w:val="20"/>
          <w:color w:val="auto"/>
        </w:rPr>
      </w:pPr>
      <w:r>
        <w:rPr>
          <w:rFonts w:ascii="Arial" w:cs="Arial" w:eastAsia="Arial" w:hAnsi="Arial"/>
          <w:sz w:val="20"/>
          <w:szCs w:val="20"/>
          <w:color w:val="auto"/>
        </w:rPr>
        <w:t>January 12, 2030</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January 13, 2030 –</w:t>
      </w:r>
    </w:p>
    <w:p>
      <w:pPr>
        <w:spacing w:after="0" w:line="2"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July 31, 2030</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80" w:type="dxa"/>
            <w:vAlign w:val="bottom"/>
            <w:gridSpan w:val="3"/>
          </w:tcPr>
          <w:p>
            <w:pPr>
              <w:jc w:val="center"/>
              <w:ind w:left="641"/>
              <w:spacing w:after="0"/>
              <w:rPr>
                <w:sz w:val="20"/>
                <w:szCs w:val="20"/>
                <w:color w:val="auto"/>
              </w:rPr>
            </w:pPr>
            <w:r>
              <w:rPr>
                <w:rFonts w:ascii="Arial" w:cs="Arial" w:eastAsia="Arial" w:hAnsi="Arial"/>
                <w:sz w:val="20"/>
                <w:szCs w:val="20"/>
                <w:color w:val="auto"/>
                <w:w w:val="92"/>
              </w:rPr>
              <w:t>Approximate</w:t>
            </w: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gridSpan w:val="2"/>
          </w:tcPr>
          <w:p>
            <w:pPr>
              <w:jc w:val="center"/>
              <w:ind w:right="40"/>
              <w:spacing w:after="0" w:line="203" w:lineRule="exact"/>
              <w:rPr>
                <w:sz w:val="20"/>
                <w:szCs w:val="20"/>
                <w:color w:val="auto"/>
              </w:rPr>
            </w:pPr>
            <w:r>
              <w:rPr>
                <w:rFonts w:ascii="Arial" w:cs="Arial" w:eastAsia="Arial" w:hAnsi="Arial"/>
                <w:sz w:val="20"/>
                <w:szCs w:val="20"/>
                <w:color w:val="auto"/>
                <w:w w:val="97"/>
              </w:rPr>
              <w:t>Monthly</w:t>
            </w: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gridSpan w:val="2"/>
          </w:tcPr>
          <w:p>
            <w:pPr>
              <w:jc w:val="center"/>
              <w:ind w:right="740"/>
              <w:spacing w:after="0" w:line="216" w:lineRule="exact"/>
              <w:rPr>
                <w:sz w:val="20"/>
                <w:szCs w:val="20"/>
                <w:color w:val="auto"/>
              </w:rPr>
            </w:pPr>
            <w:r>
              <w:rPr>
                <w:rFonts w:ascii="Arial" w:cs="Arial" w:eastAsia="Arial" w:hAnsi="Arial"/>
                <w:sz w:val="20"/>
                <w:szCs w:val="20"/>
                <w:color w:val="auto"/>
                <w:w w:val="97"/>
              </w:rPr>
              <w:t>Monthly</w:t>
            </w:r>
          </w:p>
        </w:tc>
        <w:tc>
          <w:tcPr>
            <w:tcW w:w="780" w:type="dxa"/>
            <w:vAlign w:val="bottom"/>
          </w:tcPr>
          <w:p>
            <w:pPr>
              <w:spacing w:after="0"/>
              <w:rPr>
                <w:sz w:val="18"/>
                <w:szCs w:val="18"/>
                <w:color w:val="auto"/>
              </w:rPr>
            </w:pPr>
          </w:p>
        </w:tc>
        <w:tc>
          <w:tcPr>
            <w:tcW w:w="1000" w:type="dxa"/>
            <w:vAlign w:val="bottom"/>
            <w:gridSpan w:val="2"/>
          </w:tcPr>
          <w:p>
            <w:pPr>
              <w:jc w:val="center"/>
              <w:ind w:right="60"/>
              <w:spacing w:after="0" w:line="216" w:lineRule="exact"/>
              <w:rPr>
                <w:sz w:val="20"/>
                <w:szCs w:val="20"/>
                <w:color w:val="auto"/>
              </w:rPr>
            </w:pPr>
            <w:r>
              <w:rPr>
                <w:rFonts w:ascii="Arial" w:cs="Arial" w:eastAsia="Arial" w:hAnsi="Arial"/>
                <w:sz w:val="20"/>
                <w:szCs w:val="20"/>
                <w:color w:val="auto"/>
                <w:w w:val="88"/>
              </w:rPr>
              <w:t>Rental Rate</w:t>
            </w:r>
          </w:p>
        </w:tc>
      </w:tr>
      <w:tr>
        <w:trPr>
          <w:trHeight w:val="203"/>
        </w:trPr>
        <w:tc>
          <w:tcPr>
            <w:tcW w:w="80" w:type="dxa"/>
            <w:vAlign w:val="bottom"/>
          </w:tcPr>
          <w:p>
            <w:pPr>
              <w:spacing w:after="0"/>
              <w:rPr>
                <w:sz w:val="17"/>
                <w:szCs w:val="17"/>
                <w:color w:val="auto"/>
              </w:rPr>
            </w:pPr>
          </w:p>
        </w:tc>
        <w:tc>
          <w:tcPr>
            <w:tcW w:w="2380" w:type="dxa"/>
            <w:vAlign w:val="bottom"/>
            <w:gridSpan w:val="2"/>
          </w:tcPr>
          <w:p>
            <w:pPr>
              <w:jc w:val="center"/>
              <w:ind w:right="1560"/>
              <w:spacing w:after="0" w:line="203" w:lineRule="exact"/>
              <w:rPr>
                <w:sz w:val="20"/>
                <w:szCs w:val="20"/>
                <w:color w:val="auto"/>
              </w:rPr>
            </w:pPr>
            <w:r>
              <w:rPr>
                <w:rFonts w:ascii="Arial" w:cs="Arial" w:eastAsia="Arial" w:hAnsi="Arial"/>
                <w:sz w:val="20"/>
                <w:szCs w:val="20"/>
                <w:color w:val="auto"/>
                <w:w w:val="93"/>
              </w:rPr>
              <w:t>Annual</w:t>
            </w:r>
          </w:p>
        </w:tc>
        <w:tc>
          <w:tcPr>
            <w:tcW w:w="1740" w:type="dxa"/>
            <w:vAlign w:val="bottom"/>
            <w:gridSpan w:val="2"/>
          </w:tcPr>
          <w:p>
            <w:pPr>
              <w:jc w:val="center"/>
              <w:ind w:right="740"/>
              <w:spacing w:after="0" w:line="203" w:lineRule="exact"/>
              <w:rPr>
                <w:sz w:val="20"/>
                <w:szCs w:val="20"/>
                <w:color w:val="auto"/>
              </w:rPr>
            </w:pPr>
            <w:r>
              <w:rPr>
                <w:rFonts w:ascii="Arial" w:cs="Arial" w:eastAsia="Arial" w:hAnsi="Arial"/>
                <w:sz w:val="20"/>
                <w:szCs w:val="20"/>
                <w:color w:val="auto"/>
                <w:w w:val="90"/>
              </w:rPr>
              <w:t>Installment</w:t>
            </w:r>
          </w:p>
        </w:tc>
        <w:tc>
          <w:tcPr>
            <w:tcW w:w="1780" w:type="dxa"/>
            <w:vAlign w:val="bottom"/>
            <w:gridSpan w:val="3"/>
          </w:tcPr>
          <w:p>
            <w:pPr>
              <w:jc w:val="center"/>
              <w:ind w:left="641"/>
              <w:spacing w:after="0" w:line="203" w:lineRule="exact"/>
              <w:rPr>
                <w:sz w:val="20"/>
                <w:szCs w:val="20"/>
                <w:color w:val="auto"/>
              </w:rPr>
            </w:pPr>
            <w:r>
              <w:rPr>
                <w:rFonts w:ascii="Arial" w:cs="Arial" w:eastAsia="Arial" w:hAnsi="Arial"/>
                <w:sz w:val="20"/>
                <w:szCs w:val="20"/>
                <w:color w:val="auto"/>
                <w:w w:val="87"/>
              </w:rPr>
              <w:t>per Rentable</w:t>
            </w:r>
          </w:p>
        </w:tc>
      </w:tr>
      <w:tr>
        <w:trPr>
          <w:trHeight w:val="206"/>
        </w:trPr>
        <w:tc>
          <w:tcPr>
            <w:tcW w:w="80" w:type="dxa"/>
            <w:vAlign w:val="bottom"/>
          </w:tcPr>
          <w:p>
            <w:pPr>
              <w:spacing w:after="0"/>
              <w:rPr>
                <w:sz w:val="17"/>
                <w:szCs w:val="17"/>
                <w:color w:val="auto"/>
              </w:rPr>
            </w:pPr>
          </w:p>
        </w:tc>
        <w:tc>
          <w:tcPr>
            <w:tcW w:w="2380" w:type="dxa"/>
            <w:vAlign w:val="bottom"/>
            <w:gridSpan w:val="2"/>
          </w:tcPr>
          <w:p>
            <w:pPr>
              <w:jc w:val="center"/>
              <w:ind w:right="1580"/>
              <w:spacing w:after="0" w:line="206" w:lineRule="exact"/>
              <w:rPr>
                <w:sz w:val="20"/>
                <w:szCs w:val="20"/>
                <w:color w:val="auto"/>
              </w:rPr>
            </w:pPr>
            <w:r>
              <w:rPr>
                <w:rFonts w:ascii="Arial" w:cs="Arial" w:eastAsia="Arial" w:hAnsi="Arial"/>
                <w:sz w:val="20"/>
                <w:szCs w:val="20"/>
                <w:color w:val="auto"/>
                <w:w w:val="85"/>
              </w:rPr>
              <w:t>Base Rent</w:t>
            </w:r>
          </w:p>
        </w:tc>
        <w:tc>
          <w:tcPr>
            <w:tcW w:w="1740" w:type="dxa"/>
            <w:vAlign w:val="bottom"/>
            <w:gridSpan w:val="2"/>
          </w:tcPr>
          <w:p>
            <w:pPr>
              <w:jc w:val="center"/>
              <w:ind w:right="720"/>
              <w:spacing w:after="0" w:line="206" w:lineRule="exact"/>
              <w:rPr>
                <w:sz w:val="20"/>
                <w:szCs w:val="20"/>
                <w:color w:val="auto"/>
              </w:rPr>
            </w:pPr>
            <w:r>
              <w:rPr>
                <w:rFonts w:ascii="Arial" w:cs="Arial" w:eastAsia="Arial" w:hAnsi="Arial"/>
                <w:sz w:val="20"/>
                <w:szCs w:val="20"/>
                <w:color w:val="auto"/>
                <w:w w:val="88"/>
              </w:rPr>
              <w:t>of Base Rent</w:t>
            </w:r>
          </w:p>
        </w:tc>
        <w:tc>
          <w:tcPr>
            <w:tcW w:w="1780" w:type="dxa"/>
            <w:vAlign w:val="bottom"/>
            <w:gridSpan w:val="3"/>
          </w:tcPr>
          <w:p>
            <w:pPr>
              <w:jc w:val="center"/>
              <w:ind w:left="641"/>
              <w:spacing w:after="0" w:line="206" w:lineRule="exact"/>
              <w:rPr>
                <w:sz w:val="20"/>
                <w:szCs w:val="20"/>
                <w:color w:val="auto"/>
              </w:rPr>
            </w:pPr>
            <w:r>
              <w:rPr>
                <w:rFonts w:ascii="Arial" w:cs="Arial" w:eastAsia="Arial" w:hAnsi="Arial"/>
                <w:sz w:val="20"/>
                <w:szCs w:val="20"/>
                <w:color w:val="auto"/>
                <w:w w:val="87"/>
              </w:rPr>
              <w:t>Square Foot</w:t>
            </w:r>
          </w:p>
        </w:tc>
      </w:tr>
      <w:tr>
        <w:trPr>
          <w:trHeight w:val="578"/>
        </w:trPr>
        <w:tc>
          <w:tcPr>
            <w:tcW w:w="8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N/A</w:t>
            </w:r>
          </w:p>
        </w:tc>
        <w:tc>
          <w:tcPr>
            <w:tcW w:w="158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$57,635.10</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$7.65</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$715,827.94</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$59,652.33</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$7.92</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$740,881.92</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$61,740.16</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$8.19</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$766,812.79</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$63,901.07</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$8.48</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$793,651.23</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$66,137.60</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$8.78</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$821,429.03</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$68,452.42</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$9.09</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$850,179.04</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$70,848.25</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$9.40</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$879,935.31</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$73,327.94</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$9.73</w:t>
            </w:r>
          </w:p>
        </w:tc>
        <w:tc>
          <w:tcPr>
            <w:tcW w:w="40" w:type="dxa"/>
            <w:vAlign w:val="bottom"/>
          </w:tcPr>
          <w:p>
            <w:pPr>
              <w:spacing w:after="0"/>
              <w:rPr>
                <w:sz w:val="24"/>
                <w:szCs w:val="24"/>
                <w:color w:val="auto"/>
              </w:rPr>
            </w:pPr>
          </w:p>
        </w:tc>
      </w:tr>
      <w:tr>
        <w:trPr>
          <w:trHeight w:val="662"/>
        </w:trPr>
        <w:tc>
          <w:tcPr>
            <w:tcW w:w="80" w:type="dxa"/>
            <w:vAlign w:val="bottom"/>
          </w:tcPr>
          <w:p>
            <w:pPr>
              <w:spacing w:after="0"/>
              <w:rPr>
                <w:sz w:val="24"/>
                <w:szCs w:val="24"/>
                <w:color w:val="auto"/>
              </w:rPr>
            </w:pPr>
          </w:p>
        </w:tc>
        <w:tc>
          <w:tcPr>
            <w:tcW w:w="2380" w:type="dxa"/>
            <w:vAlign w:val="bottom"/>
            <w:gridSpan w:val="2"/>
          </w:tcPr>
          <w:p>
            <w:pPr>
              <w:jc w:val="center"/>
              <w:ind w:right="1560"/>
              <w:spacing w:after="0"/>
              <w:rPr>
                <w:sz w:val="20"/>
                <w:szCs w:val="20"/>
                <w:color w:val="auto"/>
              </w:rPr>
            </w:pPr>
            <w:r>
              <w:rPr>
                <w:rFonts w:ascii="Arial" w:cs="Arial" w:eastAsia="Arial" w:hAnsi="Arial"/>
                <w:sz w:val="20"/>
                <w:szCs w:val="20"/>
                <w:color w:val="auto"/>
              </w:rPr>
              <w:t>N/A</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$75,894.42</w:t>
            </w:r>
          </w:p>
        </w:tc>
        <w:tc>
          <w:tcPr>
            <w:tcW w:w="720" w:type="dxa"/>
            <w:vAlign w:val="bottom"/>
          </w:tcPr>
          <w:p>
            <w:pPr>
              <w:spacing w:after="0"/>
              <w:rPr>
                <w:sz w:val="24"/>
                <w:szCs w:val="24"/>
                <w:color w:val="auto"/>
              </w:rPr>
            </w:pPr>
          </w:p>
        </w:tc>
        <w:tc>
          <w:tcPr>
            <w:tcW w:w="1740" w:type="dxa"/>
            <w:vAlign w:val="bottom"/>
            <w:gridSpan w:val="2"/>
          </w:tcPr>
          <w:p>
            <w:pPr>
              <w:jc w:val="center"/>
              <w:ind w:left="661"/>
              <w:spacing w:after="0"/>
              <w:rPr>
                <w:sz w:val="20"/>
                <w:szCs w:val="20"/>
                <w:color w:val="auto"/>
              </w:rPr>
            </w:pPr>
            <w:r>
              <w:rPr>
                <w:rFonts w:ascii="Arial" w:cs="Arial" w:eastAsia="Arial" w:hAnsi="Arial"/>
                <w:sz w:val="20"/>
                <w:szCs w:val="20"/>
                <w:color w:val="auto"/>
                <w:w w:val="88"/>
              </w:rPr>
              <w:t>$10.07</w:t>
            </w:r>
          </w:p>
        </w:tc>
        <w:tc>
          <w:tcPr>
            <w:tcW w:w="40" w:type="dxa"/>
            <w:vAlign w:val="bottom"/>
          </w:tcPr>
          <w:p>
            <w:pPr>
              <w:spacing w:after="0"/>
              <w:rPr>
                <w:sz w:val="24"/>
                <w:szCs w:val="24"/>
                <w:color w:val="auto"/>
              </w:rPr>
            </w:pPr>
          </w:p>
        </w:tc>
      </w:tr>
    </w:tbl>
    <w:p>
      <w:pPr>
        <w:spacing w:after="0" w:line="297" w:lineRule="exact"/>
        <w:rPr>
          <w:sz w:val="20"/>
          <w:szCs w:val="20"/>
          <w:color w:val="auto"/>
        </w:rPr>
      </w:pPr>
    </w:p>
    <w:p>
      <w:pPr>
        <w:sectPr>
          <w:pgSz w:w="11900" w:h="16838" w:orient="portrait"/>
          <w:cols w:equalWidth="0" w:num="2">
            <w:col w:w="3760" w:space="720"/>
            <w:col w:w="6760"/>
          </w:cols>
          <w:pgMar w:left="320" w:top="118" w:right="339" w:bottom="1440" w:gutter="0" w:footer="0" w:header="0"/>
          <w:type w:val="continuous"/>
        </w:sectPr>
      </w:pPr>
    </w:p>
    <w:p>
      <w:pPr>
        <w:jc w:val="both"/>
        <w:ind w:firstLine="1497"/>
        <w:spacing w:after="0" w:line="270"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Suite 104</w:t>
      </w:r>
      <w:r>
        <w:rPr>
          <w:rFonts w:ascii="Arial" w:cs="Arial" w:eastAsia="Arial" w:hAnsi="Arial"/>
          <w:sz w:val="18"/>
          <w:szCs w:val="18"/>
          <w:color w:val="auto"/>
        </w:rPr>
        <w:t>. Commencing retroactively as of July 1, 2022, the Base Rent schedule applicable to Suite 104 shall be replaced with the Base Rent schedule set forth below, and Tenant shall otherwise pay Base Rent in accordance with the terms of the Lease. In connection with the foregoing, as Tenant has paid Base Rent for the months of July 2022 and August 2022, concurrently with Tenant’s execution of this Fifth Amendment Tenant shall pay to Landlord an amount equal to the difference between the original Base Rent amount due for Suite 104 for such months and the Base Rent due and owing pursuant to the replacement Base Rent schedule below.</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5" w:name="page86"/>
    <w:bookmarkEnd w:id="85"/>
    <w:p>
      <w:pPr>
        <w:ind w:left="10180"/>
        <w:spacing w:after="0"/>
        <w:rPr>
          <w:sz w:val="20"/>
          <w:szCs w:val="20"/>
          <w:color w:val="auto"/>
        </w:rPr>
      </w:pPr>
      <w:r>
        <w:rPr>
          <w:rFonts w:ascii="Arial" w:cs="Arial" w:eastAsia="Arial" w:hAnsi="Arial"/>
          <w:sz w:val="19"/>
          <w:szCs w:val="19"/>
          <w:color w:val="auto"/>
        </w:rPr>
        <w:t>Exhibit 10.2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0"/>
        <w:spacing w:after="0"/>
        <w:rPr>
          <w:sz w:val="20"/>
          <w:szCs w:val="20"/>
          <w:color w:val="auto"/>
        </w:rPr>
      </w:pPr>
      <w:r>
        <w:rPr>
          <w:rFonts w:ascii="Arial" w:cs="Arial" w:eastAsia="Arial" w:hAnsi="Arial"/>
          <w:sz w:val="18"/>
          <w:szCs w:val="18"/>
          <w:u w:val="single" w:color="auto"/>
          <w:color w:val="auto"/>
        </w:rPr>
        <w:t>Period During Lease Term</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July 1, 2022 –</w:t>
      </w:r>
    </w:p>
    <w:p>
      <w:pPr>
        <w:ind w:left="1320"/>
        <w:spacing w:after="0"/>
        <w:rPr>
          <w:sz w:val="20"/>
          <w:szCs w:val="20"/>
          <w:color w:val="auto"/>
        </w:rPr>
      </w:pPr>
      <w:r>
        <w:rPr>
          <w:rFonts w:ascii="Arial" w:cs="Arial" w:eastAsia="Arial" w:hAnsi="Arial"/>
          <w:sz w:val="20"/>
          <w:szCs w:val="20"/>
          <w:color w:val="auto"/>
        </w:rPr>
        <w:t>April 30, 2023</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 1, 2023 –</w:t>
      </w:r>
    </w:p>
    <w:p>
      <w:pPr>
        <w:ind w:left="1320"/>
        <w:spacing w:after="0"/>
        <w:rPr>
          <w:sz w:val="20"/>
          <w:szCs w:val="20"/>
          <w:color w:val="auto"/>
        </w:rPr>
      </w:pPr>
      <w:r>
        <w:rPr>
          <w:rFonts w:ascii="Arial" w:cs="Arial" w:eastAsia="Arial" w:hAnsi="Arial"/>
          <w:sz w:val="20"/>
          <w:szCs w:val="20"/>
          <w:color w:val="auto"/>
        </w:rPr>
        <w:t>April 30, 2024</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 1, 2024 –</w:t>
      </w:r>
    </w:p>
    <w:p>
      <w:pPr>
        <w:ind w:left="1320"/>
        <w:spacing w:after="0"/>
        <w:rPr>
          <w:sz w:val="20"/>
          <w:szCs w:val="20"/>
          <w:color w:val="auto"/>
        </w:rPr>
      </w:pPr>
      <w:r>
        <w:rPr>
          <w:rFonts w:ascii="Arial" w:cs="Arial" w:eastAsia="Arial" w:hAnsi="Arial"/>
          <w:sz w:val="20"/>
          <w:szCs w:val="20"/>
          <w:color w:val="auto"/>
        </w:rPr>
        <w:t>April 30, 2025</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 1, 2025 –</w:t>
      </w:r>
    </w:p>
    <w:p>
      <w:pPr>
        <w:ind w:left="1320"/>
        <w:spacing w:after="0"/>
        <w:rPr>
          <w:sz w:val="20"/>
          <w:szCs w:val="20"/>
          <w:color w:val="auto"/>
        </w:rPr>
      </w:pPr>
      <w:r>
        <w:rPr>
          <w:rFonts w:ascii="Arial" w:cs="Arial" w:eastAsia="Arial" w:hAnsi="Arial"/>
          <w:sz w:val="20"/>
          <w:szCs w:val="20"/>
          <w:color w:val="auto"/>
        </w:rPr>
        <w:t>April 30, 2026</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 1, 2026 –</w:t>
      </w:r>
    </w:p>
    <w:p>
      <w:pPr>
        <w:ind w:left="1320"/>
        <w:spacing w:after="0"/>
        <w:rPr>
          <w:sz w:val="20"/>
          <w:szCs w:val="20"/>
          <w:color w:val="auto"/>
        </w:rPr>
      </w:pPr>
      <w:r>
        <w:rPr>
          <w:rFonts w:ascii="Arial" w:cs="Arial" w:eastAsia="Arial" w:hAnsi="Arial"/>
          <w:sz w:val="20"/>
          <w:szCs w:val="20"/>
          <w:color w:val="auto"/>
        </w:rPr>
        <w:t>April 30, 2027</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 1, 2027 –</w:t>
      </w:r>
    </w:p>
    <w:p>
      <w:pPr>
        <w:ind w:left="1320"/>
        <w:spacing w:after="0"/>
        <w:rPr>
          <w:sz w:val="20"/>
          <w:szCs w:val="20"/>
          <w:color w:val="auto"/>
        </w:rPr>
      </w:pPr>
      <w:r>
        <w:rPr>
          <w:rFonts w:ascii="Arial" w:cs="Arial" w:eastAsia="Arial" w:hAnsi="Arial"/>
          <w:sz w:val="20"/>
          <w:szCs w:val="20"/>
          <w:color w:val="auto"/>
        </w:rPr>
        <w:t>April 30, 2028</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 1, 2028 –</w:t>
      </w:r>
    </w:p>
    <w:p>
      <w:pPr>
        <w:ind w:left="1320"/>
        <w:spacing w:after="0"/>
        <w:rPr>
          <w:sz w:val="20"/>
          <w:szCs w:val="20"/>
          <w:color w:val="auto"/>
        </w:rPr>
      </w:pPr>
      <w:r>
        <w:rPr>
          <w:rFonts w:ascii="Arial" w:cs="Arial" w:eastAsia="Arial" w:hAnsi="Arial"/>
          <w:sz w:val="20"/>
          <w:szCs w:val="20"/>
          <w:color w:val="auto"/>
        </w:rPr>
        <w:t>April 30, 2029</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 1, 2029 –</w:t>
      </w:r>
    </w:p>
    <w:p>
      <w:pPr>
        <w:ind w:left="1320"/>
        <w:spacing w:after="0"/>
        <w:rPr>
          <w:sz w:val="20"/>
          <w:szCs w:val="20"/>
          <w:color w:val="auto"/>
        </w:rPr>
      </w:pPr>
      <w:r>
        <w:rPr>
          <w:rFonts w:ascii="Arial" w:cs="Arial" w:eastAsia="Arial" w:hAnsi="Arial"/>
          <w:sz w:val="20"/>
          <w:szCs w:val="20"/>
          <w:color w:val="auto"/>
        </w:rPr>
        <w:t>April 30, 2030</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May 1, 2030 –</w:t>
      </w:r>
    </w:p>
    <w:p>
      <w:pPr>
        <w:ind w:left="1360"/>
        <w:spacing w:after="0"/>
        <w:rPr>
          <w:sz w:val="20"/>
          <w:szCs w:val="20"/>
          <w:color w:val="auto"/>
        </w:rPr>
      </w:pPr>
      <w:r>
        <w:rPr>
          <w:rFonts w:ascii="Arial" w:cs="Arial" w:eastAsia="Arial" w:hAnsi="Arial"/>
          <w:sz w:val="20"/>
          <w:szCs w:val="20"/>
          <w:color w:val="auto"/>
        </w:rPr>
        <w:t>July 31, 2030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80" w:type="dxa"/>
            <w:vAlign w:val="bottom"/>
            <w:gridSpan w:val="3"/>
          </w:tcPr>
          <w:p>
            <w:pPr>
              <w:jc w:val="center"/>
              <w:ind w:left="641"/>
              <w:spacing w:after="0"/>
              <w:rPr>
                <w:sz w:val="20"/>
                <w:szCs w:val="20"/>
                <w:color w:val="auto"/>
              </w:rPr>
            </w:pPr>
            <w:r>
              <w:rPr>
                <w:rFonts w:ascii="Arial" w:cs="Arial" w:eastAsia="Arial" w:hAnsi="Arial"/>
                <w:sz w:val="20"/>
                <w:szCs w:val="20"/>
                <w:color w:val="auto"/>
                <w:w w:val="92"/>
              </w:rPr>
              <w:t>Approximate</w:t>
            </w:r>
          </w:p>
        </w:tc>
      </w:tr>
      <w:tr>
        <w:trPr>
          <w:trHeight w:val="203"/>
        </w:trPr>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gridSpan w:val="2"/>
          </w:tcPr>
          <w:p>
            <w:pPr>
              <w:jc w:val="center"/>
              <w:ind w:right="40"/>
              <w:spacing w:after="0" w:line="203" w:lineRule="exact"/>
              <w:rPr>
                <w:sz w:val="20"/>
                <w:szCs w:val="20"/>
                <w:color w:val="auto"/>
              </w:rPr>
            </w:pPr>
            <w:r>
              <w:rPr>
                <w:rFonts w:ascii="Arial" w:cs="Arial" w:eastAsia="Arial" w:hAnsi="Arial"/>
                <w:sz w:val="20"/>
                <w:szCs w:val="20"/>
                <w:color w:val="auto"/>
                <w:w w:val="97"/>
              </w:rPr>
              <w:t>Monthly</w:t>
            </w: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gridSpan w:val="2"/>
          </w:tcPr>
          <w:p>
            <w:pPr>
              <w:jc w:val="center"/>
              <w:ind w:right="740"/>
              <w:spacing w:after="0" w:line="216" w:lineRule="exact"/>
              <w:rPr>
                <w:sz w:val="20"/>
                <w:szCs w:val="20"/>
                <w:color w:val="auto"/>
              </w:rPr>
            </w:pPr>
            <w:r>
              <w:rPr>
                <w:rFonts w:ascii="Arial" w:cs="Arial" w:eastAsia="Arial" w:hAnsi="Arial"/>
                <w:sz w:val="20"/>
                <w:szCs w:val="20"/>
                <w:color w:val="auto"/>
                <w:w w:val="97"/>
              </w:rPr>
              <w:t>Monthly</w:t>
            </w:r>
          </w:p>
        </w:tc>
        <w:tc>
          <w:tcPr>
            <w:tcW w:w="780" w:type="dxa"/>
            <w:vAlign w:val="bottom"/>
          </w:tcPr>
          <w:p>
            <w:pPr>
              <w:spacing w:after="0"/>
              <w:rPr>
                <w:sz w:val="18"/>
                <w:szCs w:val="18"/>
                <w:color w:val="auto"/>
              </w:rPr>
            </w:pPr>
          </w:p>
        </w:tc>
        <w:tc>
          <w:tcPr>
            <w:tcW w:w="1000" w:type="dxa"/>
            <w:vAlign w:val="bottom"/>
            <w:gridSpan w:val="2"/>
          </w:tcPr>
          <w:p>
            <w:pPr>
              <w:jc w:val="center"/>
              <w:ind w:right="60"/>
              <w:spacing w:after="0" w:line="216" w:lineRule="exact"/>
              <w:rPr>
                <w:sz w:val="20"/>
                <w:szCs w:val="20"/>
                <w:color w:val="auto"/>
              </w:rPr>
            </w:pPr>
            <w:r>
              <w:rPr>
                <w:rFonts w:ascii="Arial" w:cs="Arial" w:eastAsia="Arial" w:hAnsi="Arial"/>
                <w:sz w:val="20"/>
                <w:szCs w:val="20"/>
                <w:color w:val="auto"/>
                <w:w w:val="88"/>
              </w:rPr>
              <w:t>Rental Rate</w:t>
            </w:r>
          </w:p>
        </w:tc>
      </w:tr>
      <w:tr>
        <w:trPr>
          <w:trHeight w:val="203"/>
        </w:trPr>
        <w:tc>
          <w:tcPr>
            <w:tcW w:w="80" w:type="dxa"/>
            <w:vAlign w:val="bottom"/>
          </w:tcPr>
          <w:p>
            <w:pPr>
              <w:spacing w:after="0"/>
              <w:rPr>
                <w:sz w:val="17"/>
                <w:szCs w:val="17"/>
                <w:color w:val="auto"/>
              </w:rPr>
            </w:pPr>
          </w:p>
        </w:tc>
        <w:tc>
          <w:tcPr>
            <w:tcW w:w="2380" w:type="dxa"/>
            <w:vAlign w:val="bottom"/>
            <w:gridSpan w:val="2"/>
          </w:tcPr>
          <w:p>
            <w:pPr>
              <w:jc w:val="center"/>
              <w:ind w:right="1560"/>
              <w:spacing w:after="0" w:line="203" w:lineRule="exact"/>
              <w:rPr>
                <w:sz w:val="20"/>
                <w:szCs w:val="20"/>
                <w:color w:val="auto"/>
              </w:rPr>
            </w:pPr>
            <w:r>
              <w:rPr>
                <w:rFonts w:ascii="Arial" w:cs="Arial" w:eastAsia="Arial" w:hAnsi="Arial"/>
                <w:sz w:val="20"/>
                <w:szCs w:val="20"/>
                <w:color w:val="auto"/>
                <w:w w:val="93"/>
              </w:rPr>
              <w:t>Annual</w:t>
            </w:r>
          </w:p>
        </w:tc>
        <w:tc>
          <w:tcPr>
            <w:tcW w:w="1740" w:type="dxa"/>
            <w:vAlign w:val="bottom"/>
            <w:gridSpan w:val="2"/>
          </w:tcPr>
          <w:p>
            <w:pPr>
              <w:jc w:val="center"/>
              <w:ind w:right="740"/>
              <w:spacing w:after="0" w:line="203" w:lineRule="exact"/>
              <w:rPr>
                <w:sz w:val="20"/>
                <w:szCs w:val="20"/>
                <w:color w:val="auto"/>
              </w:rPr>
            </w:pPr>
            <w:r>
              <w:rPr>
                <w:rFonts w:ascii="Arial" w:cs="Arial" w:eastAsia="Arial" w:hAnsi="Arial"/>
                <w:sz w:val="20"/>
                <w:szCs w:val="20"/>
                <w:color w:val="auto"/>
                <w:w w:val="90"/>
              </w:rPr>
              <w:t>Installment</w:t>
            </w:r>
          </w:p>
        </w:tc>
        <w:tc>
          <w:tcPr>
            <w:tcW w:w="1780" w:type="dxa"/>
            <w:vAlign w:val="bottom"/>
            <w:gridSpan w:val="3"/>
          </w:tcPr>
          <w:p>
            <w:pPr>
              <w:jc w:val="center"/>
              <w:ind w:left="641"/>
              <w:spacing w:after="0" w:line="203" w:lineRule="exact"/>
              <w:rPr>
                <w:sz w:val="20"/>
                <w:szCs w:val="20"/>
                <w:color w:val="auto"/>
              </w:rPr>
            </w:pPr>
            <w:r>
              <w:rPr>
                <w:rFonts w:ascii="Arial" w:cs="Arial" w:eastAsia="Arial" w:hAnsi="Arial"/>
                <w:sz w:val="20"/>
                <w:szCs w:val="20"/>
                <w:color w:val="auto"/>
                <w:w w:val="87"/>
              </w:rPr>
              <w:t>per Rentable</w:t>
            </w:r>
          </w:p>
        </w:tc>
      </w:tr>
      <w:tr>
        <w:trPr>
          <w:trHeight w:val="206"/>
        </w:trPr>
        <w:tc>
          <w:tcPr>
            <w:tcW w:w="80" w:type="dxa"/>
            <w:vAlign w:val="bottom"/>
          </w:tcPr>
          <w:p>
            <w:pPr>
              <w:spacing w:after="0"/>
              <w:rPr>
                <w:sz w:val="17"/>
                <w:szCs w:val="17"/>
                <w:color w:val="auto"/>
              </w:rPr>
            </w:pPr>
          </w:p>
        </w:tc>
        <w:tc>
          <w:tcPr>
            <w:tcW w:w="2380" w:type="dxa"/>
            <w:vAlign w:val="bottom"/>
            <w:gridSpan w:val="2"/>
          </w:tcPr>
          <w:p>
            <w:pPr>
              <w:jc w:val="center"/>
              <w:ind w:right="1580"/>
              <w:spacing w:after="0" w:line="206" w:lineRule="exact"/>
              <w:rPr>
                <w:sz w:val="20"/>
                <w:szCs w:val="20"/>
                <w:color w:val="auto"/>
              </w:rPr>
            </w:pPr>
            <w:r>
              <w:rPr>
                <w:rFonts w:ascii="Arial" w:cs="Arial" w:eastAsia="Arial" w:hAnsi="Arial"/>
                <w:sz w:val="20"/>
                <w:szCs w:val="20"/>
                <w:color w:val="auto"/>
                <w:w w:val="85"/>
              </w:rPr>
              <w:t>Base Rent</w:t>
            </w:r>
          </w:p>
        </w:tc>
        <w:tc>
          <w:tcPr>
            <w:tcW w:w="1740" w:type="dxa"/>
            <w:vAlign w:val="bottom"/>
            <w:gridSpan w:val="2"/>
          </w:tcPr>
          <w:p>
            <w:pPr>
              <w:jc w:val="center"/>
              <w:ind w:right="720"/>
              <w:spacing w:after="0" w:line="206" w:lineRule="exact"/>
              <w:rPr>
                <w:sz w:val="20"/>
                <w:szCs w:val="20"/>
                <w:color w:val="auto"/>
              </w:rPr>
            </w:pPr>
            <w:r>
              <w:rPr>
                <w:rFonts w:ascii="Arial" w:cs="Arial" w:eastAsia="Arial" w:hAnsi="Arial"/>
                <w:sz w:val="20"/>
                <w:szCs w:val="20"/>
                <w:color w:val="auto"/>
                <w:w w:val="88"/>
              </w:rPr>
              <w:t>of Base Rent</w:t>
            </w:r>
          </w:p>
        </w:tc>
        <w:tc>
          <w:tcPr>
            <w:tcW w:w="1780" w:type="dxa"/>
            <w:vAlign w:val="bottom"/>
            <w:gridSpan w:val="3"/>
          </w:tcPr>
          <w:p>
            <w:pPr>
              <w:jc w:val="center"/>
              <w:ind w:left="641"/>
              <w:spacing w:after="0" w:line="206" w:lineRule="exact"/>
              <w:rPr>
                <w:sz w:val="20"/>
                <w:szCs w:val="20"/>
                <w:color w:val="auto"/>
              </w:rPr>
            </w:pPr>
            <w:r>
              <w:rPr>
                <w:rFonts w:ascii="Arial" w:cs="Arial" w:eastAsia="Arial" w:hAnsi="Arial"/>
                <w:sz w:val="20"/>
                <w:szCs w:val="20"/>
                <w:color w:val="auto"/>
                <w:w w:val="87"/>
              </w:rPr>
              <w:t>Square Foot</w:t>
            </w:r>
          </w:p>
        </w:tc>
      </w:tr>
      <w:tr>
        <w:trPr>
          <w:trHeight w:val="592"/>
        </w:trPr>
        <w:tc>
          <w:tcPr>
            <w:tcW w:w="8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N/A</w:t>
            </w:r>
          </w:p>
        </w:tc>
        <w:tc>
          <w:tcPr>
            <w:tcW w:w="158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$61,773.75</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$7.65</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$767,229.98</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$63,935.83</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$7.92</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$794,083.02</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$66,173.59</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$8.19</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$821,875.93</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$68,489.66</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$8.48</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$850,641.59</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$70,886.80</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$8.78</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$880,414.04</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$73,367.84</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$9.09</w:t>
            </w:r>
          </w:p>
        </w:tc>
        <w:tc>
          <w:tcPr>
            <w:tcW w:w="40" w:type="dxa"/>
            <w:vAlign w:val="bottom"/>
          </w:tcPr>
          <w:p>
            <w:pPr>
              <w:spacing w:after="0"/>
              <w:rPr>
                <w:sz w:val="24"/>
                <w:szCs w:val="24"/>
                <w:color w:val="auto"/>
              </w:rPr>
            </w:pPr>
          </w:p>
        </w:tc>
      </w:tr>
      <w:tr>
        <w:trPr>
          <w:trHeight w:val="662"/>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$911,228.53</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$75,935.71</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$9.40</w:t>
            </w:r>
          </w:p>
        </w:tc>
        <w:tc>
          <w:tcPr>
            <w:tcW w:w="40" w:type="dxa"/>
            <w:vAlign w:val="bottom"/>
          </w:tcPr>
          <w:p>
            <w:pPr>
              <w:spacing w:after="0"/>
              <w:rPr>
                <w:sz w:val="24"/>
                <w:szCs w:val="24"/>
                <w:color w:val="auto"/>
              </w:rPr>
            </w:pPr>
          </w:p>
        </w:tc>
      </w:tr>
      <w:tr>
        <w:trPr>
          <w:trHeight w:val="661"/>
        </w:trPr>
        <w:tc>
          <w:tcPr>
            <w:tcW w:w="2460" w:type="dxa"/>
            <w:vAlign w:val="bottom"/>
            <w:gridSpan w:val="3"/>
          </w:tcPr>
          <w:p>
            <w:pPr>
              <w:jc w:val="center"/>
              <w:ind w:right="1480"/>
              <w:spacing w:after="0"/>
              <w:rPr>
                <w:sz w:val="20"/>
                <w:szCs w:val="20"/>
                <w:color w:val="auto"/>
              </w:rPr>
            </w:pPr>
            <w:r>
              <w:rPr>
                <w:rFonts w:ascii="Arial" w:cs="Arial" w:eastAsia="Arial" w:hAnsi="Arial"/>
                <w:sz w:val="20"/>
                <w:szCs w:val="20"/>
                <w:color w:val="auto"/>
                <w:w w:val="88"/>
              </w:rPr>
              <w:t>$943,121.53</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$78,593.46</w:t>
            </w:r>
          </w:p>
        </w:tc>
        <w:tc>
          <w:tcPr>
            <w:tcW w:w="720" w:type="dxa"/>
            <w:vAlign w:val="bottom"/>
          </w:tcPr>
          <w:p>
            <w:pPr>
              <w:spacing w:after="0"/>
              <w:rPr>
                <w:sz w:val="24"/>
                <w:szCs w:val="24"/>
                <w:color w:val="auto"/>
              </w:rPr>
            </w:pPr>
          </w:p>
        </w:tc>
        <w:tc>
          <w:tcPr>
            <w:tcW w:w="1740" w:type="dxa"/>
            <w:vAlign w:val="bottom"/>
            <w:gridSpan w:val="2"/>
          </w:tcPr>
          <w:p>
            <w:pPr>
              <w:jc w:val="center"/>
              <w:ind w:left="681"/>
              <w:spacing w:after="0"/>
              <w:rPr>
                <w:sz w:val="20"/>
                <w:szCs w:val="20"/>
                <w:color w:val="auto"/>
              </w:rPr>
            </w:pPr>
            <w:r>
              <w:rPr>
                <w:rFonts w:ascii="Arial" w:cs="Arial" w:eastAsia="Arial" w:hAnsi="Arial"/>
                <w:sz w:val="20"/>
                <w:szCs w:val="20"/>
                <w:color w:val="auto"/>
                <w:w w:val="87"/>
              </w:rPr>
              <w:t>$9.73</w:t>
            </w:r>
          </w:p>
        </w:tc>
        <w:tc>
          <w:tcPr>
            <w:tcW w:w="40" w:type="dxa"/>
            <w:vAlign w:val="bottom"/>
          </w:tcPr>
          <w:p>
            <w:pPr>
              <w:spacing w:after="0"/>
              <w:rPr>
                <w:sz w:val="24"/>
                <w:szCs w:val="24"/>
                <w:color w:val="auto"/>
              </w:rPr>
            </w:pPr>
          </w:p>
        </w:tc>
      </w:tr>
      <w:tr>
        <w:trPr>
          <w:trHeight w:val="661"/>
        </w:trPr>
        <w:tc>
          <w:tcPr>
            <w:tcW w:w="80" w:type="dxa"/>
            <w:vAlign w:val="bottom"/>
          </w:tcPr>
          <w:p>
            <w:pPr>
              <w:spacing w:after="0"/>
              <w:rPr>
                <w:sz w:val="24"/>
                <w:szCs w:val="24"/>
                <w:color w:val="auto"/>
              </w:rPr>
            </w:pPr>
          </w:p>
        </w:tc>
        <w:tc>
          <w:tcPr>
            <w:tcW w:w="2380" w:type="dxa"/>
            <w:vAlign w:val="bottom"/>
            <w:gridSpan w:val="2"/>
          </w:tcPr>
          <w:p>
            <w:pPr>
              <w:jc w:val="center"/>
              <w:ind w:right="1560"/>
              <w:spacing w:after="0"/>
              <w:rPr>
                <w:sz w:val="20"/>
                <w:szCs w:val="20"/>
                <w:color w:val="auto"/>
              </w:rPr>
            </w:pPr>
            <w:r>
              <w:rPr>
                <w:rFonts w:ascii="Arial" w:cs="Arial" w:eastAsia="Arial" w:hAnsi="Arial"/>
                <w:sz w:val="20"/>
                <w:szCs w:val="20"/>
                <w:color w:val="auto"/>
              </w:rPr>
              <w:t>N/A</w:t>
            </w:r>
          </w:p>
        </w:tc>
        <w:tc>
          <w:tcPr>
            <w:tcW w:w="1020" w:type="dxa"/>
            <w:vAlign w:val="bottom"/>
          </w:tcPr>
          <w:p>
            <w:pPr>
              <w:jc w:val="center"/>
              <w:spacing w:after="0"/>
              <w:rPr>
                <w:sz w:val="20"/>
                <w:szCs w:val="20"/>
                <w:color w:val="auto"/>
              </w:rPr>
            </w:pPr>
            <w:r>
              <w:rPr>
                <w:rFonts w:ascii="Arial" w:cs="Arial" w:eastAsia="Arial" w:hAnsi="Arial"/>
                <w:sz w:val="20"/>
                <w:szCs w:val="20"/>
                <w:color w:val="auto"/>
                <w:w w:val="87"/>
              </w:rPr>
              <w:t>$81,344.23</w:t>
            </w:r>
          </w:p>
        </w:tc>
        <w:tc>
          <w:tcPr>
            <w:tcW w:w="720" w:type="dxa"/>
            <w:vAlign w:val="bottom"/>
          </w:tcPr>
          <w:p>
            <w:pPr>
              <w:spacing w:after="0"/>
              <w:rPr>
                <w:sz w:val="24"/>
                <w:szCs w:val="24"/>
                <w:color w:val="auto"/>
              </w:rPr>
            </w:pPr>
          </w:p>
        </w:tc>
        <w:tc>
          <w:tcPr>
            <w:tcW w:w="1740" w:type="dxa"/>
            <w:vAlign w:val="bottom"/>
            <w:gridSpan w:val="2"/>
          </w:tcPr>
          <w:p>
            <w:pPr>
              <w:jc w:val="center"/>
              <w:ind w:left="661"/>
              <w:spacing w:after="0"/>
              <w:rPr>
                <w:sz w:val="20"/>
                <w:szCs w:val="20"/>
                <w:color w:val="auto"/>
              </w:rPr>
            </w:pPr>
            <w:r>
              <w:rPr>
                <w:rFonts w:ascii="Arial" w:cs="Arial" w:eastAsia="Arial" w:hAnsi="Arial"/>
                <w:sz w:val="20"/>
                <w:szCs w:val="20"/>
                <w:color w:val="auto"/>
                <w:w w:val="88"/>
              </w:rPr>
              <w:t>$10.07</w:t>
            </w:r>
          </w:p>
        </w:tc>
        <w:tc>
          <w:tcPr>
            <w:tcW w:w="40" w:type="dxa"/>
            <w:vAlign w:val="bottom"/>
          </w:tcPr>
          <w:p>
            <w:pPr>
              <w:spacing w:after="0"/>
              <w:rPr>
                <w:sz w:val="24"/>
                <w:szCs w:val="24"/>
                <w:color w:val="auto"/>
              </w:rPr>
            </w:pPr>
          </w:p>
        </w:tc>
      </w:tr>
    </w:tbl>
    <w:p>
      <w:pPr>
        <w:spacing w:after="0" w:line="290" w:lineRule="exact"/>
        <w:rPr>
          <w:sz w:val="20"/>
          <w:szCs w:val="20"/>
          <w:color w:val="auto"/>
        </w:rPr>
      </w:pPr>
    </w:p>
    <w:p>
      <w:pPr>
        <w:sectPr>
          <w:pgSz w:w="11900" w:h="16838" w:orient="portrait"/>
          <w:cols w:equalWidth="0" w:num="2">
            <w:col w:w="3760" w:space="720"/>
            <w:col w:w="6760"/>
          </w:cols>
          <w:pgMar w:left="320" w:top="118" w:right="339" w:bottom="1440" w:gutter="0" w:footer="0" w:header="0"/>
          <w:type w:val="continuous"/>
        </w:sectPr>
      </w:pPr>
    </w:p>
    <w:p>
      <w:pPr>
        <w:spacing w:after="0" w:line="21" w:lineRule="exact"/>
        <w:rPr>
          <w:sz w:val="20"/>
          <w:szCs w:val="20"/>
          <w:color w:val="auto"/>
        </w:rPr>
      </w:pPr>
    </w:p>
    <w:p>
      <w:pPr>
        <w:jc w:val="both"/>
        <w:ind w:firstLine="757"/>
        <w:spacing w:after="0" w:line="259" w:lineRule="auto"/>
        <w:tabs>
          <w:tab w:leader="none" w:pos="1498" w:val="left"/>
        </w:tabs>
        <w:numPr>
          <w:ilvl w:val="0"/>
          <w:numId w:val="49"/>
        </w:numPr>
        <w:rPr>
          <w:rFonts w:ascii="Arial" w:cs="Arial" w:eastAsia="Arial" w:hAnsi="Arial"/>
          <w:sz w:val="21"/>
          <w:szCs w:val="21"/>
          <w:color w:val="auto"/>
        </w:rPr>
      </w:pPr>
      <w:r>
        <w:rPr>
          <w:rFonts w:ascii="Arial" w:cs="Arial" w:eastAsia="Arial" w:hAnsi="Arial"/>
          <w:sz w:val="19"/>
          <w:szCs w:val="19"/>
          <w:b w:val="1"/>
          <w:bCs w:val="1"/>
          <w:u w:val="single" w:color="auto"/>
          <w:color w:val="auto"/>
        </w:rPr>
        <w:t>Tenant's Share of Direct Expenses</w:t>
      </w:r>
      <w:r>
        <w:rPr>
          <w:rFonts w:ascii="Arial" w:cs="Arial" w:eastAsia="Arial" w:hAnsi="Arial"/>
          <w:sz w:val="19"/>
          <w:szCs w:val="19"/>
          <w:color w:val="auto"/>
        </w:rPr>
        <w:t>. Tenant shall continue to pay Tenant's Share of all Direct Expenses which arise or</w:t>
      </w:r>
      <w:r>
        <w:rPr>
          <w:rFonts w:ascii="Arial" w:cs="Arial" w:eastAsia="Arial" w:hAnsi="Arial"/>
          <w:sz w:val="19"/>
          <w:szCs w:val="19"/>
          <w:b w:val="1"/>
          <w:bCs w:val="1"/>
          <w:color w:val="auto"/>
        </w:rPr>
        <w:t xml:space="preserve"> </w:t>
      </w:r>
      <w:r>
        <w:rPr>
          <w:rFonts w:ascii="Arial" w:cs="Arial" w:eastAsia="Arial" w:hAnsi="Arial"/>
          <w:sz w:val="19"/>
          <w:szCs w:val="19"/>
          <w:color w:val="auto"/>
        </w:rPr>
        <w:t>accrue with respect to the Premises in accordance with the terms of the Lease throughout the entire Lease Term (including as the same has been extended by this Fifth Amendment with respect to Suite 102, Suite 204, Suite 325 and Suite 104).</w:t>
      </w:r>
    </w:p>
    <w:p>
      <w:pPr>
        <w:spacing w:after="0" w:line="185" w:lineRule="exact"/>
        <w:rPr>
          <w:rFonts w:ascii="Arial" w:cs="Arial" w:eastAsia="Arial" w:hAnsi="Arial"/>
          <w:sz w:val="21"/>
          <w:szCs w:val="21"/>
          <w:color w:val="auto"/>
        </w:rPr>
      </w:pPr>
    </w:p>
    <w:p>
      <w:pPr>
        <w:jc w:val="both"/>
        <w:ind w:firstLine="757"/>
        <w:spacing w:after="0" w:line="255" w:lineRule="auto"/>
        <w:tabs>
          <w:tab w:leader="none" w:pos="1498" w:val="left"/>
        </w:tabs>
        <w:numPr>
          <w:ilvl w:val="0"/>
          <w:numId w:val="49"/>
        </w:numPr>
        <w:rPr>
          <w:rFonts w:ascii="Arial" w:cs="Arial" w:eastAsia="Arial" w:hAnsi="Arial"/>
          <w:sz w:val="21"/>
          <w:szCs w:val="21"/>
          <w:color w:val="auto"/>
        </w:rPr>
      </w:pPr>
      <w:r>
        <w:rPr>
          <w:rFonts w:ascii="Arial" w:cs="Arial" w:eastAsia="Arial" w:hAnsi="Arial"/>
          <w:sz w:val="19"/>
          <w:szCs w:val="19"/>
          <w:b w:val="1"/>
          <w:bCs w:val="1"/>
          <w:u w:val="single" w:color="auto"/>
          <w:color w:val="auto"/>
        </w:rPr>
        <w:t>Letter of Credit</w:t>
      </w:r>
      <w:r>
        <w:rPr>
          <w:rFonts w:ascii="Arial" w:cs="Arial" w:eastAsia="Arial" w:hAnsi="Arial"/>
          <w:sz w:val="19"/>
          <w:szCs w:val="19"/>
          <w:color w:val="auto"/>
        </w:rPr>
        <w:t>. Landlord and Tenant acknowledge that, in accordance with the Lease Tenant has previously delivered</w:t>
      </w:r>
      <w:r>
        <w:rPr>
          <w:rFonts w:ascii="Arial" w:cs="Arial" w:eastAsia="Arial" w:hAnsi="Arial"/>
          <w:sz w:val="19"/>
          <w:szCs w:val="19"/>
          <w:b w:val="1"/>
          <w:bCs w:val="1"/>
          <w:color w:val="auto"/>
        </w:rPr>
        <w:t xml:space="preserve"> </w:t>
      </w:r>
      <w:r>
        <w:rPr>
          <w:rFonts w:ascii="Arial" w:cs="Arial" w:eastAsia="Arial" w:hAnsi="Arial"/>
          <w:sz w:val="19"/>
          <w:szCs w:val="19"/>
          <w:color w:val="auto"/>
        </w:rPr>
        <w:t>an L-C in the amount of $451,913.04. Notwithstanding anything in the Lease to the contrary, concurrently with Tenant’s execution of this Fifth Amendment, Tenant shall provide an L-C (via delivery of a new L-C in such amount or an amendment to the existing L-C, which shall in either event be in a form reasonably acceptable to Landlord and in conformance with the terms of the Lease) in the total amount of $775,258.04. To the extent that Tenant delivers a new, replacement L-C (rather than an amendment to the existing L-C), Landlord shall return the existing L-C within ten (10) business days following receipt of such new, replacement L-C.</w:t>
      </w:r>
    </w:p>
    <w:p>
      <w:pPr>
        <w:spacing w:after="0" w:line="175" w:lineRule="exact"/>
        <w:rPr>
          <w:rFonts w:ascii="Arial" w:cs="Arial" w:eastAsia="Arial" w:hAnsi="Arial"/>
          <w:sz w:val="21"/>
          <w:szCs w:val="21"/>
          <w:color w:val="auto"/>
        </w:rPr>
      </w:pPr>
    </w:p>
    <w:p>
      <w:pPr>
        <w:jc w:val="both"/>
        <w:ind w:firstLine="757"/>
        <w:spacing w:after="0" w:line="238" w:lineRule="auto"/>
        <w:tabs>
          <w:tab w:leader="none" w:pos="1498" w:val="left"/>
        </w:tabs>
        <w:numPr>
          <w:ilvl w:val="0"/>
          <w:numId w:val="49"/>
        </w:numPr>
        <w:rPr>
          <w:rFonts w:ascii="Arial" w:cs="Arial" w:eastAsia="Arial" w:hAnsi="Arial"/>
          <w:sz w:val="22"/>
          <w:szCs w:val="22"/>
          <w:color w:val="auto"/>
        </w:rPr>
      </w:pPr>
      <w:r>
        <w:rPr>
          <w:rFonts w:ascii="Arial" w:cs="Arial" w:eastAsia="Arial" w:hAnsi="Arial"/>
          <w:sz w:val="20"/>
          <w:szCs w:val="20"/>
          <w:b w:val="1"/>
          <w:bCs w:val="1"/>
          <w:u w:val="single" w:color="auto"/>
          <w:color w:val="auto"/>
        </w:rPr>
        <w:t>No Broker</w:t>
      </w:r>
      <w:r>
        <w:rPr>
          <w:rFonts w:ascii="Arial" w:cs="Arial" w:eastAsia="Arial" w:hAnsi="Arial"/>
          <w:sz w:val="20"/>
          <w:szCs w:val="20"/>
          <w:color w:val="auto"/>
        </w:rPr>
        <w:t>. Landlord and Tenant hereby warrant to each other that they have had no dealings with any real estate broker</w:t>
      </w:r>
      <w:r>
        <w:rPr>
          <w:rFonts w:ascii="Arial" w:cs="Arial" w:eastAsia="Arial" w:hAnsi="Arial"/>
          <w:sz w:val="20"/>
          <w:szCs w:val="20"/>
          <w:b w:val="1"/>
          <w:bCs w:val="1"/>
          <w:color w:val="auto"/>
        </w:rPr>
        <w:t xml:space="preserve"> </w:t>
      </w:r>
      <w:r>
        <w:rPr>
          <w:rFonts w:ascii="Arial" w:cs="Arial" w:eastAsia="Arial" w:hAnsi="Arial"/>
          <w:sz w:val="20"/>
          <w:szCs w:val="20"/>
          <w:color w:val="auto"/>
        </w:rPr>
        <w:t>or agent in connection with the negotiation of this Fifth Amendment, and that they know of no real estate broker or agent who is entitled to a commission in connection with this Fifth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2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The terms of this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shall survive the expiration or earlier termination of the term of the Lease, as hereby amended.</w:t>
      </w:r>
    </w:p>
    <w:p>
      <w:pPr>
        <w:spacing w:after="0" w:line="203" w:lineRule="exact"/>
        <w:rPr>
          <w:sz w:val="20"/>
          <w:szCs w:val="20"/>
          <w:color w:val="auto"/>
        </w:rPr>
      </w:pPr>
    </w:p>
    <w:p>
      <w:pPr>
        <w:ind w:firstLine="757"/>
        <w:spacing w:after="0" w:line="309" w:lineRule="auto"/>
        <w:tabs>
          <w:tab w:leader="none" w:pos="1498" w:val="left"/>
        </w:tabs>
        <w:numPr>
          <w:ilvl w:val="1"/>
          <w:numId w:val="50"/>
        </w:numPr>
        <w:rPr>
          <w:rFonts w:ascii="Arial" w:cs="Arial" w:eastAsia="Arial" w:hAnsi="Arial"/>
          <w:sz w:val="19"/>
          <w:szCs w:val="19"/>
          <w:color w:val="auto"/>
        </w:rPr>
      </w:pPr>
      <w:r>
        <w:rPr>
          <w:rFonts w:ascii="Arial" w:cs="Arial" w:eastAsia="Arial" w:hAnsi="Arial"/>
          <w:sz w:val="18"/>
          <w:szCs w:val="18"/>
          <w:b w:val="1"/>
          <w:bCs w:val="1"/>
          <w:u w:val="single" w:color="auto"/>
          <w:color w:val="auto"/>
        </w:rPr>
        <w:t>Certified Access Specialist</w:t>
      </w:r>
      <w:r>
        <w:rPr>
          <w:rFonts w:ascii="Arial" w:cs="Arial" w:eastAsia="Arial" w:hAnsi="Arial"/>
          <w:sz w:val="18"/>
          <w:szCs w:val="18"/>
          <w:color w:val="auto"/>
        </w:rPr>
        <w:t>. For purposes of Section 1938 of the California Civil Code, Landlord hereby discloses to</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Tenant hereby acknowledges, that the Premises have not undergone inspection by a Certified Access Specialist (CASp).</w:t>
      </w:r>
    </w:p>
    <w:p>
      <w:pPr>
        <w:spacing w:after="0" w:line="140" w:lineRule="exact"/>
        <w:rPr>
          <w:rFonts w:ascii="Arial" w:cs="Arial" w:eastAsia="Arial" w:hAnsi="Arial"/>
          <w:sz w:val="19"/>
          <w:szCs w:val="19"/>
          <w:color w:val="auto"/>
        </w:rPr>
      </w:pPr>
    </w:p>
    <w:p>
      <w:pPr>
        <w:jc w:val="both"/>
        <w:ind w:firstLine="757"/>
        <w:spacing w:after="0"/>
        <w:tabs>
          <w:tab w:leader="none" w:pos="1498" w:val="left"/>
        </w:tabs>
        <w:numPr>
          <w:ilvl w:val="1"/>
          <w:numId w:val="50"/>
        </w:numPr>
        <w:rPr>
          <w:rFonts w:ascii="Arial" w:cs="Arial" w:eastAsia="Arial" w:hAnsi="Arial"/>
          <w:sz w:val="22"/>
          <w:szCs w:val="22"/>
          <w:color w:val="auto"/>
        </w:rPr>
      </w:pPr>
      <w:r>
        <w:rPr>
          <w:rFonts w:ascii="Arial" w:cs="Arial" w:eastAsia="Arial" w:hAnsi="Arial"/>
          <w:sz w:val="20"/>
          <w:szCs w:val="20"/>
          <w:b w:val="1"/>
          <w:bCs w:val="1"/>
          <w:u w:val="single" w:color="auto"/>
          <w:color w:val="auto"/>
        </w:rPr>
        <w:t>Signatures</w:t>
      </w:r>
      <w:r>
        <w:rPr>
          <w:rFonts w:ascii="Arial" w:cs="Arial" w:eastAsia="Arial" w:hAnsi="Arial"/>
          <w:sz w:val="20"/>
          <w:szCs w:val="20"/>
          <w:color w:val="auto"/>
        </w:rPr>
        <w:t>. The parties hereto consent and agree that this Fifth Amendment may be signed and/or transmitted by</w:t>
      </w:r>
      <w:r>
        <w:rPr>
          <w:rFonts w:ascii="Arial" w:cs="Arial" w:eastAsia="Arial" w:hAnsi="Arial"/>
          <w:sz w:val="20"/>
          <w:szCs w:val="20"/>
          <w:b w:val="1"/>
          <w:bCs w:val="1"/>
          <w:color w:val="auto"/>
        </w:rPr>
        <w:t xml:space="preserve"> </w:t>
      </w:r>
      <w:r>
        <w:rPr>
          <w:rFonts w:ascii="Arial" w:cs="Arial" w:eastAsia="Arial" w:hAnsi="Arial"/>
          <w:sz w:val="20"/>
          <w:szCs w:val="20"/>
          <w:color w:val="auto"/>
        </w:rPr>
        <w:t>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Fifth Amendment using electronic signature technology, by clicking “SIGN”, such party is signing this Fifth Amendment electronically, and (2) the electronic signatures appearing on this Fifth Amendment shall be treated, for purposes of validity, enforceability and admissibility, the same as handwritten signatures.</w:t>
      </w:r>
    </w:p>
    <w:p>
      <w:pPr>
        <w:spacing w:after="0" w:line="203" w:lineRule="exact"/>
        <w:rPr>
          <w:rFonts w:ascii="Arial" w:cs="Arial" w:eastAsia="Arial" w:hAnsi="Arial"/>
          <w:sz w:val="22"/>
          <w:szCs w:val="22"/>
          <w:color w:val="auto"/>
        </w:rPr>
      </w:pPr>
    </w:p>
    <w:p>
      <w:pPr>
        <w:jc w:val="both"/>
        <w:ind w:firstLine="757"/>
        <w:spacing w:after="0" w:line="265" w:lineRule="auto"/>
        <w:tabs>
          <w:tab w:leader="none" w:pos="1498" w:val="left"/>
        </w:tabs>
        <w:numPr>
          <w:ilvl w:val="1"/>
          <w:numId w:val="50"/>
        </w:numPr>
        <w:rPr>
          <w:rFonts w:ascii="Arial" w:cs="Arial" w:eastAsia="Arial" w:hAnsi="Arial"/>
          <w:sz w:val="19"/>
          <w:szCs w:val="19"/>
          <w:color w:val="auto"/>
        </w:rPr>
      </w:pPr>
      <w:r>
        <w:rPr>
          <w:rFonts w:ascii="Arial" w:cs="Arial" w:eastAsia="Arial" w:hAnsi="Arial"/>
          <w:sz w:val="18"/>
          <w:szCs w:val="18"/>
          <w:b w:val="1"/>
          <w:bCs w:val="1"/>
          <w:u w:val="single" w:color="auto"/>
          <w:color w:val="auto"/>
        </w:rPr>
        <w:t>Effectiveness of this Fifth Amendment</w:t>
      </w:r>
      <w:r>
        <w:rPr>
          <w:rFonts w:ascii="Arial" w:cs="Arial" w:eastAsia="Arial" w:hAnsi="Arial"/>
          <w:sz w:val="18"/>
          <w:szCs w:val="18"/>
          <w:color w:val="auto"/>
        </w:rPr>
        <w:t>. Landlord and Tenant each acknowledge and agree that they intend to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 with the execution of this Fifth Amendment, a Second Amendment to Lease (the “</w:t>
      </w:r>
      <w:r>
        <w:rPr>
          <w:rFonts w:ascii="Arial" w:cs="Arial" w:eastAsia="Arial" w:hAnsi="Arial"/>
          <w:sz w:val="18"/>
          <w:szCs w:val="18"/>
          <w:b w:val="1"/>
          <w:bCs w:val="1"/>
          <w:color w:val="auto"/>
        </w:rPr>
        <w:t>1150 Veterans Amendment</w:t>
      </w:r>
      <w:r>
        <w:rPr>
          <w:rFonts w:ascii="Arial" w:cs="Arial" w:eastAsia="Arial" w:hAnsi="Arial"/>
          <w:sz w:val="18"/>
          <w:szCs w:val="18"/>
          <w:color w:val="auto"/>
        </w:rPr>
        <w:t>”) with regard to that certain Lease dated July 9, 2021 (as the same has been previously amended) by and between Tenant and an affiliate of Landlord, HCP BTC, LLC, a Delaware limited company, for certain premises located at 1150 Veterans Boulevard, South San Francisco, CA. Accordingly, Landlord and Tenant hereby acknowledge and agree that, notwithstanding the full execution and delivery of this Fifth Amendment by Landlord and Tenant, this Fifth Amendment is expressly conditioned upon the full execution of the 1150 Veterans Amendment (the “</w:t>
      </w:r>
      <w:r>
        <w:rPr>
          <w:rFonts w:ascii="Arial" w:cs="Arial" w:eastAsia="Arial" w:hAnsi="Arial"/>
          <w:sz w:val="18"/>
          <w:szCs w:val="18"/>
          <w:b w:val="1"/>
          <w:bCs w:val="1"/>
          <w:color w:val="auto"/>
        </w:rPr>
        <w:t>Condition Subsequent</w:t>
      </w:r>
      <w:r>
        <w:rPr>
          <w:rFonts w:ascii="Arial" w:cs="Arial" w:eastAsia="Arial" w:hAnsi="Arial"/>
          <w:sz w:val="18"/>
          <w:szCs w:val="18"/>
          <w:color w:val="auto"/>
        </w:rPr>
        <w:t>”). Landlord shall have no liability whatsoever to Tenant relating to or arising from Landlord’s inability or failure to cause the Condition Subsequent to be satisfied. The Lease shall remain unmodified and in full force and effect unless and until such time as the Condition Subsequent is satisfied, provided that in the event the Condition Subsequent is not satisfied on or before the date which is two</w:t>
      </w:r>
    </w:p>
    <w:p>
      <w:pPr>
        <w:spacing w:after="0" w:line="4" w:lineRule="exact"/>
        <w:rPr>
          <w:rFonts w:ascii="Arial" w:cs="Arial" w:eastAsia="Arial" w:hAnsi="Arial"/>
          <w:sz w:val="19"/>
          <w:szCs w:val="19"/>
          <w:color w:val="auto"/>
        </w:rPr>
      </w:pPr>
    </w:p>
    <w:p>
      <w:pPr>
        <w:ind w:left="280" w:hanging="272"/>
        <w:spacing w:after="0"/>
        <w:tabs>
          <w:tab w:leader="none" w:pos="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months following the Effective Date, then this Fifth Amendment shall be null and void and of no further force or effect.</w:t>
      </w:r>
    </w:p>
    <w:p>
      <w:pPr>
        <w:spacing w:after="0" w:line="207" w:lineRule="exact"/>
        <w:rPr>
          <w:rFonts w:ascii="Arial" w:cs="Arial" w:eastAsia="Arial" w:hAnsi="Arial"/>
          <w:sz w:val="20"/>
          <w:szCs w:val="20"/>
          <w:color w:val="auto"/>
        </w:rPr>
      </w:pPr>
    </w:p>
    <w:p>
      <w:pPr>
        <w:jc w:val="both"/>
        <w:ind w:firstLine="757"/>
        <w:spacing w:after="0" w:line="238" w:lineRule="auto"/>
        <w:tabs>
          <w:tab w:leader="none" w:pos="1498" w:val="left"/>
        </w:tabs>
        <w:numPr>
          <w:ilvl w:val="1"/>
          <w:numId w:val="51"/>
        </w:numPr>
        <w:rPr>
          <w:rFonts w:ascii="Arial" w:cs="Arial" w:eastAsia="Arial" w:hAnsi="Arial"/>
          <w:sz w:val="22"/>
          <w:szCs w:val="22"/>
          <w:color w:val="auto"/>
        </w:rPr>
      </w:pPr>
      <w:r>
        <w:rPr>
          <w:rFonts w:ascii="Arial" w:cs="Arial" w:eastAsia="Arial" w:hAnsi="Arial"/>
          <w:sz w:val="20"/>
          <w:szCs w:val="20"/>
          <w:b w:val="1"/>
          <w:bCs w:val="1"/>
          <w:u w:val="single" w:color="auto"/>
          <w:color w:val="auto"/>
        </w:rPr>
        <w:t>No Further Modification; Conflict</w:t>
      </w:r>
      <w:r>
        <w:rPr>
          <w:rFonts w:ascii="Arial" w:cs="Arial" w:eastAsia="Arial" w:hAnsi="Arial"/>
          <w:sz w:val="20"/>
          <w:szCs w:val="20"/>
          <w:color w:val="auto"/>
        </w:rPr>
        <w:t>. Except as set forth in this Fifth Amendment, all of the terms and provisions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shall remain unmodified and in full force and effect. In the event of a conflict between the Lease and this Fifth Amendment, the terms of this Fifth Amendment shall prevail.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 WITNESS WHEREOF, this Fifth Amendment has been executed as of the day and year first above written.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40" w:type="dxa"/>
            <w:vAlign w:val="bottom"/>
            <w:gridSpan w:val="7"/>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w:t>
            </w:r>
            <w:r>
              <w:rPr>
                <w:rFonts w:ascii="Arial" w:cs="Arial" w:eastAsia="Arial" w:hAnsi="Arial"/>
                <w:sz w:val="20"/>
                <w:szCs w:val="20"/>
                <w:color w:val="auto"/>
              </w:rPr>
              <w:t>"</w:t>
            </w:r>
          </w:p>
        </w:tc>
        <w:tc>
          <w:tcPr>
            <w:tcW w:w="6000" w:type="dxa"/>
            <w:vAlign w:val="bottom"/>
            <w:gridSpan w:val="7"/>
          </w:tcPr>
          <w:p>
            <w:pPr>
              <w:ind w:left="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98"/>
        </w:trPr>
        <w:tc>
          <w:tcPr>
            <w:tcW w:w="5240" w:type="dxa"/>
            <w:vAlign w:val="bottom"/>
            <w:gridSpan w:val="7"/>
          </w:tcPr>
          <w:p>
            <w:pPr>
              <w:ind w:left="100"/>
              <w:spacing w:after="0"/>
              <w:rPr>
                <w:sz w:val="20"/>
                <w:szCs w:val="20"/>
                <w:color w:val="auto"/>
              </w:rPr>
            </w:pPr>
            <w:r>
              <w:rPr>
                <w:rFonts w:ascii="Arial" w:cs="Arial" w:eastAsia="Arial" w:hAnsi="Arial"/>
                <w:sz w:val="20"/>
                <w:szCs w:val="20"/>
                <w:b w:val="1"/>
                <w:bCs w:val="1"/>
                <w:color w:val="auto"/>
              </w:rPr>
              <w:t>HCP LIFE SCIENCE REIT, INC.</w:t>
            </w:r>
            <w:r>
              <w:rPr>
                <w:rFonts w:ascii="Arial" w:cs="Arial" w:eastAsia="Arial" w:hAnsi="Arial"/>
                <w:sz w:val="20"/>
                <w:szCs w:val="20"/>
                <w:color w:val="auto"/>
              </w:rPr>
              <w:t>, a Maryland corporation</w:t>
            </w:r>
          </w:p>
        </w:tc>
        <w:tc>
          <w:tcPr>
            <w:tcW w:w="6000" w:type="dxa"/>
            <w:vAlign w:val="bottom"/>
            <w:gridSpan w:val="7"/>
          </w:tcPr>
          <w:p>
            <w:pPr>
              <w:ind w:left="280"/>
              <w:spacing w:after="0"/>
              <w:rPr>
                <w:sz w:val="20"/>
                <w:szCs w:val="20"/>
                <w:color w:val="auto"/>
              </w:rPr>
            </w:pPr>
            <w:r>
              <w:rPr>
                <w:rFonts w:ascii="Arial" w:cs="Arial" w:eastAsia="Arial" w:hAnsi="Arial"/>
                <w:sz w:val="20"/>
                <w:szCs w:val="20"/>
                <w:b w:val="1"/>
                <w:bCs w:val="1"/>
                <w:color w:val="auto"/>
              </w:rPr>
              <w:t>NKARTA, INC.</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00" w:type="dxa"/>
            <w:vAlign w:val="bottom"/>
            <w:gridSpan w:val="7"/>
          </w:tcPr>
          <w:p>
            <w:pPr>
              <w:ind w:left="28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414"/>
        </w:trPr>
        <w:tc>
          <w:tcPr>
            <w:tcW w:w="5240" w:type="dxa"/>
            <w:vAlign w:val="bottom"/>
            <w:gridSpan w:val="7"/>
          </w:tcPr>
          <w:p>
            <w:pPr>
              <w:ind w:left="100"/>
              <w:spacing w:after="0"/>
              <w:rPr>
                <w:sz w:val="20"/>
                <w:szCs w:val="20"/>
                <w:color w:val="auto"/>
              </w:rPr>
            </w:pPr>
            <w:r>
              <w:rPr>
                <w:rFonts w:ascii="Arial" w:cs="Arial" w:eastAsia="Arial" w:hAnsi="Arial"/>
                <w:sz w:val="20"/>
                <w:szCs w:val="20"/>
                <w:color w:val="auto"/>
              </w:rPr>
              <w:t>By: /s/ Scott R. Bohn</w:t>
            </w:r>
          </w:p>
        </w:tc>
        <w:tc>
          <w:tcPr>
            <w:tcW w:w="6000" w:type="dxa"/>
            <w:vAlign w:val="bottom"/>
            <w:gridSpan w:val="7"/>
          </w:tcPr>
          <w:p>
            <w:pPr>
              <w:ind w:left="280"/>
              <w:spacing w:after="0"/>
              <w:rPr>
                <w:sz w:val="20"/>
                <w:szCs w:val="20"/>
                <w:color w:val="auto"/>
              </w:rPr>
            </w:pPr>
            <w:r>
              <w:rPr>
                <w:rFonts w:ascii="Arial" w:cs="Arial" w:eastAsia="Arial" w:hAnsi="Arial"/>
                <w:sz w:val="20"/>
                <w:szCs w:val="20"/>
                <w:color w:val="auto"/>
              </w:rPr>
              <w:t>By: /s/ Paul Hastings</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54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vMerge w:val="continue"/>
          </w:tcPr>
          <w:p>
            <w:pPr>
              <w:spacing w:after="0"/>
              <w:rPr>
                <w:sz w:val="15"/>
                <w:szCs w:val="15"/>
                <w:color w:val="auto"/>
              </w:rPr>
            </w:pPr>
          </w:p>
        </w:tc>
        <w:tc>
          <w:tcPr>
            <w:tcW w:w="1640" w:type="dxa"/>
            <w:vAlign w:val="bottom"/>
            <w:gridSpan w:val="3"/>
          </w:tcPr>
          <w:p>
            <w:pPr>
              <w:spacing w:after="0" w:line="183" w:lineRule="exact"/>
              <w:rPr>
                <w:sz w:val="20"/>
                <w:szCs w:val="20"/>
                <w:color w:val="auto"/>
              </w:rPr>
            </w:pPr>
            <w:r>
              <w:rPr>
                <w:rFonts w:ascii="Arial" w:cs="Arial" w:eastAsia="Arial" w:hAnsi="Arial"/>
                <w:sz w:val="20"/>
                <w:szCs w:val="20"/>
                <w:color w:val="auto"/>
                <w:w w:val="86"/>
              </w:rPr>
              <w:t>Name: Scott R. Bohn</w:t>
            </w:r>
          </w:p>
        </w:tc>
        <w:tc>
          <w:tcPr>
            <w:tcW w:w="4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5380" w:type="dxa"/>
            <w:vAlign w:val="bottom"/>
            <w:gridSpan w:val="6"/>
          </w:tcPr>
          <w:p>
            <w:pPr>
              <w:spacing w:after="0" w:line="183" w:lineRule="exact"/>
              <w:rPr>
                <w:sz w:val="20"/>
                <w:szCs w:val="20"/>
                <w:color w:val="auto"/>
              </w:rPr>
            </w:pPr>
            <w:r>
              <w:rPr>
                <w:rFonts w:ascii="Arial" w:cs="Arial" w:eastAsia="Arial" w:hAnsi="Arial"/>
                <w:sz w:val="20"/>
                <w:szCs w:val="20"/>
                <w:color w:val="auto"/>
              </w:rPr>
              <w:t>Name: Paul Hastings</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0" w:type="dxa"/>
            <w:vAlign w:val="bottom"/>
            <w:gridSpan w:val="3"/>
            <w:vMerge w:val="restart"/>
          </w:tcPr>
          <w:p>
            <w:pPr>
              <w:ind w:left="520"/>
              <w:spacing w:after="0" w:line="203" w:lineRule="exact"/>
              <w:rPr>
                <w:sz w:val="20"/>
                <w:szCs w:val="20"/>
                <w:color w:val="auto"/>
              </w:rPr>
            </w:pPr>
            <w:r>
              <w:rPr>
                <w:rFonts w:ascii="Arial" w:cs="Arial" w:eastAsia="Arial" w:hAnsi="Arial"/>
                <w:sz w:val="20"/>
                <w:szCs w:val="20"/>
                <w:color w:val="auto"/>
              </w:rPr>
              <w:t>Date:</w:t>
            </w:r>
          </w:p>
        </w:tc>
        <w:tc>
          <w:tcPr>
            <w:tcW w:w="1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gridSpan w:val="7"/>
          </w:tcPr>
          <w:p>
            <w:pPr>
              <w:ind w:left="400"/>
              <w:spacing w:after="0" w:line="183" w:lineRule="exact"/>
              <w:rPr>
                <w:sz w:val="20"/>
                <w:szCs w:val="20"/>
                <w:color w:val="auto"/>
              </w:rPr>
            </w:pPr>
            <w:r>
              <w:rPr>
                <w:rFonts w:ascii="Arial" w:cs="Arial" w:eastAsia="Arial" w:hAnsi="Arial"/>
                <w:sz w:val="20"/>
                <w:szCs w:val="20"/>
                <w:color w:val="auto"/>
              </w:rPr>
              <w:t>Its: Executive Vice President</w:t>
            </w:r>
          </w:p>
        </w:tc>
        <w:tc>
          <w:tcPr>
            <w:tcW w:w="1100" w:type="dxa"/>
            <w:vAlign w:val="bottom"/>
            <w:gridSpan w:val="3"/>
            <w:vMerge w:val="continue"/>
          </w:tcPr>
          <w:p>
            <w:pPr>
              <w:spacing w:after="0"/>
              <w:rPr>
                <w:sz w:val="15"/>
                <w:szCs w:val="15"/>
                <w:color w:val="auto"/>
              </w:rPr>
            </w:pPr>
          </w:p>
        </w:tc>
        <w:tc>
          <w:tcPr>
            <w:tcW w:w="4900" w:type="dxa"/>
            <w:vAlign w:val="bottom"/>
            <w:gridSpan w:val="4"/>
          </w:tcPr>
          <w:p>
            <w:pPr>
              <w:spacing w:after="0" w:line="183" w:lineRule="exact"/>
              <w:rPr>
                <w:sz w:val="20"/>
                <w:szCs w:val="20"/>
                <w:color w:val="auto"/>
              </w:rPr>
            </w:pPr>
            <w:r>
              <w:rPr>
                <w:rFonts w:ascii="Arial" w:cs="Arial" w:eastAsia="Arial" w:hAnsi="Arial"/>
                <w:sz w:val="20"/>
                <w:szCs w:val="20"/>
                <w:color w:val="auto"/>
              </w:rPr>
              <w:t>August 10, 2022</w:t>
            </w:r>
          </w:p>
        </w:tc>
        <w:tc>
          <w:tcPr>
            <w:tcW w:w="0" w:type="dxa"/>
            <w:vAlign w:val="bottom"/>
          </w:tcPr>
          <w:p>
            <w:pPr>
              <w:spacing w:after="0"/>
              <w:rPr>
                <w:sz w:val="1"/>
                <w:szCs w:val="1"/>
                <w:color w:val="auto"/>
              </w:rPr>
            </w:pPr>
          </w:p>
        </w:tc>
      </w:tr>
      <w:tr>
        <w:trPr>
          <w:trHeight w:val="409"/>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1000" w:type="dxa"/>
            <w:vAlign w:val="bottom"/>
            <w:gridSpan w:val="2"/>
          </w:tcPr>
          <w:p>
            <w:pPr>
              <w:ind w:left="280"/>
              <w:spacing w:after="0"/>
              <w:rPr>
                <w:sz w:val="20"/>
                <w:szCs w:val="20"/>
                <w:color w:val="auto"/>
              </w:rPr>
            </w:pPr>
            <w:r>
              <w:rPr>
                <w:rFonts w:ascii="Arial" w:cs="Arial" w:eastAsia="Arial" w:hAnsi="Arial"/>
                <w:sz w:val="20"/>
                <w:szCs w:val="20"/>
                <w:color w:val="auto"/>
              </w:rPr>
              <w:t>By:</w:t>
            </w:r>
          </w:p>
        </w:tc>
        <w:tc>
          <w:tcPr>
            <w:tcW w:w="1320" w:type="dxa"/>
            <w:vAlign w:val="bottom"/>
            <w:tcBorders>
              <w:top w:val="single" w:sz="8" w:color="auto"/>
            </w:tcBorders>
            <w:gridSpan w:val="4"/>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000" w:type="dxa"/>
            <w:vAlign w:val="bottom"/>
            <w:gridSpan w:val="7"/>
          </w:tcPr>
          <w:p>
            <w:pPr>
              <w:ind w:left="520"/>
              <w:spacing w:after="0" w:line="203" w:lineRule="exact"/>
              <w:rPr>
                <w:sz w:val="20"/>
                <w:szCs w:val="20"/>
                <w:color w:val="auto"/>
              </w:rPr>
            </w:pPr>
            <w:r>
              <w:rPr>
                <w:rFonts w:ascii="Arial" w:cs="Arial" w:eastAsia="Arial" w:hAnsi="Arial"/>
                <w:sz w:val="20"/>
                <w:szCs w:val="20"/>
                <w:color w:val="auto"/>
              </w:rPr>
              <w:t>Name:</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00" w:type="dxa"/>
            <w:vAlign w:val="bottom"/>
            <w:gridSpan w:val="7"/>
          </w:tcPr>
          <w:p>
            <w:pPr>
              <w:ind w:left="520"/>
              <w:spacing w:after="0"/>
              <w:rPr>
                <w:sz w:val="20"/>
                <w:szCs w:val="20"/>
                <w:color w:val="auto"/>
              </w:rPr>
            </w:pPr>
            <w:r>
              <w:rPr>
                <w:rFonts w:ascii="Arial" w:cs="Arial" w:eastAsia="Arial" w:hAnsi="Arial"/>
                <w:sz w:val="20"/>
                <w:szCs w:val="20"/>
                <w:color w:val="auto"/>
              </w:rPr>
              <w:t>Date:_______________________________</w:t>
            </w:r>
          </w:p>
        </w:tc>
        <w:tc>
          <w:tcPr>
            <w:tcW w:w="0" w:type="dxa"/>
            <w:vAlign w:val="bottom"/>
          </w:tcPr>
          <w:p>
            <w:pPr>
              <w:spacing w:after="0"/>
              <w:rPr>
                <w:sz w:val="1"/>
                <w:szCs w:val="1"/>
                <w:color w:val="auto"/>
              </w:rPr>
            </w:pPr>
          </w:p>
        </w:tc>
      </w:tr>
      <w:tr>
        <w:trPr>
          <w:trHeight w:val="465"/>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Arial" w:cs="Arial" w:eastAsia="Arial" w:hAnsi="Arial"/>
                <w:sz w:val="22"/>
                <w:szCs w:val="22"/>
                <w:color w:val="auto"/>
              </w:rPr>
              <w:t>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Paul J. Hastings, certify that:</w:t>
      </w:r>
    </w:p>
    <w:p>
      <w:pPr>
        <w:spacing w:after="0" w:line="212"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Nkarta, Inc. (the “registrant”);</w:t>
      </w:r>
    </w:p>
    <w:p>
      <w:pPr>
        <w:spacing w:after="0" w:line="225"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56"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20" w:right="40" w:hanging="503"/>
        <w:spacing w:after="0" w:line="324"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4" w:lineRule="exact"/>
        <w:rPr>
          <w:rFonts w:ascii="Arial" w:cs="Arial" w:eastAsia="Arial" w:hAnsi="Arial"/>
          <w:sz w:val="16"/>
          <w:szCs w:val="16"/>
          <w:color w:val="auto"/>
        </w:rPr>
      </w:pPr>
    </w:p>
    <w:p>
      <w:pPr>
        <w:ind w:left="520" w:right="160" w:hanging="512"/>
        <w:spacing w:after="0" w:line="308"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Paul J. Hastings</w:t>
      </w: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NKARTA, INC.</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CERTIFICATIONS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Nadir Mahmood, certify that:</w:t>
      </w:r>
    </w:p>
    <w:p>
      <w:pPr>
        <w:spacing w:after="0" w:line="212"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Nkarta, Inc. (the “registrant”);</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342"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0" w:lineRule="exact"/>
        <w:rPr>
          <w:rFonts w:ascii="Arial" w:cs="Arial" w:eastAsia="Arial" w:hAnsi="Arial"/>
          <w:sz w:val="16"/>
          <w:szCs w:val="16"/>
          <w:color w:val="auto"/>
        </w:rPr>
      </w:pPr>
    </w:p>
    <w:p>
      <w:pPr>
        <w:ind w:left="520" w:right="160" w:hanging="512"/>
        <w:spacing w:after="0" w:line="291"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Nadir Mahmood</w:t>
      </w:r>
    </w:p>
    <w:p>
      <w:pPr>
        <w:jc w:val="center"/>
        <w:ind w:left="600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In connection with the Quarterly Report on Form 10-Q for the quarter ended June 30, 2022 of Nkarta, Inc. (the "Company") as filed with the Securities and Exchange Commission on the date hereof (the "Report"), we, Paul J. Hastings, Chief Executive Officer of the Company, and Nadir Mahmood, Chief Financial and Business Officer of the Company, certify, pursuant to 18 U.S.C. 1350, as adopted pursuant to Section 906 of the Sarbanes-Oxley Act of 2002, that:</w:t>
      </w:r>
    </w:p>
    <w:p>
      <w:pPr>
        <w:spacing w:after="0" w:line="181"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Paul J. Hastings</w:t>
      </w: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398"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Nadir Mahmood</w:t>
      </w:r>
    </w:p>
    <w:p>
      <w:pPr>
        <w:jc w:val="center"/>
        <w:ind w:left="600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196"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7"/>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upperLetter"/>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4"/>
    </w:lvl>
  </w:abstractNum>
  <w:abstractNum w:abstractNumId="45">
    <w:nsid w:val="749ABB43"/>
    <w:multiLevelType w:val="hybridMultilevel"/>
    <w:lvl w:ilvl="0">
      <w:lvlJc w:val="left"/>
      <w:lvlText w:val="%1."/>
      <w:numFmt w:val="upperLetter"/>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3"/>
    </w:lvl>
  </w:abstractNum>
  <w:abstractNum w:abstractNumId="48">
    <w:nsid w:val="79A1DEAA"/>
    <w:multiLevelType w:val="hybridMultilevel"/>
    <w:lvl w:ilvl="0">
      <w:lvlJc w:val="left"/>
      <w:lvlText w:val="%1."/>
      <w:numFmt w:val="decimal"/>
      <w:start w:val="4"/>
    </w:lvl>
  </w:abstractNum>
  <w:abstractNum w:abstractNumId="49">
    <w:nsid w:val="75C6C33A"/>
    <w:multiLevelType w:val="hybridMultilevel"/>
    <w:lvl w:ilvl="0">
      <w:lvlJc w:val="left"/>
      <w:lvlText w:val="%1"/>
      <w:numFmt w:val="decimal"/>
      <w:start w:val="1"/>
    </w:lvl>
    <w:lvl w:ilvl="1">
      <w:lvlJc w:val="left"/>
      <w:lvlText w:val="%2."/>
      <w:numFmt w:val="decimal"/>
      <w:start w:val="7"/>
    </w:lvl>
  </w:abstractNum>
  <w:abstractNum w:abstractNumId="50">
    <w:nsid w:val="12E685FB"/>
    <w:multiLevelType w:val="hybridMultilevel"/>
    <w:lvl w:ilvl="0">
      <w:lvlJc w:val="left"/>
      <w:lvlText w:val="(%1)"/>
      <w:numFmt w:val="decimal"/>
      <w:start w:val="2"/>
    </w:lvl>
    <w:lvl w:ilvl="1">
      <w:lvlJc w:val="left"/>
      <w:lvlText w:val="%2."/>
      <w:numFmt w:val="decimal"/>
      <w:start w:val="10"/>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280" Type="http://schemas.openxmlformats.org/officeDocument/2006/relationships/hyperlink" Target="https://www.sec.gov/Archives/edgar/data/1787400/000119312520192614/d62111dex31.htm" TargetMode="External"/><Relationship Id="rId281" Type="http://schemas.openxmlformats.org/officeDocument/2006/relationships/hyperlink" Target="https://www.sec.gov/Archives/edgar/data/1787400/000119312520192614/d62111dex32.htm" TargetMode="External"/><Relationship Id="rId282" Type="http://schemas.openxmlformats.org/officeDocument/2006/relationships/hyperlink" Target="https://www.sec.gov/Archives/edgar/data/1787400/000095017022009693/nkt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2022-08-11T16:39:12Z</dcterms:created>
  <dcterms:modified xsi:type="dcterms:W3CDTF">2022-08-11T16:39:12Z</dcterms:modified>
</cp:coreProperties>
</file>