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ktx-20260512.htm"/>
      <w:bookmarkStart w:id="1" w:name="ksnktx20260512"/>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May 12, 2026</w:t>
      </w:r>
    </w:p>
    <w:p>
      <w:pPr>
        <w:pStyle w:val="TextBody"/>
        <w:bidi w:val="0"/>
        <w:spacing w:before="180" w:after="283"/>
        <w:jc w:val="center"/>
        <w:rPr>
          <w:rFonts w:ascii="Times New Roman" w:hAnsi="Times New Roman"/>
          <w:b/>
          <w:color w:val="000000"/>
          <w:sz w:val="48"/>
        </w:rPr>
      </w:pPr>
      <w:r>
        <w:rPr>
          <w:rFonts w:ascii="Times New Roman" w:hAnsi="Times New Roman"/>
          <w:b/>
          <w:color w:val="000000"/>
          <w:sz w:val="48"/>
        </w:rPr>
        <w:t>Nkarta, Inc.</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tbl>
      <w:tblPr>
        <w:tblW w:w="5868" w:type="dxa"/>
        <w:jc w:val="left"/>
        <w:tblInd w:w="0" w:type="dxa"/>
        <w:tblLayout w:type="fixed"/>
        <w:tblCellMar>
          <w:top w:w="28" w:type="dxa"/>
          <w:left w:w="28" w:type="dxa"/>
          <w:bottom w:w="28" w:type="dxa"/>
          <w:right w:w="28" w:type="dxa"/>
        </w:tblCellMar>
      </w:tblPr>
      <w:tblGrid>
        <w:gridCol w:w="2686"/>
        <w:gridCol w:w="1846"/>
        <w:gridCol w:w="1336"/>
      </w:tblGrid>
      <w:tr>
        <w:trPr/>
        <w:tc>
          <w:tcPr>
            <w:tcW w:w="268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001-39370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47-4515206</w:t>
            </w:r>
          </w:p>
        </w:tc>
      </w:tr>
      <w:tr>
        <w:trPr/>
        <w:tc>
          <w:tcPr>
            <w:tcW w:w="26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1150 Veterans Boulevard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6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pBdr>
          <w:bottom w:val="single" w:sz="8" w:space="1" w:color="000000"/>
        </w:pBdr>
        <w:bidi w:val="0"/>
        <w:spacing w:before="180" w:after="283"/>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(925) 407-1049</w:t>
      </w:r>
    </w:p>
    <w:p>
      <w:pPr>
        <w:pStyle w:val="TextBody"/>
        <w:bidi w:val="0"/>
        <w:spacing w:before="18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NKTX</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Nasdaq Global Select Market</w:t>
            </w:r>
          </w:p>
          <w:p>
            <w:pPr>
              <w:pStyle w:val="TableContents"/>
              <w:bidi w:val="0"/>
              <w:spacing w:before="0" w:after="283"/>
              <w:jc w:val="center"/>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On May 12, 2026, Nkarta, Inc. (the “Company”) issued a press release announcing its financial results for the first quarter ended March 31, 2026. A copy of the Company’s press release is attached hereto as Exhibit 99.1.</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The information in Item 2.02 of this Current Report on Form 8-K (including Exhibit 99.1) shall not be deemed “filed” for purposes of Section 18 of the Securities Exchange Act of 1934, as amended (the “Exchange Act”), or otherwise subject to the liabilities of that section, nor shall it be, or be deemed, incorporated by reference in any filings under the Securities Act of 1933, as amended (the “Securities Act”), unless the Company specifically states that the information is to be considered “filed” under the Exchange Act or incorporates it by reference into a filing under the Securities Act or the Exchange 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ktx-ex99_1.htm">
              <w:r>
                <w:rPr>
                  <w:rStyle w:val="InternetLink"/>
                  <w:rFonts w:ascii="Times New Roman" w:hAnsi="Times New Roman"/>
                  <w:color w:val="0000FF"/>
                  <w:sz w:val="20"/>
                  <w:u w:val="single"/>
                </w:rPr>
                <w:t>Press Release, dated May 12, 2026, entitled “Nkarta Reports First Quarter 2026 Financial Results and Corporate Highlights”</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3982" w:type="dxa"/>
        <w:jc w:val="left"/>
        <w:tblInd w:w="0" w:type="dxa"/>
        <w:tblLayout w:type="fixed"/>
        <w:tblCellMar>
          <w:top w:w="28" w:type="dxa"/>
          <w:left w:w="28" w:type="dxa"/>
          <w:bottom w:w="28" w:type="dxa"/>
          <w:right w:w="28" w:type="dxa"/>
        </w:tblCellMar>
      </w:tblPr>
      <w:tblGrid>
        <w:gridCol w:w="1741"/>
        <w:gridCol w:w="109"/>
        <w:gridCol w:w="406"/>
        <w:gridCol w:w="172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Nkarta,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bookmarkStart w:id="2" w:name="nktx-ex99_1.htm"/>
      <w:bookmarkStart w:id="3" w:name="ksnktxex99_1"/>
      <w:bookmarkEnd w:id="2"/>
      <w:bookmarkEnd w:id="3"/>
      <w:r>
        <w:rPr/>
        <w:t> </w:t>
      </w:r>
      <w:r>
        <w:br w:type="page"/>
      </w:r>
    </w:p>
    <w:p>
      <w:pPr>
        <w:pStyle w:val="TextBody"/>
        <w:bidi w:val="0"/>
        <w:jc w:val="right"/>
        <w:rPr>
          <w:rFonts w:ascii="sans-serif" w:hAnsi="sans-serif"/>
          <w:b/>
          <w:color w:val="000000"/>
          <w:sz w:val="24"/>
        </w:rPr>
      </w:pPr>
      <w:r>
        <w:rPr>
          <w:rFonts w:ascii="sans-serif" w:hAnsi="sans-serif"/>
          <w:b/>
          <w:color w:val="000000"/>
          <w:sz w:val="24"/>
        </w:rPr>
        <w:t>Exhibit 99.1</w:t>
      </w:r>
    </w:p>
    <w:p>
      <w:pPr>
        <w:pStyle w:val="TextBody"/>
        <w:bidi w:val="0"/>
        <w:spacing w:before="200" w:after="283"/>
        <w:jc w:val="right"/>
        <w:rPr/>
      </w:pPr>
      <w:r>
        <w:rPr/>
        <w:drawing>
          <wp:inline distT="0" distB="0" distL="0" distR="0">
            <wp:extent cx="24193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19350" cy="61912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8"/>
        </w:rPr>
        <w:t xml:space="preserve">Nkarta </w:t>
      </w:r>
      <w:r>
        <w:rPr>
          <w:rFonts w:ascii="sans-serif" w:hAnsi="sans-serif"/>
          <w:b/>
          <w:color w:val="000000"/>
          <w:sz w:val="30"/>
        </w:rPr>
        <w:t>Reports First Quarter 2026 Financial Results and Corporate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i/>
          <w:color w:val="000000"/>
          <w:sz w:val="24"/>
        </w:rPr>
      </w:pPr>
      <w:r>
        <w:rPr>
          <w:rFonts w:ascii="sans-serif" w:hAnsi="sans-serif"/>
          <w:i/>
          <w:color w:val="000000"/>
          <w:sz w:val="24"/>
        </w:rPr>
        <w:t xml:space="preserve">Enrollment ongoing at 4 billion cell dose level (12 billion cells in 3-dose cycle) across all indications in Ntrust-1 and Ntrust-2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i/>
          <w:color w:val="000000"/>
          <w:sz w:val="24"/>
        </w:rPr>
      </w:pPr>
      <w:r>
        <w:rPr>
          <w:rFonts w:ascii="sans-serif" w:hAnsi="sans-serif"/>
          <w:i/>
          <w:color w:val="000000"/>
          <w:sz w:val="24"/>
        </w:rPr>
        <w:t xml:space="preserve">Regulatory agreement supports expansion into community-based settings with outpatient dosing to reduce patient burden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i/>
          <w:color w:val="000000"/>
          <w:sz w:val="24"/>
        </w:rPr>
      </w:pPr>
      <w:r>
        <w:rPr>
          <w:rFonts w:ascii="sans-serif" w:hAnsi="sans-serif"/>
          <w:i/>
          <w:color w:val="000000"/>
          <w:sz w:val="24"/>
        </w:rPr>
        <w:t>Initial clinical data from Ntrust-1 and Ntrust-2 expected to be presented at a medical meeting in 2026</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i/>
          <w:color w:val="000000"/>
          <w:sz w:val="24"/>
        </w:rPr>
      </w:pPr>
      <w:r>
        <w:rPr>
          <w:rFonts w:ascii="sans-serif" w:hAnsi="sans-serif"/>
          <w:i/>
          <w:color w:val="000000"/>
          <w:sz w:val="24"/>
        </w:rPr>
        <w:t>Cash balance of $266.7 million on March 31, 2026, including cash, cash equivalents and investments, expected to fund operations into 2029</w:t>
      </w:r>
    </w:p>
    <w:p>
      <w:pPr>
        <w:pStyle w:val="TextBody"/>
        <w:bidi w:val="0"/>
        <w:jc w:val="left"/>
        <w:rPr>
          <w:rFonts w:ascii="Times New Roman" w:hAnsi="Times New Roman"/>
          <w:sz w:val="20"/>
        </w:rPr>
      </w:pPr>
      <w:r>
        <w:rPr>
          <w:rFonts w:ascii="sans-serif" w:hAnsi="sans-serif"/>
          <w:color w:val="000000"/>
          <w:sz w:val="24"/>
        </w:rPr>
        <w:t>SOUTH SAN FRANCISCO, Calif., May 12, 2026 -- Nkarta, Inc. (Nasdaq: NKTX), a clinical-stage biotechnology company developing engineered natural killer (NK) cell therapies to treat autoimmune diseases, today reported financial results for the first quarter ended March 31, 2026.</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br/>
        <w:t>“</w:t>
      </w:r>
      <w:r>
        <w:rPr>
          <w:rFonts w:ascii="sans-serif" w:hAnsi="sans-serif"/>
          <w:color w:val="000000"/>
          <w:sz w:val="24"/>
        </w:rPr>
        <w:t>Putting patients first and providing access to care in a familiar setting close to home matters” said Paul J. Hastings, Chief Executive Officer of Nkarta. “In early April, we reached agreement with the FDA to amend our protocol to allow outpatient dosing in community settings as well as the option to re-dose patients if needed, the removal of overnight monitoring requirements, and the expansion of the Ntrust-2 study to include patients with rheumatoid arthritis. IRB approval of our protocol amendments has been secured across multiple sites, with additional approvals underway. These advancements will enable us to expand patient access beyond urban hubs and major academic centers by engaging community research centers and local rheumatology practices in the neighborhoods where most patients live. We look forward to providing our initial dataset in 2026.”</w:t>
      </w:r>
    </w:p>
    <w:p>
      <w:pPr>
        <w:pStyle w:val="TextBody"/>
        <w:bidi w:val="0"/>
        <w:jc w:val="left"/>
        <w:rPr>
          <w:rFonts w:ascii="Times New Roman" w:hAnsi="Times New Roman"/>
          <w:sz w:val="20"/>
        </w:rPr>
      </w:pPr>
      <w:r>
        <w:rPr>
          <w:rFonts w:ascii="sans-serif" w:hAnsi="sans-serif"/>
          <w:b/>
          <w:color w:val="000000"/>
          <w:sz w:val="24"/>
        </w:rPr>
        <w:t>NKX019 Clinical Program Progress and Upcoming Milestones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Enrollment continues across Ntrust-1 and Ntrust-2, our multi-center, open-label, dose-escalation clinical trials evaluating NKX019 in multiple autoimmune diseases.</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IRB approval of our protocol amendments has been secured across multiple sites on outpatient dosing, re-dosing, ending overnight monitoring, and adding RA to Ntrust-2.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Patients are being dosed at 4 billion cells per dose x 3 doses (12 billion cells total) across all indications in Ntrust-1 and Ntrust-2.</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Initial clinical data from Ntrust-1 and Ntrust-2 are planned for presentation at a medical conference in 2026.</w:t>
      </w:r>
    </w:p>
    <w:p>
      <w:pPr>
        <w:pStyle w:val="TextBody"/>
        <w:bidi w:val="0"/>
        <w:jc w:val="left"/>
        <w:rPr>
          <w:rFonts w:ascii="Times New Roman" w:hAnsi="Times New Roman"/>
          <w:sz w:val="20"/>
        </w:rPr>
      </w:pPr>
      <w:r>
        <w:rPr>
          <w:rFonts w:ascii="sans-serif" w:hAnsi="sans-serif"/>
          <w:b/>
          <w:color w:val="000000"/>
          <w:sz w:val="24"/>
        </w:rPr>
        <w:t>First Quarter 2026 Financial Highlights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Nkarta had cash, cash equivalents, restricted cash, and investments in marketable securities of $266.7 million as of March 31,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 xml:space="preserve">Research and development (R&amp;D) expenses were $25.0 million for the first quarter of 2026. Non-cash stock-based compensation expense included in R&amp;D expense was $0.7 million for the first quarter of 2026.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 xml:space="preserve">General and administrative (G&amp;A) expenses were $5.9 million for the first quarter of 2026. Non-cash stock-based compensation expense included in G&amp;A expense was $1.2 million for first quarter of 2026.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Net loss was $27.8 million, or $0.37 per basic and diluted share, for the first quarter of 2026. This net loss includes non-cash charges of $3.4 million that consisted primarily of share-based compensation and depreciation expenses.</w:t>
      </w:r>
    </w:p>
    <w:p>
      <w:pPr>
        <w:pStyle w:val="TextBody"/>
        <w:bidi w:val="0"/>
        <w:jc w:val="left"/>
        <w:rPr>
          <w:rFonts w:ascii="sans-serif" w:hAnsi="sans-serif"/>
          <w:b/>
          <w:color w:val="000000"/>
          <w:sz w:val="24"/>
        </w:rPr>
      </w:pPr>
      <w:r>
        <w:rPr>
          <w:rFonts w:ascii="sans-serif" w:hAnsi="sans-serif"/>
          <w:b/>
          <w:color w:val="000000"/>
          <w:sz w:val="24"/>
        </w:rPr>
        <w:t>Financial Guidance</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Nkarta expects its current cash and cash equivalents to fund its current operating plan into 2029.</w:t>
      </w:r>
    </w:p>
    <w:p>
      <w:pPr>
        <w:pStyle w:val="TextBody"/>
        <w:bidi w:val="0"/>
        <w:jc w:val="left"/>
        <w:rPr>
          <w:rFonts w:ascii="sans-serif" w:hAnsi="sans-serif"/>
          <w:b/>
          <w:color w:val="000000"/>
          <w:sz w:val="24"/>
        </w:rPr>
      </w:pPr>
      <w:r>
        <w:rPr>
          <w:rFonts w:ascii="sans-serif" w:hAnsi="sans-serif"/>
          <w:b/>
          <w:color w:val="000000"/>
          <w:sz w:val="24"/>
        </w:rPr>
        <w:t>About the Ntrust℠ Clinical Trials in Autoimmune Disease</w:t>
      </w:r>
    </w:p>
    <w:p>
      <w:pPr>
        <w:pStyle w:val="TextBody"/>
        <w:bidi w:val="0"/>
        <w:jc w:val="left"/>
        <w:rPr>
          <w:rFonts w:ascii="Times New Roman" w:hAnsi="Times New Roman"/>
          <w:sz w:val="20"/>
        </w:rPr>
      </w:pPr>
      <w:r>
        <w:rPr>
          <w:rFonts w:ascii="sans-serif" w:hAnsi="sans-serif"/>
          <w:color w:val="000000"/>
          <w:sz w:val="24"/>
        </w:rPr>
        <w:t>Ntrust-1 (</w:t>
      </w:r>
      <w:r>
        <w:rPr>
          <w:rFonts w:ascii="sans-serif" w:hAnsi="sans-serif"/>
          <w:sz w:val="24"/>
        </w:rPr>
        <w:t>NCT06557265</w:t>
      </w:r>
      <w:r>
        <w:rPr>
          <w:rFonts w:ascii="sans-serif" w:hAnsi="sans-serif"/>
          <w:color w:val="000000"/>
          <w:sz w:val="24"/>
        </w:rPr>
        <w:t>) and Ntrust-2 (</w:t>
      </w:r>
      <w:r>
        <w:rPr>
          <w:rFonts w:ascii="sans-serif" w:hAnsi="sans-serif"/>
          <w:sz w:val="24"/>
        </w:rPr>
        <w:t>NCT06733935</w:t>
      </w:r>
      <w:r>
        <w:rPr>
          <w:rFonts w:ascii="sans-serif" w:hAnsi="sans-serif"/>
          <w:color w:val="000000"/>
          <w:sz w:val="24"/>
        </w:rPr>
        <w:t>) are multi-center, open label, dose escalation clinical trials in patients with autoimmune disease receiving lymphodepletion followed by CD19-targeted CAR-NK cell therapy. Both trials will assess the safety of NKX019 in people living with autoimmune diseases as well as its potential to achieve durable remission via a “reset” of the immune system through the elimination of pathogenic B cells.</w:t>
      </w:r>
      <w:r>
        <w:rPr>
          <w:rFonts w:ascii="Times New Roman" w:hAnsi="Times New Roman"/>
          <w:color w:val="000000"/>
          <w:sz w:val="20"/>
        </w:rPr>
        <w:t xml:space="preserve"> </w:t>
      </w:r>
    </w:p>
    <w:p>
      <w:pPr>
        <w:pStyle w:val="TextBody"/>
        <w:bidi w:val="0"/>
        <w:jc w:val="left"/>
        <w:rPr>
          <w:rFonts w:ascii="sans-serif" w:hAnsi="sans-serif"/>
          <w:color w:val="000000"/>
          <w:sz w:val="24"/>
        </w:rPr>
      </w:pPr>
      <w:r>
        <w:rPr>
          <w:rFonts w:ascii="sans-serif" w:hAnsi="sans-serif"/>
          <w:color w:val="000000"/>
          <w:sz w:val="24"/>
        </w:rPr>
        <w:t>The Ntrust trials are enrolling up to 12 patients per dose level per disease indication across systemic sclerosis, idiopathic inflammatory myopathy, ANCA-associated vasculitis, rheumatoid arthritis, lupus nephritis, and primary membranous nephropathy. Additional participants may be enrolled if needed to refine patient populations for further study.</w:t>
      </w:r>
    </w:p>
    <w:p>
      <w:pPr>
        <w:pStyle w:val="TextBody"/>
        <w:bidi w:val="0"/>
        <w:jc w:val="left"/>
        <w:rPr>
          <w:rFonts w:ascii="Times New Roman" w:hAnsi="Times New Roman"/>
          <w:sz w:val="20"/>
        </w:rPr>
      </w:pPr>
      <w:r>
        <w:rPr>
          <w:rFonts w:ascii="sans-serif" w:hAnsi="sans-serif"/>
          <w:color w:val="000000"/>
          <w:sz w:val="24"/>
        </w:rPr>
        <w:t>In both studies, patients now receive a three-dose cycle of NKX019 on Days 0, 3, and 7 following lymphodepletion with fludarabine and cyclophosphamide or cyclophosphamide alone, if they have significant cytopenia at baseline. Leveraging the engineering of NKX019, no patients in either trial will receive supplemental cytokines or antibody-based therapeutics. This approach is designed to evaluate the single-agent activity of NKX019 and facilitate a more rapid path to regulatory approval. Patients in Ntrust-1 may also receive additional cycles, if needed, to restore response or enable a deeper response.</w:t>
      </w:r>
      <w:r>
        <w:rPr>
          <w:rFonts w:ascii="Times New Roman" w:hAnsi="Times New Roman"/>
          <w:color w:val="000000"/>
          <w:sz w:val="20"/>
        </w:rPr>
        <w:t xml:space="preserve"> </w:t>
      </w:r>
    </w:p>
    <w:p>
      <w:pPr>
        <w:pStyle w:val="TextBody"/>
        <w:bidi w:val="0"/>
        <w:jc w:val="left"/>
        <w:rPr>
          <w:rFonts w:ascii="sans-serif" w:hAnsi="sans-serif"/>
          <w:b/>
          <w:color w:val="000000"/>
          <w:sz w:val="24"/>
        </w:rPr>
      </w:pPr>
      <w:r>
        <w:rPr>
          <w:rFonts w:ascii="sans-serif" w:hAnsi="sans-serif"/>
          <w:b/>
          <w:color w:val="000000"/>
          <w:sz w:val="24"/>
        </w:rPr>
        <w:t>About NKX019</w:t>
      </w:r>
    </w:p>
    <w:p>
      <w:pPr>
        <w:pStyle w:val="TextBody"/>
        <w:bidi w:val="0"/>
        <w:spacing w:before="240" w:after="283"/>
        <w:jc w:val="right"/>
        <w:rPr>
          <w:rFonts w:ascii="sans-serif" w:hAnsi="sans-serif"/>
          <w:color w:val="000000"/>
          <w:sz w:val="24"/>
        </w:rPr>
      </w:pPr>
      <w:r>
        <w:rPr>
          <w:rFonts w:ascii="sans-serif" w:hAnsi="sans-serif"/>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NKX019 is an allogeneic, cryopreserved, off-the-shelf immunotherapy candidate that uses natural killer (NK) cells derived from the peripheral blood of healthy adult donors. It is engineered with a humanized CD19-directed chimeric antigen receptor (CAR) for enhanced cell targeting and a proprietary, membrane-bound form of interleukin-15 (IL-15) for greater persistence and activity without exogenous cytokine support. CD19 is a biomarker for normal B cells as well as those implicated in autoimmune disease. Nkarta is evaluating NKX019 in multiple autoimmune conditions.</w:t>
      </w:r>
    </w:p>
    <w:p>
      <w:pPr>
        <w:pStyle w:val="TextBody"/>
        <w:bidi w:val="0"/>
        <w:jc w:val="left"/>
        <w:rPr>
          <w:rFonts w:ascii="sans-serif" w:hAnsi="sans-serif"/>
          <w:b/>
          <w:color w:val="000000"/>
          <w:sz w:val="24"/>
        </w:rPr>
      </w:pPr>
      <w:r>
        <w:rPr>
          <w:rFonts w:ascii="sans-serif" w:hAnsi="sans-serif"/>
          <w:b/>
          <w:color w:val="000000"/>
          <w:sz w:val="24"/>
        </w:rPr>
        <w:t>About Nkarta</w:t>
      </w:r>
    </w:p>
    <w:p>
      <w:pPr>
        <w:pStyle w:val="TextBody"/>
        <w:bidi w:val="0"/>
        <w:jc w:val="left"/>
        <w:rPr>
          <w:rFonts w:ascii="Times New Roman" w:hAnsi="Times New Roman"/>
          <w:sz w:val="20"/>
        </w:rPr>
      </w:pPr>
      <w:r>
        <w:rPr>
          <w:rFonts w:ascii="sans-serif" w:hAnsi="sans-serif"/>
          <w:color w:val="000000"/>
          <w:sz w:val="24"/>
        </w:rPr>
        <w:t xml:space="preserve">Nkarta is a clinical-stage biotechnology company advancing the development of allogeneic, off-the-shelf natural killer (NK) cell therapies for people living with autoimmune diseases. By harnessing the power of the innate immune system to eliminate pathogenic B cells driving the autoimmune response, Nkarta is advancing novel cell therapies engineered for deep therapeutic impact. The on-demand availability and outpatient dosing of our CAR-NK cells enables a broad population of patients with different autoimmune conditions to conveniently access NK cell therapy in community health settings. For more information, please visit the company’s website at </w:t>
      </w:r>
      <w:r>
        <w:rPr>
          <w:rFonts w:ascii="sans-serif" w:hAnsi="sans-serif"/>
          <w:sz w:val="24"/>
        </w:rPr>
        <w:t>www.nkartatx.com</w:t>
      </w:r>
      <w:r>
        <w:rPr>
          <w:rFonts w:ascii="sans-serif" w:hAnsi="sans-serif"/>
          <w:color w:val="000000"/>
          <w:sz w:val="24"/>
        </w:rPr>
        <w:t>.</w:t>
      </w:r>
    </w:p>
    <w:p>
      <w:pPr>
        <w:pStyle w:val="TextBody"/>
        <w:bidi w:val="0"/>
        <w:jc w:val="left"/>
        <w:rPr>
          <w:rFonts w:ascii="Times New Roman" w:hAnsi="Times New Roman"/>
          <w:sz w:val="20"/>
        </w:rPr>
      </w:pPr>
      <w:r>
        <w:rPr>
          <w:rFonts w:ascii="sans-serif" w:hAnsi="sans-serif"/>
          <w:b/>
          <w:color w:val="000000"/>
          <w:sz w:val="24"/>
        </w:rPr>
        <w:t>Cautionary Note on Forward-Looking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Statements contained in this press release regarding matters that are not historical facts are “forward-looking statements” within the meaning of the Private Securities Litigation Reform Act of 1995, as amended. Words such as “anticipates,” “believes,” “expects,” “intends,” “plans,” “potential,” “projects,” “would” and “future” or similar expressions are intended to identify forward-looking statements. Examples of these forward-looking statements include, but are not limited to, statements concerning Nkarta’s expectations regarding any or all of the following: Nkarta’s position, plans, strategies, and timelines for the continued and future clinical development and commercial potential of NKX019 (including the future availability and disclosure of clinical data and other updates from Nkarta’s clinical trials); the therapeutic potential, accessibility and tolerability of NKX019 for the treatment of autoimmune diseases, including as a result of advancing Nkarta’s dose escalation; and Nkarta’s expected cash runway.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Because such statements are subject to risks and uncertainties, actual results may differ materially from those expressed or implied by such forward-looking statements. These risks and uncertainties include, among others: Nkarta’s limited operating history and historical losses; Nkarta’s lack of any products approved for sale and its ability to achieve profitability; the risk that the results of preclinical studies and early-stage clinical trials may not be predictive of future results; Nkarta’s ability to raise additional funding to complete the development and any commercialization of its product candidates; Nkarta’s dependence on the clinical success of NKX019; that Nkarta may be delayed in initiating, enrolling patients in or completing its clinical trials; competition from third parties that are developing products for similar uses; Nkarta’s ability to obtain, maintain and protect its intellectual property; Nkarta’s dependence on third parties in connection with manufacturing, clinical trials and pre-clinical studies; the complexity</w:t>
      </w:r>
      <w:r>
        <w:rPr>
          <w:rFonts w:ascii="Times New Roman" w:hAnsi="Times New Roman"/>
          <w:color w:val="000000"/>
          <w:sz w:val="20"/>
        </w:rPr>
        <w:t xml:space="preserve"> </w:t>
      </w:r>
    </w:p>
    <w:p>
      <w:pPr>
        <w:pStyle w:val="TextBody"/>
        <w:bidi w:val="0"/>
        <w:spacing w:before="240" w:after="283"/>
        <w:jc w:val="right"/>
        <w:rPr>
          <w:rFonts w:ascii="sans-serif" w:hAnsi="sans-serif"/>
          <w:color w:val="000000"/>
          <w:sz w:val="24"/>
        </w:rPr>
      </w:pPr>
      <w:r>
        <w:rPr>
          <w:rFonts w:ascii="sans-serif" w:hAnsi="sans-serif"/>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of the manufacturing process for CAR NK cell therapies; and the success of Nkarta’s recent (and any future) cost containment measures.</w:t>
      </w:r>
      <w:r>
        <w:rPr>
          <w:rFonts w:ascii="Times New Roman" w:hAnsi="Times New Roman"/>
          <w:color w:val="000000"/>
          <w:sz w:val="20"/>
        </w:rPr>
        <w:t xml:space="preserve"> </w:t>
      </w:r>
    </w:p>
    <w:p>
      <w:pPr>
        <w:pStyle w:val="TextBody"/>
        <w:bidi w:val="0"/>
        <w:jc w:val="left"/>
        <w:rPr>
          <w:rFonts w:ascii="sans-serif" w:hAnsi="sans-serif"/>
          <w:color w:val="000000"/>
          <w:sz w:val="24"/>
        </w:rPr>
      </w:pPr>
      <w:r>
        <w:rPr>
          <w:rFonts w:ascii="sans-serif" w:hAnsi="sans-serif"/>
          <w:color w:val="000000"/>
          <w:sz w:val="24"/>
        </w:rPr>
        <w:t>These and other risks and uncertainties are described more fully in Nkarta’s filings with the Securities and Exchange Commission (“SEC”), including the “Risk Factors” section of Nkarta’s Annual Report on Form 10-K for the year ended December 31, 2025, filed with the SEC on March 25, 2026, and Nkarta’s other documents subsequently filed with or furnished to the SEC. All forward-looking statements contained in this press release speak only as of the date on which they were made. Except to the extent required by law, Nkarta undertakes no obligation to update such statements to reflect events that occur or circumstances that exist after the date on which they were made.</w:t>
      </w:r>
    </w:p>
    <w:p>
      <w:pPr>
        <w:pStyle w:val="TextBody"/>
        <w:bidi w:val="0"/>
        <w:jc w:val="left"/>
        <w:rPr>
          <w:rFonts w:ascii="sans-serif" w:hAnsi="sans-serif"/>
          <w:b/>
          <w:color w:val="000000"/>
          <w:sz w:val="20"/>
        </w:rPr>
      </w:pPr>
      <w:r>
        <w:rPr>
          <w:rFonts w:ascii="sans-serif" w:hAnsi="sans-serif"/>
          <w:b/>
          <w:color w:val="000000"/>
          <w:sz w:val="20"/>
        </w:rPr>
      </w:r>
    </w:p>
    <w:p>
      <w:pPr>
        <w:pStyle w:val="TextBody"/>
        <w:bidi w:val="0"/>
        <w:jc w:val="center"/>
        <w:rPr>
          <w:rFonts w:ascii="sans-serif" w:hAnsi="sans-serif"/>
          <w:b/>
          <w:color w:val="000000"/>
          <w:sz w:val="20"/>
        </w:rPr>
      </w:pPr>
      <w:r>
        <w:rPr>
          <w:rFonts w:ascii="sans-serif" w:hAnsi="sans-serif"/>
          <w:b/>
          <w:color w:val="000000"/>
          <w:sz w:val="20"/>
        </w:rPr>
        <w:t>Nkarta, Inc.</w:t>
      </w:r>
    </w:p>
    <w:p>
      <w:pPr>
        <w:pStyle w:val="TextBody"/>
        <w:bidi w:val="0"/>
        <w:jc w:val="center"/>
        <w:rPr>
          <w:rFonts w:ascii="sans-serif" w:hAnsi="sans-serif"/>
          <w:b/>
          <w:color w:val="000000"/>
          <w:sz w:val="20"/>
        </w:rPr>
      </w:pPr>
      <w:r>
        <w:rPr>
          <w:rFonts w:ascii="sans-serif" w:hAnsi="sans-serif"/>
          <w:b/>
          <w:color w:val="000000"/>
          <w:sz w:val="20"/>
        </w:rPr>
        <w:t>Condensed Statements of Operations</w:t>
      </w:r>
    </w:p>
    <w:p>
      <w:pPr>
        <w:pStyle w:val="TextBody"/>
        <w:bidi w:val="0"/>
        <w:jc w:val="center"/>
        <w:rPr>
          <w:rFonts w:ascii="sans-serif" w:hAnsi="sans-serif"/>
          <w:b/>
          <w:color w:val="000000"/>
          <w:sz w:val="20"/>
        </w:rPr>
      </w:pPr>
      <w:r>
        <w:rPr>
          <w:rFonts w:ascii="sans-serif" w:hAnsi="sans-serif"/>
          <w:b/>
          <w:color w:val="000000"/>
          <w:sz w:val="20"/>
        </w:rPr>
        <w:t>(in thousands, except share and per share data)</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pPr>
      <w:r>
        <w:rPr/>
        <w:t> </w:t>
      </w:r>
    </w:p>
    <w:tbl>
      <w:tblPr>
        <w:tblW w:w="8380" w:type="dxa"/>
        <w:jc w:val="left"/>
        <w:tblInd w:w="0" w:type="dxa"/>
        <w:tblLayout w:type="fixed"/>
        <w:tblCellMar>
          <w:top w:w="28" w:type="dxa"/>
          <w:left w:w="28" w:type="dxa"/>
          <w:bottom w:w="28" w:type="dxa"/>
          <w:right w:w="28" w:type="dxa"/>
        </w:tblCellMar>
      </w:tblPr>
      <w:tblGrid>
        <w:gridCol w:w="4306"/>
        <w:gridCol w:w="146"/>
        <w:gridCol w:w="253"/>
        <w:gridCol w:w="1332"/>
        <w:gridCol w:w="203"/>
        <w:gridCol w:w="164"/>
        <w:gridCol w:w="253"/>
        <w:gridCol w:w="1332"/>
        <w:gridCol w:w="39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24,988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24,172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5,888</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12,392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30,876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36,564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(30,876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(36,564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2,838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3,044</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(27,832</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(31,983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(0.37</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shares used to compute</w:t>
              <w:br/>
              <w:t>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74,257,973</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73,916,477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60" w:after="283"/>
        <w:jc w:val="center"/>
        <w:rPr/>
      </w:pPr>
      <w:r>
        <w:rPr/>
        <w:t> </w:t>
      </w:r>
    </w:p>
    <w:p>
      <w:pPr>
        <w:pStyle w:val="TextBody"/>
        <w:bidi w:val="0"/>
        <w:spacing w:before="60" w:after="283"/>
        <w:jc w:val="center"/>
        <w:rPr/>
      </w:pPr>
      <w:r>
        <w:rPr/>
        <w:t> </w:t>
      </w:r>
    </w:p>
    <w:p>
      <w:pPr>
        <w:pStyle w:val="TextBody"/>
        <w:bidi w:val="0"/>
        <w:spacing w:before="60" w:after="283"/>
        <w:jc w:val="center"/>
        <w:rPr/>
      </w:pPr>
      <w:r>
        <w:rPr/>
        <w:t> </w:t>
      </w:r>
    </w:p>
    <w:p>
      <w:pPr>
        <w:pStyle w:val="TextBody"/>
        <w:bidi w:val="0"/>
        <w:spacing w:before="60" w:after="283"/>
        <w:jc w:val="center"/>
        <w:rPr/>
      </w:pPr>
      <w:r>
        <w:rPr/>
        <w:t> </w:t>
      </w:r>
    </w:p>
    <w:p>
      <w:pPr>
        <w:pStyle w:val="TextBody"/>
        <w:bidi w:val="0"/>
        <w:spacing w:before="240" w:after="283"/>
        <w:jc w:val="right"/>
        <w:rPr>
          <w:rFonts w:ascii="sans-serif" w:hAnsi="sans-serif"/>
          <w:color w:val="000000"/>
          <w:sz w:val="24"/>
        </w:rPr>
      </w:pPr>
      <w:r>
        <w:rPr>
          <w:rFonts w:ascii="sans-serif" w:hAnsi="sans-serif"/>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center"/>
        <w:rPr>
          <w:rFonts w:ascii="sans-serif" w:hAnsi="sans-serif"/>
          <w:b/>
          <w:color w:val="000000"/>
          <w:sz w:val="20"/>
        </w:rPr>
      </w:pPr>
      <w:r>
        <w:rPr>
          <w:rFonts w:ascii="sans-serif" w:hAnsi="sans-serif"/>
          <w:b/>
          <w:color w:val="000000"/>
          <w:sz w:val="20"/>
        </w:rPr>
        <w:t>Nkarta, Inc.</w:t>
      </w:r>
    </w:p>
    <w:p>
      <w:pPr>
        <w:pStyle w:val="TextBody"/>
        <w:bidi w:val="0"/>
        <w:jc w:val="center"/>
        <w:rPr>
          <w:rFonts w:ascii="sans-serif" w:hAnsi="sans-serif"/>
          <w:b/>
          <w:color w:val="000000"/>
          <w:sz w:val="20"/>
        </w:rPr>
      </w:pPr>
      <w:r>
        <w:rPr>
          <w:rFonts w:ascii="sans-serif" w:hAnsi="sans-serif"/>
          <w:b/>
          <w:color w:val="000000"/>
          <w:sz w:val="20"/>
        </w:rPr>
        <w:t>Condensed Balance Sheets</w:t>
      </w:r>
    </w:p>
    <w:p>
      <w:pPr>
        <w:pStyle w:val="TextBody"/>
        <w:bidi w:val="0"/>
        <w:jc w:val="center"/>
        <w:rPr>
          <w:rFonts w:ascii="sans-serif" w:hAnsi="sans-serif"/>
          <w:b/>
          <w:color w:val="000000"/>
          <w:sz w:val="20"/>
        </w:rPr>
      </w:pPr>
      <w:r>
        <w:rPr>
          <w:rFonts w:ascii="sans-serif" w:hAnsi="sans-serif"/>
          <w:b/>
          <w:color w:val="000000"/>
          <w:sz w:val="20"/>
        </w:rPr>
        <w:t>(in thousands)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pPr>
      <w:r>
        <w:rPr/>
        <w:t> </w:t>
      </w:r>
    </w:p>
    <w:tbl>
      <w:tblPr>
        <w:tblW w:w="9305" w:type="dxa"/>
        <w:jc w:val="left"/>
        <w:tblInd w:w="0" w:type="dxa"/>
        <w:tblLayout w:type="fixed"/>
        <w:tblCellMar>
          <w:top w:w="28" w:type="dxa"/>
          <w:left w:w="28" w:type="dxa"/>
          <w:bottom w:w="28" w:type="dxa"/>
          <w:right w:w="28" w:type="dxa"/>
        </w:tblCellMar>
      </w:tblPr>
      <w:tblGrid>
        <w:gridCol w:w="5626"/>
        <w:gridCol w:w="146"/>
        <w:gridCol w:w="244"/>
        <w:gridCol w:w="956"/>
        <w:gridCol w:w="146"/>
        <w:gridCol w:w="146"/>
        <w:gridCol w:w="335"/>
        <w:gridCol w:w="1315"/>
        <w:gridCol w:w="391"/>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restricted 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266,739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295,129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66,721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34,429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404,209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payable,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76,420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91,884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312,325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404,209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sans-serif" w:hAnsi="sans-serif"/>
          <w:b/>
          <w:color w:val="000000"/>
          <w:sz w:val="24"/>
        </w:rPr>
      </w:pPr>
      <w:r>
        <w:rPr>
          <w:rFonts w:ascii="sans-serif" w:hAnsi="sans-serif"/>
          <w:b/>
          <w:color w:val="000000"/>
          <w:sz w:val="24"/>
        </w:rPr>
        <w:t>Nkarta Media/Investor Contact:</w:t>
      </w:r>
    </w:p>
    <w:p>
      <w:pPr>
        <w:pStyle w:val="TextBody"/>
        <w:bidi w:val="0"/>
        <w:jc w:val="left"/>
        <w:rPr>
          <w:rFonts w:ascii="sans-serif" w:hAnsi="sans-serif"/>
          <w:color w:val="000000"/>
          <w:sz w:val="24"/>
        </w:rPr>
      </w:pPr>
      <w:r>
        <w:rPr>
          <w:rFonts w:ascii="sans-serif" w:hAnsi="sans-serif"/>
          <w:color w:val="000000"/>
          <w:sz w:val="24"/>
        </w:rPr>
        <w:t>Nadir Mahmood</w:t>
      </w:r>
    </w:p>
    <w:p>
      <w:pPr>
        <w:pStyle w:val="TextBody"/>
        <w:bidi w:val="0"/>
        <w:jc w:val="left"/>
        <w:rPr>
          <w:rFonts w:ascii="sans-serif" w:hAnsi="sans-serif"/>
          <w:color w:val="000000"/>
          <w:sz w:val="24"/>
        </w:rPr>
      </w:pPr>
      <w:r>
        <w:rPr>
          <w:rFonts w:ascii="sans-serif" w:hAnsi="sans-serif"/>
          <w:color w:val="000000"/>
          <w:sz w:val="24"/>
        </w:rPr>
        <w:t>Nkarta, Inc.</w:t>
      </w:r>
    </w:p>
    <w:p>
      <w:pPr>
        <w:pStyle w:val="TextBody"/>
        <w:bidi w:val="0"/>
        <w:jc w:val="left"/>
        <w:rPr>
          <w:rFonts w:ascii="sans-serif" w:hAnsi="sans-serif"/>
          <w:color w:val="000000"/>
          <w:sz w:val="24"/>
        </w:rPr>
      </w:pPr>
      <w:r>
        <w:rPr>
          <w:rFonts w:ascii="sans-serif" w:hAnsi="sans-serif"/>
          <w:color w:val="000000"/>
          <w:sz w:val="24"/>
        </w:rPr>
        <w:t>nmahmood@nkartatx.com</w:t>
      </w:r>
    </w:p>
    <w:p>
      <w:pPr>
        <w:pStyle w:val="TextBody"/>
        <w:bidi w:val="0"/>
        <w:spacing w:before="240" w:after="283"/>
        <w:jc w:val="right"/>
        <w:rPr>
          <w:rFonts w:ascii="sans-serif" w:hAnsi="sans-serif"/>
          <w:color w:val="000000"/>
          <w:sz w:val="24"/>
        </w:rPr>
      </w:pPr>
      <w:r>
        <w:rPr>
          <w:rFonts w:ascii="sans-serif" w:hAnsi="sans-serif"/>
          <w:color w:val="000000"/>
          <w:sz w:val="24"/>
        </w:rPr>
        <w:t>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2036</Words>
  <Characters>11728</Characters>
  <CharactersWithSpaces>13761</CharactersWithSpaces>
  <Paragraphs>405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