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40630.htm"/>
      <w:bookmarkStart w:id="1" w:name="ksnktx20240630"/>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9, 2024,</w:t>
      </w:r>
      <w:r>
        <w:rPr>
          <w:rFonts w:ascii="Times New Roman" w:hAnsi="Times New Roman"/>
          <w:color w:val="000000"/>
          <w:sz w:val="20"/>
        </w:rPr>
        <w:t xml:space="preserve"> </w:t>
      </w:r>
      <w:r>
        <w:rPr>
          <w:rFonts w:ascii="Times New Roman" w:hAnsi="Times New Roman"/>
          <w:color w:val="000000"/>
          <w:sz w:val="18"/>
        </w:rPr>
        <w:t>the registrant had 70,558,754</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8707"/>
        <w:gridCol w:w="649"/>
      </w:tblGrid>
      <w:tr>
        <w:trPr/>
        <w:tc>
          <w:tcPr>
            <w:tcW w:w="849" w:type="dxa"/>
            <w:tcBorders/>
            <w:vAlign w:val="center"/>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June 30, 2024 and December 31, 2023</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and six months ended June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 for the three and six months ended June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color w:val="0000FF"/>
                  <w:sz w:val="20"/>
                  <w:u w:val="single"/>
                </w:rPr>
                <w:t>Condensed Statements of Cash Flows for the six months ended June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data supporting the effectiveness of CD19-targeted cell therapies against autoimmune disease are limited, and CD19-targeted CAR NK-cell therapies, such as NKX019, may not provide the same, or any, therapeutic benefit against lupus nephritis or other autoimmune diseases, or be competitive with respect to other CD19-targeted therapies for the treatment of autoimmune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652" w:type="dxa"/>
        <w:jc w:val="left"/>
        <w:tblInd w:w="0" w:type="dxa"/>
        <w:tblLayout w:type="fixed"/>
        <w:tblCellMar>
          <w:top w:w="28" w:type="dxa"/>
          <w:left w:w="28" w:type="dxa"/>
          <w:bottom w:w="28" w:type="dxa"/>
          <w:right w:w="28" w:type="dxa"/>
        </w:tblCellMar>
      </w:tblPr>
      <w:tblGrid>
        <w:gridCol w:w="6656"/>
        <w:gridCol w:w="146"/>
        <w:gridCol w:w="211"/>
        <w:gridCol w:w="841"/>
        <w:gridCol w:w="166"/>
        <w:gridCol w:w="146"/>
        <w:gridCol w:w="219"/>
        <w:gridCol w:w="876"/>
        <w:gridCol w:w="391"/>
      </w:tblGrid>
      <w:tr>
        <w:trPr/>
        <w:tc>
          <w:tcPr>
            <w:tcW w:w="6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253,071</w:t>
            </w:r>
          </w:p>
        </w:tc>
        <w:tc>
          <w:tcPr>
            <w:tcW w:w="391" w:type="dxa"/>
            <w:tcBorders/>
            <w:shd w:fill="FFFFFF" w:val="clear"/>
            <w:vAlign w:val="center"/>
          </w:tcPr>
          <w:p>
            <w:pPr>
              <w:pStyle w:val="TableContents"/>
              <w:bidi w:val="0"/>
              <w:spacing w:before="0" w:after="283"/>
              <w:jc w:val="left"/>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vAlign w:val="center"/>
          </w:tcPr>
          <w:p>
            <w:pPr>
              <w:pStyle w:val="TableContents"/>
              <w:bidi w:val="0"/>
              <w:spacing w:before="0" w:after="283"/>
              <w:jc w:val="left"/>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79,326</w:t>
            </w:r>
          </w:p>
        </w:tc>
        <w:tc>
          <w:tcPr>
            <w:tcW w:w="391" w:type="dxa"/>
            <w:tcBorders/>
            <w:shd w:fill="CFF0FC"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39,949</w:t>
            </w:r>
          </w:p>
        </w:tc>
        <w:tc>
          <w:tcPr>
            <w:tcW w:w="391" w:type="dxa"/>
            <w:tcBorders/>
            <w:shd w:fill="FFFFFF" w:val="clear"/>
            <w:vAlign w:val="center"/>
          </w:tcPr>
          <w:p>
            <w:pPr>
              <w:pStyle w:val="TableContents"/>
              <w:bidi w:val="0"/>
              <w:spacing w:before="0" w:after="283"/>
              <w:jc w:val="left"/>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23,330</w:t>
            </w:r>
          </w:p>
        </w:tc>
        <w:tc>
          <w:tcPr>
            <w:tcW w:w="391" w:type="dxa"/>
            <w:tcBorders/>
            <w:shd w:fill="FFFFFF" w:val="clear"/>
            <w:vAlign w:val="center"/>
          </w:tcPr>
          <w:p>
            <w:pPr>
              <w:pStyle w:val="TableContents"/>
              <w:bidi w:val="0"/>
              <w:spacing w:before="0" w:after="283"/>
              <w:jc w:val="left"/>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105,600</w:t>
            </w:r>
          </w:p>
        </w:tc>
        <w:tc>
          <w:tcPr>
            <w:tcW w:w="391" w:type="dxa"/>
            <w:tcBorders/>
            <w:shd w:fill="FFFFFF" w:val="clear"/>
            <w:vAlign w:val="center"/>
          </w:tcPr>
          <w:p>
            <w:pPr>
              <w:pStyle w:val="TableContents"/>
              <w:bidi w:val="0"/>
              <w:spacing w:before="0" w:after="283"/>
              <w:jc w:val="left"/>
              <w:rPr/>
            </w:pPr>
            <w:r>
              <w:rPr/>
              <w:t> </w:t>
            </w:r>
          </w:p>
        </w:tc>
      </w:tr>
      <w:tr>
        <w:trPr/>
        <w:tc>
          <w:tcPr>
            <w:tcW w:w="6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66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Common stock, $0.0001 par value; 200,000,000 shares </w:t>
              <w:br/>
              <w:t xml:space="preserve">   authorized as of June 30, 2024; 70,558,546 and 49,181,295 shares </w:t>
              <w:br/>
              <w:t>   issued and outstanding at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66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708,706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66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66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unrealized (loss) gain on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73,494,523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48,970,391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62,088,495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48,946,018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961" w:type="dxa"/>
        <w:jc w:val="left"/>
        <w:tblInd w:w="0" w:type="dxa"/>
        <w:tblLayout w:type="fixed"/>
        <w:tblCellMar>
          <w:top w:w="28" w:type="dxa"/>
          <w:left w:w="28" w:type="dxa"/>
          <w:bottom w:w="28" w:type="dxa"/>
          <w:right w:w="28" w:type="dxa"/>
        </w:tblCellMar>
      </w:tblPr>
      <w:tblGrid>
        <w:gridCol w:w="256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2023</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49,181,295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(435,434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273,285</w:t>
            </w:r>
          </w:p>
        </w:tc>
        <w:tc>
          <w:tcPr>
            <w:tcW w:w="196"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and pre-funded </w:t>
              <w:br/>
              <w:t>warrants, net of issuance costs of $15,027</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225,073</w:t>
            </w:r>
          </w:p>
        </w:tc>
        <w:tc>
          <w:tcPr>
            <w:tcW w:w="196"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96"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96"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70,453,561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(464,952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473,651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96"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96"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4,414</w:t>
            </w:r>
          </w:p>
        </w:tc>
        <w:tc>
          <w:tcPr>
            <w:tcW w:w="196"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70,558,546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943,385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(489,945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453,184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2022</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48,877,806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(317,933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372,207</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shares of common</w:t>
              <w:br/>
              <w:t>   stock subject to repurchase</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4,746</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gain on </w:t>
              <w:br/>
              <w:t>   investments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(30,815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48,928,923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(348,748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346,646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49,058,234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317,978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Realized gain on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ESPP 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 resulting from</w:t>
              <w:br/>
              <w:t>     new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issuance costs included in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 and cancer.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June 30, 2024, the Company had an accumulated deficit of $489.9 million and cash, cash equivalents, restricted cash and investments of $426.7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unaudited condensed financial statements as of June 30, 2024 and for the three and six months ended June 30, 2024 and 2023 have been prepared in accordance with U.S. generally accepted accounting principle ("U.S. GAAP") for interim financial information and pursuant to Article 10 of Regulation S-X of the Securities Act,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for the three and six months ended June 30, 2024 are not necessarily indicative of the results expected for the full year or any subsequent interim period. The condensed balance sheet as of December 31, 2023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2023, contained in the Company’s Annual Report on Form 10-K for the year ended December 31, 2023 filed by the Company with the SEC on March 21,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and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6 for additional information regarding the prior year impairment charge the Company recorded in connection with its leased facilities.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 Board ("FASB") issued Accounting Standards Update ("ASU") No. 2023-07, Segment Reporting (Topic 280):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FASB issued ASU No. 2020-06, Debt-Debt with Conversion and Other Options (Subtopic 740-20) and Derivative and Hedging – Contracts in Entity’s Own Equity (Subtopic 815-40): Accounting for Convertible Instruments and Contracts in an Entity’s Own Equity (“ASU 2020-06”), which simplifies accounting for convertible instruments by removing major separation models required under current GAAP. ASU 2020-06 also removes certain settlement conditions that are required for equity-linked contracts to qualify for the derivative scope exception, and it simplifies the diluted earnings per share calculation in certain areas. ASU 2020-06 is effective for the Company beginning on January 1, 2024. The adoption of ASU 2020-06 does not have a material impact on the financial position, results of operations or cash flows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70,494,492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48,970,457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60,506,061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48,946,131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weighted average unvested common stock</w:t>
              <w:br/>
              <w:t>   issued upon early exercise of common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73,494,523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48,970,391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62,088,495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48,946,018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rPr/>
      </w:pPr>
      <w:r>
        <w:rPr/>
        <w:t> </w:t>
      </w:r>
    </w:p>
    <w:tbl>
      <w:tblPr>
        <w:tblW w:w="4794" w:type="dxa"/>
        <w:jc w:val="left"/>
        <w:tblInd w:w="0" w:type="dxa"/>
        <w:tblLayout w:type="fixed"/>
        <w:tblCellMar>
          <w:top w:w="28" w:type="dxa"/>
          <w:left w:w="28" w:type="dxa"/>
          <w:bottom w:w="28" w:type="dxa"/>
          <w:right w:w="28" w:type="dxa"/>
        </w:tblCellMar>
      </w:tblPr>
      <w:tblGrid>
        <w:gridCol w:w="2011"/>
        <w:gridCol w:w="146"/>
        <w:gridCol w:w="146"/>
        <w:gridCol w:w="931"/>
        <w:gridCol w:w="146"/>
        <w:gridCol w:w="146"/>
        <w:gridCol w:w="146"/>
        <w:gridCol w:w="9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6,757,829</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716,956</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9,611,804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7,474,785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270"/>
        <w:gridCol w:w="616"/>
        <w:gridCol w:w="166"/>
        <w:gridCol w:w="146"/>
        <w:gridCol w:w="335"/>
        <w:gridCol w:w="55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ind w:left="0" w:right="0" w:firstLine="200"/>
              <w:jc w:val="right"/>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792" w:type="dxa"/>
            <w:tcBorders/>
            <w:shd w:fill="CFF0FC" w:val="clear"/>
            <w:vAlign w:val="center"/>
          </w:tcPr>
          <w:p>
            <w:pPr>
              <w:pStyle w:val="TableContents"/>
              <w:bidi w:val="0"/>
              <w:spacing w:before="0" w:after="283"/>
              <w:ind w:left="0" w:right="0" w:firstLine="400"/>
              <w:jc w:val="right"/>
              <w:rPr/>
            </w:pPr>
            <w:r>
              <w:rPr/>
              <w:t> </w:t>
            </w:r>
          </w:p>
        </w:tc>
      </w:tr>
      <w:tr>
        <w:trPr/>
        <w:tc>
          <w:tcPr>
            <w:tcW w:w="29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47,038</w:t>
            </w:r>
          </w:p>
        </w:tc>
        <w:tc>
          <w:tcPr>
            <w:tcW w:w="792" w:type="dxa"/>
            <w:tcBorders/>
            <w:shd w:fill="FFFFFF" w:val="clear"/>
            <w:vAlign w:val="center"/>
          </w:tcPr>
          <w:p>
            <w:pPr>
              <w:pStyle w:val="TableContents"/>
              <w:bidi w:val="0"/>
              <w:spacing w:before="0" w:after="283"/>
              <w:ind w:left="0" w:right="0" w:firstLine="400"/>
              <w:jc w:val="lef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23,033</w:t>
            </w:r>
          </w:p>
        </w:tc>
        <w:tc>
          <w:tcPr>
            <w:tcW w:w="792" w:type="dxa"/>
            <w:tcBorders/>
            <w:shd w:fill="CFF0FC" w:val="clear"/>
            <w:vAlign w:val="center"/>
          </w:tcPr>
          <w:p>
            <w:pPr>
              <w:pStyle w:val="TableContents"/>
              <w:bidi w:val="0"/>
              <w:spacing w:before="0" w:after="283"/>
              <w:ind w:left="0" w:right="0" w:firstLine="400"/>
              <w:jc w:val="left"/>
              <w:rPr/>
            </w:pPr>
            <w:r>
              <w:rPr/>
              <w:t> </w:t>
            </w:r>
          </w:p>
        </w:tc>
      </w:tr>
      <w:tr>
        <w:trPr/>
        <w:tc>
          <w:tcPr>
            <w:tcW w:w="29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119,828</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ind w:left="0" w:right="0" w:firstLine="400"/>
              <w:jc w:val="righ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77,638</w:t>
            </w:r>
          </w:p>
        </w:tc>
        <w:tc>
          <w:tcPr>
            <w:tcW w:w="792" w:type="dxa"/>
            <w:tcBorders/>
            <w:shd w:fill="CFF0FC" w:val="clear"/>
            <w:vAlign w:val="center"/>
          </w:tcPr>
          <w:p>
            <w:pPr>
              <w:pStyle w:val="TableContents"/>
              <w:bidi w:val="0"/>
              <w:spacing w:before="0" w:after="283"/>
              <w:ind w:left="0" w:right="0" w:firstLine="400"/>
              <w:jc w:val="left"/>
              <w:rPr/>
            </w:pPr>
            <w:r>
              <w:rPr/>
              <w:t> </w:t>
            </w:r>
          </w:p>
        </w:tc>
      </w:tr>
      <w:tr>
        <w:trPr/>
        <w:tc>
          <w:tcPr>
            <w:tcW w:w="29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17,434</w:t>
            </w:r>
          </w:p>
        </w:tc>
        <w:tc>
          <w:tcPr>
            <w:tcW w:w="792" w:type="dxa"/>
            <w:tcBorders/>
            <w:shd w:fill="FFFFFF" w:val="clear"/>
            <w:vAlign w:val="center"/>
          </w:tcPr>
          <w:p>
            <w:pPr>
              <w:pStyle w:val="TableContents"/>
              <w:bidi w:val="0"/>
              <w:spacing w:before="0" w:after="283"/>
              <w:ind w:left="0" w:right="0" w:firstLine="400"/>
              <w:jc w:val="lef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204,423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792" w:type="dxa"/>
            <w:tcBorders/>
            <w:shd w:fill="CFF0FC" w:val="clear"/>
            <w:vAlign w:val="center"/>
          </w:tcPr>
          <w:p>
            <w:pPr>
              <w:pStyle w:val="TableContents"/>
              <w:bidi w:val="0"/>
              <w:spacing w:before="0" w:after="283"/>
              <w:ind w:left="0" w:right="0" w:firstLine="400"/>
              <w:jc w:val="right"/>
              <w:rPr/>
            </w:pPr>
            <w:r>
              <w:rPr/>
              <w:t> </w:t>
            </w:r>
          </w:p>
        </w:tc>
      </w:tr>
      <w:tr>
        <w:trPr/>
        <w:tc>
          <w:tcPr>
            <w:tcW w:w="29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83,660</w:t>
            </w:r>
          </w:p>
        </w:tc>
        <w:tc>
          <w:tcPr>
            <w:tcW w:w="792" w:type="dxa"/>
            <w:tcBorders/>
            <w:shd w:fill="FFFFFF" w:val="clear"/>
            <w:vAlign w:val="center"/>
          </w:tcPr>
          <w:p>
            <w:pPr>
              <w:pStyle w:val="TableContents"/>
              <w:bidi w:val="0"/>
              <w:spacing w:before="0" w:after="283"/>
              <w:ind w:left="0" w:right="0" w:firstLine="400"/>
              <w:jc w:val="lef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15,426</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423,337</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318"/>
        <w:gridCol w:w="568"/>
        <w:gridCol w:w="166"/>
        <w:gridCol w:w="146"/>
        <w:gridCol w:w="335"/>
        <w:gridCol w:w="55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792" w:type="dxa"/>
            <w:tcBorders/>
            <w:shd w:fill="CFF0FC" w:val="clear"/>
            <w:vAlign w:val="center"/>
          </w:tcPr>
          <w:p>
            <w:pPr>
              <w:pStyle w:val="TableContents"/>
              <w:bidi w:val="0"/>
              <w:spacing w:before="0" w:after="283"/>
              <w:ind w:left="0" w:right="0" w:firstLine="200"/>
              <w:jc w:val="right"/>
              <w:rPr/>
            </w:pPr>
            <w:r>
              <w:rPr/>
              <w:t> </w:t>
            </w:r>
          </w:p>
        </w:tc>
      </w:tr>
      <w:tr>
        <w:trPr/>
        <w:tc>
          <w:tcPr>
            <w:tcW w:w="29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ind w:left="0" w:right="0" w:firstLine="400"/>
              <w:jc w:val="righ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ind w:left="0" w:right="0" w:firstLine="400"/>
              <w:jc w:val="righ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40,609</w:t>
            </w:r>
          </w:p>
        </w:tc>
        <w:tc>
          <w:tcPr>
            <w:tcW w:w="792" w:type="dxa"/>
            <w:tcBorders/>
            <w:shd w:fill="CFF0FC" w:val="clear"/>
            <w:vAlign w:val="center"/>
          </w:tcPr>
          <w:p>
            <w:pPr>
              <w:pStyle w:val="TableContents"/>
              <w:bidi w:val="0"/>
              <w:spacing w:before="0" w:after="283"/>
              <w:ind w:left="0" w:right="0" w:firstLine="400"/>
              <w:jc w:val="left"/>
              <w:rPr/>
            </w:pPr>
            <w:r>
              <w:rPr/>
              <w:t> </w:t>
            </w:r>
          </w:p>
        </w:tc>
      </w:tr>
      <w:tr>
        <w:trPr/>
        <w:tc>
          <w:tcPr>
            <w:tcW w:w="29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38,197</w:t>
            </w:r>
          </w:p>
        </w:tc>
        <w:tc>
          <w:tcPr>
            <w:tcW w:w="792" w:type="dxa"/>
            <w:tcBorders/>
            <w:shd w:fill="FFFFFF" w:val="clear"/>
            <w:vAlign w:val="center"/>
          </w:tcPr>
          <w:p>
            <w:pPr>
              <w:pStyle w:val="TableContents"/>
              <w:bidi w:val="0"/>
              <w:spacing w:before="0" w:after="283"/>
              <w:ind w:left="0" w:right="0" w:firstLine="400"/>
              <w:jc w:val="left"/>
              <w:rPr/>
            </w:pPr>
            <w:r>
              <w:rPr/>
              <w:t> </w:t>
            </w:r>
          </w:p>
        </w:tc>
      </w:tr>
      <w:tr>
        <w:trPr/>
        <w:tc>
          <w:tcPr>
            <w:tcW w:w="292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138,343</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247,900</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$47.0 million and $30.8 million as of June 30, 2024 and December 31, 2023, respectively, were classified as Level 1 instruments and were included in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corporate debt securities, commercial paper and U.S.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$376.3 million and $217.1 million as of June 30, 2024 and December 31, 2023, respectively, were classified as Level 2 instruments. Accrued interest receivable related to investments was $2.1 million and $1.2 million as of June 30, 2024 and December 31, 2023, respectively, and included as part of prepaid expenses and other current assets in the condensed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June 30, 2024 and December 31, 2023 were caused by fluctuations in market value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rates as a result of the economic environment and not credit risk. The Company concluded that an allowance for credit losses was unnecessary as of June 30, 2024 and December 31, 2023.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realized gain or loss on available-for-sale securities for the six months ended June 30, 2024. During the six months ended June 30, 2023, there were immaterial realized gains recognized on available-for-sale securities sold in the period.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44"/>
        <w:gridCol w:w="85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91,019</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$2.3 million and $4.5 million for the three and six months ended June 30, 2024, and $0.8 million and $1.6 million for the three and six months ended June 30, 2023.</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other current liabilities are comprised of the following (in thousands):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3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3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shd w:fill="FFFFFF"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laboratories, manufacturing facilities, and dedicated space in a vivarium in South San Francisco, California. Rent expense was $2.6 million and $5.3 million for the three and six months ended June 30, 2024, respectively and $2.7 million and $5.5 million for the three and six months ended June 30, 2023, respectively. The total cash paid for the six months ended June 30, 2024 for operating leases included in the operating cash flows was $7.6 million, inclusive of $7.3 million of rent payments and $0.3 million of tenant improvement allowance repayment, as compared to net cash received of $2.8 million for the six months ended June 30, 2023, comprised of $7.8 million cash received for the tenant improvement allowance reimbursement less $5.0 million of rent payment. The weighted average remaining lease term was 9.3 years for the corporate office, laboratory space leases, and additional facility as of June 30, 2024. The weighted average discount rate was 9.7% as of June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June 30, 2024 were as follows (in thousands): </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4536"/>
        <w:gridCol w:w="146"/>
        <w:gridCol w:w="211"/>
        <w:gridCol w:w="78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six months)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13,403</w:t>
            </w:r>
          </w:p>
        </w:tc>
        <w:tc>
          <w:tcPr>
            <w:tcW w:w="41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w:t>
            </w:r>
          </w:p>
        </w:tc>
        <w:tc>
          <w:tcPr>
            <w:tcW w:w="41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134,585</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tests long-lived assets for recoverability whenever events or changes in circumstances suggest that the carrying value of an asset or group of assets may not be recoverable. Beginning in the second quarter of 2023, the Company started to market for sublease portions of the Company's leased corporate office space in South San Francisco. As a result of these plans, the Company reviewed these spaces for impairment. As part of the impairment evaluation of the spaces being marketed for sublease, the Company compared the estimated undiscounted income for the marketed sublease spaces to the net book value of the related long-term assets, which include right-of-use assets and certain property and equipment, primarily for leasehold improvements (collectively, "Sublease Asset Group"). The Company estimated potential sublease income using market participant assumptions, which the Company evaluated based on current real estate trends and market conditions. For the Sublease Asset Group, the Company determined that the respective right-of-use assets had net carrying values that exceeded their estimated undiscounted future cash flows. Accordingly, the Company then estimated the fair value of the Sublease Asset Group based on its discounted cash flows. The carrying value of the Sublease Asset Group exceeded its fair values and, as a result, the Company recorded a right-of-use asset impairment of $4.1 million for the six months ended June 30, 2023. The impairment is recorded within general and administrative expenses in the condensed statements of operations and comprehensive loss. There was no additional impairment recorded for the six months ended June 30, 2024.</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&amp;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June 30, 2024, and December 31, 2023.</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5, 2021, the Company entered into a research collaboration agreement (as amended, the "CRISPR Agreement") with CRISPR Therapeutics AG ("CRISPR") to co-develop and co-commercialize an allogeneic, off-the-shelf chimeric antigen receptor-natural killer ("CAR NK") product candidate targeting the CD70 tumor antigen ("NKX070") and an allogeneic, off-the-shelf product candidate that comprises both engineered NK cells and engineered T cells ("NK+T"). In May 2022, the CRISPR Agreement was amended to revise the transfer of materials and nomination provisions, and in March 2023, the CRISPR Agreement was further amended to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four CRISPR-Cas9 gene editing targets and will receive a license from CRISPR for up to one more CRISPR-Cas9 gene editing target that can be engineered into an unlimited number of its own NK-cell products. CRISPR also has an option to co-develop and co-commercialize a future CAR NK program. On April 3, 2024, the CRISPR Agreement was amended to further revise the nomination provision, and on May 2, 2024, it was amended to align the designation term and additional-gene-editing target provisions with the revised nomination provision from April 3,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T-cell related activities, and Nkarta is responsible for NK-cell related activities. The impact of the cost sharing associated with the research and development activities is included in research and development expense on the condensed statements of operations and comprehensive loss.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zero and $0.1 million for the three and six months ended June 30, 2024, respectively, and $0.3 million and $1.2 million for the three and six months ended June 30, 2023, respectively. As of June 30, 2024, there were no receivable under the research cost sharing provision.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June 30, 2024, the Company has not paid any amounts nor are any amounts owed by the Company under the CRISPR Agreement, and no milestones have been achieved.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June 13, 2024, the stockholders approved an amendment to the Company's Restated Certificate of Incorporation </w:t>
      </w:r>
      <w:r>
        <w:rPr>
          <w:rFonts w:ascii="Times New Roman" w:hAnsi="Times New Roman"/>
          <w:color w:val="212529"/>
          <w:sz w:val="20"/>
        </w:rPr>
        <w:t xml:space="preserve">to </w:t>
      </w:r>
      <w:r>
        <w:rPr>
          <w:rFonts w:ascii="Times New Roman" w:hAnsi="Times New Roman"/>
          <w:color w:val="000000"/>
          <w:sz w:val="20"/>
        </w:rPr>
        <w:t>increase the number of total authorized shares of the Company</w:t>
      </w:r>
      <w:r>
        <w:rPr>
          <w:rFonts w:ascii="Times New Roman" w:hAnsi="Times New Roman"/>
          <w:color w:val="212529"/>
          <w:sz w:val="20"/>
        </w:rPr>
        <w:t>’</w:t>
      </w:r>
      <w:r>
        <w:rPr>
          <w:rFonts w:ascii="Times New Roman" w:hAnsi="Times New Roman"/>
          <w:color w:val="000000"/>
          <w:sz w:val="20"/>
        </w:rPr>
        <w:t>s common stock, $0.0001 par value per share, from 100,000,000 to 200,000,000 shares.</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a total of 10,847,981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2,505,146 shares were available for issuance under the 2020 Plan as of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three months ended June 30, 2024:</w:t>
      </w:r>
    </w:p>
    <w:tbl>
      <w:tblPr>
        <w:tblW w:w="9335" w:type="dxa"/>
        <w:jc w:val="left"/>
        <w:tblInd w:w="0" w:type="dxa"/>
        <w:tblLayout w:type="fixed"/>
        <w:tblCellMar>
          <w:top w:w="28" w:type="dxa"/>
          <w:left w:w="28" w:type="dxa"/>
          <w:bottom w:w="28" w:type="dxa"/>
          <w:right w:w="28" w:type="dxa"/>
        </w:tblCellMar>
      </w:tblPr>
      <w:tblGrid>
        <w:gridCol w:w="3766"/>
        <w:gridCol w:w="146"/>
        <w:gridCol w:w="187"/>
        <w:gridCol w:w="1193"/>
        <w:gridCol w:w="166"/>
        <w:gridCol w:w="146"/>
        <w:gridCol w:w="226"/>
        <w:gridCol w:w="614"/>
        <w:gridCol w:w="146"/>
        <w:gridCol w:w="146"/>
        <w:gridCol w:w="272"/>
        <w:gridCol w:w="674"/>
        <w:gridCol w:w="146"/>
        <w:gridCol w:w="146"/>
        <w:gridCol w:w="237"/>
        <w:gridCol w:w="933"/>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w:t>
            </w:r>
          </w:p>
        </w:tc>
        <w:tc>
          <w:tcPr>
            <w:tcW w:w="19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2024</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2024</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$5.04 and $4.14 per share for the six months ended June 30, 2024 and 2023, respectively. The intrinsic value of options exercised was $0.8 million and immaterial for the six months ended June 30, 2024 and 2023, respectively.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six months ended June 30, 2024: </w:t>
      </w:r>
    </w:p>
    <w:p>
      <w:pPr>
        <w:pStyle w:val="TextBody"/>
        <w:bidi w:val="0"/>
        <w:spacing w:before="40" w:after="283"/>
        <w:jc w:val="left"/>
        <w:rPr/>
      </w:pPr>
      <w:r>
        <w:rPr/>
        <w:t> </w:t>
      </w:r>
    </w:p>
    <w:tbl>
      <w:tblPr>
        <w:tblW w:w="8548" w:type="dxa"/>
        <w:jc w:val="left"/>
        <w:tblInd w:w="0" w:type="dxa"/>
        <w:tblLayout w:type="fixed"/>
        <w:tblCellMar>
          <w:top w:w="28" w:type="dxa"/>
          <w:left w:w="28" w:type="dxa"/>
          <w:bottom w:w="28" w:type="dxa"/>
          <w:right w:w="28" w:type="dxa"/>
        </w:tblCellMar>
      </w:tblPr>
      <w:tblGrid>
        <w:gridCol w:w="2941"/>
        <w:gridCol w:w="146"/>
        <w:gridCol w:w="187"/>
        <w:gridCol w:w="1193"/>
        <w:gridCol w:w="166"/>
        <w:gridCol w:w="146"/>
        <w:gridCol w:w="729"/>
        <w:gridCol w:w="1611"/>
        <w:gridCol w:w="146"/>
        <w:gridCol w:w="146"/>
        <w:gridCol w:w="272"/>
        <w:gridCol w:w="67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$6.01 and $5.57 per share for the six months ended June 30, 2024 and 2023,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June 30, 2024, 1,638,267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June 30, 2024, employee contributions to the ESPP were $0.1 million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and six months ended June 30, 2024 and 2023 was as follows (in thousands): </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146"/>
        <w:gridCol w:w="146"/>
        <w:gridCol w:w="211"/>
        <w:gridCol w:w="571"/>
        <w:gridCol w:w="146"/>
        <w:gridCol w:w="146"/>
        <w:gridCol w:w="211"/>
        <w:gridCol w:w="57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391" w:type="dxa"/>
            <w:tcBorders/>
            <w:shd w:fill="CFF0FC" w:val="clear"/>
            <w:vAlign w:val="center"/>
          </w:tcPr>
          <w:p>
            <w:pPr>
              <w:pStyle w:val="TableContents"/>
              <w:bidi w:val="0"/>
              <w:spacing w:before="0" w:after="283"/>
              <w:jc w:val="left"/>
              <w:rPr/>
            </w:pPr>
            <w:r>
              <w:rPr/>
              <w:t> </w:t>
            </w:r>
          </w:p>
        </w:tc>
      </w:tr>
      <w:tr>
        <w:trPr/>
        <w:tc>
          <w:tcPr>
            <w:tcW w:w="2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$22.6 million, which is expected to be recognized over a weighted average remaining service period of 2.8 years as of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$6.9 million, which is expected to be recognized over a weighted average remaining service period of 3.1 years as of June 30,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June 30, 2024, none of the pre-funded warrants have been exercised. The Company raised $240.1 million in gross proceeds before underwriting discounts and commissions of $14.4 million and other offering expenses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ASC 480-10, Accounting for Certain Financial Instruments with Characteristics of both Liabilities and Equity ("ASC 480"), and ASC 815-40 ("ASC 815"), Accounting for Derivative Financial Instruments Indexed to, and Potentially Settled in, a Company’s Own Stock,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There was no provision for income taxes recorded during the three months ended June 30, 2024, and 2023. The Company’s deferred tax assets continue to be fully offset by a valuation allowance</w:t>
      </w:r>
      <w:r>
        <w:rPr>
          <w:rFonts w:ascii="Times New Roman" w:hAnsi="Times New Roman"/>
          <w:color w:val="212529"/>
          <w:sz w:val="20"/>
        </w:rPr>
        <w:t>.</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 on March 21, 2024 for the fiscal year ended December 31, 2023,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NK-cell therapies for the treatment of patients with autoimmune diseases or hematologic malignancies. We are currently developing NKX019, a CAR NK product candidate targeting the CD19 antigen, as our lead product candidate. We have also been developing NKX101, a CAR NK-cell product candidate targeting cells that display NKG2D ligands. Both product candidates enable an on-demand, off-the-shelf approach involving scaled manufacturing to broaden patient access. NKX019 and NKX101 incorporate proprietary technologies that enable us to generate an abundant supply of NK cells, increase NK-cell recognition of target antigens, enhance NK-cell fitness and freeze, store, and thaw our engineered NK cells for off-the-shelf administration.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cancer,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differentiated,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NK-cell to enable the cell to recognize specific proteins or antigens that are present on the surface of target cells. Our engineered CAR NK cells generally consist of an NK-cell engineered with a targeting receptor, OX40 costimulatory domain, CD3ζ(zeta) signaling moiety, and a membrane-bound form of the cytokine IL(interleukin)-15 ("mbIL-15").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announced the initiation of Ntrust-1, a multi-center, open-label, dose-escalation Phase 1 clinical trial of NKX019 for lupus nephritis (“LN”). At that time, we also announced that we had received clearance of an Investigational New Drug ("IND") application by the United States Food and Drug Administration ("FDA") to evaluate NKX019 for the treatment of additional autoimmune diseases. Ntrust-2 is a planned multi-center, open-label, dose-escalation Phase 1 clinical trial that will evaluate the safety and clinical activity of NKX019 in humans with systemic sclerosis ("scleroderma"), idiopathic inflammatory myopathy ("myositis") and antineutrophil cytoplasmic antibody ("ANCA")-associated vasculitis ("AAV"). In July 2024, we announced that researchers at Columbia University Irving Medical Center (“CUIMC”) initiated an investigator-sponsored trial (“IST”) of NKX019 in patients with systemic lupus erythematosus (“SLE”). NKX019 is also being studied in a multi-center Phase 1 clinical trial for the treatment of a variety of B-cell malignancies, which evaluates the safety, pharmacology, and preliminary anti-tumor activity of NKX019.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NKX101 has been evaluated in a multi-center Phase 1 clinical trial in the U.S. for the treatment of relapsed or refractory acute myeloid leukemia ("r/r AML") and higher risk myelodysplastic syndromes ("MDS"). This first-in-human study evaluated the safety, pharmacology, and preliminary anti-tumor activity of NKX101. We have deprioritized the development of NKX101 as part of a realignment of our pipeline to direct primary resources to development of our lead product candidate, NKX019, for the treatment of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CRISPR Agreement entered into in May 2021, we agreed with CRISPR to collaboratively design and advance (a) up to two allogeneic, gene-edited NK-cell therapies, one of which is the engineered CAR NK product candidate targeting the CD70 tumor antigen, and (b) one allogeneic, gene-edited NK+T cell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 stock and intend to raise additional capital to fund operations until such time that we are able to generate sufficient revenues to cover our operating expenses. We may seek additional funding through the issuance of common stock, including through our ATM Offering Program, other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further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sold an aggregate of (i) 21,010,000 shares of its common stock at a price of $10.00 per share, and (ii) pre-funded warrants to purchase 3,000,031 shares of common stock at a price of $9.9999 per pre-funded warrant in an underwritten public offering. The pre-funded warrants can be exercised at any time after issuance for an exercise price of $0.0001 per share, subject to certain ownership limitations. The total net proceeds from the offering were approximately $225.1 million, after deducting underwriting discounts and commissions and offering expenses.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Leadership</w:t>
      </w:r>
    </w:p>
    <w:p>
      <w:pPr>
        <w:pStyle w:val="TextBody"/>
        <w:bidi w:val="0"/>
        <w:jc w:val="left"/>
        <w:rPr>
          <w:rFonts w:ascii="Times New Roman" w:hAnsi="Times New Roman"/>
          <w:color w:val="000000"/>
          <w:sz w:val="20"/>
        </w:rPr>
      </w:pPr>
      <w:r>
        <w:rPr>
          <w:rFonts w:ascii="Times New Roman" w:hAnsi="Times New Roman"/>
          <w:color w:val="000000"/>
          <w:sz w:val="20"/>
        </w:rPr>
        <w:t>On July 10, 2024, the Company’s board of directors appointed Nadir Mahmood, Ph.D. as President, effective July 29, 2024, and promoted David Shook, M.D., as Chief Medical Officer, Head of Research and Development, effective July 15, 2024.</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our October 2023 announcement of cost containment measures,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and six months ended June 30, 2024 and 2023.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The partner cost sharing represents reimbursable research and development expenses from the CRISPR Agreement. </w:t>
      </w:r>
    </w:p>
    <w:p>
      <w:pPr>
        <w:pStyle w:val="TextBody"/>
        <w:bidi w:val="0"/>
        <w:jc w:val="left"/>
        <w:rPr/>
      </w:pPr>
      <w:r>
        <w:rPr/>
        <w:t> </w:t>
      </w:r>
    </w:p>
    <w:tbl>
      <w:tblPr>
        <w:tblW w:w="10072"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166"/>
        <w:gridCol w:w="146"/>
        <w:gridCol w:w="211"/>
        <w:gridCol w:w="676"/>
        <w:gridCol w:w="166"/>
        <w:gridCol w:w="146"/>
        <w:gridCol w:w="211"/>
        <w:gridCol w:w="676"/>
        <w:gridCol w:w="6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CD70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NK+T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611" w:type="dxa"/>
            <w:tcBorders/>
            <w:shd w:fill="CFF0FC" w:val="cle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13,029</w:t>
            </w:r>
          </w:p>
        </w:tc>
        <w:tc>
          <w:tcPr>
            <w:tcW w:w="611" w:type="dxa"/>
            <w:tcBorders/>
            <w:shd w:fill="FFFFFF" w:val="clear"/>
            <w:vAlign w:val="center"/>
          </w:tcPr>
          <w:p>
            <w:pPr>
              <w:pStyle w:val="TableContents"/>
              <w:bidi w:val="0"/>
              <w:spacing w:before="0" w:after="283"/>
              <w:jc w:val="left"/>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cost sharing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Ntrust-2, our planned clinical trial of NKX019 for the treatment of scleroderma, myositis, and AAV.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pursue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investments and adjustments related to amortization of purchase premiums and accretion of discounts of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10175"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166"/>
        <w:gridCol w:w="146"/>
        <w:gridCol w:w="211"/>
        <w:gridCol w:w="736"/>
        <w:gridCol w:w="166"/>
        <w:gridCol w:w="146"/>
        <w:gridCol w:w="211"/>
        <w:gridCol w:w="736"/>
        <w:gridCol w:w="166"/>
        <w:gridCol w:w="146"/>
        <w:gridCol w:w="211"/>
        <w:gridCol w:w="63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411" w:type="dxa"/>
            <w:tcBorders/>
            <w:shd w:fill="CFF0FC" w:val="cle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$23.1 million and $25.1 million for the three months ended June 30, 2024 and 2023, respectively. Research and development expenses were $48.4 million and $51.3 million for the six months ended June 30, 2024 and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of $2.0 million for the three months ended June 30, 2024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$3.9 million decrease in program costs primarily from lower manufacturing and materials spending as we deprioritized NKX101 and began preparations for Phase I clinical trials of NKX019 in autoimmune diseases, as well as a decrease in clinical expenses from of a reduction in enrolled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$1.2 million increase in depreciation expense due to the timing of when assets were placed in-service in 2023;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$0.7 million net decrease in other research costs, primarily consisting of payroll, facility allocation expenses, offset by partner cost sharing reimbursable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of $2.9 million for the six months ended June 30, 2024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$7.5 million decrease in program costs primarily from lower manufacturing and materials spending as we deprioritized NKX101 and began preparations for Phase I clinical trials of NKX019 in autoimmune diseases, as well as a decrease in clinical expenses from a reduction in enrolled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$2.5 million increase in depreciation expense due to the timing of when assets were placed in-service in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$1.1 million decrease in partner cost sharing reimbursable expenses related to a decrease in activities performed under our collaboration with CRISPR;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$1.0 million net increase in other research costs, primarily consisting of an increase in supplies purchased, and offset by a decrease in payroll and facility allocation expenses.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 xml:space="preserve">General and administrative expenses were $7.6 million and $15.1 million for the three and six months ended June 30, 2024, respectively, and $11.7 million and $19.9 million for the three and six months ended June 30,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of $4.2 million and $4.8 million the three and six months ended June 30, 2024, respectively, were primarily due to the $4.1 million impairment of the right-of-use assets during the three months ended June 30, 2023 and a decrease in personnel-related expenses resulting from reduced headcount following the reduction in force completed in October 2023, partially offset by an increase in depreciation.</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Interest income was $5.7 million and $9.0 million for the three and six months ended June 30, 2024, respectively, and $3.6 million and $7.0 million for the three and six months ended June 30, 2023, respectively. The increase of $2.2 million and $1.9 million for the three and six months ended June 30, 2024, respectively, were primarily due to higher average investment balances in the current period. Interest income includes interest earned from investments, partially offset by amortization of purchase premiums and accretion of discounts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we had cash, cash equivalents, restricted cash and investments of $426.7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had not yet been sold. The Shelf Registration Statement was declared effective by the SEC on May 5,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2021, the Company entered into a sales agreement with Cowen and Company, LLC, as sales agent, to provide for the offering, issuance and sale of up to an aggregate of $150.0 million of the Company’s common stock through an “at-the-market” equity offering program (the "ATM Offering Program") pursuant to the Prior Registration Statement and subject to the limitations thereof. For the six months ended June 30, 2024, no sales of the Company’s common stock were made pursuant to the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June 30, 2024, none of the pre-funded warrants have been exercised. We raised $240.1 million in gross proceeds before underwriting discounts, commissions and other expenses of $15.0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June 30, 2024, we had an accumulated deficit of $489.9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planned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June 30, 2024 will be sufficient to meet our cash needs for at least 12 months following the date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7309" w:type="dxa"/>
        <w:jc w:val="left"/>
        <w:tblInd w:w="0" w:type="dxa"/>
        <w:tblLayout w:type="fixed"/>
        <w:tblCellMar>
          <w:top w:w="28" w:type="dxa"/>
          <w:left w:w="28" w:type="dxa"/>
          <w:bottom w:w="28" w:type="dxa"/>
          <w:right w:w="28" w:type="dxa"/>
        </w:tblCellMar>
      </w:tblPr>
      <w:tblGrid>
        <w:gridCol w:w="4521"/>
        <w:gridCol w:w="146"/>
        <w:gridCol w:w="211"/>
        <w:gridCol w:w="781"/>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33,758</w:t>
            </w:r>
          </w:p>
        </w:tc>
        <w:tc>
          <w:tcPr>
            <w:tcW w:w="391" w:type="dxa"/>
            <w:tcBorders/>
            <w:shd w:fill="FFFFFF" w:val="clear"/>
            <w:vAlign w:val="center"/>
          </w:tcPr>
          <w:p>
            <w:pPr>
              <w:pStyle w:val="TableContents"/>
              <w:bidi w:val="0"/>
              <w:spacing w:before="0" w:after="283"/>
              <w:jc w:val="left"/>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2024 was $50.4 million primarily due to a net loss of $54.5 million adjusted for a decrease in net change in operating assets and liabilities of $7.3 million, which was offset by an increase in net of non-cash charges of $11.4 million. The change in net operating assets and liabilities was primarily due to an increase in interest receivable and prepaid expenses for the maintenance of labratory equipment, and a decrease in accruals and operating lease liability. The non-cash charges primarily consisted of stock-based compensation of $8.8 million, depreciation and amortization of $4.5 million, which was offset by investment accretion and amortization of $3.0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2023 was $42.5 million, primarily due to a net loss of $64.1 million adjusted for net change in operating assets and liabilities of $9.9 million, and net of non-cash charges of $11.7 million. The change in net operating assets and liabilities was primarily due operating lease liabilities of $7.1 million from tenant improvement allowance reimbursements and an increase in accounts payable of $1.2 million.. The non-cash charges primarily consistent of stock-based compensation of $9.4 million, right-of-use asset impairment of $4.1 million, and depreciation and amortization of $1.6 million, which was offset by investment accretion and amortization of $4.5 million.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investing activities for the six months ended June 30, 2024 was $86.1 million, which consisted primarily of the purchase of marketable securities of $214.3 million and the purchase of property and equipment of $2.5 million, partially offset by proceeds from the maturities of marketable securities of $130.7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six months ended June 30, 2023, was $33.8 million, which consisted primarily of proceeds from the maturities of marketable securities of $206.4 million, partially offset by the purchase of marketable securities of $157.5 million and the purchase of property and equipment of $15.2 million related to the construction of our manufacturing facility.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2024, was $225.9 million, which primarily consisted of net proceeds from our underwritten public offering of $225.1 million that closed in March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2023, was $0.4 consisted of proceeds from stock options and the employee stock plan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preclinical and 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June 30, 2024, there have been no material changes from the contractual obligations and commitments previously disclosed in our Annual Report on Form 10-K for the year ended December 31, 2023.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preclinical studies and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six months ended June 30, 2024, as compared to the critical accounting policies and estimates disclosed in “Management’s Discussion and Analysis of Financial Condition and Results of Operations” included in our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2024 and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36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June 30, 2024, this change would not have had a material effect on the fair value of our investment portfolio as of that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believe that inflation, interest rate changes, or exchange rate fluctuations had a significant impact on our results of operations for any periods presented herein.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and business officer, evaluated the effectiveness of our disclosures controls and procedures, as defined in Rules 13a-15(e) and 15d-15(e) under the Exchange Act,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executive officer and chief financial and business officer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June 30, 2024,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2023 and filed with the Securities and Exchange Commission ("SEC") on March 21, 2024, and in our Quarterly Report on Form 10-Q for the quarter ended March 31, 2024 and filed with the SEC on May 9, 2024,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$54.5 million, $117.5 million and $113.8 million for the six months ended June 30, 2024 and the years ended December 31, 2023 and 2022, respectively. Our accumulated deficit was $489.9 million as of June 30, 2024. We expect to continue to incur increasing operating losses for the foreseeable future as we continue to develop our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and our other product candidates, including in new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product candidates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our other product candidates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employee headcount and related expenses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our product candidates, including NKX019. All of our product candidates will require substantial additional development time and resources before we are able to apply for or receive regulatory approvals and begin generating revenue from product sales. Neither the United States Food and Drug Administration ("FDA") nor any other regulatory authority has approved NKX019, NKX101 or any of our other product candidates, and we do not anticipate generating revenues from product sales unless and until such time as NKX019, NKX101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underwritten public offering of our common stock completed in April 2022 (the "Secondary Offering"), our "at the market" equity offering program (the "ATM Offering Program") and proceeds from our underwritten public offering of our common stock and pre-funded warrants completed in March 2024. We estimate that we used the proceeds of our IPO primarily to advance our product candidates through preclinical studies and clinical trial programs, the construction of our manufacturing facility, and for working capital and general corporate purposes. We intend to continue to use the proceeds from our Secondary Offering and ATM Offering Program to, among other uses, advance NKX019 further in clinical development. However, developing pharmaceutical products and conducting preclinical studies and clinical trials is expensive. Advancing NKX019 or any product candidate into pivotal trials will require us to raise additional capital. As of June 30, 2024, we had cash, cash equivalents, restricted cash, and investments of $426.7 million. Our research and development expenses increased from $90.9 million for the year ended December 31, 2022 to $96.8 million for the year ended December 31, 2023. We expect to continue to incur operating losses for the foreseeable future as we continue to develop our product candidates, which may increase, among other things, as we advance NKX019 in clinical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conflicts in the Middle East and Ukraine, rising inflation, rising interest rates,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due to health epidemics or other causes,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A Phase 1 clinical trial to evaluate our lead CAR NK-cell product candidate, NKX019, in humans with certain hematological malignancies is ongoing, and we have initiated Ntrust-1, a multi-center, open-label, dose-escalation Phase 1 clinical trial to evaluate NKX019 in humans with lupus nephritis ("LN"). We also plan to initiate Ntrust-2, a multi-center, open-label, dose-escalation Phase 1 clinical trial that will evaluate the safety and clinical activity of NKX019 in humans with systemic sclerosis ("scleroderma"), idiopathic inflammatory myopathy ("myositis"), and ANCA-associated vasculitis ("AAV"). Although NKX101 has also been in a Phase 1 clinical trial for certain hematologic malignancies, we have stopped enrolling new patients in that clinical trial. Although we may explore our options for implementing certain changes in that program, we cannot guarantee that we will pursue any further development of NKX101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specifically cancers and, most recently, autoimmune diseases. To date, the FDA has approved only a limited number of cell-based therapies for commercialization as treatments for cancer, no cell-based therapies have been approved for commercial use for the treatment of an autoimmune disease,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 that we will target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properly thaw and administer our cells, especially in any solid tumor trial wherein the cells are given through a procedure by trained medical doctors;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CAR NK-cell therapies have been licensed in the United States or elsewhere to treat cancer, and no cell therapies of any type have been licensed for the treatment of autoimmune diseases. The history of manufacturing CAR NK cells for clinical use is limited. Our understanding of NK-cell biology is continuously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clinical experience with NK-cell therapy has been predominantly based on cells from haplomatched donors, i.e., at least half of the major Human Leukocyte Antigen ("HLA") types matched between donor and recipient. Our Phase 1 clinical trials, however, are currently evaluating product candidates manufactured from completely unrelated donors (i.e. used "off-the-shelf"). There is a risk that our early clinical results from our Phase 1 clinical trials using off-the-shelf NKX019 and NKX101 may not be reflective of future clinical trial results which may require us to re-evaluate HLA matching. If it becomes apparent through future preclinical testing or clinical trials that such matching is required,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killer immunoglobulin-like receptor ("KIR") is found on the surface of NK cells and recognizes certain HLA types. If there is a match between certain KIR molecules and the HLA type, KIR acts as a natural inhibitor of NK activity, thereby serving to prevent immune reactions against an individual’s own cells. In our Phase 1 clinical trials, the product candidate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 candidates in the clinic.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with respect to the development of the deprioritized NKX101 program for the treatment of malignancies,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upon continued development we were to discover that tumors develop a resistance to NKX101 as a result of such NKG2D ligand shedding, we would need to reengineer NKX101 to counteract this effect, or we might decide to change, pause or abandon any future development efforts for NKX101.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CROs, the terms of which can be subject to extensive negotiation and may vary significantly among different trial sites and CROs, including delays due to administrative hurdles, lack of significant prior experience with cell therapy for autoimmune disease,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especially a product candidate custom manufactured for a specific patient,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following an interim evaluation of response data in our NKX101 clinical trial for the treatment of relapsed or refractory acute myeloid leukemia ("r/r AML") or higher risk myelodysplastic syndromes ("MDS"), we decided to prioritize our NKX019 program for the treatment of autoimmune disease and deprioritize our NKX101 program. Enrollment in our NKX101 clinical trial has been closed. We plan to evaluate the design of the clinical trial, dosing schedule, and manufacturing processes before pursuing any further development of NKX101, although we cannot guarantee that we will pursue any further development of NKX101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including future outbreaks of COVID-19 variants,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including future outbreaks of COVID-19 variants, then we may experience delays in obtaining periodic advice which may affect our ability to move our clinical programs forward into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NKX019 clinical trial for the treatment of LN (Ntrust-1), establish partnerships in relation to our clinical trials, receiving advisory services and other support from third parties. For example, we have partnered with Lupus Therapeutics, the clinical research affiliate of the Lupus Research Alliance, to accelerate development of NKX019 through select sites of the Lupus Clinical Investigators Network ("LuCIN").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NK-cell product candidate targeting the CD70 tumor antigen ("NKX070") and an allogeneic, off-the-shelf product candidate that comprises both engineered NK cells and engineered T cells ("NK+T"), on which we are collaborating with CRISPR, could be impacted. For example, the FDA may require additional or new release assays for manufactured lots of any product candidates that have been gene edited, which, as a result, could slow development of our gene-edited product candidates and increase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is in Phase I clinical development and subject to the risks inherent in drug development. In December 2022, we announced the opening of three dose-expansion cohorts in our Phase I clinical trial to evaluate NKX019 monotherapy and NKX019 in combination with rituximab in patients with large B-cell lymphoma ("LBCL"). Preliminary results from these cohorts did not meet our expectations, based on the clinical experience of NKX019 in the dose finding portion of the Phase 1 study. As a result, we are no longer enrolling patients in those dose-expansion cohorts. In October 2023, we announced the opening of a new cohort in our clinical trial of NKX019 for the treatment of B-cell malignancies. The new cohort introduces a compressed dosing schedule, where patients receive NKX019 doses on Days 0, 3, and 7 following lymphodepleting conditioning ("LD"), rather than Days 0, 7 and 14 following LD in prior cohorts. The new cohort schedule is designed to intensify exposure to NKX019 in the first week after LD, when internal data suggest that NKX019 exposure is highest. We may also use data from this new cohort to inform future dosing strategies across our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2023, we announced that we had received clearance of an Investigational New Drug ("IND") application by the FDA to evaluate NKX019 for the treatment of LN, and in June 2024, we announced we had received clearance of an IND by the FDA to evaluate NKX019 for the treatment of scleroderma, myositis, and AAV. Ntrust-1 is our multi-center, open-label, dose-escalation Phase 1 clinical trial that will evaluate the safety and clinical activity of NKX019 in humans with refractory LN, and Ntrust-2 is our planned multi-center, open-label, dose-escalation Phase 1 clinical trial that will evaluate the safety and clinical activity of NKX019 in humans with scleroderma, myositis, and AAV. In both Ntrust-1 and Ntrust-2, Cy will be used as the LD prior to administration of NKX019. There are no cell therapies licensed to date in the United States or elsewhere to treat autoimmune diseases and we have no prior experience in developing treatments for autoimmune diseases. We cannot guarantee that our development of NKX019 for the treatment of LN,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scleroderma, myositis, AAV,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commercial availability of multiple therapeutic agents that target CD19, as well as others that are in various stages of development, we have previously had significant difficulty, and may continue to have significant difficulty, enrolling subjects.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NKX101, our deprioritized clinical-stage product candidate, is also subject to the risks inherent in drug development. NKX101 has been studied in a Phase 1 clinical trial for the treatment of blood cancers including r/r AML or MDS. Following a recent interim evaluation of the clinical response data, we decided to deprioritize the clinical development of NKX101. Further enrollment in the trial has been closed. We do not plan to pursue any further development of NKX101 without first evaluating our options for the trial design, dosing regimen, and manufacturing process for the program. We cannot guarantee that we will pursue any further development of NKX101 in the near future or at all. Even if we do decide in the future to further develop NKX101 for the treatment of r/r AML or MDS, we may not be successful in doing so. If clinical development of NKX101 is restarted in the future and the Phase 1 or clinical trials of NKX101 for the treatment of AML or MDS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restart development of NKX101 at a later point and are able to obtain clinical proof-of-concept from our NKX101 Phase 1 trial for blood cancers including r/r AML and MDS, we may also develop NKX101 for additional indications. We may not be able to advance any of these indications through the development process. The potential development of NKX101 for treating solid tumors, for example, would be subject to a number of risks including a hostile tumor microenvironment and trafficking to tumor site. The development of treatments to treat solid tumors often requires larger and more expensive clinical trials than for treating blood cancers.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may be limited.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and NKX101 are our most advanced product candidates, and because our other product candidates are based on similar technology, if our clinical trials of NKX019 or NKX101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 are limited, and CD19-targeted CAR NK-cell therapies, such as NKX019, may not provide the same, or any, therapeutic benefit against LN or other autoimmune diseases, or be competitive with respect to other CD19-targeted therapies for the treatment of autoimmune disease.*</w:t>
      </w:r>
    </w:p>
    <w:p>
      <w:pPr>
        <w:pStyle w:val="TextBody"/>
        <w:bidi w:val="0"/>
        <w:spacing w:before="240" w:after="283"/>
        <w:jc w:val="left"/>
        <w:rPr>
          <w:rFonts w:ascii="Times New Roman" w:hAnsi="Times New Roman"/>
          <w:sz w:val="20"/>
        </w:rPr>
      </w:pPr>
      <w:r>
        <w:rPr>
          <w:rFonts w:ascii="Times New Roman" w:hAnsi="Times New Roman"/>
          <w:color w:val="000000"/>
          <w:sz w:val="20"/>
        </w:rPr>
        <w:t>Although we believe that our allogeneic CD19-targeting CAR NK-cell product candidate NKX019 may have disease-modifying potential in autoimmune disease, such as LN, the use of CD19-targeted CAR cell therapies, and, in particular, allogeneic CD19 CAR NK-cell therapies, represents a novel approach for the treatment of autoimmune disease, and is supported by limited clinical data. To date, no cell therapies have been approved by the FDA for the treatment of autoimmune disease. We cannot guarantee that Ntrust-1, our clinical trial for NKX019 in LN, Ntrust-2, our planned clinical trial for NKX019 in scleroderma, myositis, and AAV, or any other future clinical development of NKX019 for the treatment of autoimmune diseases will be successful. Our belief that NKX019 may be effective as a treatment for autoimmune disease is based largely on our understanding of the mechanism behind the positive clinical data reported by certain academic groups for the use of a CD19 CAR T-cell therapy in a limited number of patients with autoimmune disease,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plan to use Cy alone as the LD in our current, planned and future NKX019 clinical trials for the treatment of autoimmune disease, but there is a risk that Cy alone will not be effective as LD prior to NKX019 in patients with autoimmune disease. We cannot know with any certainty whether NKX019 will be effective against LN, other forms of systemic lupus erythematosus ("SLE") or any other autoimmune disease, or whether NKX019 will be competitive as a treatment for such indications against CD19 CAR T-cell therapies. 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scleroderma, myositis, AAV, or other autoimmune diseases in clinical trials, we experience delays in our ability to advance NKX019 through clinical development for LN, scleroderma, myositis, AAV, or other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subjects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subjects will drop out or die before completion of the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have had significant difficulty in our Phase 1 NKX019 clinical trial for the treatment of B-cell malignancies and may continue to have significant difficulty in our current or future NKX019 clinical trials for certain indications, including B-cell malignancies, enrolling subjects who have not previously been exposed to a CD19-directed cellular therapy. Additionally, for our ongoing NKX019 clinical trials for the treatment of cancer and LN, our planned NKX019 clinical trial for the treatment of additional autoimmune indications, and any future NKX019 clinical trials of ours for the treatment of other autoimmune diseases, the number of qualified clinical investigators is limited, so we may conduct some of our clinical trials at the same clinical trial sites that some of our competitors use, which will reduce the number of patients who are available for our clinical trials at such clinical trial site. A number of cell therapy companies have announced initiation of plans for clinical trials for the treatment of LN and/or other autoimmune diseases, which has resulted in and/or may increase competition in the future for investigators and/or patients for our NKX019 clinical trial for the treatment of LN, our planned NKX019 clinical trial for the treatment of additional autoimmune indications, and any other NKX019 clinical trials that we may initiate in the future for the treatment of other autoimmune diseases. Furthermore, we intend to use Cy as the LD prior to treatment with NKX019 in our NKX019 clinical trial for the treatment of LN and our planned NKX019 clinical trial for the treatment of additional autoimmune indications. If this is ineffective or we decide to change the protocol to use a combination of Flu and Cy, as the LD, physicians may choose to refer patients to other clinical trials conducted by one of our competitors.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certain of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Other than NKX019 and NKX101, all of our programs, including NKX070,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the three dose expansion cohorts we announced opening in December 2022 as part of our Phase 1 NKX019 clinical trial for the treatment of B-cell malignancies did not meet expectations. We are now no longer enrolling patients in those dose expansion cohorts and in October 2023, we announced the opening of a new cohort with a compressed dosing schedule. We will now evaluate the results of this new cohort before committing additional resources to the program. Also, an interim evaluation of the data from the most recent dose-expansion cohort of our NKX101 Phase 1 clinical trial indicated that the aggregate clinical response rate for the 20 patients in the cohort was meaningfully lower than it had been for the first six patients in the cohort. As a result, we have now deprioritized further development of NKX101.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and updated interim data from our NKX101 Phase 1 clinical trial were reported in June 2023.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The most common higher-grade (Grade ≥3) adverse events in the interim data reported in June 2023 for patients with r/r AML in the NKX101 Phase 1 clinical trial were myelosuppression – a condition resulting in fewer red blood cells, white blood cells and platelets, as well as infections such as sepsis and pneumonia, occasionally requiring supplementary oxygen, which are common in the treated patient population after LD. The interim data from the NKX101 clinical trial indicated that adverse events experienced by certain patients with r/r AML included infusion reactions, CRS, and one case of immune effector cell-associated neurotoxicity (in each case, ≤grade 2). A more recent review of the data from additional patients enrolled in a dose-expansion cohort in our NKX101 clinical trial has indicated that the safety profile of NKX101 is consistent with the data reported in June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interim data reported to date from our NKX019 and NKX101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our specific product candidates NKX019 and NKX101. For instance,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oncology programs or the oncology programs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tisagenlecleucel, axicabtagene ciloleucel, brexucabtagene autoleucel, and lisocabtagene maraleucel, which have been commercially approved, are direct competitors to our product candidate NKX019 in hematology. A large number of cell therapy companies with capabilities and expertise in oncology are advancing development programs in autoimmune diseases. In addition, other competitors, including biopharmaceutical companies, have clinical-stage or earlier stage cell therapy product candidates for hematologic malignancies and/or autoimmune diseases, and a number of other companies are seeking to harness NK biology through engagers that seek to direct a patient’s own NK cells to the site of a tumor or are investigating other types of immune cells. Other biopharmaceutical companies are developing bispecific and monoclonal antibodies, which are also direct competitors to NKX019 for hematologic malignancies and autoimmune diseases. Numerous academic institutions are also conducting preclinical and clinical research in these areas, as well as with other white blood cell types including NKT cells and gamma-delta T cells.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oncology, autoimmune disease,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In May 2022, we amended the CRISPR Agreement to revise the transfer of materials and nomination provisions. On March 8, 2023, the CRISPR Agreement was further amended to permit Nkarta's advancement of CRISPR-licensed product candidates targeting a specified tumor antigen and incorporate associated development and regulatory approval milestones and sales based royalties. In addition, under the CRISPR Agreement, we have received licenses from CRISPR for four CRISPR-Cas9 gene editing targets and will receive a license from CRISPR for up to one more CRISPR-Cas9 gene editing target that can be engineered into an unlimited number of its own NK-cell products. CRISPR also has an option to co-develop and co-commercialize a future CAR NK-cell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(“CUIMC”) initiated an IST of NKX019 in patients with SLE. 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Their failure to comply could expose us to liability. The IST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cancer or autoimmune disease,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clinical investigators, contract laboratories, and other third parties, such as CROs to advise on, conduct, or otherwise support clinical trials for our product candidates, including conducting our NKX019 clinical trial for the treatment of LN, a disease area in which we have no prior experience.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including future outbreaks of COVID-19 variants, Respiratory Syncytial Virus ("RSV"), or the flu, could result in similar disruptions.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contract research organizations ("CROs"), contract development and manufacturing organizations ("CDMOs"), and clinical trial sites, were impacted by the COVID-19 pandemic and may in the future be similarly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partners, including CRISPR,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trials for cancer and LN and planned NKX019 clinical trial for scleroderma, myositis, and AAV;</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we had 150 full-time employees. Our operation may require us to expand our managerial, operational, clinical, quality, human resources, legal, manufacturing, supply chain, finance, commercial and/or other resources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the reduction in force may have on potential employees’ perception of our company and culture. Our need to effectively execute our growth strategy requires that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clinical trials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recruit, retain, incentivize and integrate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into additional office and laboratory space if we grow our employee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in-house clinical cGMP manufacturing facility and establish and validate our commercial cGMP manufacturing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improve our operational, financial and management controls, reports systems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In October 2023, we announced implementation of certain cost containment measures and a reduction in force of approximately 10%. This reduction in force, as well as any others we may need to implement in the future, may have a detrimental impact on company culture and employee morale, which may hurt our ability to retain employees. We will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emerging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We may also be required to increase our disclosure of ESG-related matters in the coming years as a result of regulatory changes that have been adopted or may be adopted in the future. For example, the SEC has recently adopted certain mandated ESG reporting requirements designed to enhance and standardize climate-related disclosures and the State of California has also enacted its own climate-disclosure requirements. Compliance with these disclosure requirements may require us to significantly increase our compliance and reporting costs and may also result in disclosures that could have a negative impact on investor perception.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We previously filed a manufacturing process change amendment with the FDA for our NKX101 Phase 1 clinical trial for the treatment of AML as part of ongoing scale up and optimization of manufacturing across our platform. In October 2023, we announced that, in the dose-expansion cohort in the NKX101 clinical trial in which fludarabine and cytarabine (“flu/ara-C”) was being used as LD, we had begun dosing patients with NKX101 product that had been generated with the amended manufacturing process. However, a subsequent interim review of the clinical response data from the cohort indicated that the aggregate response rate for the 20 patients in total in the cohort was meaningfully lower than what had been observed and previously reported for the first 6 patients in the cohort. We have closed enrollment in the clinical trial and deprioritized the NKX101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although we currently manufacture our clinical supply at our own cGMP facility,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reliant on a sole supplier for certain steps of our manufacturing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for NKX019 and for NKX101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for our current, planned, or future clinical trials, the clinical development and potential eventual commercialization of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 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product candidates, such as NKX019, NKX101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NKX019, NKX101 and NKX070,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are collaboratively designing and advancing certain gene-edited NK-cell therapies and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NKX101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CRISPR has licensed certain rights to a worldwide patent portfolio that covers various aspects of the CRISPR-Cas9 editing platform technology including,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Accordingly, CRISPR has non-exclusive or co-exclusive rights to the patent rights that protect the core CRISPR-Cas9 gene-editing technology.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NKX019, NKX101 and NKX070 patent families. Our portfolio of issued patents, excluding pending patent applications, has estimated expiration dates between 2024 and 2041. Our portfolio, including issued patents, and including pending applications to the extent they issue, as patents or are used to establish nonprovisional patent applications that issue as patents, is expected to have estimated expiration dates between 2024 and 2045. For instance, composition-of-matter claims in our licensed patent portfolio that relate to our NKSTIM are estimated to expire in Q4 2024. We plan to file additional patent applications that could potentially allow for further increase of the exclusive market protection for certain uses of NKX019, NKX101 and NKX070 product candidates.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patents are determined to be valid and enforceable, they may not be interpreted sufficiently broadly to prevent others from marketing products similar to ours or designing around our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Ex parte reexaminations were previously filed by one or more third parties against certain licensed patents in our portfolio and concluded with the claims of each reexamined patent being maintained in amended form.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obtain or enforce assignments of intellectual property rights from our employees and contractors.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initial clinical trials have been evaluating NKX019 and NKX101 in relapsed/refractory patients who have been previously treated with other anti-cancer therapies. We are initiating a clinical trial to evaluate NKX019 in patients with refractory LN. We do not know at this time whether either NKX019 or NKX101 or any of our product candidates will be safe for use in humans or whether they will demonstrate any anti-cancer or autoimmune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conflicts in the Middle East and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recessions, inflationary pressures, interest rates, fuel prices, elections,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9, 2024, our directors and executive officers, and entities affiliated with them, as well as holders of more than 5% of our outstanding shares of common stock, in the aggregate beneficially own 58% of our common stock (based on 70,558,754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August 9, 2024, we had 73,558,785 shares of common stock outstanding (including pre-funded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As described above under “</w:t>
      </w:r>
      <w:r>
        <w:rPr>
          <w:rFonts w:ascii="Times New Roman" w:hAnsi="Times New Roman"/>
          <w:i/>
          <w:color w:val="000000"/>
          <w:sz w:val="20"/>
        </w:rPr>
        <w:t>We have incurred significant losses since our inception, and we expect to continue to incur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30, 2024, none of our directors or officers adopted, modified or terminated a "Rule 10b5-1 trading arrangement" or a "non-rule 10b5-1 trading arrangement," as each item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6637"/>
        <w:gridCol w:w="511"/>
        <w:gridCol w:w="761"/>
        <w:gridCol w:w="631"/>
        <w:gridCol w:w="72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8"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10_1a.htm">
              <w:r>
                <w:rPr>
                  <w:rStyle w:val="InternetLink"/>
                  <w:rFonts w:ascii="Times New Roman" w:hAnsi="Times New Roman"/>
                  <w:color w:val="0000FF"/>
                  <w:sz w:val="20"/>
                  <w:u w:val="single"/>
                </w:rPr>
                <w:t>Amendment No. 3 to the Research Collaboration Agreement, dated April 3, 2024, by and between Nkarta, Inc. and CRISPR Therapeutics AG.</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10_1b.htm">
              <w:r>
                <w:rPr>
                  <w:rStyle w:val="InternetLink"/>
                  <w:rFonts w:ascii="Times New Roman" w:hAnsi="Times New Roman"/>
                  <w:color w:val="0000FF"/>
                  <w:sz w:val="20"/>
                  <w:u w:val="single"/>
                </w:rPr>
                <w:t>Amendment No. 4 to the Research Collaboration Agreement, dated May 2, 2024, by and between Nkarta, Inc. and CRISPR Therapeutics AG.</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**Portions of this exhibit have been omitted in accordance with Item 601(b)(10)(iv) of Regulation S-K. The Company undertakes to provide to the Securities and Exchange Commission or its staff, if requested and on a supplemental basis, an unredacted copy of this exhibit.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49" w:type="dxa"/>
        <w:jc w:val="left"/>
        <w:tblInd w:w="0" w:type="dxa"/>
        <w:tblLayout w:type="fixed"/>
        <w:tblCellMar>
          <w:top w:w="28" w:type="dxa"/>
          <w:left w:w="28" w:type="dxa"/>
          <w:bottom w:w="28" w:type="dxa"/>
          <w:right w:w="28" w:type="dxa"/>
        </w:tblCellMar>
      </w:tblPr>
      <w:tblGrid>
        <w:gridCol w:w="1951"/>
        <w:gridCol w:w="146"/>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Alyssa Levin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Alyssa Levin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and Business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nktx-ex10_1a.htm"/>
      <w:bookmarkStart w:id="22" w:name="ksnktxex10_1a"/>
      <w:bookmarkEnd w:id="21"/>
      <w:bookmarkEnd w:id="22"/>
      <w:r>
        <w:rPr>
          <w:rFonts w:ascii="Times New Roman" w:hAnsi="Times New Roman"/>
          <w:b/>
          <w:color w:val="000000"/>
          <w:sz w:val="24"/>
        </w:rPr>
        <w:t>Exhibit 10.1(A)</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CERTAIN CONFIDENTIAL PORTIONS HAVE BEEN REDACTED FROM THIS EXHIBIT BECAUSE THEY ARE BOTH (i) NOT MATERIAL AND (ii) OF THE TYPE THAT THE COMPANY TREATS AS PRIVATE OR CONFIDENTIAL. INFORMATION THAT HAS BEEN OMITTED HAS BEEN IDENTIFIED IN THIS DOCUMENT WITH A PLACEHOLDER IDENTIFIED BY THE MARK "[***]".</w:t>
      </w:r>
    </w:p>
    <w:p>
      <w:pPr>
        <w:pStyle w:val="TextBody"/>
        <w:bidi w:val="0"/>
        <w:jc w:val="righ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Amendment No. 3</w:t>
      </w:r>
    </w:p>
    <w:p>
      <w:pPr>
        <w:pStyle w:val="TextBody"/>
        <w:bidi w:val="0"/>
        <w:jc w:val="center"/>
        <w:rPr>
          <w:rFonts w:ascii="Times New Roman" w:hAnsi="Times New Roman"/>
          <w:b/>
          <w:caps/>
          <w:color w:val="000000"/>
          <w:sz w:val="22"/>
        </w:rPr>
      </w:pPr>
      <w:r>
        <w:rPr>
          <w:rFonts w:ascii="Times New Roman" w:hAnsi="Times New Roman"/>
          <w:b/>
          <w:caps/>
          <w:color w:val="000000"/>
          <w:sz w:val="22"/>
        </w:rPr>
        <w:t>to the</w:t>
      </w:r>
    </w:p>
    <w:p>
      <w:pPr>
        <w:pStyle w:val="TextBody"/>
        <w:bidi w:val="0"/>
        <w:jc w:val="center"/>
        <w:rPr>
          <w:rFonts w:ascii="Times New Roman" w:hAnsi="Times New Roman"/>
          <w:b/>
          <w:caps/>
          <w:color w:val="000000"/>
          <w:sz w:val="22"/>
        </w:rPr>
      </w:pPr>
      <w:r>
        <w:rPr>
          <w:rFonts w:ascii="Times New Roman" w:hAnsi="Times New Roman"/>
          <w:b/>
          <w:caps/>
          <w:color w:val="000000"/>
          <w:sz w:val="22"/>
        </w:rPr>
        <w:t>RESEARCH Collaboration Agreement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Amendment No. 3 to the Research Collaboration Agreement (the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is entered into as of April 3, 2024 (“</w:t>
      </w:r>
      <w:r>
        <w:rPr>
          <w:rFonts w:ascii="Times New Roman" w:hAnsi="Times New Roman"/>
          <w:b/>
          <w:color w:val="000000"/>
          <w:sz w:val="22"/>
        </w:rPr>
        <w:t>Amendment Effective Date</w:t>
      </w:r>
      <w:r>
        <w:rPr>
          <w:rFonts w:ascii="Times New Roman" w:hAnsi="Times New Roman"/>
          <w:color w:val="000000"/>
          <w:sz w:val="20"/>
        </w:rPr>
        <w:t>”</w:t>
      </w:r>
      <w:r>
        <w:rPr>
          <w:rFonts w:ascii="Times New Roman" w:hAnsi="Times New Roman"/>
          <w:color w:val="000000"/>
          <w:sz w:val="22"/>
        </w:rPr>
        <w:t>) by and between Nkarta, Inc. (“</w:t>
      </w:r>
      <w:r>
        <w:rPr>
          <w:rFonts w:ascii="Times New Roman" w:hAnsi="Times New Roman"/>
          <w:b/>
          <w:color w:val="000000"/>
          <w:sz w:val="22"/>
        </w:rPr>
        <w:t>Nkarta</w:t>
      </w:r>
      <w:r>
        <w:rPr>
          <w:rFonts w:ascii="Times New Roman" w:hAnsi="Times New Roman"/>
          <w:color w:val="000000"/>
          <w:sz w:val="20"/>
        </w:rPr>
        <w:t>”</w:t>
      </w:r>
      <w:r>
        <w:rPr>
          <w:rFonts w:ascii="Times New Roman" w:hAnsi="Times New Roman"/>
          <w:color w:val="000000"/>
          <w:sz w:val="22"/>
        </w:rPr>
        <w:t>) and CRISPR Therapeutics AG (“</w:t>
      </w:r>
      <w:r>
        <w:rPr>
          <w:rFonts w:ascii="Times New Roman" w:hAnsi="Times New Roman"/>
          <w:b/>
          <w:color w:val="000000"/>
          <w:sz w:val="22"/>
        </w:rPr>
        <w:t>CRISPR</w:t>
      </w:r>
      <w:r>
        <w:rPr>
          <w:rFonts w:ascii="Times New Roman" w:hAnsi="Times New Roman"/>
          <w:color w:val="000000"/>
          <w:sz w:val="20"/>
        </w:rPr>
        <w:t>”</w:t>
      </w:r>
      <w:r>
        <w:rPr>
          <w:rFonts w:ascii="Times New Roman" w:hAnsi="Times New Roman"/>
          <w:color w:val="000000"/>
          <w:sz w:val="22"/>
        </w:rPr>
        <w:t>). Nkarta and CRISPR each may be referred to herein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or collectively as the “</w:t>
      </w:r>
      <w:r>
        <w:rPr>
          <w:rFonts w:ascii="Times New Roman" w:hAnsi="Times New Roman"/>
          <w:b/>
          <w:color w:val="000000"/>
          <w:sz w:val="22"/>
        </w:rPr>
        <w:t>Parties</w:t>
      </w:r>
      <w:r>
        <w:rPr>
          <w:rFonts w:ascii="Times New Roman" w:hAnsi="Times New Roman"/>
          <w:color w:val="000000"/>
          <w:sz w:val="22"/>
        </w:rPr>
        <w:t>.” This Amendment amends the Research Collaboration Agreement, entered into as of May 5, 2021, between Nkarta and CRISPR and as amended by that certain Amendment No. 1 to the Research Collaboration Agreement entered into as of May 4, 2022 and Amendment No. 2 to the Research Collaboration Agreement entered into as of March 8, 2023 (collectively,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Capitalized terms used but not defined in this Amendment shall have the meanings ascribed to such terms in the Agreement.</w:t>
      </w:r>
    </w:p>
    <w:p>
      <w:pPr>
        <w:pStyle w:val="TextBody"/>
        <w:bidi w:val="0"/>
        <w:jc w:val="center"/>
        <w:rPr>
          <w:rFonts w:ascii="Times New Roman" w:hAnsi="Times New Roman"/>
          <w:b/>
          <w:color w:val="000000"/>
          <w:sz w:val="22"/>
        </w:rPr>
      </w:pPr>
      <w:r>
        <w:rPr>
          <w:rFonts w:ascii="Times New Roman" w:hAnsi="Times New Roman"/>
          <w:b/>
          <w:color w:val="000000"/>
          <w:sz w:val="22"/>
        </w:rPr>
        <w:t>RECITALS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0"/>
        </w:rPr>
        <w:t xml:space="preserve"> </w:t>
      </w:r>
      <w:r>
        <w:rPr>
          <w:rFonts w:ascii="Times New Roman" w:hAnsi="Times New Roman"/>
          <w:color w:val="000000"/>
          <w:sz w:val="22"/>
        </w:rPr>
        <w:t>the Parties desire to amend and restate Section 4.3.1 ?– Nomination;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0"/>
        </w:rPr>
        <w:t xml:space="preserve"> </w:t>
      </w:r>
      <w:r>
        <w:rPr>
          <w:rFonts w:ascii="Times New Roman" w:hAnsi="Times New Roman"/>
          <w:color w:val="000000"/>
          <w:sz w:val="22"/>
        </w:rPr>
        <w:t>in consideration of the respective covenants and agreements set forth herein, the Parties hereto agree as follows:</w:t>
      </w:r>
    </w:p>
    <w:p>
      <w:pPr>
        <w:pStyle w:val="TextBody"/>
        <w:bidi w:val="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Amendments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spacing w:before="0" w:after="240"/>
        <w:jc w:val="both"/>
        <w:rPr/>
      </w:pPr>
      <w:r>
        <w:rPr>
          <w:rFonts w:ascii="Times New Roman" w:hAnsi="Times New Roman"/>
          <w:b/>
          <w:color w:val="000000"/>
          <w:sz w:val="22"/>
          <w:u w:val="single"/>
        </w:rPr>
        <w:t>Nomination</w:t>
      </w:r>
      <w:r>
        <w:rPr>
          <w:rFonts w:ascii="Times New Roman" w:hAnsi="Times New Roman"/>
          <w:color w:val="000000"/>
          <w:sz w:val="22"/>
        </w:rPr>
        <w:t xml:space="preserve">. Section 4.3.1 in the Agreement is hereby amended and restated as set forth below. </w:t>
      </w:r>
    </w:p>
    <w:p>
      <w:pPr>
        <w:pStyle w:val="TextBody"/>
        <w:bidi w:val="0"/>
        <w:spacing w:before="0" w:after="240"/>
        <w:jc w:val="both"/>
        <w:rPr/>
      </w:pPr>
      <w:r>
        <w:rPr>
          <w:color w:val="000000"/>
        </w:rPr>
        <w:t>“</w:t>
      </w:r>
      <w:r>
        <w:rPr>
          <w:rFonts w:ascii="Times New Roman" w:hAnsi="Times New Roman"/>
          <w:color w:val="000000"/>
          <w:sz w:val="22"/>
        </w:rPr>
        <w:t xml:space="preserve">4.3.1 </w:t>
      </w:r>
      <w:r>
        <w:rPr>
          <w:rFonts w:ascii="Times New Roman" w:hAnsi="Times New Roman"/>
          <w:color w:val="000000"/>
          <w:sz w:val="22"/>
          <w:u w:val="single"/>
        </w:rPr>
        <w:t>Nomination</w:t>
      </w:r>
      <w:r>
        <w:rPr>
          <w:rFonts w:ascii="Times New Roman" w:hAnsi="Times New Roman"/>
          <w:color w:val="000000"/>
          <w:sz w:val="22"/>
        </w:rPr>
        <w:t>. Nkarta may provide written notice to CRISPR, nominating a gene editing target to be an Additional Gene-Edited Target (each, a “Nominated Target”), pursuant to the following schedule: [***]. If the Nominated Target is [***], then such Nominated Target shall be designated as an Additional Gene-Editing Target Verified by the Third Party Gatekeeper in accordance with Section 4.3.2.”</w:t>
      </w:r>
    </w:p>
    <w:p>
      <w:pPr>
        <w:pStyle w:val="TextBody"/>
        <w:bidi w:val="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MISCELLANEOUS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spacing w:before="0" w:after="240"/>
        <w:jc w:val="both"/>
        <w:rPr/>
      </w:pPr>
      <w:r>
        <w:rPr>
          <w:rFonts w:ascii="Times New Roman" w:hAnsi="Times New Roman"/>
          <w:b/>
          <w:color w:val="000000"/>
          <w:sz w:val="22"/>
          <w:u w:val="single"/>
        </w:rPr>
        <w:t>Effect of Amendment</w:t>
      </w:r>
      <w:r>
        <w:rPr>
          <w:rFonts w:ascii="Times New Roman" w:hAnsi="Times New Roman"/>
          <w:color w:val="000000"/>
          <w:sz w:val="22"/>
        </w:rPr>
        <w:t xml:space="preserve">. This Amendment shall not be deemed to be an amendment to any other terms and conditions of the Agreement. Except as expressly amended by this Amendment, the Agreement remains unchanged and in full force and effect.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0" w:after="240"/>
        <w:jc w:val="both"/>
        <w:rPr/>
      </w:pPr>
      <w:r>
        <w:rPr>
          <w:rFonts w:ascii="Times New Roman" w:hAnsi="Times New Roman"/>
          <w:b/>
          <w:color w:val="000000"/>
          <w:sz w:val="22"/>
          <w:u w:val="single"/>
        </w:rPr>
        <w:t>Counterparts</w:t>
      </w:r>
      <w:r>
        <w:rPr>
          <w:rFonts w:ascii="Times New Roman" w:hAnsi="Times New Roman"/>
          <w:color w:val="000000"/>
          <w:sz w:val="22"/>
        </w:rPr>
        <w:t>. This Amendment may be executed in one or more counterparts, each of which will be an original and all of which will constitute together the same document. Counterparts may be signed and delivered by facsimile or digital transmission (.pdf), each of which will be binding when received by the applicable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caused this Amendment to be executed by their representatives thereunto duly authorized as of the Amendment Effective Date.</w:t>
      </w:r>
    </w:p>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2026"/>
        <w:gridCol w:w="3706"/>
      </w:tblGrid>
      <w:tr>
        <w:trPr/>
        <w:tc>
          <w:tcPr>
            <w:tcW w:w="202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NKARTA, INC.</w:t>
            </w:r>
          </w:p>
          <w:p>
            <w:pPr>
              <w:pStyle w:val="TableContents"/>
              <w:bidi w:val="0"/>
              <w:jc w:val="both"/>
              <w:rPr/>
            </w:pPr>
            <w:r>
              <w:rPr/>
              <w:t> </w:t>
            </w:r>
          </w:p>
          <w:p>
            <w:pPr>
              <w:pStyle w:val="TableContents"/>
              <w:bidi w:val="0"/>
              <w:spacing w:before="0" w:after="240"/>
              <w:jc w:val="both"/>
              <w:rPr/>
            </w:pPr>
            <w:r>
              <w:rPr/>
              <w:t> </w:t>
            </w:r>
          </w:p>
        </w:tc>
        <w:tc>
          <w:tcPr>
            <w:tcW w:w="37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aps/>
                <w:color w:val="000000"/>
                <w:sz w:val="22"/>
              </w:rPr>
            </w:pPr>
            <w:r>
              <w:rPr>
                <w:rFonts w:ascii="Times New Roman" w:hAnsi="Times New Roman"/>
                <w:b/>
                <w:caps/>
                <w:color w:val="000000"/>
                <w:sz w:val="22"/>
              </w:rPr>
              <w:t>CRISPR THERAPEUTICS AG</w:t>
            </w:r>
          </w:p>
        </w:tc>
      </w:tr>
      <w:tr>
        <w:trPr/>
        <w:tc>
          <w:tcPr>
            <w:tcW w:w="2026"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pPr>
            <w:r>
              <w:rPr/>
              <w:t> </w:t>
            </w:r>
          </w:p>
          <w:p>
            <w:pPr>
              <w:pStyle w:val="TableContents"/>
              <w:bidi w:val="0"/>
              <w:spacing w:before="0" w:after="24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/s/ Alyssa Levin</w:t>
            </w:r>
          </w:p>
        </w:tc>
        <w:tc>
          <w:tcPr>
            <w:tcW w:w="3706"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pPr>
            <w:r>
              <w:rPr/>
              <w:t> </w:t>
            </w:r>
          </w:p>
          <w:p>
            <w:pPr>
              <w:pStyle w:val="TableContents"/>
              <w:bidi w:val="0"/>
              <w:spacing w:before="0" w:after="24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/s/ Alex Harding</w:t>
            </w:r>
          </w:p>
        </w:tc>
      </w:tr>
      <w:tr>
        <w:trPr/>
        <w:tc>
          <w:tcPr>
            <w:tcW w:w="20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Name: Alyssa Levin</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CFBO</w:t>
            </w:r>
          </w:p>
        </w:tc>
        <w:tc>
          <w:tcPr>
            <w:tcW w:w="37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Name: Alex Harding</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Title: Head of Business Development </w:t>
            </w:r>
          </w:p>
        </w:tc>
      </w:tr>
      <w:tr>
        <w:trPr/>
        <w:tc>
          <w:tcPr>
            <w:tcW w:w="2026" w:type="dxa"/>
            <w:tcBorders/>
            <w:tcMar>
              <w:top w:w="0" w:type="dxa"/>
              <w:left w:w="0" w:type="dxa"/>
              <w:bottom w:w="0" w:type="dxa"/>
              <w:right w:w="0" w:type="dxa"/>
            </w:tcMar>
            <w:vAlign w:val="center"/>
          </w:tcPr>
          <w:p>
            <w:pPr>
              <w:pStyle w:val="TableContents"/>
              <w:bidi w:val="0"/>
              <w:spacing w:before="0" w:after="240"/>
              <w:jc w:val="both"/>
              <w:rPr/>
            </w:pPr>
            <w:r>
              <w:rPr/>
              <w:t> </w:t>
            </w:r>
          </w:p>
        </w:tc>
        <w:tc>
          <w:tcPr>
            <w:tcW w:w="3706" w:type="dxa"/>
            <w:tcBorders/>
            <w:tcMar>
              <w:top w:w="0" w:type="dxa"/>
              <w:left w:w="0" w:type="dxa"/>
              <w:bottom w:w="0" w:type="dxa"/>
              <w:right w:w="0" w:type="dxa"/>
            </w:tcMar>
            <w:vAlign w:val="center"/>
          </w:tcPr>
          <w:p>
            <w:pPr>
              <w:pStyle w:val="TableContents"/>
              <w:bidi w:val="0"/>
              <w:spacing w:before="0" w:after="240"/>
              <w:jc w:val="both"/>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nktx-ex10_1b.htm"/>
      <w:bookmarkStart w:id="24" w:name="ksnktxex10_1b"/>
      <w:bookmarkEnd w:id="23"/>
      <w:bookmarkEnd w:id="24"/>
      <w:r>
        <w:rPr>
          <w:rFonts w:ascii="Times New Roman" w:hAnsi="Times New Roman"/>
          <w:b/>
          <w:color w:val="000000"/>
          <w:sz w:val="24"/>
        </w:rPr>
        <w:t>Exhibit 10.1(B)</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CERTAIN CONFIDENTIAL PORTIONS HAVE BEEN REDACTED FROM THIS EXHIBIT BECAUSE THEY ARE BOTH (i) NOT MATERIAL AND (ii) OF THE TYPE THAT THE COMPANY TREATS AS PRIVATE OR CONFIDENTIAL. INFORMATION THAT HAS BEEN OMITTED HAS BEEN IDENTIFIED IN THIS DOCUMENT WITH A PLACEHOLDER IDENTIFIED BY THE MARK "[***]".</w:t>
      </w:r>
    </w:p>
    <w:p>
      <w:pPr>
        <w:pStyle w:val="TextBody"/>
        <w:bidi w:val="0"/>
        <w:jc w:val="righ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Amendment No. 4</w:t>
      </w:r>
    </w:p>
    <w:p>
      <w:pPr>
        <w:pStyle w:val="TextBody"/>
        <w:bidi w:val="0"/>
        <w:jc w:val="center"/>
        <w:rPr>
          <w:rFonts w:ascii="Times New Roman" w:hAnsi="Times New Roman"/>
          <w:b/>
          <w:caps/>
          <w:color w:val="000000"/>
          <w:sz w:val="22"/>
        </w:rPr>
      </w:pPr>
      <w:r>
        <w:rPr>
          <w:rFonts w:ascii="Times New Roman" w:hAnsi="Times New Roman"/>
          <w:b/>
          <w:caps/>
          <w:color w:val="000000"/>
          <w:sz w:val="22"/>
        </w:rPr>
        <w:t>to the</w:t>
      </w:r>
    </w:p>
    <w:p>
      <w:pPr>
        <w:pStyle w:val="TextBody"/>
        <w:bidi w:val="0"/>
        <w:jc w:val="center"/>
        <w:rPr>
          <w:rFonts w:ascii="Times New Roman" w:hAnsi="Times New Roman"/>
          <w:b/>
          <w:caps/>
          <w:color w:val="000000"/>
          <w:sz w:val="22"/>
        </w:rPr>
      </w:pPr>
      <w:r>
        <w:rPr>
          <w:rFonts w:ascii="Times New Roman" w:hAnsi="Times New Roman"/>
          <w:b/>
          <w:caps/>
          <w:color w:val="000000"/>
          <w:sz w:val="22"/>
        </w:rPr>
        <w:t>RESEARCH Collaboration Agreement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Amendment No. 4 to the Research Collaboration Agreement (the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is entered into as of May 2, 2024 (“</w:t>
      </w:r>
      <w:r>
        <w:rPr>
          <w:rFonts w:ascii="Times New Roman" w:hAnsi="Times New Roman"/>
          <w:b/>
          <w:color w:val="000000"/>
          <w:sz w:val="22"/>
        </w:rPr>
        <w:t>Amendment Effective Date</w:t>
      </w:r>
      <w:r>
        <w:rPr>
          <w:rFonts w:ascii="Times New Roman" w:hAnsi="Times New Roman"/>
          <w:color w:val="000000"/>
          <w:sz w:val="20"/>
        </w:rPr>
        <w:t>”</w:t>
      </w:r>
      <w:r>
        <w:rPr>
          <w:rFonts w:ascii="Times New Roman" w:hAnsi="Times New Roman"/>
          <w:color w:val="000000"/>
          <w:sz w:val="22"/>
        </w:rPr>
        <w:t>) by and between Nkarta, Inc. (“</w:t>
      </w:r>
      <w:r>
        <w:rPr>
          <w:rFonts w:ascii="Times New Roman" w:hAnsi="Times New Roman"/>
          <w:b/>
          <w:color w:val="000000"/>
          <w:sz w:val="22"/>
        </w:rPr>
        <w:t>Nkarta</w:t>
      </w:r>
      <w:r>
        <w:rPr>
          <w:rFonts w:ascii="Times New Roman" w:hAnsi="Times New Roman"/>
          <w:color w:val="000000"/>
          <w:sz w:val="20"/>
        </w:rPr>
        <w:t>”</w:t>
      </w:r>
      <w:r>
        <w:rPr>
          <w:rFonts w:ascii="Times New Roman" w:hAnsi="Times New Roman"/>
          <w:color w:val="000000"/>
          <w:sz w:val="22"/>
        </w:rPr>
        <w:t>) and CRISPR Therapeutics AG (“</w:t>
      </w:r>
      <w:r>
        <w:rPr>
          <w:rFonts w:ascii="Times New Roman" w:hAnsi="Times New Roman"/>
          <w:b/>
          <w:color w:val="000000"/>
          <w:sz w:val="22"/>
        </w:rPr>
        <w:t>CRISPR</w:t>
      </w:r>
      <w:r>
        <w:rPr>
          <w:rFonts w:ascii="Times New Roman" w:hAnsi="Times New Roman"/>
          <w:color w:val="000000"/>
          <w:sz w:val="20"/>
        </w:rPr>
        <w:t>”</w:t>
      </w:r>
      <w:r>
        <w:rPr>
          <w:rFonts w:ascii="Times New Roman" w:hAnsi="Times New Roman"/>
          <w:color w:val="000000"/>
          <w:sz w:val="22"/>
        </w:rPr>
        <w:t>). Nkarta and CRISPR each may be referred to herein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or collectively as the “</w:t>
      </w:r>
      <w:r>
        <w:rPr>
          <w:rFonts w:ascii="Times New Roman" w:hAnsi="Times New Roman"/>
          <w:b/>
          <w:color w:val="000000"/>
          <w:sz w:val="22"/>
        </w:rPr>
        <w:t>Parties</w:t>
      </w:r>
      <w:r>
        <w:rPr>
          <w:rFonts w:ascii="Times New Roman" w:hAnsi="Times New Roman"/>
          <w:color w:val="000000"/>
          <w:sz w:val="22"/>
        </w:rPr>
        <w:t>.” This Amendment amends the Research Collaboration Agreement, entered into as of May 5, 2021, between Nkarta and CRISPR and as amended by that certain Amendment No. 1 to the Research Collaboration Agreement entered into as of May 4, 2022, Amendment No. 2 to the Research Collaboration Agreement entered into as of March 8, 2023, and Amendment No. 3 to the Research Collaboration Agreement entered into as of April 3, 2024 (collectively,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Capitalized terms used but not defined in this Amendment shall have the meanings ascribed to such terms in the Agreement.</w:t>
      </w:r>
    </w:p>
    <w:p>
      <w:pPr>
        <w:pStyle w:val="TextBody"/>
        <w:bidi w:val="0"/>
        <w:jc w:val="center"/>
        <w:rPr>
          <w:rFonts w:ascii="Times New Roman" w:hAnsi="Times New Roman"/>
          <w:b/>
          <w:color w:val="000000"/>
          <w:sz w:val="22"/>
        </w:rPr>
      </w:pPr>
      <w:r>
        <w:rPr>
          <w:rFonts w:ascii="Times New Roman" w:hAnsi="Times New Roman"/>
          <w:b/>
          <w:color w:val="000000"/>
          <w:sz w:val="22"/>
        </w:rPr>
        <w:t>RECITALS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0"/>
        </w:rPr>
        <w:t xml:space="preserve"> </w:t>
      </w:r>
      <w:r>
        <w:rPr>
          <w:rFonts w:ascii="Times New Roman" w:hAnsi="Times New Roman"/>
          <w:color w:val="000000"/>
          <w:sz w:val="22"/>
        </w:rPr>
        <w:t>the Parties desire to amend and restate Sections 1.52 ?– Nomination and 4.1 – Additional Gene-Editing Targets;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0"/>
        </w:rPr>
        <w:t xml:space="preserve"> </w:t>
      </w:r>
      <w:r>
        <w:rPr>
          <w:rFonts w:ascii="Times New Roman" w:hAnsi="Times New Roman"/>
          <w:color w:val="000000"/>
          <w:sz w:val="22"/>
        </w:rPr>
        <w:t>in consideration of the respective covenants and agreements set forth herein, the Parties hereto agree as follows:</w:t>
      </w:r>
    </w:p>
    <w:p>
      <w:pPr>
        <w:pStyle w:val="TextBody"/>
        <w:bidi w:val="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Amendments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spacing w:before="0" w:after="240"/>
        <w:jc w:val="both"/>
        <w:rPr/>
      </w:pPr>
      <w:r>
        <w:rPr>
          <w:rFonts w:ascii="Times New Roman" w:hAnsi="Times New Roman"/>
          <w:b/>
          <w:color w:val="000000"/>
          <w:sz w:val="22"/>
          <w:u w:val="single"/>
        </w:rPr>
        <w:t>Designation Term</w:t>
      </w:r>
      <w:r>
        <w:rPr>
          <w:rFonts w:ascii="Times New Roman" w:hAnsi="Times New Roman"/>
          <w:color w:val="000000"/>
          <w:sz w:val="22"/>
        </w:rPr>
        <w:t>. Section 1.52 in the Agreement hereby amended and restated as set forth below.</w:t>
      </w:r>
    </w:p>
    <w:p>
      <w:pPr>
        <w:pStyle w:val="TextBody"/>
        <w:bidi w:val="0"/>
        <w:spacing w:before="0" w:after="240"/>
        <w:jc w:val="both"/>
        <w:rPr>
          <w:color w:val="000000"/>
        </w:rPr>
      </w:pPr>
      <w:r>
        <w:rPr>
          <w:color w:val="000000"/>
        </w:rPr>
        <w:t>‘“</w:t>
      </w:r>
      <w:r>
        <w:rPr>
          <w:rFonts w:ascii="Times New Roman" w:hAnsi="Times New Roman"/>
          <w:color w:val="000000"/>
          <w:sz w:val="22"/>
        </w:rPr>
        <w:t>Designation Term” means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1.2.</w:t>
      </w:r>
    </w:p>
    <w:p>
      <w:pPr>
        <w:pStyle w:val="TextBody"/>
        <w:bidi w:val="0"/>
        <w:spacing w:before="0" w:after="240"/>
        <w:jc w:val="both"/>
        <w:rPr/>
      </w:pPr>
      <w:r>
        <w:rPr>
          <w:rFonts w:ascii="Times New Roman" w:hAnsi="Times New Roman"/>
          <w:b/>
          <w:color w:val="000000"/>
          <w:sz w:val="22"/>
          <w:u w:val="single"/>
        </w:rPr>
        <w:t>Additional Gene-Editing Targets</w:t>
      </w:r>
      <w:r>
        <w:rPr>
          <w:rFonts w:ascii="Times New Roman" w:hAnsi="Times New Roman"/>
          <w:color w:val="000000"/>
          <w:sz w:val="22"/>
        </w:rPr>
        <w:t xml:space="preserve">. Section 4.1 in the Agreement is hereby amended and restated as set forth below. </w:t>
      </w:r>
    </w:p>
    <w:p>
      <w:pPr>
        <w:pStyle w:val="TextBody"/>
        <w:bidi w:val="0"/>
        <w:spacing w:before="0" w:after="240"/>
        <w:jc w:val="both"/>
        <w:rPr/>
      </w:pPr>
      <w:r>
        <w:rPr>
          <w:color w:val="000000"/>
        </w:rPr>
        <w:t>“</w:t>
      </w:r>
      <w:r>
        <w:rPr>
          <w:rFonts w:ascii="Times New Roman" w:hAnsi="Times New Roman"/>
          <w:color w:val="000000"/>
          <w:sz w:val="22"/>
        </w:rPr>
        <w:t xml:space="preserve">4.1 </w:t>
      </w:r>
      <w:r>
        <w:rPr>
          <w:rFonts w:ascii="Times New Roman" w:hAnsi="Times New Roman"/>
          <w:color w:val="000000"/>
          <w:sz w:val="22"/>
          <w:u w:val="single"/>
        </w:rPr>
        <w:t>Additional Gene-Editing Targets</w:t>
      </w:r>
      <w:r>
        <w:rPr>
          <w:rFonts w:ascii="Times New Roman" w:hAnsi="Times New Roman"/>
          <w:color w:val="000000"/>
          <w:sz w:val="22"/>
        </w:rPr>
        <w:t>. Nkarta shall, during the period commencing on the Effective Date and [***], have the right to designate, in accordance with this Article 4, up to [***] (“</w:t>
      </w:r>
      <w:r>
        <w:rPr>
          <w:rFonts w:ascii="Times New Roman" w:hAnsi="Times New Roman"/>
          <w:b/>
          <w:color w:val="000000"/>
          <w:sz w:val="22"/>
        </w:rPr>
        <w:t>Additional Gene-Editing Targets</w:t>
      </w:r>
      <w:r>
        <w:rPr>
          <w:rFonts w:ascii="Times New Roman" w:hAnsi="Times New Roman"/>
          <w:color w:val="000000"/>
          <w:sz w:val="20"/>
        </w:rPr>
        <w:t>”</w:t>
      </w:r>
      <w:r>
        <w:rPr>
          <w:rFonts w:ascii="Times New Roman" w:hAnsi="Times New Roman"/>
          <w:color w:val="000000"/>
          <w:sz w:val="22"/>
        </w:rPr>
        <w:t>) for inclusion in the Target Pool for Nkarta to Research, Develop and Commercialize Nkarta Products. For the avoidance of doubt, any such gene-editing target shall be [***].</w:t>
      </w:r>
    </w:p>
    <w:p>
      <w:pPr>
        <w:pStyle w:val="TextBody"/>
        <w:bidi w:val="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MISCELLANEOUS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spacing w:before="0" w:after="240"/>
        <w:jc w:val="both"/>
        <w:rPr/>
      </w:pPr>
      <w:r>
        <w:rPr>
          <w:rFonts w:ascii="Times New Roman" w:hAnsi="Times New Roman"/>
          <w:b/>
          <w:color w:val="000000"/>
          <w:sz w:val="22"/>
          <w:u w:val="single"/>
        </w:rPr>
        <w:t>Effect of Amendment</w:t>
      </w:r>
      <w:r>
        <w:rPr>
          <w:rFonts w:ascii="Times New Roman" w:hAnsi="Times New Roman"/>
          <w:color w:val="000000"/>
          <w:sz w:val="22"/>
        </w:rPr>
        <w:t xml:space="preserve">. This Amendment shall not be deemed to be an amendment to any other terms and conditions of the Agreement. Except as expressly amended by this Amendment, the Agreement remains unchanged and in full force and effect.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0" w:after="240"/>
        <w:jc w:val="both"/>
        <w:rPr/>
      </w:pPr>
      <w:r>
        <w:rPr>
          <w:rFonts w:ascii="Times New Roman" w:hAnsi="Times New Roman"/>
          <w:b/>
          <w:color w:val="000000"/>
          <w:sz w:val="22"/>
          <w:u w:val="single"/>
        </w:rPr>
        <w:t>Counterparts</w:t>
      </w:r>
      <w:r>
        <w:rPr>
          <w:rFonts w:ascii="Times New Roman" w:hAnsi="Times New Roman"/>
          <w:color w:val="000000"/>
          <w:sz w:val="22"/>
        </w:rPr>
        <w:t>. This Amendment may be executed in one or more counterparts, each of which will be an original and all of which will constitute together the same document. Counterparts may be signed and delivered by facsimile or digital transmission (.pdf), each of which will be binding when received by the applicable Party.</w:t>
      </w:r>
    </w:p>
    <w:p>
      <w:pPr>
        <w:pStyle w:val="TextBody"/>
        <w:bidi w:val="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 * - * -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caused this Amendment to be executed by their representatives thereunto duly authorized as of the Amendment Effective Date.</w:t>
      </w:r>
    </w:p>
    <w:p>
      <w:pPr>
        <w:pStyle w:val="TextBody"/>
        <w:bidi w:val="0"/>
        <w:jc w:val="left"/>
        <w:rPr/>
      </w:pPr>
      <w:r>
        <w:rPr/>
        <w:t> </w:t>
      </w:r>
    </w:p>
    <w:tbl>
      <w:tblPr>
        <w:tblW w:w="5267" w:type="dxa"/>
        <w:jc w:val="left"/>
        <w:tblInd w:w="0" w:type="dxa"/>
        <w:tblLayout w:type="fixed"/>
        <w:tblCellMar>
          <w:top w:w="28" w:type="dxa"/>
          <w:left w:w="28" w:type="dxa"/>
          <w:bottom w:w="28" w:type="dxa"/>
          <w:right w:w="28" w:type="dxa"/>
        </w:tblCellMar>
      </w:tblPr>
      <w:tblGrid>
        <w:gridCol w:w="2026"/>
        <w:gridCol w:w="3241"/>
      </w:tblGrid>
      <w:tr>
        <w:trPr/>
        <w:tc>
          <w:tcPr>
            <w:tcW w:w="202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NKARTA, INC.</w:t>
            </w:r>
          </w:p>
          <w:p>
            <w:pPr>
              <w:pStyle w:val="TableContents"/>
              <w:bidi w:val="0"/>
              <w:jc w:val="both"/>
              <w:rPr/>
            </w:pPr>
            <w:r>
              <w:rPr/>
              <w:t> </w:t>
            </w:r>
          </w:p>
          <w:p>
            <w:pPr>
              <w:pStyle w:val="TableContents"/>
              <w:bidi w:val="0"/>
              <w:spacing w:before="0" w:after="240"/>
              <w:jc w:val="both"/>
              <w:rPr/>
            </w:pPr>
            <w:r>
              <w:rPr/>
              <w:t> </w:t>
            </w:r>
          </w:p>
        </w:tc>
        <w:tc>
          <w:tcPr>
            <w:tcW w:w="32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aps/>
                <w:color w:val="000000"/>
                <w:sz w:val="22"/>
              </w:rPr>
            </w:pPr>
            <w:r>
              <w:rPr>
                <w:rFonts w:ascii="Times New Roman" w:hAnsi="Times New Roman"/>
                <w:b/>
                <w:caps/>
                <w:color w:val="000000"/>
                <w:sz w:val="22"/>
              </w:rPr>
              <w:t>CRISPR THERAPEUTICS AG</w:t>
            </w:r>
          </w:p>
        </w:tc>
      </w:tr>
      <w:tr>
        <w:trPr/>
        <w:tc>
          <w:tcPr>
            <w:tcW w:w="2026"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pPr>
            <w:r>
              <w:rPr/>
              <w:t> </w:t>
            </w:r>
          </w:p>
          <w:p>
            <w:pPr>
              <w:pStyle w:val="TableContents"/>
              <w:bidi w:val="0"/>
              <w:spacing w:before="0" w:after="24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/s/ Alyssa Levin</w:t>
            </w:r>
          </w:p>
        </w:tc>
        <w:tc>
          <w:tcPr>
            <w:tcW w:w="324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pPr>
            <w:r>
              <w:rPr/>
              <w:t> </w:t>
            </w:r>
          </w:p>
          <w:p>
            <w:pPr>
              <w:pStyle w:val="TableContents"/>
              <w:bidi w:val="0"/>
              <w:spacing w:before="0" w:after="24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/s/ Samarth Kulkarni</w:t>
            </w:r>
          </w:p>
        </w:tc>
      </w:tr>
      <w:tr>
        <w:trPr/>
        <w:tc>
          <w:tcPr>
            <w:tcW w:w="20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Name: Alyssa Levin</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CFBO</w:t>
            </w:r>
          </w:p>
        </w:tc>
        <w:tc>
          <w:tcPr>
            <w:tcW w:w="32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Name: Samarth Kulkarni</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Title: CEO </w:t>
            </w:r>
          </w:p>
        </w:tc>
      </w:tr>
      <w:tr>
        <w:trPr/>
        <w:tc>
          <w:tcPr>
            <w:tcW w:w="2026" w:type="dxa"/>
            <w:tcBorders/>
            <w:tcMar>
              <w:top w:w="0" w:type="dxa"/>
              <w:left w:w="0" w:type="dxa"/>
              <w:bottom w:w="0" w:type="dxa"/>
              <w:right w:w="0" w:type="dxa"/>
            </w:tcMar>
            <w:vAlign w:val="center"/>
          </w:tcPr>
          <w:p>
            <w:pPr>
              <w:pStyle w:val="TableContents"/>
              <w:bidi w:val="0"/>
              <w:spacing w:before="0" w:after="240"/>
              <w:jc w:val="both"/>
              <w:rPr/>
            </w:pPr>
            <w:r>
              <w:rPr/>
              <w:t> </w:t>
            </w:r>
          </w:p>
        </w:tc>
        <w:tc>
          <w:tcPr>
            <w:tcW w:w="3241" w:type="dxa"/>
            <w:tcBorders/>
            <w:tcMar>
              <w:top w:w="0" w:type="dxa"/>
              <w:left w:w="0" w:type="dxa"/>
              <w:bottom w:w="0" w:type="dxa"/>
              <w:right w:w="0" w:type="dxa"/>
            </w:tcMar>
            <w:vAlign w:val="center"/>
          </w:tcPr>
          <w:p>
            <w:pPr>
              <w:pStyle w:val="TableContents"/>
              <w:bidi w:val="0"/>
              <w:spacing w:before="0" w:after="240"/>
              <w:jc w:val="both"/>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ktx-ex31_1.htm"/>
      <w:bookmarkStart w:id="26" w:name="ksnktxex31_1"/>
      <w:bookmarkEnd w:id="25"/>
      <w:bookmarkEnd w:id="26"/>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951"/>
        <w:gridCol w:w="109"/>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nktx-ex31_2.htm"/>
      <w:bookmarkStart w:id="28" w:name="ksnktxex31_2"/>
      <w:bookmarkEnd w:id="27"/>
      <w:bookmarkEnd w:id="28"/>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Alyssa Levin,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951"/>
        <w:gridCol w:w="109"/>
        <w:gridCol w:w="406"/>
        <w:gridCol w:w="32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Alyssa Levin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Alyssa Levin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and Business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nktx-ex32.htm"/>
      <w:bookmarkStart w:id="30" w:name="ksnktxex3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June 30, 2024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951"/>
        <w:gridCol w:w="109"/>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951"/>
        <w:gridCol w:w="109"/>
        <w:gridCol w:w="406"/>
        <w:gridCol w:w="32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Alyssa Levin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Alyssa Levin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and Business Officer</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60014</Words>
  <Characters>334834</Characters>
  <CharactersWithSpaces>395373</CharactersWithSpaces>
  <Paragraphs>5065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