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5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QUARTERLY REPORT 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204"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Nkarta, Inc.</w:t>
      </w:r>
    </w:p>
    <w:p>
      <w:pPr>
        <w:sectPr>
          <w:pgSz w:w="11900" w:h="16838" w:orient="portrait"/>
          <w:cols w:equalWidth="0" w:num="1">
            <w:col w:w="11240"/>
          </w:cols>
          <w:pgMar w:left="320" w:top="746"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47-4515206</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1" w:lineRule="exact"/>
        <w:rPr>
          <w:sz w:val="24"/>
          <w:szCs w:val="24"/>
          <w:color w:val="auto"/>
        </w:rPr>
      </w:pPr>
    </w:p>
    <w:p>
      <w:pPr>
        <w:sectPr>
          <w:pgSz w:w="11900" w:h="16838" w:orient="portrait"/>
          <w:cols w:equalWidth="0" w:num="2">
            <w:col w:w="7700" w:space="240"/>
            <w:col w:w="3300"/>
          </w:cols>
          <w:pgMar w:left="320" w:top="746" w:right="339" w:bottom="1440" w:gutter="0" w:footer="0" w:header="0"/>
          <w:type w:val="continuous"/>
        </w:sectPr>
      </w:pPr>
    </w:p>
    <w:tbl>
      <w:tblPr>
        <w:tblLayout w:type="fixed"/>
        <w:tblInd w:w="1600" w:type="dxa"/>
        <w:tblCellMar>
          <w:top w:w="0" w:type="dxa"/>
          <w:left w:w="0" w:type="dxa"/>
          <w:bottom w:w="0" w:type="dxa"/>
          <w:right w:w="0" w:type="dxa"/>
        </w:tblCellMar>
      </w:tblPr>
      <w:tr>
        <w:trPr>
          <w:trHeight w:val="201"/>
        </w:trPr>
        <w:tc>
          <w:tcPr>
            <w:tcW w:w="25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0"/>
              </w:rPr>
              <w:t>6000 Shoreline Court, Suite 102</w:t>
            </w:r>
          </w:p>
        </w:tc>
        <w:tc>
          <w:tcPr>
            <w:tcW w:w="4600" w:type="dxa"/>
            <w:vAlign w:val="bottom"/>
          </w:tcPr>
          <w:p>
            <w:pPr>
              <w:spacing w:after="0"/>
              <w:rPr>
                <w:sz w:val="17"/>
                <w:szCs w:val="17"/>
                <w:color w:val="auto"/>
              </w:rPr>
            </w:pPr>
          </w:p>
        </w:tc>
      </w:tr>
      <w:tr>
        <w:trPr>
          <w:trHeight w:val="230"/>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South San Francisco, CA</w:t>
            </w:r>
          </w:p>
        </w:tc>
        <w:tc>
          <w:tcPr>
            <w:tcW w:w="4600" w:type="dxa"/>
            <w:vAlign w:val="bottom"/>
          </w:tcPr>
          <w:p>
            <w:pPr>
              <w:jc w:val="right"/>
              <w:spacing w:after="0"/>
              <w:rPr>
                <w:sz w:val="20"/>
                <w:szCs w:val="20"/>
                <w:color w:val="auto"/>
              </w:rPr>
            </w:pPr>
            <w:r>
              <w:rPr>
                <w:rFonts w:ascii="Arial" w:cs="Arial" w:eastAsia="Arial" w:hAnsi="Arial"/>
                <w:sz w:val="18"/>
                <w:szCs w:val="18"/>
                <w:b w:val="1"/>
                <w:bCs w:val="1"/>
                <w:color w:val="auto"/>
              </w:rPr>
              <w:t>94080</w:t>
            </w:r>
          </w:p>
        </w:tc>
      </w:tr>
      <w:tr>
        <w:trPr>
          <w:trHeight w:val="164"/>
        </w:trPr>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600" w:type="dxa"/>
            <w:vAlign w:val="bottom"/>
          </w:tcPr>
          <w:p>
            <w:pPr>
              <w:jc w:val="center"/>
              <w:ind w:left="3944"/>
              <w:spacing w:after="0"/>
              <w:rPr>
                <w:sz w:val="20"/>
                <w:szCs w:val="20"/>
                <w:color w:val="auto"/>
              </w:rPr>
            </w:pPr>
            <w:r>
              <w:rPr>
                <w:rFonts w:ascii="Arial" w:cs="Arial" w:eastAsia="Arial" w:hAnsi="Arial"/>
                <w:sz w:val="13"/>
                <w:szCs w:val="13"/>
                <w:b w:val="1"/>
                <w:bCs w:val="1"/>
                <w:color w:val="auto"/>
                <w:w w:val="90"/>
              </w:rPr>
              <w:t>(Zip Code)</w:t>
            </w:r>
          </w:p>
        </w:tc>
      </w:tr>
      <w:tr>
        <w:trPr>
          <w:trHeight w:val="416"/>
        </w:trPr>
        <w:tc>
          <w:tcPr>
            <w:tcW w:w="2520" w:type="dxa"/>
            <w:vAlign w:val="bottom"/>
          </w:tcPr>
          <w:p>
            <w:pPr>
              <w:spacing w:after="0"/>
              <w:rPr>
                <w:sz w:val="24"/>
                <w:szCs w:val="24"/>
                <w:color w:val="auto"/>
              </w:rPr>
            </w:pPr>
          </w:p>
        </w:tc>
        <w:tc>
          <w:tcPr>
            <w:tcW w:w="4600" w:type="dxa"/>
            <w:vAlign w:val="bottom"/>
          </w:tcPr>
          <w:p>
            <w:pPr>
              <w:jc w:val="right"/>
              <w:ind w:right="2464"/>
              <w:spacing w:after="0"/>
              <w:rPr>
                <w:sz w:val="20"/>
                <w:szCs w:val="20"/>
                <w:color w:val="auto"/>
              </w:rPr>
            </w:pPr>
            <w:r>
              <w:rPr>
                <w:rFonts w:ascii="Arial" w:cs="Arial" w:eastAsia="Arial" w:hAnsi="Arial"/>
                <w:sz w:val="18"/>
                <w:szCs w:val="18"/>
                <w:b w:val="1"/>
                <w:bCs w:val="1"/>
                <w:color w:val="auto"/>
              </w:rPr>
              <w:t>(415) 582-4923</w:t>
            </w:r>
          </w:p>
        </w:tc>
      </w:tr>
      <w:tr>
        <w:trPr>
          <w:trHeight w:val="164"/>
        </w:trPr>
        <w:tc>
          <w:tcPr>
            <w:tcW w:w="2520" w:type="dxa"/>
            <w:vAlign w:val="bottom"/>
          </w:tcPr>
          <w:p>
            <w:pPr>
              <w:spacing w:after="0"/>
              <w:rPr>
                <w:sz w:val="14"/>
                <w:szCs w:val="14"/>
                <w:color w:val="auto"/>
              </w:rPr>
            </w:pPr>
          </w:p>
        </w:tc>
        <w:tc>
          <w:tcPr>
            <w:tcW w:w="4600" w:type="dxa"/>
            <w:vAlign w:val="bottom"/>
          </w:tcPr>
          <w:p>
            <w:pPr>
              <w:jc w:val="center"/>
              <w:ind w:right="1524"/>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00" w:type="dxa"/>
            <w:vAlign w:val="bottom"/>
          </w:tcPr>
          <w:p>
            <w:pPr>
              <w:ind w:left="20"/>
              <w:spacing w:after="0" w:line="146" w:lineRule="exact"/>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2"/>
                <w:szCs w:val="12"/>
                <w:color w:val="auto"/>
              </w:rPr>
            </w:pPr>
          </w:p>
        </w:tc>
        <w:tc>
          <w:tcPr>
            <w:tcW w:w="2240" w:type="dxa"/>
            <w:vAlign w:val="bottom"/>
          </w:tcPr>
          <w:p>
            <w:pPr>
              <w:jc w:val="center"/>
              <w:spacing w:after="0" w:line="146" w:lineRule="exact"/>
              <w:rPr>
                <w:sz w:val="20"/>
                <w:szCs w:val="20"/>
                <w:color w:val="auto"/>
              </w:rPr>
            </w:pPr>
            <w:r>
              <w:rPr>
                <w:rFonts w:ascii="Arial" w:cs="Arial" w:eastAsia="Arial" w:hAnsi="Arial"/>
                <w:sz w:val="16"/>
                <w:szCs w:val="16"/>
                <w:color w:val="auto"/>
              </w:rPr>
              <w:t>NKTX</w:t>
            </w:r>
          </w:p>
        </w:tc>
        <w:tc>
          <w:tcPr>
            <w:tcW w:w="100" w:type="dxa"/>
            <w:vAlign w:val="bottom"/>
          </w:tcPr>
          <w:p>
            <w:pPr>
              <w:spacing w:after="0"/>
              <w:rPr>
                <w:sz w:val="12"/>
                <w:szCs w:val="12"/>
                <w:color w:val="auto"/>
              </w:rPr>
            </w:pPr>
          </w:p>
        </w:tc>
        <w:tc>
          <w:tcPr>
            <w:tcW w:w="4380" w:type="dxa"/>
            <w:vAlign w:val="bottom"/>
          </w:tcPr>
          <w:p>
            <w:pPr>
              <w:jc w:val="center"/>
              <w:spacing w:after="0" w:line="146" w:lineRule="exact"/>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06"/>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212529"/>
                <w:w w:val="92"/>
              </w:rPr>
              <w:t>(Nasdaq Global Select Market)</w:t>
            </w:r>
          </w:p>
        </w:tc>
        <w:tc>
          <w:tcPr>
            <w:tcW w:w="0" w:type="dxa"/>
            <w:vAlign w:val="bottom"/>
          </w:tcPr>
          <w:p>
            <w:pPr>
              <w:spacing w:after="0"/>
              <w:rPr>
                <w:sz w:val="1"/>
                <w:szCs w:val="1"/>
                <w:color w:val="auto"/>
              </w:rPr>
            </w:pPr>
          </w:p>
        </w:tc>
      </w:tr>
    </w:tbl>
    <w:p>
      <w:pPr>
        <w:spacing w:after="0" w:line="185"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7, 2022, the registrant had 48,813,720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140" w:type="dxa"/>
            <w:vAlign w:val="bottom"/>
            <w:gridSpan w:val="2"/>
            <w:vMerge w:val="continue"/>
          </w:tcPr>
          <w:p>
            <w:pPr>
              <w:spacing w:after="0"/>
              <w:rPr>
                <w:sz w:val="13"/>
                <w:szCs w:val="13"/>
                <w:color w:val="auto"/>
              </w:rPr>
            </w:pPr>
          </w:p>
        </w:tc>
        <w:tc>
          <w:tcPr>
            <w:tcW w:w="9300" w:type="dxa"/>
            <w:vAlign w:val="bottom"/>
            <w:gridSpan w:val="20"/>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Financial Statements:</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4"/>
              </w:rPr>
              <w:t>Condensed Balance</w:t>
            </w:r>
          </w:p>
        </w:tc>
        <w:tc>
          <w:tcPr>
            <w:tcW w:w="7740" w:type="dxa"/>
            <w:vAlign w:val="bottom"/>
            <w:gridSpan w:val="13"/>
          </w:tcPr>
          <w:p>
            <w:pPr>
              <w:jc w:val="right"/>
              <w:ind w:right="2840"/>
              <w:spacing w:after="0" w:line="182" w:lineRule="exact"/>
              <w:rPr>
                <w:sz w:val="20"/>
                <w:szCs w:val="20"/>
                <w:color w:val="auto"/>
              </w:rPr>
            </w:pPr>
            <w:r>
              <w:rPr>
                <w:rFonts w:ascii="Arial" w:cs="Arial" w:eastAsia="Arial" w:hAnsi="Arial"/>
                <w:sz w:val="18"/>
                <w:szCs w:val="18"/>
                <w:color w:val="0000FF"/>
                <w:w w:val="86"/>
              </w:rPr>
              <w:t>Sheets as of September 30, 2022 and December 31, 2021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0000FF"/>
                <w:w w:val="92"/>
              </w:rPr>
              <w:t>Condensed Statements of Operations and Comprehensive Loss for the three and nine months ended September 30, 2022 and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2021 (unaudited)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Arial" w:cs="Arial" w:eastAsia="Arial" w:hAnsi="Arial"/>
                <w:sz w:val="18"/>
                <w:szCs w:val="18"/>
                <w:color w:val="0000FF"/>
                <w:w w:val="91"/>
              </w:rPr>
              <w:t>Condensed Statements of Stockholders’ Equity for the three and nine months ended September 30, 2022 and 2021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12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Condensed Statements of Cash Flows for the nine months ended September 30, 2022 and 2021 (unaudited)</w:t>
            </w:r>
          </w:p>
        </w:tc>
        <w:tc>
          <w:tcPr>
            <w:tcW w:w="1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72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Notes to Unaudited Condensed Financial Statements</w:t>
            </w:r>
          </w:p>
        </w:tc>
        <w:tc>
          <w:tcPr>
            <w:tcW w:w="158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380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1"/>
              </w:rPr>
              <w:t>Management’s Discussion and Analysis of Financial</w:t>
            </w:r>
          </w:p>
        </w:tc>
        <w:tc>
          <w:tcPr>
            <w:tcW w:w="5500" w:type="dxa"/>
            <w:vAlign w:val="bottom"/>
            <w:gridSpan w:val="7"/>
          </w:tcPr>
          <w:p>
            <w:pPr>
              <w:jc w:val="right"/>
              <w:ind w:right="2840"/>
              <w:spacing w:after="0" w:line="182" w:lineRule="exact"/>
              <w:rPr>
                <w:sz w:val="20"/>
                <w:szCs w:val="20"/>
                <w:color w:val="auto"/>
              </w:rPr>
            </w:pPr>
            <w:r>
              <w:rPr>
                <w:rFonts w:ascii="Arial" w:cs="Arial" w:eastAsia="Arial" w:hAnsi="Arial"/>
                <w:sz w:val="18"/>
                <w:szCs w:val="18"/>
                <w:color w:val="0000FF"/>
                <w:w w:val="91"/>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6"/>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1"/>
              </w:rPr>
              <w:t>OTHER INFORMATION</w:t>
            </w:r>
          </w:p>
        </w:tc>
        <w:tc>
          <w:tcPr>
            <w:tcW w:w="100" w:type="dxa"/>
            <w:vAlign w:val="bottom"/>
            <w:tcBorders>
              <w:bottom w:val="single" w:sz="8" w:color="0000FF"/>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00" w:type="dxa"/>
            <w:vAlign w:val="bottom"/>
            <w:gridSpan w:val="10"/>
          </w:tcPr>
          <w:p>
            <w:pPr>
              <w:spacing w:after="0" w:line="182" w:lineRule="exact"/>
              <w:rPr>
                <w:sz w:val="20"/>
                <w:szCs w:val="20"/>
                <w:color w:val="auto"/>
              </w:rPr>
            </w:pPr>
            <w:r>
              <w:rPr>
                <w:rFonts w:ascii="Arial" w:cs="Arial" w:eastAsia="Arial" w:hAnsi="Arial"/>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3"/>
          </w:tcPr>
          <w:p>
            <w:pPr>
              <w:spacing w:after="0"/>
              <w:rPr>
                <w:sz w:val="15"/>
                <w:szCs w:val="15"/>
                <w:color w:val="auto"/>
              </w:rPr>
            </w:pPr>
          </w:p>
        </w:tc>
        <w:tc>
          <w:tcPr>
            <w:tcW w:w="1000" w:type="dxa"/>
            <w:vAlign w:val="bottom"/>
            <w:gridSpan w:val="6"/>
          </w:tcPr>
          <w:p>
            <w:pPr>
              <w:spacing w:after="0"/>
              <w:rPr>
                <w:sz w:val="15"/>
                <w:szCs w:val="15"/>
                <w:color w:val="auto"/>
              </w:rPr>
            </w:pPr>
          </w:p>
        </w:tc>
        <w:tc>
          <w:tcPr>
            <w:tcW w:w="2020" w:type="dxa"/>
            <w:vAlign w:val="bottom"/>
            <w:gridSpan w:val="2"/>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Unregistered</w:t>
            </w:r>
          </w:p>
        </w:tc>
        <w:tc>
          <w:tcPr>
            <w:tcW w:w="8360" w:type="dxa"/>
            <w:vAlign w:val="bottom"/>
            <w:gridSpan w:val="17"/>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Mine Safety Disclosures</w:t>
            </w:r>
          </w:p>
        </w:tc>
        <w:tc>
          <w:tcPr>
            <w:tcW w:w="696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52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18" w:lineRule="exact"/>
        <w:rPr>
          <w:sz w:val="20"/>
          <w:szCs w:val="20"/>
          <w:color w:val="auto"/>
        </w:rPr>
      </w:pPr>
    </w:p>
    <w:p>
      <w:pPr>
        <w:ind w:firstLine="374"/>
        <w:spacing w:after="0" w:line="273" w:lineRule="auto"/>
        <w:rPr>
          <w:sz w:val="20"/>
          <w:szCs w:val="20"/>
          <w:color w:val="auto"/>
        </w:rPr>
      </w:pPr>
      <w:r>
        <w:rPr>
          <w:rFonts w:ascii="Arial" w:cs="Arial" w:eastAsia="Arial" w:hAnsi="Arial"/>
          <w:sz w:val="16"/>
          <w:szCs w:val="16"/>
          <w:color w:val="auto"/>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68" w:lineRule="exact"/>
        <w:rPr>
          <w:sz w:val="20"/>
          <w:szCs w:val="20"/>
          <w:color w:val="auto"/>
        </w:rPr>
      </w:pPr>
    </w:p>
    <w:p>
      <w:pPr>
        <w:ind w:right="220" w:firstLine="374"/>
        <w:spacing w:after="0" w:line="268" w:lineRule="auto"/>
        <w:rPr>
          <w:sz w:val="20"/>
          <w:szCs w:val="20"/>
          <w:color w:val="auto"/>
        </w:rPr>
      </w:pPr>
      <w:r>
        <w:rPr>
          <w:rFonts w:ascii="Arial" w:cs="Arial" w:eastAsia="Arial" w:hAnsi="Arial"/>
          <w:sz w:val="17"/>
          <w:szCs w:val="17"/>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66"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qualify all of our forward-looking statements by these cautionary statements.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spacing w:after="0" w:line="265"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a limited operating history and do not have any products approved for sale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incurred significant losses since our inception, and we expect to continue to incur significant losses for the foreseeable future.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never generated revenue from product sales and may never achieve or maintain profitability.</w:t>
      </w:r>
    </w:p>
    <w:p>
      <w:pPr>
        <w:spacing w:after="0" w:line="103"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48" w:lineRule="exact"/>
        <w:rPr>
          <w:rFonts w:ascii="Arial" w:cs="Arial" w:eastAsia="Arial" w:hAnsi="Arial"/>
          <w:sz w:val="18"/>
          <w:szCs w:val="18"/>
          <w:color w:val="auto"/>
        </w:rPr>
      </w:pPr>
    </w:p>
    <w:p>
      <w:pPr>
        <w:ind w:left="1020" w:right="8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depends upon the success of our CAR-NK cell technology platform.</w:t>
      </w:r>
    </w:p>
    <w:p>
      <w:pPr>
        <w:spacing w:after="0" w:line="103"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Utilizing CAR-NK cells represents a novel approach to the treatment of cancer, and we must overcome significant challenges in order to develop, commercialize and manufacture our product candidates.</w:t>
      </w:r>
    </w:p>
    <w:p>
      <w:pPr>
        <w:spacing w:after="0" w:line="4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76" w:lineRule="exact"/>
        <w:rPr>
          <w:rFonts w:ascii="Arial" w:cs="Arial" w:eastAsia="Arial" w:hAnsi="Arial"/>
          <w:sz w:val="18"/>
          <w:szCs w:val="18"/>
          <w:color w:val="auto"/>
        </w:rPr>
      </w:pPr>
    </w:p>
    <w:p>
      <w:pPr>
        <w:jc w:val="both"/>
        <w:ind w:left="102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6" w:lineRule="exact"/>
        <w:rPr>
          <w:rFonts w:ascii="Arial" w:cs="Arial" w:eastAsia="Arial" w:hAnsi="Arial"/>
          <w:sz w:val="16"/>
          <w:szCs w:val="16"/>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48" w:lineRule="exact"/>
        <w:rPr>
          <w:rFonts w:ascii="Arial" w:cs="Arial" w:eastAsia="Arial" w:hAnsi="Arial"/>
          <w:sz w:val="18"/>
          <w:szCs w:val="18"/>
          <w:color w:val="auto"/>
        </w:rPr>
      </w:pPr>
    </w:p>
    <w:p>
      <w:pPr>
        <w:jc w:val="both"/>
        <w:ind w:left="1020" w:right="2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87"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62" w:lineRule="exact"/>
        <w:rPr>
          <w:rFonts w:ascii="Arial" w:cs="Arial" w:eastAsia="Arial" w:hAnsi="Arial"/>
          <w:sz w:val="18"/>
          <w:szCs w:val="18"/>
          <w:color w:val="auto"/>
        </w:rPr>
      </w:pPr>
    </w:p>
    <w:p>
      <w:pPr>
        <w:ind w:left="1020" w:right="460" w:hanging="503"/>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86"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62" w:lineRule="exact"/>
        <w:rPr>
          <w:rFonts w:ascii="Arial" w:cs="Arial" w:eastAsia="Arial" w:hAnsi="Arial"/>
          <w:sz w:val="18"/>
          <w:szCs w:val="18"/>
          <w:color w:val="auto"/>
        </w:rPr>
      </w:pPr>
    </w:p>
    <w:p>
      <w:pPr>
        <w:ind w:left="1020" w:right="30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66" w:lineRule="exact"/>
        <w:rPr>
          <w:rFonts w:ascii="Arial" w:cs="Arial" w:eastAsia="Arial" w:hAnsi="Arial"/>
          <w:sz w:val="18"/>
          <w:szCs w:val="18"/>
          <w:color w:val="auto"/>
        </w:rPr>
      </w:pPr>
    </w:p>
    <w:p>
      <w:pPr>
        <w:ind w:left="1020" w:right="10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are reliant on a sole supplier for certain steps of our manufacturing process.</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76" w:lineRule="exact"/>
        <w:rPr>
          <w:rFonts w:ascii="Arial" w:cs="Arial" w:eastAsia="Arial" w:hAnsi="Arial"/>
          <w:sz w:val="18"/>
          <w:szCs w:val="18"/>
          <w:color w:val="auto"/>
        </w:rPr>
      </w:pPr>
    </w:p>
    <w:p>
      <w:pPr>
        <w:ind w:left="503" w:right="3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patent protection we obtain is not sufficiently robust, our competitors could develop and commercialize products and technology similar or identical to ours.</w:t>
      </w:r>
    </w:p>
    <w:p>
      <w:pPr>
        <w:spacing w:after="0" w:line="62" w:lineRule="exact"/>
        <w:rPr>
          <w:rFonts w:ascii="Arial" w:cs="Arial" w:eastAsia="Arial" w:hAnsi="Arial"/>
          <w:sz w:val="18"/>
          <w:szCs w:val="18"/>
          <w:color w:val="auto"/>
        </w:rPr>
      </w:pPr>
    </w:p>
    <w:p>
      <w:pPr>
        <w:jc w:val="both"/>
        <w:ind w:left="503" w:hanging="503"/>
        <w:spacing w:after="0" w:line="256"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66" w:lineRule="exact"/>
        <w:rPr>
          <w:rFonts w:ascii="Arial" w:cs="Arial" w:eastAsia="Arial" w:hAnsi="Arial"/>
          <w:sz w:val="18"/>
          <w:szCs w:val="18"/>
          <w:color w:val="auto"/>
        </w:rPr>
      </w:pPr>
    </w:p>
    <w:p>
      <w:pPr>
        <w:ind w:left="503" w:right="16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product candidates, including NKX101 and NKX019, could be subject to regulatory limitations following approval, if and when such approval is granted.</w:t>
      </w:r>
    </w:p>
    <w:p>
      <w:pPr>
        <w:spacing w:after="0" w:line="48"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market price for our common stock may be volatile, which could contribute to the loss of all or part of your investment.</w:t>
      </w:r>
    </w:p>
    <w:p>
      <w:pPr>
        <w:spacing w:after="0" w:line="103"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37"/>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3"/>
          </w:cols>
          <w:pgMar w:left="837" w:top="233" w:right="4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ind w:left="4620"/>
        <w:spacing w:after="0"/>
        <w:rPr>
          <w:sz w:val="20"/>
          <w:szCs w:val="20"/>
          <w:color w:val="auto"/>
        </w:rPr>
      </w:pPr>
      <w:r>
        <w:rPr>
          <w:rFonts w:ascii="Arial" w:cs="Arial" w:eastAsia="Arial" w:hAnsi="Arial"/>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 available-for-sale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352,702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400,918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245,780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67,971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503,799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9,494</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78,105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104,535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22,936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685,931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455,210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(1,321 )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(150 )</w:t>
            </w:r>
          </w:p>
        </w:tc>
      </w:tr>
      <w:tr>
        <w:trPr>
          <w:trHeight w:val="216"/>
        </w:trPr>
        <w:tc>
          <w:tcPr>
            <w:tcW w:w="77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(285,351 )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(204,096 )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399,264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250,967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503,799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273,903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-2416810</wp:posOffset>
            </wp:positionV>
            <wp:extent cx="123444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23,435</w:t>
            </w:r>
          </w:p>
        </w:tc>
        <w:tc>
          <w:tcPr>
            <w:tcW w:w="26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16,616</w:t>
            </w:r>
          </w:p>
        </w:tc>
        <w:tc>
          <w:tcPr>
            <w:tcW w:w="12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6,827</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(28,345 )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(22,353 )</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(81,255 )</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(63,261 )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(28,345 )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(22,353 )</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(81,255 )</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(63,261 )</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(390 )</w:t>
            </w: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(1,171 )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(28,735 )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(22,389 )</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(82,426 )</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(63,294 )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(0.58</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(0.68</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5620" w:type="dxa"/>
            <w:vAlign w:val="bottom"/>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48,630,328</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32,902,723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9"/>
              </w:rPr>
              <w:t>41,878,716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88"/>
              </w:rPr>
              <w:t>32,823,829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20" w:type="dxa"/>
            <w:vAlign w:val="bottom"/>
          </w:tcPr>
          <w:p>
            <w:pPr>
              <w:ind w:left="160"/>
              <w:spacing w:after="0" w:line="190" w:lineRule="exact"/>
              <w:rPr>
                <w:sz w:val="20"/>
                <w:szCs w:val="20"/>
                <w:color w:val="auto"/>
              </w:rPr>
            </w:pPr>
            <w:r>
              <w:rPr>
                <w:rFonts w:ascii="Arial" w:cs="Arial" w:eastAsia="Arial" w:hAnsi="Arial"/>
                <w:sz w:val="18"/>
                <w:szCs w:val="18"/>
                <w:color w:val="auto"/>
              </w:rPr>
              <w:t>per share, basic and diluted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-2022475</wp:posOffset>
            </wp:positionV>
            <wp:extent cx="774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-2022475</wp:posOffset>
            </wp:positionV>
            <wp:extent cx="768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-2022475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-1173480</wp:posOffset>
            </wp:positionV>
            <wp:extent cx="774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-1173480</wp:posOffset>
            </wp:positionV>
            <wp:extent cx="768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-1173480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-591185</wp:posOffset>
            </wp:positionV>
            <wp:extent cx="774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-591185</wp:posOffset>
            </wp:positionV>
            <wp:extent cx="768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-282575</wp:posOffset>
            </wp:positionV>
            <wp:extent cx="2820035"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0035" cy="28321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58"/>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337"/>
              <w:spacing w:after="0"/>
              <w:rPr>
                <w:sz w:val="20"/>
                <w:szCs w:val="20"/>
                <w:color w:val="auto"/>
              </w:rPr>
            </w:pPr>
            <w:r>
              <w:rPr>
                <w:rFonts w:ascii="Arial" w:cs="Arial" w:eastAsia="Arial" w:hAnsi="Arial"/>
                <w:sz w:val="11"/>
                <w:szCs w:val="11"/>
                <w:b w:val="1"/>
                <w:bCs w:val="1"/>
                <w:color w:val="auto"/>
                <w:w w:val="89"/>
              </w:rPr>
              <w:t>Accumulated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320" w:type="dxa"/>
            <w:vAlign w:val="bottom"/>
            <w:gridSpan w:val="3"/>
            <w:vMerge w:val="restart"/>
          </w:tcPr>
          <w:p>
            <w:pPr>
              <w:jc w:val="right"/>
              <w:ind w:right="599"/>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jc w:val="center"/>
              <w:ind w:right="337"/>
              <w:spacing w:after="0" w:line="108" w:lineRule="exact"/>
              <w:rPr>
                <w:sz w:val="20"/>
                <w:szCs w:val="20"/>
                <w:color w:val="auto"/>
              </w:rPr>
            </w:pPr>
            <w:r>
              <w:rPr>
                <w:rFonts w:ascii="Arial" w:cs="Arial" w:eastAsia="Arial" w:hAnsi="Arial"/>
                <w:sz w:val="11"/>
                <w:szCs w:val="11"/>
                <w:b w:val="1"/>
                <w:bCs w:val="1"/>
                <w:color w:val="auto"/>
                <w:w w:val="88"/>
              </w:rPr>
              <w:t>Other</w:t>
            </w:r>
          </w:p>
        </w:tc>
        <w:tc>
          <w:tcPr>
            <w:tcW w:w="180" w:type="dxa"/>
            <w:vAlign w:val="bottom"/>
          </w:tcPr>
          <w:p>
            <w:pPr>
              <w:spacing w:after="0"/>
              <w:rPr>
                <w:sz w:val="9"/>
                <w:szCs w:val="9"/>
                <w:color w:val="auto"/>
              </w:rPr>
            </w:pPr>
          </w:p>
        </w:tc>
        <w:tc>
          <w:tcPr>
            <w:tcW w:w="1220" w:type="dxa"/>
            <w:vAlign w:val="bottom"/>
            <w:gridSpan w:val="2"/>
            <w:vMerge w:val="restart"/>
          </w:tcPr>
          <w:p>
            <w:pPr>
              <w:jc w:val="right"/>
              <w:ind w:right="457"/>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338"/>
              <w:spacing w:after="0"/>
              <w:rPr>
                <w:sz w:val="20"/>
                <w:szCs w:val="20"/>
                <w:color w:val="auto"/>
              </w:rPr>
            </w:pPr>
            <w:r>
              <w:rPr>
                <w:rFonts w:ascii="Arial" w:cs="Arial" w:eastAsia="Arial" w:hAnsi="Arial"/>
                <w:sz w:val="11"/>
                <w:szCs w:val="11"/>
                <w:b w:val="1"/>
                <w:bCs w:val="1"/>
                <w:color w:val="auto"/>
              </w:rPr>
              <w:t>Paid-in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337"/>
              <w:spacing w:after="0"/>
              <w:rPr>
                <w:sz w:val="20"/>
                <w:szCs w:val="20"/>
                <w:color w:val="auto"/>
              </w:rPr>
            </w:pPr>
            <w:r>
              <w:rPr>
                <w:rFonts w:ascii="Arial" w:cs="Arial" w:eastAsia="Arial" w:hAnsi="Arial"/>
                <w:sz w:val="11"/>
                <w:szCs w:val="11"/>
                <w:b w:val="1"/>
                <w:bCs w:val="1"/>
                <w:color w:val="auto"/>
                <w:w w:val="84"/>
              </w:rPr>
              <w:t>Comprehensive</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1100" w:type="dxa"/>
            <w:vAlign w:val="bottom"/>
          </w:tcPr>
          <w:p>
            <w:pPr>
              <w:jc w:val="right"/>
              <w:ind w:right="318"/>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1"/>
                <w:szCs w:val="11"/>
                <w:color w:val="auto"/>
              </w:rPr>
            </w:pPr>
          </w:p>
        </w:tc>
        <w:tc>
          <w:tcPr>
            <w:tcW w:w="940" w:type="dxa"/>
            <w:vAlign w:val="bottom"/>
          </w:tcPr>
          <w:p>
            <w:pPr>
              <w:jc w:val="right"/>
              <w:ind w:right="79"/>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338"/>
              <w:spacing w:after="0" w:line="121" w:lineRule="exact"/>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337"/>
              <w:spacing w:after="0" w:line="121" w:lineRule="exact"/>
              <w:rPr>
                <w:sz w:val="20"/>
                <w:szCs w:val="20"/>
                <w:color w:val="auto"/>
              </w:rPr>
            </w:pPr>
            <w:r>
              <w:rPr>
                <w:rFonts w:ascii="Arial" w:cs="Arial" w:eastAsia="Arial" w:hAnsi="Arial"/>
                <w:sz w:val="11"/>
                <w:szCs w:val="11"/>
                <w:b w:val="1"/>
                <w:bCs w:val="1"/>
                <w:color w:val="auto"/>
                <w:w w:val="85"/>
              </w:rPr>
              <w:t>Loss</w:t>
            </w:r>
          </w:p>
        </w:tc>
        <w:tc>
          <w:tcPr>
            <w:tcW w:w="180" w:type="dxa"/>
            <w:vAlign w:val="bottom"/>
          </w:tcPr>
          <w:p>
            <w:pPr>
              <w:spacing w:after="0"/>
              <w:rPr>
                <w:sz w:val="11"/>
                <w:szCs w:val="11"/>
                <w:color w:val="auto"/>
              </w:rPr>
            </w:pPr>
          </w:p>
        </w:tc>
        <w:tc>
          <w:tcPr>
            <w:tcW w:w="1220" w:type="dxa"/>
            <w:vAlign w:val="bottom"/>
            <w:gridSpan w:val="2"/>
          </w:tcPr>
          <w:p>
            <w:pPr>
              <w:jc w:val="right"/>
              <w:ind w:right="617"/>
              <w:spacing w:after="0" w:line="121" w:lineRule="exact"/>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32,971,107</w:t>
            </w:r>
          </w:p>
        </w:tc>
        <w:tc>
          <w:tcPr>
            <w:tcW w:w="28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79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455,210</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w:t>
            </w:r>
          </w:p>
        </w:tc>
        <w:tc>
          <w:tcPr>
            <w:tcW w:w="240" w:type="dxa"/>
            <w:vAlign w:val="bottom"/>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(204,096</w:t>
            </w:r>
          </w:p>
        </w:tc>
        <w:tc>
          <w:tcPr>
            <w:tcW w:w="2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250,967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Vesting of shares of common</w:t>
            </w: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100" w:type="dxa"/>
            <w:vAlign w:val="bottom"/>
          </w:tcPr>
          <w:p>
            <w:pPr>
              <w:jc w:val="right"/>
              <w:spacing w:after="0"/>
              <w:rPr>
                <w:sz w:val="20"/>
                <w:szCs w:val="20"/>
                <w:color w:val="auto"/>
              </w:rPr>
            </w:pPr>
            <w:r>
              <w:rPr>
                <w:rFonts w:ascii="Arial" w:cs="Arial" w:eastAsia="Arial" w:hAnsi="Arial"/>
                <w:sz w:val="13"/>
                <w:szCs w:val="13"/>
                <w:color w:val="auto"/>
              </w:rPr>
              <w:t>10,924</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1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21,067</w:t>
            </w: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0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options, net of repurchase</w:t>
            </w:r>
          </w:p>
        </w:tc>
        <w:tc>
          <w:tcPr>
            <w:tcW w:w="11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Share-based compensation</w:t>
            </w: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expense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4,097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Unrealized loss on</w:t>
            </w:r>
          </w:p>
        </w:tc>
        <w:tc>
          <w:tcPr>
            <w:tcW w:w="1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short-term investments</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(456 )</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(456 )</w:t>
            </w: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137"/>
              <w:spacing w:after="0"/>
              <w:rPr>
                <w:sz w:val="20"/>
                <w:szCs w:val="20"/>
                <w:color w:val="auto"/>
              </w:rPr>
            </w:pPr>
            <w:r>
              <w:rPr>
                <w:rFonts w:ascii="Arial" w:cs="Arial" w:eastAsia="Arial" w:hAnsi="Arial"/>
                <w:sz w:val="13"/>
                <w:szCs w:val="13"/>
                <w:color w:val="auto"/>
              </w:rPr>
              <w:t>(25,987 )</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(25,987 )</w:t>
            </w:r>
          </w:p>
        </w:tc>
        <w:tc>
          <w:tcPr>
            <w:tcW w:w="0" w:type="dxa"/>
            <w:vAlign w:val="bottom"/>
          </w:tcPr>
          <w:p>
            <w:pPr>
              <w:spacing w:after="0"/>
              <w:rPr>
                <w:sz w:val="1"/>
                <w:szCs w:val="1"/>
                <w:color w:val="auto"/>
              </w:rPr>
            </w:pPr>
          </w:p>
        </w:tc>
      </w:tr>
      <w:tr>
        <w:trPr>
          <w:trHeight w:val="197"/>
        </w:trPr>
        <w:tc>
          <w:tcPr>
            <w:tcW w:w="2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March 31,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33,003,098</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459,392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(606</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(230,083</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228,706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860" w:type="dxa"/>
            <w:vAlign w:val="bottom"/>
          </w:tcPr>
          <w:p>
            <w:pPr>
              <w:ind w:left="20"/>
              <w:spacing w:after="0" w:line="102" w:lineRule="exact"/>
              <w:rPr>
                <w:sz w:val="20"/>
                <w:szCs w:val="20"/>
                <w:color w:val="auto"/>
              </w:rPr>
            </w:pPr>
            <w:r>
              <w:rPr>
                <w:rFonts w:ascii="Arial" w:cs="Arial" w:eastAsia="Arial" w:hAnsi="Arial"/>
                <w:sz w:val="10"/>
                <w:szCs w:val="10"/>
                <w:color w:val="auto"/>
              </w:rPr>
              <w:t>Vesting of shares of common</w:t>
            </w: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stock subject to repurchase</w:t>
            </w:r>
          </w:p>
        </w:tc>
        <w:tc>
          <w:tcPr>
            <w:tcW w:w="1100" w:type="dxa"/>
            <w:vAlign w:val="bottom"/>
          </w:tcPr>
          <w:p>
            <w:pPr>
              <w:jc w:val="right"/>
              <w:spacing w:after="0"/>
              <w:rPr>
                <w:sz w:val="20"/>
                <w:szCs w:val="20"/>
                <w:color w:val="auto"/>
              </w:rPr>
            </w:pPr>
            <w:r>
              <w:rPr>
                <w:rFonts w:ascii="Arial" w:cs="Arial" w:eastAsia="Arial" w:hAnsi="Arial"/>
                <w:sz w:val="13"/>
                <w:szCs w:val="13"/>
                <w:color w:val="auto"/>
              </w:rPr>
              <w:t>2,387</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1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88,383</w:t>
            </w: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0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options, net of repurchase</w:t>
            </w:r>
          </w:p>
        </w:tc>
        <w:tc>
          <w:tcPr>
            <w:tcW w:w="11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Issuance of common stock</w:t>
            </w: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20"/>
              <w:spacing w:after="0" w:line="135" w:lineRule="exact"/>
              <w:rPr>
                <w:sz w:val="20"/>
                <w:szCs w:val="20"/>
                <w:color w:val="auto"/>
              </w:rPr>
            </w:pPr>
            <w:r>
              <w:rPr>
                <w:rFonts w:ascii="Arial" w:cs="Arial" w:eastAsia="Arial" w:hAnsi="Arial"/>
                <w:sz w:val="13"/>
                <w:szCs w:val="13"/>
                <w:color w:val="auto"/>
              </w:rPr>
              <w:t>upon secondary offering, net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15,333,334</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215,332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215,334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120"/>
              <w:spacing w:after="0"/>
              <w:rPr>
                <w:sz w:val="20"/>
                <w:szCs w:val="20"/>
                <w:color w:val="auto"/>
              </w:rPr>
            </w:pPr>
            <w:r>
              <w:rPr>
                <w:rFonts w:ascii="Arial" w:cs="Arial" w:eastAsia="Arial" w:hAnsi="Arial"/>
                <w:sz w:val="13"/>
                <w:szCs w:val="13"/>
                <w:color w:val="auto"/>
              </w:rPr>
              <w:t>of issuance costs</w:t>
            </w: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Share-based compensation</w:t>
            </w:r>
          </w:p>
        </w:tc>
        <w:tc>
          <w:tcPr>
            <w:tcW w:w="1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Unrealized loss on</w:t>
            </w: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short-term investments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17"/>
              <w:spacing w:after="0"/>
              <w:rPr>
                <w:sz w:val="20"/>
                <w:szCs w:val="20"/>
                <w:color w:val="auto"/>
              </w:rPr>
            </w:pPr>
            <w:r>
              <w:rPr>
                <w:rFonts w:ascii="Arial" w:cs="Arial" w:eastAsia="Arial" w:hAnsi="Arial"/>
                <w:sz w:val="13"/>
                <w:szCs w:val="13"/>
                <w:color w:val="auto"/>
              </w:rPr>
              <w:t>(325 )</w:t>
            </w: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(325 )</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(26,923 )</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(26,923 )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Pr>
          <w:p>
            <w:pPr>
              <w:ind w:left="20"/>
              <w:spacing w:after="0"/>
              <w:rPr>
                <w:sz w:val="20"/>
                <w:szCs w:val="20"/>
                <w:color w:val="auto"/>
              </w:rPr>
            </w:pPr>
            <w:r>
              <w:rPr>
                <w:rFonts w:ascii="Arial" w:cs="Arial" w:eastAsia="Arial" w:hAnsi="Arial"/>
                <w:sz w:val="13"/>
                <w:szCs w:val="13"/>
                <w:color w:val="auto"/>
              </w:rPr>
              <w:t>Balance, June 30, 2022</w:t>
            </w:r>
          </w:p>
        </w:tc>
        <w:tc>
          <w:tcPr>
            <w:tcW w:w="1100" w:type="dxa"/>
            <w:vAlign w:val="bottom"/>
          </w:tcPr>
          <w:p>
            <w:pPr>
              <w:jc w:val="right"/>
              <w:spacing w:after="0"/>
              <w:rPr>
                <w:sz w:val="20"/>
                <w:szCs w:val="20"/>
                <w:color w:val="auto"/>
              </w:rPr>
            </w:pPr>
            <w:r>
              <w:rPr>
                <w:rFonts w:ascii="Arial" w:cs="Arial" w:eastAsia="Arial" w:hAnsi="Arial"/>
                <w:sz w:val="13"/>
                <w:szCs w:val="13"/>
                <w:color w:val="auto"/>
              </w:rPr>
              <w:t>48,427,202</w:t>
            </w:r>
          </w:p>
        </w:tc>
        <w:tc>
          <w:tcPr>
            <w:tcW w:w="280" w:type="dxa"/>
            <w:vAlign w:val="bottom"/>
          </w:tcPr>
          <w:p>
            <w:pPr>
              <w:spacing w:after="0"/>
              <w:rPr>
                <w:sz w:val="13"/>
                <w:szCs w:val="13"/>
                <w:color w:val="auto"/>
              </w:rPr>
            </w:pPr>
          </w:p>
        </w:tc>
        <w:tc>
          <w:tcPr>
            <w:tcW w:w="940" w:type="dxa"/>
            <w:vAlign w:val="bottom"/>
          </w:tcPr>
          <w:p>
            <w:pPr>
              <w:jc w:val="right"/>
              <w:ind w:right="799"/>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678,973</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117"/>
              <w:spacing w:after="0"/>
              <w:rPr>
                <w:sz w:val="20"/>
                <w:szCs w:val="20"/>
                <w:color w:val="auto"/>
              </w:rPr>
            </w:pPr>
            <w:r>
              <w:rPr>
                <w:rFonts w:ascii="Arial" w:cs="Arial" w:eastAsia="Arial" w:hAnsi="Arial"/>
                <w:sz w:val="13"/>
                <w:szCs w:val="13"/>
                <w:color w:val="auto"/>
              </w:rPr>
              <w:t>(931 )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37"/>
              <w:spacing w:after="0"/>
              <w:rPr>
                <w:sz w:val="20"/>
                <w:szCs w:val="20"/>
                <w:color w:val="auto"/>
              </w:rPr>
            </w:pPr>
            <w:r>
              <w:rPr>
                <w:rFonts w:ascii="Arial" w:cs="Arial" w:eastAsia="Arial" w:hAnsi="Arial"/>
                <w:sz w:val="13"/>
                <w:szCs w:val="13"/>
                <w:color w:val="auto"/>
              </w:rPr>
              <w:t>(257,006 )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421,041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86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Vesting of shares of common</w:t>
            </w:r>
          </w:p>
        </w:tc>
        <w:tc>
          <w:tcPr>
            <w:tcW w:w="1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subject to repurchase</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Issuance of common stock</w:t>
            </w: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20"/>
              <w:spacing w:after="0" w:line="135" w:lineRule="exact"/>
              <w:rPr>
                <w:sz w:val="20"/>
                <w:szCs w:val="20"/>
                <w:color w:val="auto"/>
              </w:rPr>
            </w:pPr>
            <w:r>
              <w:rPr>
                <w:rFonts w:ascii="Arial" w:cs="Arial" w:eastAsia="Arial" w:hAnsi="Arial"/>
                <w:sz w:val="13"/>
                <w:szCs w:val="13"/>
                <w:color w:val="auto"/>
              </w:rPr>
              <w:t>upon exercise of stock options,</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265,988</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953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120"/>
              <w:spacing w:after="0"/>
              <w:rPr>
                <w:sz w:val="20"/>
                <w:szCs w:val="20"/>
                <w:color w:val="auto"/>
              </w:rPr>
            </w:pPr>
            <w:r>
              <w:rPr>
                <w:rFonts w:ascii="Arial" w:cs="Arial" w:eastAsia="Arial" w:hAnsi="Arial"/>
                <w:sz w:val="13"/>
                <w:szCs w:val="13"/>
                <w:color w:val="auto"/>
              </w:rPr>
              <w:t>net of repurchase</w:t>
            </w: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Issuance of common stock upon</w:t>
            </w:r>
          </w:p>
        </w:tc>
        <w:tc>
          <w:tcPr>
            <w:tcW w:w="1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at-the-market offering,</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113,213</w:t>
            </w: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1,612</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0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issuance costs</w:t>
            </w:r>
          </w:p>
        </w:tc>
        <w:tc>
          <w:tcPr>
            <w:tcW w:w="11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Share-based compensation</w:t>
            </w: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expense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4,390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Unrealized loss on</w:t>
            </w:r>
          </w:p>
        </w:tc>
        <w:tc>
          <w:tcPr>
            <w:tcW w:w="1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short-term investments</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(390 )</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(390 )</w:t>
            </w: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137"/>
              <w:spacing w:after="0"/>
              <w:rPr>
                <w:sz w:val="20"/>
                <w:szCs w:val="20"/>
                <w:color w:val="auto"/>
              </w:rPr>
            </w:pPr>
            <w:r>
              <w:rPr>
                <w:rFonts w:ascii="Arial" w:cs="Arial" w:eastAsia="Arial" w:hAnsi="Arial"/>
                <w:sz w:val="13"/>
                <w:szCs w:val="13"/>
                <w:color w:val="auto"/>
              </w:rPr>
              <w:t>(28,345 )</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(28,345 )</w:t>
            </w:r>
          </w:p>
        </w:tc>
        <w:tc>
          <w:tcPr>
            <w:tcW w:w="0" w:type="dxa"/>
            <w:vAlign w:val="bottom"/>
          </w:tcPr>
          <w:p>
            <w:pPr>
              <w:spacing w:after="0"/>
              <w:rPr>
                <w:sz w:val="1"/>
                <w:szCs w:val="1"/>
                <w:color w:val="auto"/>
              </w:rPr>
            </w:pPr>
          </w:p>
        </w:tc>
      </w:tr>
      <w:tr>
        <w:trPr>
          <w:trHeight w:val="197"/>
        </w:trPr>
        <w:tc>
          <w:tcPr>
            <w:tcW w:w="2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September 30, 2022</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48,807,705</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685,931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(1,321</w:t>
            </w:r>
          </w:p>
        </w:tc>
        <w:tc>
          <w:tcPr>
            <w:tcW w:w="24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(285,351</w:t>
            </w:r>
          </w:p>
        </w:tc>
        <w:tc>
          <w:tcPr>
            <w:tcW w:w="26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399,264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-2699385</wp:posOffset>
            </wp:positionV>
            <wp:extent cx="462026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20260" cy="21463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-1473835</wp:posOffset>
            </wp:positionV>
            <wp:extent cx="7683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-1473835</wp:posOffset>
            </wp:positionV>
            <wp:extent cx="774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-1473835</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-1473835</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258"/>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240" w:type="dxa"/>
            <w:vAlign w:val="bottom"/>
            <w:gridSpan w:val="3"/>
            <w:vMerge w:val="restart"/>
          </w:tcPr>
          <w:p>
            <w:pPr>
              <w:jc w:val="right"/>
              <w:ind w:right="567"/>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jc w:val="center"/>
              <w:ind w:right="440"/>
              <w:spacing w:after="0" w:line="108" w:lineRule="exact"/>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9"/>
                <w:szCs w:val="9"/>
                <w:color w:val="auto"/>
              </w:rPr>
            </w:pPr>
          </w:p>
        </w:tc>
        <w:tc>
          <w:tcPr>
            <w:tcW w:w="1220" w:type="dxa"/>
            <w:vAlign w:val="bottom"/>
            <w:gridSpan w:val="2"/>
            <w:vMerge w:val="restart"/>
          </w:tcPr>
          <w:p>
            <w:pPr>
              <w:jc w:val="right"/>
              <w:ind w:right="457"/>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24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338"/>
              <w:spacing w:after="0"/>
              <w:rPr>
                <w:sz w:val="20"/>
                <w:szCs w:val="20"/>
                <w:color w:val="auto"/>
              </w:rPr>
            </w:pPr>
            <w:r>
              <w:rPr>
                <w:rFonts w:ascii="Arial" w:cs="Arial" w:eastAsia="Arial" w:hAnsi="Arial"/>
                <w:sz w:val="11"/>
                <w:szCs w:val="11"/>
                <w:b w:val="1"/>
                <w:bCs w:val="1"/>
                <w:color w:val="auto"/>
              </w:rPr>
              <w:t>Paid-in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1020" w:type="dxa"/>
            <w:vAlign w:val="bottom"/>
          </w:tcPr>
          <w:p>
            <w:pPr>
              <w:jc w:val="right"/>
              <w:ind w:right="298"/>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1"/>
                <w:szCs w:val="11"/>
                <w:color w:val="auto"/>
              </w:rPr>
            </w:pPr>
          </w:p>
        </w:tc>
        <w:tc>
          <w:tcPr>
            <w:tcW w:w="940" w:type="dxa"/>
            <w:vAlign w:val="bottom"/>
          </w:tcPr>
          <w:p>
            <w:pPr>
              <w:jc w:val="right"/>
              <w:ind w:right="87"/>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338"/>
              <w:spacing w:after="0" w:line="121" w:lineRule="exact"/>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420"/>
              <w:spacing w:after="0" w:line="121" w:lineRule="exact"/>
              <w:rPr>
                <w:sz w:val="20"/>
                <w:szCs w:val="20"/>
                <w:color w:val="auto"/>
              </w:rPr>
            </w:pPr>
            <w:r>
              <w:rPr>
                <w:rFonts w:ascii="Arial" w:cs="Arial" w:eastAsia="Arial" w:hAnsi="Arial"/>
                <w:sz w:val="11"/>
                <w:szCs w:val="11"/>
                <w:b w:val="1"/>
                <w:bCs w:val="1"/>
                <w:color w:val="auto"/>
                <w:w w:val="88"/>
              </w:rPr>
              <w:t>Income</w:t>
            </w:r>
          </w:p>
        </w:tc>
        <w:tc>
          <w:tcPr>
            <w:tcW w:w="180" w:type="dxa"/>
            <w:vAlign w:val="bottom"/>
          </w:tcPr>
          <w:p>
            <w:pPr>
              <w:spacing w:after="0"/>
              <w:rPr>
                <w:sz w:val="11"/>
                <w:szCs w:val="11"/>
                <w:color w:val="auto"/>
              </w:rPr>
            </w:pPr>
          </w:p>
        </w:tc>
        <w:tc>
          <w:tcPr>
            <w:tcW w:w="1220" w:type="dxa"/>
            <w:vAlign w:val="bottom"/>
            <w:gridSpan w:val="2"/>
          </w:tcPr>
          <w:p>
            <w:pPr>
              <w:jc w:val="right"/>
              <w:ind w:right="617"/>
              <w:spacing w:after="0" w:line="121" w:lineRule="exact"/>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41" w:lineRule="exact"/>
              <w:rPr>
                <w:sz w:val="20"/>
                <w:szCs w:val="20"/>
                <w:color w:val="auto"/>
              </w:rPr>
            </w:pPr>
            <w:r>
              <w:rPr>
                <w:rFonts w:ascii="Arial" w:cs="Arial" w:eastAsia="Arial" w:hAnsi="Arial"/>
                <w:sz w:val="13"/>
                <w:szCs w:val="13"/>
                <w:color w:val="auto"/>
              </w:rPr>
              <w:t>Balance, December 31, 2020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32,627,963</w:t>
            </w:r>
          </w:p>
        </w:tc>
        <w:tc>
          <w:tcPr>
            <w:tcW w:w="280" w:type="dxa"/>
            <w:vAlign w:val="bottom"/>
          </w:tcPr>
          <w:p>
            <w:pPr>
              <w:spacing w:after="0"/>
              <w:rPr>
                <w:sz w:val="13"/>
                <w:szCs w:val="13"/>
                <w:color w:val="auto"/>
              </w:rPr>
            </w:pPr>
          </w:p>
        </w:tc>
        <w:tc>
          <w:tcPr>
            <w:tcW w:w="940" w:type="dxa"/>
            <w:vAlign w:val="bottom"/>
            <w:tcBorders>
              <w:top w:val="single" w:sz="8" w:color="auto"/>
            </w:tcBorders>
          </w:tcPr>
          <w:p>
            <w:pPr>
              <w:jc w:val="right"/>
              <w:ind w:right="827"/>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1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439,235</w:t>
            </w:r>
          </w:p>
        </w:tc>
        <w:tc>
          <w:tcPr>
            <w:tcW w:w="240" w:type="dxa"/>
            <w:vAlign w:val="bottom"/>
          </w:tcPr>
          <w:p>
            <w:pPr>
              <w:spacing w:after="0"/>
              <w:rPr>
                <w:sz w:val="13"/>
                <w:szCs w:val="13"/>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(118,021</w:t>
            </w:r>
          </w:p>
        </w:tc>
        <w:tc>
          <w:tcPr>
            <w:tcW w:w="260" w:type="dxa"/>
            <w:vAlign w:val="bottom"/>
          </w:tcPr>
          <w:p>
            <w:pPr>
              <w:jc w:val="right"/>
              <w:ind w:right="137"/>
              <w:spacing w:after="0" w:line="141"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321,220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Vesting of shares of common</w:t>
            </w: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subject to repurchase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15,802</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Issuance of common stock</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154,489</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756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120"/>
              <w:spacing w:after="0"/>
              <w:rPr>
                <w:sz w:val="20"/>
                <w:szCs w:val="20"/>
                <w:color w:val="auto"/>
              </w:rPr>
            </w:pPr>
            <w:r>
              <w:rPr>
                <w:rFonts w:ascii="Arial" w:cs="Arial" w:eastAsia="Arial" w:hAnsi="Arial"/>
                <w:sz w:val="13"/>
                <w:szCs w:val="13"/>
                <w:color w:val="auto"/>
              </w:rPr>
              <w:t>options, net of repurchase</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Share-based compensation</w:t>
            </w: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Unrealized gain on</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short-term investments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(19,373 )</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(19,373 )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Pr>
          <w:p>
            <w:pPr>
              <w:ind w:left="20"/>
              <w:spacing w:after="0"/>
              <w:rPr>
                <w:sz w:val="20"/>
                <w:szCs w:val="20"/>
                <w:color w:val="auto"/>
              </w:rPr>
            </w:pPr>
            <w:r>
              <w:rPr>
                <w:rFonts w:ascii="Arial" w:cs="Arial" w:eastAsia="Arial" w:hAnsi="Arial"/>
                <w:sz w:val="13"/>
                <w:szCs w:val="13"/>
                <w:color w:val="auto"/>
              </w:rPr>
              <w:t>Balance, March 31, 2021</w:t>
            </w:r>
          </w:p>
        </w:tc>
        <w:tc>
          <w:tcPr>
            <w:tcW w:w="1020" w:type="dxa"/>
            <w:vAlign w:val="bottom"/>
          </w:tcPr>
          <w:p>
            <w:pPr>
              <w:jc w:val="right"/>
              <w:spacing w:after="0"/>
              <w:rPr>
                <w:sz w:val="20"/>
                <w:szCs w:val="20"/>
                <w:color w:val="auto"/>
              </w:rPr>
            </w:pPr>
            <w:r>
              <w:rPr>
                <w:rFonts w:ascii="Arial" w:cs="Arial" w:eastAsia="Arial" w:hAnsi="Arial"/>
                <w:sz w:val="13"/>
                <w:szCs w:val="13"/>
                <w:color w:val="auto"/>
              </w:rPr>
              <w:t>32,798,254</w:t>
            </w:r>
          </w:p>
        </w:tc>
        <w:tc>
          <w:tcPr>
            <w:tcW w:w="280" w:type="dxa"/>
            <w:vAlign w:val="bottom"/>
          </w:tcPr>
          <w:p>
            <w:pPr>
              <w:spacing w:after="0"/>
              <w:rPr>
                <w:sz w:val="13"/>
                <w:szCs w:val="13"/>
                <w:color w:val="auto"/>
              </w:rPr>
            </w:pPr>
          </w:p>
        </w:tc>
        <w:tc>
          <w:tcPr>
            <w:tcW w:w="940" w:type="dxa"/>
            <w:vAlign w:val="bottom"/>
          </w:tcPr>
          <w:p>
            <w:pPr>
              <w:jc w:val="right"/>
              <w:ind w:right="827"/>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443,347</w:t>
            </w:r>
          </w:p>
        </w:tc>
        <w:tc>
          <w:tcPr>
            <w:tcW w:w="24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34</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37"/>
              <w:spacing w:after="0"/>
              <w:rPr>
                <w:sz w:val="20"/>
                <w:szCs w:val="20"/>
                <w:color w:val="auto"/>
              </w:rPr>
            </w:pPr>
            <w:r>
              <w:rPr>
                <w:rFonts w:ascii="Arial" w:cs="Arial" w:eastAsia="Arial" w:hAnsi="Arial"/>
                <w:sz w:val="13"/>
                <w:szCs w:val="13"/>
                <w:color w:val="auto"/>
              </w:rPr>
              <w:t>(137,394 )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305,990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86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Vesting of shares of common</w:t>
            </w:r>
          </w:p>
        </w:tc>
        <w:tc>
          <w:tcPr>
            <w:tcW w:w="10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subject to repurchase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15,575</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Issuance of common stock</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20"/>
              <w:spacing w:after="0" w:line="135" w:lineRule="exact"/>
              <w:rPr>
                <w:sz w:val="20"/>
                <w:szCs w:val="20"/>
                <w:color w:val="auto"/>
              </w:rPr>
            </w:pPr>
            <w:r>
              <w:rPr>
                <w:rFonts w:ascii="Arial" w:cs="Arial" w:eastAsia="Arial" w:hAnsi="Arial"/>
                <w:sz w:val="13"/>
                <w:szCs w:val="13"/>
                <w:color w:val="auto"/>
              </w:rPr>
              <w:t>upon exercise of stock</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39,032</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256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120"/>
              <w:spacing w:after="0"/>
              <w:rPr>
                <w:sz w:val="20"/>
                <w:szCs w:val="20"/>
                <w:color w:val="auto"/>
              </w:rPr>
            </w:pPr>
            <w:r>
              <w:rPr>
                <w:rFonts w:ascii="Arial" w:cs="Arial" w:eastAsia="Arial" w:hAnsi="Arial"/>
                <w:sz w:val="13"/>
                <w:szCs w:val="13"/>
                <w:color w:val="auto"/>
              </w:rPr>
              <w:t>options, net of repurchase</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Share-based compensation</w:t>
            </w: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Unrealized loss on short-term</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investments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(28 )</w:t>
            </w: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(21,535 )</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(21,535 )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Pr>
          <w:p>
            <w:pPr>
              <w:ind w:left="20"/>
              <w:spacing w:after="0"/>
              <w:rPr>
                <w:sz w:val="20"/>
                <w:szCs w:val="20"/>
                <w:color w:val="auto"/>
              </w:rPr>
            </w:pPr>
            <w:r>
              <w:rPr>
                <w:rFonts w:ascii="Arial" w:cs="Arial" w:eastAsia="Arial" w:hAnsi="Arial"/>
                <w:sz w:val="13"/>
                <w:szCs w:val="13"/>
                <w:color w:val="auto"/>
              </w:rPr>
              <w:t>Balance, June 30, 2021</w:t>
            </w:r>
          </w:p>
        </w:tc>
        <w:tc>
          <w:tcPr>
            <w:tcW w:w="1020" w:type="dxa"/>
            <w:vAlign w:val="bottom"/>
          </w:tcPr>
          <w:p>
            <w:pPr>
              <w:jc w:val="right"/>
              <w:spacing w:after="0"/>
              <w:rPr>
                <w:sz w:val="20"/>
                <w:szCs w:val="20"/>
                <w:color w:val="auto"/>
              </w:rPr>
            </w:pPr>
            <w:r>
              <w:rPr>
                <w:rFonts w:ascii="Arial" w:cs="Arial" w:eastAsia="Arial" w:hAnsi="Arial"/>
                <w:sz w:val="13"/>
                <w:szCs w:val="13"/>
                <w:color w:val="auto"/>
              </w:rPr>
              <w:t>32,852,861</w:t>
            </w:r>
          </w:p>
        </w:tc>
        <w:tc>
          <w:tcPr>
            <w:tcW w:w="280" w:type="dxa"/>
            <w:vAlign w:val="bottom"/>
          </w:tcPr>
          <w:p>
            <w:pPr>
              <w:spacing w:after="0"/>
              <w:rPr>
                <w:sz w:val="13"/>
                <w:szCs w:val="13"/>
                <w:color w:val="auto"/>
              </w:rPr>
            </w:pPr>
          </w:p>
        </w:tc>
        <w:tc>
          <w:tcPr>
            <w:tcW w:w="940" w:type="dxa"/>
            <w:vAlign w:val="bottom"/>
          </w:tcPr>
          <w:p>
            <w:pPr>
              <w:jc w:val="right"/>
              <w:ind w:right="827"/>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447,302</w:t>
            </w:r>
          </w:p>
        </w:tc>
        <w:tc>
          <w:tcPr>
            <w:tcW w:w="24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37"/>
              <w:spacing w:after="0"/>
              <w:rPr>
                <w:sz w:val="20"/>
                <w:szCs w:val="20"/>
                <w:color w:val="auto"/>
              </w:rPr>
            </w:pPr>
            <w:r>
              <w:rPr>
                <w:rFonts w:ascii="Arial" w:cs="Arial" w:eastAsia="Arial" w:hAnsi="Arial"/>
                <w:sz w:val="13"/>
                <w:szCs w:val="13"/>
                <w:color w:val="auto"/>
              </w:rPr>
              <w:t>(158,929 )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288,382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86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Vesting of shares of common</w:t>
            </w:r>
          </w:p>
        </w:tc>
        <w:tc>
          <w:tcPr>
            <w:tcW w:w="10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subject to repurchase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15,494</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Issuance of common stock upon</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20"/>
              <w:spacing w:after="0" w:line="135" w:lineRule="exact"/>
              <w:rPr>
                <w:sz w:val="20"/>
                <w:szCs w:val="20"/>
                <w:color w:val="auto"/>
              </w:rPr>
            </w:pPr>
            <w:r>
              <w:rPr>
                <w:rFonts w:ascii="Arial" w:cs="Arial" w:eastAsia="Arial" w:hAnsi="Arial"/>
                <w:sz w:val="13"/>
                <w:szCs w:val="13"/>
                <w:color w:val="auto"/>
              </w:rPr>
              <w:t>exercise of stock options,</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63,225</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120"/>
              <w:spacing w:after="0"/>
              <w:rPr>
                <w:sz w:val="20"/>
                <w:szCs w:val="20"/>
                <w:color w:val="auto"/>
              </w:rPr>
            </w:pPr>
            <w:r>
              <w:rPr>
                <w:rFonts w:ascii="Arial" w:cs="Arial" w:eastAsia="Arial" w:hAnsi="Arial"/>
                <w:sz w:val="13"/>
                <w:szCs w:val="13"/>
                <w:color w:val="auto"/>
              </w:rPr>
              <w:t>net of repurchase</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Share-based compensation</w:t>
            </w:r>
          </w:p>
        </w:tc>
        <w:tc>
          <w:tcPr>
            <w:tcW w:w="10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3,692</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1" w:lineRule="exact"/>
              <w:rPr>
                <w:sz w:val="20"/>
                <w:szCs w:val="20"/>
                <w:color w:val="auto"/>
              </w:rPr>
            </w:pPr>
            <w:r>
              <w:rPr>
                <w:rFonts w:ascii="Arial" w:cs="Arial" w:eastAsia="Arial" w:hAnsi="Arial"/>
                <w:sz w:val="13"/>
                <w:szCs w:val="13"/>
                <w:color w:val="auto"/>
              </w:rPr>
              <w:t>Unrealized loss on short-term</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Arial" w:cs="Arial" w:eastAsia="Arial" w:hAnsi="Arial"/>
                <w:sz w:val="13"/>
                <w:szCs w:val="13"/>
                <w:color w:val="auto"/>
              </w:rPr>
              <w:t>investments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(36 )</w:t>
            </w:r>
          </w:p>
        </w:tc>
        <w:tc>
          <w:tcPr>
            <w:tcW w:w="180" w:type="dxa"/>
            <w:vAlign w:val="bottom"/>
          </w:tcPr>
          <w:p>
            <w:pPr>
              <w:spacing w:after="0"/>
              <w:rPr>
                <w:sz w:val="14"/>
                <w:szCs w:val="14"/>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(22,353 )</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(22,353 )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Pr>
          <w:p>
            <w:pPr>
              <w:ind w:left="20"/>
              <w:spacing w:after="0"/>
              <w:rPr>
                <w:sz w:val="20"/>
                <w:szCs w:val="20"/>
                <w:color w:val="auto"/>
              </w:rPr>
            </w:pPr>
            <w:r>
              <w:rPr>
                <w:rFonts w:ascii="Arial" w:cs="Arial" w:eastAsia="Arial" w:hAnsi="Arial"/>
                <w:sz w:val="13"/>
                <w:szCs w:val="13"/>
                <w:color w:val="auto"/>
              </w:rPr>
              <w:t>Balance, September 30, 2021</w:t>
            </w:r>
          </w:p>
        </w:tc>
        <w:tc>
          <w:tcPr>
            <w:tcW w:w="1020" w:type="dxa"/>
            <w:vAlign w:val="bottom"/>
          </w:tcPr>
          <w:p>
            <w:pPr>
              <w:jc w:val="right"/>
              <w:spacing w:after="0"/>
              <w:rPr>
                <w:sz w:val="20"/>
                <w:szCs w:val="20"/>
                <w:color w:val="auto"/>
              </w:rPr>
            </w:pPr>
            <w:r>
              <w:rPr>
                <w:rFonts w:ascii="Arial" w:cs="Arial" w:eastAsia="Arial" w:hAnsi="Arial"/>
                <w:sz w:val="13"/>
                <w:szCs w:val="13"/>
                <w:color w:val="auto"/>
              </w:rPr>
              <w:t>32,931,580</w:t>
            </w:r>
          </w:p>
        </w:tc>
        <w:tc>
          <w:tcPr>
            <w:tcW w:w="280" w:type="dxa"/>
            <w:vAlign w:val="bottom"/>
          </w:tcPr>
          <w:p>
            <w:pPr>
              <w:spacing w:after="0"/>
              <w:rPr>
                <w:sz w:val="13"/>
                <w:szCs w:val="13"/>
                <w:color w:val="auto"/>
              </w:rPr>
            </w:pPr>
          </w:p>
        </w:tc>
        <w:tc>
          <w:tcPr>
            <w:tcW w:w="940" w:type="dxa"/>
            <w:vAlign w:val="bottom"/>
          </w:tcPr>
          <w:p>
            <w:pPr>
              <w:jc w:val="right"/>
              <w:ind w:right="827"/>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3"/>
                <w:szCs w:val="13"/>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451,320</w:t>
            </w:r>
          </w:p>
        </w:tc>
        <w:tc>
          <w:tcPr>
            <w:tcW w:w="24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(30 )</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37"/>
              <w:spacing w:after="0"/>
              <w:rPr>
                <w:sz w:val="20"/>
                <w:szCs w:val="20"/>
                <w:color w:val="auto"/>
              </w:rPr>
            </w:pPr>
            <w:r>
              <w:rPr>
                <w:rFonts w:ascii="Arial" w:cs="Arial" w:eastAsia="Arial" w:hAnsi="Arial"/>
                <w:sz w:val="13"/>
                <w:szCs w:val="13"/>
                <w:color w:val="auto"/>
              </w:rPr>
              <w:t>(181,282 )</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270,011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-2279650</wp:posOffset>
            </wp:positionV>
            <wp:extent cx="7747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-2279650</wp:posOffset>
            </wp:positionV>
            <wp:extent cx="7683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-2279650</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-2279650</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-2279650</wp:posOffset>
            </wp:positionV>
            <wp:extent cx="68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-1207770</wp:posOffset>
            </wp:positionV>
            <wp:extent cx="774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-1207770</wp:posOffset>
            </wp:positionV>
            <wp:extent cx="7683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-1207770</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-1207770</wp:posOffset>
            </wp:positionV>
            <wp:extent cx="68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-136525</wp:posOffset>
            </wp:positionV>
            <wp:extent cx="774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-136525</wp:posOffset>
            </wp:positionV>
            <wp:extent cx="7683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-136525</wp:posOffset>
            </wp:positionV>
            <wp:extent cx="6858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-136525</wp:posOffset>
            </wp:positionV>
            <wp:extent cx="6858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-136525</wp:posOffset>
            </wp:positionV>
            <wp:extent cx="6858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9"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(81,255 )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(63,261 )</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12,399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Accretion and amortization of premiums and discounts on investments, net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(1,575 )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(3,688 )</w:t>
            </w: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Accounts payable and accrued and other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(49,669 )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(50,355 )</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(12,073 )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(3,932 )</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(310,313 )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(131,109 )</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Maturities of short-term investments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132,950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185,410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(189,436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secondary offering, net of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215,611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ATM offering, net of issuance costs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Payments of deferred offering costs</w:t>
            </w:r>
          </w:p>
        </w:tc>
        <w:tc>
          <w:tcPr>
            <w:tcW w:w="380" w:type="dxa"/>
            <w:vAlign w:val="bottom"/>
          </w:tcPr>
          <w:p>
            <w:pPr>
              <w:spacing w:after="0"/>
              <w:rPr>
                <w:sz w:val="18"/>
                <w:szCs w:val="18"/>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(130 )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218,588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(20,517 )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62,914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42,397</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Reconciliation of cash, cash equivalents and restricted cash to the balance sheet:</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39,654</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96,221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42,397</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7720" w:type="dxa"/>
            <w:vAlign w:val="bottom"/>
          </w:tcPr>
          <w:p>
            <w:pPr>
              <w:ind w:left="200"/>
              <w:spacing w:after="0" w:line="175" w:lineRule="exact"/>
              <w:rPr>
                <w:sz w:val="20"/>
                <w:szCs w:val="20"/>
                <w:color w:val="auto"/>
              </w:rPr>
            </w:pPr>
            <w:r>
              <w:rPr>
                <w:rFonts w:ascii="Arial" w:cs="Arial" w:eastAsia="Arial" w:hAnsi="Arial"/>
                <w:sz w:val="18"/>
                <w:szCs w:val="18"/>
                <w:color w:val="auto"/>
              </w:rPr>
              <w:t>Right-of-use assets obtained in exchange for operating lease liabilities resulting from</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20" w:type="dxa"/>
            <w:vAlign w:val="bottom"/>
          </w:tcPr>
          <w:p>
            <w:pPr>
              <w:ind w:left="420"/>
              <w:spacing w:after="0"/>
              <w:rPr>
                <w:sz w:val="20"/>
                <w:szCs w:val="20"/>
                <w:color w:val="auto"/>
              </w:rPr>
            </w:pPr>
            <w:r>
              <w:rPr>
                <w:rFonts w:ascii="Arial" w:cs="Arial" w:eastAsia="Arial" w:hAnsi="Arial"/>
                <w:sz w:val="18"/>
                <w:szCs w:val="18"/>
                <w:color w:val="auto"/>
              </w:rPr>
              <w:t>new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59,527</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7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Right-of-use assets obtained in exchange for operating lease liabilities resulting from</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modifications of existing leases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14,793</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Acquisitions of property and equipment in 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7,228</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-3522980</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-3522980</wp:posOffset>
            </wp:positionV>
            <wp:extent cx="6858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-2674620</wp:posOffset>
            </wp:positionV>
            <wp:extent cx="6858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-2674620</wp:posOffset>
            </wp:positionV>
            <wp:extent cx="6858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-1834515</wp:posOffset>
            </wp:positionV>
            <wp:extent cx="6858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-1834515</wp:posOffset>
            </wp:positionV>
            <wp:extent cx="6858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-1551305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-968375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NKARTA,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04"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0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September 30, 2022, the Company had an accumulated deficit of $285.4 million and cash, cash equivalents, restricted cash and short-term investments of $395.1 million.</w:t>
      </w:r>
    </w:p>
    <w:p>
      <w:pPr>
        <w:spacing w:after="0" w:line="6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p>
    <w:p>
      <w:pPr>
        <w:spacing w:after="0" w:line="77"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On April 28, 2022, the Company issued and sold 15,333,334 shares of its common stock, including 2,000,000 shares associated with the full exercise of the underwriters’ option to purchase additional shares, at a price to the public of $15.00 per share. The total net proceeds to the Company from the offering were approximately $215.3 million, after deducting underwriting discounts and commissions and offering expenses. The shares were issued pursuant to the Company’s Registration Statement on Form S-3 filed on August 12, 2021 and declared effective by the Securities and Exchange Commission (the "SEC") on September 2, 2021.</w:t>
      </w:r>
    </w:p>
    <w:p>
      <w:pPr>
        <w:spacing w:after="0" w:line="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On August 12, 2021, the Company entered into a sales agreement with Cowen and Company, LLC, a sales agent, to provide for the offering,</w:t>
      </w:r>
    </w:p>
    <w:p>
      <w:pPr>
        <w:spacing w:after="0" w:line="2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issuance and sale of up to an aggregate of $150.0 million of the Company’s common stock through an “at-the-market” equity offering program (the “ATM Offering Program”) pursuant to the Company’s Registration Statement on Form S-3 and subject to the limitations thereof. During the nine months ended September 30, 2022, the Company issued and sold 113,213 shares of its common stock pursuant to the ATM Offering Program, resulting in net proceeds of approximately $1.6 million, after deducting offering expenses.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The accompanying unaudited condensed financial statements as of September 30, 2022 and for the three- and nine- months ended September 30, 2022 and 2021 have been prepared in accordance with U.S. generally accepted accounting principle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509"/>
        <w:spacing w:after="0" w:line="263" w:lineRule="auto"/>
        <w:rPr>
          <w:sz w:val="20"/>
          <w:szCs w:val="20"/>
          <w:color w:val="auto"/>
        </w:rPr>
      </w:pPr>
      <w:r>
        <w:rPr>
          <w:rFonts w:ascii="Arial" w:cs="Arial" w:eastAsia="Arial" w:hAnsi="Arial"/>
          <w:sz w:val="17"/>
          <w:szCs w:val="17"/>
          <w:color w:val="auto"/>
        </w:rPr>
        <w:t>The results for the three and nine months ended September 30, 2022 are not necessarily indicative of the results expected for the full year or any subsequent interim period. The condensed balance sheet at December 31, 2021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2021, contained in the Company’s Annual Report on Form 10-K for the year ended December 31, 2021 filed by the Company with the SEC on March 17,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140" w:firstLine="509"/>
        <w:spacing w:after="0" w:line="280" w:lineRule="auto"/>
        <w:rPr>
          <w:sz w:val="20"/>
          <w:szCs w:val="20"/>
          <w:color w:val="auto"/>
        </w:rPr>
      </w:pPr>
      <w:r>
        <w:rPr>
          <w:rFonts w:ascii="Arial" w:cs="Arial" w:eastAsia="Arial" w:hAnsi="Arial"/>
          <w:sz w:val="16"/>
          <w:szCs w:val="16"/>
          <w:color w:val="auto"/>
        </w:rPr>
        <w:t>The COVID-19 pandemic has caused disruptions in the global economy and has affected and may affect the Company’s business and operations in the future.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2021 or the nine months ended September 30, 2022. The Company continues to evaluate the impact of the CARES Act on its financial position, results of operations and cash flows. The Company currently does not expect to apply for loans or grants under the CARES Act.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computation of the basic and diluted net loss per share (in thousands except share and per share data):</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Weighted average common shares outstanding</w:t>
      </w:r>
    </w:p>
    <w:p>
      <w:pPr>
        <w:spacing w:after="0" w:line="32" w:lineRule="exact"/>
        <w:rPr>
          <w:sz w:val="20"/>
          <w:szCs w:val="20"/>
          <w:color w:val="auto"/>
        </w:rPr>
      </w:pPr>
    </w:p>
    <w:p>
      <w:pPr>
        <w:ind w:left="340" w:right="1220" w:hanging="134"/>
        <w:spacing w:after="0" w:line="229" w:lineRule="auto"/>
        <w:rPr>
          <w:sz w:val="20"/>
          <w:szCs w:val="20"/>
          <w:color w:val="auto"/>
        </w:rPr>
      </w:pPr>
      <w:r>
        <w:rPr>
          <w:rFonts w:ascii="Arial" w:cs="Arial" w:eastAsia="Arial" w:hAnsi="Arial"/>
          <w:sz w:val="18"/>
          <w:szCs w:val="18"/>
          <w:color w:val="auto"/>
        </w:rPr>
        <w:t>Less: weighted average unvested common stock issued upon early exercise of common stock options</w:t>
      </w:r>
    </w:p>
    <w:p>
      <w:pPr>
        <w:spacing w:after="0" w:line="2" w:lineRule="exact"/>
        <w:rPr>
          <w:sz w:val="20"/>
          <w:szCs w:val="20"/>
          <w:color w:val="auto"/>
        </w:rPr>
      </w:pPr>
    </w:p>
    <w:p>
      <w:pPr>
        <w:ind w:left="160" w:right="1280" w:hanging="134"/>
        <w:spacing w:after="0" w:line="234" w:lineRule="auto"/>
        <w:rPr>
          <w:sz w:val="20"/>
          <w:szCs w:val="20"/>
          <w:color w:val="auto"/>
        </w:rPr>
      </w:pPr>
      <w:r>
        <w:rPr>
          <w:rFonts w:ascii="Arial" w:cs="Arial" w:eastAsia="Arial" w:hAnsi="Arial"/>
          <w:sz w:val="18"/>
          <w:szCs w:val="18"/>
          <w:color w:val="auto"/>
        </w:rPr>
        <w:t>Weighted average shares used to compute net loss per share, basic and diluted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56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(28,345 )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(22,353 )</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(81,255 )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(63,261 )</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48,631,941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32,939,272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41,882,929</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32,875,670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20" w:type="dxa"/>
            <w:vAlign w:val="bottom"/>
          </w:tcPr>
          <w:p>
            <w:pPr>
              <w:spacing w:after="0"/>
              <w:rPr>
                <w:sz w:val="24"/>
                <w:szCs w:val="24"/>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(1,613 )</w:t>
            </w:r>
          </w:p>
        </w:tc>
        <w:tc>
          <w:tcPr>
            <w:tcW w:w="3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(36,549 )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(4,213 )</w:t>
            </w:r>
          </w:p>
        </w:tc>
        <w:tc>
          <w:tcPr>
            <w:tcW w:w="3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(51,841 )</w:t>
            </w:r>
          </w:p>
        </w:tc>
        <w:tc>
          <w:tcPr>
            <w:tcW w:w="0" w:type="dxa"/>
            <w:vAlign w:val="bottom"/>
          </w:tcPr>
          <w:p>
            <w:pPr>
              <w:spacing w:after="0"/>
              <w:rPr>
                <w:sz w:val="1"/>
                <w:szCs w:val="1"/>
                <w:color w:val="auto"/>
              </w:rPr>
            </w:pPr>
          </w:p>
        </w:tc>
      </w:tr>
      <w:tr>
        <w:trPr>
          <w:trHeight w:val="358"/>
        </w:trPr>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48,630,328</w:t>
            </w:r>
          </w:p>
        </w:tc>
        <w:tc>
          <w:tcPr>
            <w:tcW w:w="26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32,902,723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41,878,716</w:t>
            </w:r>
          </w:p>
        </w:tc>
        <w:tc>
          <w:tcPr>
            <w:tcW w:w="24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32,823,829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2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-1370965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-1071245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-796290</wp:posOffset>
            </wp:positionV>
            <wp:extent cx="7132320" cy="796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796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972" w:right="339" w:bottom="1440" w:gutter="0" w:footer="0" w:header="0"/>
          <w:type w:val="continuous"/>
        </w:sectPr>
      </w:pPr>
    </w:p>
    <w:p>
      <w:pPr>
        <w:spacing w:after="0" w:line="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996"/>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5,312,013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359,708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Unvested common stock upon early exercise of common stock</w:t>
            </w: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31,355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options</w:t>
            </w:r>
          </w:p>
        </w:tc>
        <w:tc>
          <w:tcPr>
            <w:tcW w:w="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5,672,894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4. Fair Value of Financial Instruments</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00" w:type="dxa"/>
            <w:vAlign w:val="bottom"/>
            <w:gridSpan w:val="8"/>
          </w:tcPr>
          <w:p>
            <w:pPr>
              <w:ind w:left="520"/>
              <w:spacing w:after="0"/>
              <w:rPr>
                <w:sz w:val="20"/>
                <w:szCs w:val="20"/>
                <w:color w:val="auto"/>
              </w:rPr>
            </w:pPr>
            <w:r>
              <w:rPr>
                <w:rFonts w:ascii="Arial" w:cs="Arial" w:eastAsia="Arial" w:hAnsi="Arial"/>
                <w:sz w:val="18"/>
                <w:szCs w:val="18"/>
                <w:color w:val="auto"/>
                <w:w w:val="95"/>
              </w:rPr>
              <w:t>The following tables summarize the fair value of the Company’s financial instruments (in thousands):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ind w:right="916"/>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54"/>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54"/>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equivalents: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38,654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38,654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98,738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98,738</w:t>
            </w:r>
          </w:p>
        </w:tc>
        <w:tc>
          <w:tcPr>
            <w:tcW w:w="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85,334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85,334</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168,630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168,630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short-term investments</w:t>
            </w:r>
          </w:p>
        </w:tc>
        <w:tc>
          <w:tcPr>
            <w:tcW w:w="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352,702</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352,702</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391,356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38,654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352,702</w:t>
            </w:r>
          </w:p>
        </w:tc>
        <w:tc>
          <w:tcPr>
            <w:tcW w:w="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-3325495</wp:posOffset>
            </wp:positionV>
            <wp:extent cx="7747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-659765</wp:posOffset>
            </wp:positionV>
            <wp:extent cx="7683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-659765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-659765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111,466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111,466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56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234,290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-873760</wp:posOffset>
            </wp:positionV>
            <wp:extent cx="76835"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-873760</wp:posOffset>
            </wp:positionV>
            <wp:extent cx="6858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-873760</wp:posOffset>
            </wp:positionV>
            <wp:extent cx="6858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-316865</wp:posOffset>
            </wp:positionV>
            <wp:extent cx="7683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-316865</wp:posOffset>
            </wp:positionV>
            <wp:extent cx="6858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-316865</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Financial assets measured at fair value on a recurring basis consist of the Company’s cash equivalents and short-term investments. Cash equivalents consisted of money market funds and short-term investments consisted of commercial paper, U.S.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p>
    <w:p>
      <w:pPr>
        <w:spacing w:after="0" w:line="19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Investments are classified as Level 1 within the fair value hierarchy if their quoted prices are available in active markets for identical securities. Investments in money market funds of $38.7 million and $57.0 million as of September 30, 2022 and December 31, 2021, respectively, were classified as Level 1 instruments and were included in cash and cash equivalents.</w:t>
      </w:r>
    </w:p>
    <w:p>
      <w:pPr>
        <w:spacing w:after="0" w:line="195"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$352.7 million and $177.3 million as of September 30, 2022 and December 31, 2021, respectively, were classified as Level 2 instruments. As of September 30, 2022, marketable securities of $352.7 million were included in short-term investments. As of December 31, 2021, marketable securities of $177.3 million were included in short-term investments. Accrued interest receivable related to short-term investments was $1.3 million and $1.0 million as of September 30, 2022 and December 31, 2021, respectively, and included as part of prepaid expenses and other current assets in the condensed balance sheets.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short-term investments accounted for as available-for-sale securities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3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36"/>
              <w:spacing w:after="0" w:line="133"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left="123"/>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56"/>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36"/>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left="103"/>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 year or less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99,342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Borders>
              <w:right w:val="single" w:sz="8" w:color="CFF0FC"/>
            </w:tcBorders>
            <w:shd w:val="clear" w:color="auto" w:fill="CFF0FC"/>
          </w:tcPr>
          <w:p>
            <w:pPr>
              <w:jc w:val="right"/>
              <w:ind w:right="96"/>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securities</w:t>
            </w:r>
          </w:p>
        </w:tc>
        <w:tc>
          <w:tcPr>
            <w:tcW w:w="13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169,347</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96"/>
              <w:spacing w:after="0"/>
              <w:rPr>
                <w:sz w:val="20"/>
                <w:szCs w:val="20"/>
                <w:color w:val="auto"/>
              </w:rPr>
            </w:pPr>
            <w:r>
              <w:rPr>
                <w:rFonts w:ascii="Arial" w:cs="Arial" w:eastAsia="Arial" w:hAnsi="Arial"/>
                <w:sz w:val="18"/>
                <w:szCs w:val="18"/>
                <w:color w:val="auto"/>
              </w:rPr>
              <w:t>(718 )</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354,023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6"/>
              <w:spacing w:after="0"/>
              <w:rPr>
                <w:sz w:val="20"/>
                <w:szCs w:val="20"/>
                <w:color w:val="auto"/>
              </w:rPr>
            </w:pPr>
            <w:r>
              <w:rPr>
                <w:rFonts w:ascii="Arial" w:cs="Arial" w:eastAsia="Arial" w:hAnsi="Arial"/>
                <w:sz w:val="18"/>
                <w:szCs w:val="18"/>
                <w:color w:val="auto"/>
              </w:rPr>
              <w:t>(1,325 )</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3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0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36"/>
              <w:spacing w:after="0" w:line="133"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left="163"/>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56"/>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36"/>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left="143"/>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 year or less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111,548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right w:val="single" w:sz="8" w:color="CFF0FC"/>
            </w:tcBorders>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ind w:right="783"/>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securities</w:t>
            </w:r>
          </w:p>
        </w:tc>
        <w:tc>
          <w:tcPr>
            <w:tcW w:w="13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44,602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76"/>
              <w:spacing w:after="0"/>
              <w:rPr>
                <w:sz w:val="20"/>
                <w:szCs w:val="20"/>
                <w:color w:val="auto"/>
              </w:rPr>
            </w:pPr>
            <w:r>
              <w:rPr>
                <w:rFonts w:ascii="Arial" w:cs="Arial" w:eastAsia="Arial" w:hAnsi="Arial"/>
                <w:sz w:val="18"/>
                <w:szCs w:val="18"/>
                <w:color w:val="auto"/>
              </w:rPr>
              <w:t>(68 )</w:t>
            </w:r>
          </w:p>
        </w:tc>
        <w:tc>
          <w:tcPr>
            <w:tcW w:w="980" w:type="dxa"/>
            <w:vAlign w:val="bottom"/>
            <w:shd w:val="clear" w:color="auto" w:fill="CFF0FC"/>
          </w:tcPr>
          <w:p>
            <w:pPr>
              <w:spacing w:after="0"/>
              <w:rPr>
                <w:sz w:val="18"/>
                <w:szCs w:val="18"/>
                <w:color w:val="auto"/>
              </w:rPr>
            </w:pPr>
          </w:p>
        </w:tc>
        <w:tc>
          <w:tcPr>
            <w:tcW w:w="4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177,422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(157 )</w:t>
            </w:r>
          </w:p>
        </w:tc>
        <w:tc>
          <w:tcPr>
            <w:tcW w:w="980" w:type="dxa"/>
            <w:vAlign w:val="bottom"/>
          </w:tcPr>
          <w:p>
            <w:pPr>
              <w:jc w:val="right"/>
              <w:ind w:right="783"/>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vMerge w:val="restart"/>
          </w:tcPr>
          <w:p>
            <w:pPr>
              <w:jc w:val="right"/>
              <w:ind w:right="3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5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-1696720</wp:posOffset>
            </wp:positionV>
            <wp:extent cx="7683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-1696720</wp:posOffset>
            </wp:positionV>
            <wp:extent cx="685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-1696720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-642620</wp:posOffset>
            </wp:positionV>
            <wp:extent cx="7747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-642620</wp:posOffset>
            </wp:positionV>
            <wp:extent cx="7747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-642620</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ind w:right="160" w:firstLine="509"/>
        <w:spacing w:after="0" w:line="324" w:lineRule="auto"/>
        <w:rPr>
          <w:sz w:val="20"/>
          <w:szCs w:val="20"/>
          <w:color w:val="auto"/>
        </w:rPr>
      </w:pPr>
      <w:r>
        <w:rPr>
          <w:rFonts w:ascii="Arial" w:cs="Arial" w:eastAsia="Arial" w:hAnsi="Arial"/>
          <w:sz w:val="16"/>
          <w:szCs w:val="16"/>
          <w:color w:val="auto"/>
        </w:rPr>
        <w:t>The Company has classified all of its available-for-sale investment securities as current assets on the condensed balance sheets based on the highly liquid nature of these investment securities and because these investment securities are considered available for use in current operations.</w:t>
      </w:r>
    </w:p>
    <w:p>
      <w:pPr>
        <w:spacing w:after="0" w:line="124" w:lineRule="exact"/>
        <w:rPr>
          <w:sz w:val="20"/>
          <w:szCs w:val="20"/>
          <w:color w:val="auto"/>
        </w:rPr>
      </w:pPr>
    </w:p>
    <w:p>
      <w:pPr>
        <w:ind w:right="140" w:firstLine="509"/>
        <w:spacing w:after="0" w:line="288" w:lineRule="auto"/>
        <w:rPr>
          <w:sz w:val="20"/>
          <w:szCs w:val="20"/>
          <w:color w:val="auto"/>
        </w:rPr>
      </w:pPr>
      <w:r>
        <w:rPr>
          <w:rFonts w:ascii="Arial" w:cs="Arial" w:eastAsia="Arial" w:hAnsi="Arial"/>
          <w:sz w:val="16"/>
          <w:szCs w:val="16"/>
          <w:color w:val="auto"/>
        </w:rPr>
        <w:t>The Company considers whether unrealized losses have resulted from a credit loss or other factors. The unrealized losses on the Company’s available-for-sale securities as of September 30, 2022 and December 31, 2021 were caused by fluctuations in market value and interest rates as a result of the economic environment and not credit risk. The Company concluded that an allowance for credit losses was unnecessary as of September 30, 2022 and December 31, 2021.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p>
    <w:p>
      <w:pPr>
        <w:spacing w:after="0" w:line="15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There was no realized gain or loss on available-for-sale securities in the periods presented. The Company uses the specific identification method to determine the cost basis of investments sold.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8,562</w:t>
            </w: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ind w:left="520"/>
              <w:spacing w:after="0"/>
              <w:rPr>
                <w:sz w:val="20"/>
                <w:szCs w:val="20"/>
                <w:color w:val="auto"/>
              </w:rPr>
            </w:pPr>
            <w:r>
              <w:rPr>
                <w:rFonts w:ascii="Arial" w:cs="Arial" w:eastAsia="Arial" w:hAnsi="Arial"/>
                <w:sz w:val="18"/>
                <w:szCs w:val="18"/>
                <w:color w:val="auto"/>
              </w:rPr>
              <w:t>Property and equipment, net is comprised of the following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60" w:type="dxa"/>
            <w:vAlign w:val="bottom"/>
            <w:vMerge w:val="restart"/>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3,527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Research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12,142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and software</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and equipment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35,343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(5,095 )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(3,187 )</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30,248</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-2065020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-2048510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-2048510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Depreciation and amortization expense was $0.7 million and $1.9 million for the three and nine months ended September 30, 2022, respectively, and $0.5 million and $1.2 million for the three and nine months ended September 30, 2021,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other current liabilities are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w:t>
            </w:r>
          </w:p>
        </w:tc>
        <w:tc>
          <w:tcPr>
            <w:tcW w:w="34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Accrued research and development costs</w:t>
            </w: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property and equipment</w:t>
            </w:r>
          </w:p>
        </w:tc>
        <w:tc>
          <w:tcPr>
            <w:tcW w:w="3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Other accrued and current liabilities</w:t>
            </w:r>
          </w:p>
        </w:tc>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8"/>
                <w:szCs w:val="18"/>
                <w:color w:val="auto"/>
              </w:rPr>
            </w:pPr>
          </w:p>
        </w:tc>
      </w:tr>
      <w:tr>
        <w:trPr>
          <w:trHeight w:val="250"/>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and other liabilities</w:t>
            </w:r>
          </w:p>
        </w:tc>
        <w:tc>
          <w:tcPr>
            <w:tcW w:w="34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240" w:type="dxa"/>
            <w:vAlign w:val="bottom"/>
          </w:tcPr>
          <w:p>
            <w:pPr>
              <w:spacing w:after="0"/>
              <w:rPr>
                <w:sz w:val="24"/>
                <w:szCs w:val="24"/>
                <w:color w:val="auto"/>
              </w:rPr>
            </w:pPr>
          </w:p>
        </w:tc>
        <w:tc>
          <w:tcPr>
            <w:tcW w:w="3440" w:type="dxa"/>
            <w:vAlign w:val="bottom"/>
          </w:tcPr>
          <w:p>
            <w:pPr>
              <w:jc w:val="right"/>
              <w:ind w:right="187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-513715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Leases</w:t>
      </w:r>
    </w:p>
    <w:p>
      <w:pPr>
        <w:spacing w:after="0" w:line="108"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The Company has operating leases for its current corporate offices, laboratory space, manufacturing facility, and dedicated space in a vivarium in South San Francisco, California, as well as for an additional facility in South San Francisco that the Company plans to use for corporate offices, laboratories and manufacturing. Rent expense, which is recognized on a straight-line basis over the term of each lease, was $2.8 million and $8.2 million for the three and nine months ended September 30, 2022, respectively, and $0.7 million and $1.9 million for the three and nine months ended September 30, 2021, respectively. The total cash received for operating leases included in the operating cash flows was $6.6 million, inclusive of $9.5 million of cash received related to tenant improvement allowance reimbursement less $2.9 million of rent payments, for the nine months ended September 30, 2022. The total cash paid for operating leases included in the operating cash flows was $1.6 million of rent payments for the nine months ended September 30, 2021. The weighted-average remaining lease term was 11 years for the corporate office, laboratory space leases, and additional facility as of September 30, 2022. The weighted-average discount rate was 9.77% as of September 30, 2022.</w:t>
      </w:r>
    </w:p>
    <w:p>
      <w:pPr>
        <w:spacing w:after="0" w:line="80"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In May 2018, the Company entered into a lease agreement for its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and an extension to the lease term through April 2026.</w:t>
      </w:r>
    </w:p>
    <w:p>
      <w:pPr>
        <w:spacing w:after="0" w:line="53" w:lineRule="exact"/>
        <w:rPr>
          <w:sz w:val="20"/>
          <w:szCs w:val="20"/>
          <w:color w:val="auto"/>
        </w:rPr>
      </w:pPr>
    </w:p>
    <w:p>
      <w:pPr>
        <w:ind w:right="280" w:firstLine="509"/>
        <w:spacing w:after="0" w:line="283" w:lineRule="auto"/>
        <w:rPr>
          <w:sz w:val="20"/>
          <w:szCs w:val="20"/>
          <w:color w:val="auto"/>
        </w:rPr>
      </w:pPr>
      <w:r>
        <w:rPr>
          <w:rFonts w:ascii="Arial" w:cs="Arial" w:eastAsia="Arial" w:hAnsi="Arial"/>
          <w:sz w:val="16"/>
          <w:szCs w:val="16"/>
          <w:color w:val="auto"/>
        </w:rPr>
        <w:t>In May 2020, the Company signed a second amendment to the Initial Lease Agreement. The amended lease provides for an eight-year non-cancelable lease of additional office and laboratory space in the same building. The lease amendment for additional office and laboratory space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 the lease for an additional seven-year term.</w:t>
      </w:r>
    </w:p>
    <w:p>
      <w:pPr>
        <w:spacing w:after="0" w:line="49"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 January 2021, the Company signed a third amendment to the Initial Lease Agreement which provides for lease of additional space in the same building. The lease amendment for this additional space commenced in April 2021 and expires in March 2024.</w:t>
      </w:r>
    </w:p>
    <w:p>
      <w:pPr>
        <w:spacing w:after="0" w:line="49" w:lineRule="exact"/>
        <w:rPr>
          <w:sz w:val="20"/>
          <w:szCs w:val="20"/>
          <w:color w:val="auto"/>
        </w:rPr>
      </w:pPr>
    </w:p>
    <w:p>
      <w:pPr>
        <w:jc w:val="both"/>
        <w:ind w:right="100" w:firstLine="509"/>
        <w:spacing w:after="0" w:line="276" w:lineRule="auto"/>
        <w:rPr>
          <w:sz w:val="20"/>
          <w:szCs w:val="20"/>
          <w:color w:val="auto"/>
        </w:rPr>
      </w:pPr>
      <w:r>
        <w:rPr>
          <w:rFonts w:ascii="Arial" w:cs="Arial" w:eastAsia="Arial" w:hAnsi="Arial"/>
          <w:sz w:val="16"/>
          <w:szCs w:val="16"/>
          <w:color w:val="auto"/>
        </w:rPr>
        <w:t>In October 2021, the Company signed a fourth amendment to the Initial Lease Agreement which provides for lease of additional space in the same building. The lease for additional office and laboratory space contains rent escalations during the term of the lease. The lease amendment of this additional space commenced in April 2022 and expires in January 2029. The Company expects to pay base rent of approximately $4.6 million over the lease term.</w:t>
      </w:r>
    </w:p>
    <w:p>
      <w:pPr>
        <w:spacing w:after="0" w:line="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lease amendment also includes this additional space in the Company’s option to extend the amended Initial Lease Agreement for an additional seven-year term. The other terms of the Initial Lease Agreement, as amended, remain unchanged.</w:t>
      </w:r>
    </w:p>
    <w:p>
      <w:pPr>
        <w:spacing w:after="0" w:line="78"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In July 2021, the Company entered into a lease agreement for corporate office, manufacturing and laboratory space located in South San Francisco, California with an expiration date approximately twelve years after the lease commencement date (the “Additional Lease Agreement”). The lease for this additional space and the Company's obligation to pay rent commenced in January 2022. In addition to ba</w:t>
      </w:r>
      <w:r>
        <w:rPr>
          <w:rFonts w:ascii="Arial" w:cs="Arial" w:eastAsia="Arial" w:hAnsi="Arial"/>
          <w:sz w:val="16"/>
          <w:szCs w:val="16"/>
          <w:color w:val="212529"/>
        </w:rPr>
        <w:t>se rent, the Company is responsible for payment of</w:t>
      </w:r>
      <w:r>
        <w:rPr>
          <w:rFonts w:ascii="Arial" w:cs="Arial" w:eastAsia="Arial" w:hAnsi="Arial"/>
          <w:sz w:val="16"/>
          <w:szCs w:val="16"/>
          <w:color w:val="auto"/>
        </w:rPr>
        <w:t xml:space="preserve"> </w:t>
      </w:r>
      <w:r>
        <w:rPr>
          <w:rFonts w:ascii="Arial" w:cs="Arial" w:eastAsia="Arial" w:hAnsi="Arial"/>
          <w:sz w:val="16"/>
          <w:szCs w:val="16"/>
          <w:color w:val="212529"/>
        </w:rPr>
        <w:t>direct expenses, which include operating, insurance and tax expenses. The lease also provides for certain tenant improvement allowances of up to approximately $25.2 million for tenant improvements and certain infrastructure upgrades in connection with the initial buildout of the premises, approximately $4.4 million of which, if utilized, would need to be repaid by the Company over the lease term. In 2021, the Company delivered a security deposit in the form of a letter of credit of $1.6 million to the landlord in connection with the Additional Lease Agreement.</w:t>
      </w:r>
    </w:p>
    <w:p>
      <w:pPr>
        <w:spacing w:after="0" w:line="63"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212529"/>
        </w:rPr>
        <w:t xml:space="preserve">In November </w:t>
      </w:r>
      <w:r>
        <w:rPr>
          <w:rFonts w:ascii="Arial" w:cs="Arial" w:eastAsia="Arial" w:hAnsi="Arial"/>
          <w:sz w:val="18"/>
          <w:szCs w:val="18"/>
          <w:color w:val="000000"/>
        </w:rPr>
        <w:t>2021, the Company entered into an amendment to the Additional Lease Agreement. The lease amendment expressly includes</w:t>
      </w:r>
      <w:r>
        <w:rPr>
          <w:rFonts w:ascii="Arial" w:cs="Arial" w:eastAsia="Arial" w:hAnsi="Arial"/>
          <w:sz w:val="18"/>
          <w:szCs w:val="18"/>
          <w:color w:val="212529"/>
        </w:rPr>
        <w:t xml:space="preserve"> </w:t>
      </w:r>
      <w:r>
        <w:rPr>
          <w:rFonts w:ascii="Arial" w:cs="Arial" w:eastAsia="Arial" w:hAnsi="Arial"/>
          <w:sz w:val="18"/>
          <w:szCs w:val="18"/>
          <w:color w:val="000000"/>
        </w:rPr>
        <w:t>manufacturing as a permitted use at the facility, clarifies that Silicon Valley Bank is an acceptable bank for purposes of issuing a letter of credit under the lease, revises the letter of credit transferability terms and replaces the form of letter of credit attached to the lease.</w:t>
      </w:r>
    </w:p>
    <w:p>
      <w:pPr>
        <w:spacing w:after="0" w:line="8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In August 2022, the Company entered into fifth amendment to the Initial Lease Agreement and a second amendment to the Additional Lease Agreement for its existing facilities in South San Francisco, California. The fifth amendment to the Initial Lease Agreement includes an extension of the lease term for certain of the Company's existing facilities through July 31, 2030. The second amendment to the Additional Lease Agreement provides for approximately $15.0 million of additional tenant improvement allowances, in addition to the tenant improvement allowances of $25.2 million included in the original Additional Lease Agreement, and increases the base rent payments over the existing term of the lease.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Maturities of operating lease liabilities under existing operating leases as of September 30, 2022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2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2022 (remaining three months)</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12,060</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96,477</w:t>
            </w:r>
          </w:p>
        </w:tc>
        <w:tc>
          <w:tcPr>
            <w:tcW w:w="100" w:type="dxa"/>
            <w:vAlign w:val="bottom"/>
          </w:tcPr>
          <w:p>
            <w:pPr>
              <w:spacing w:after="0"/>
              <w:rPr>
                <w:sz w:val="18"/>
                <w:szCs w:val="18"/>
                <w:color w:val="auto"/>
              </w:rPr>
            </w:pPr>
          </w:p>
        </w:tc>
      </w:tr>
      <w:tr>
        <w:trPr>
          <w:trHeight w:val="209"/>
        </w:trPr>
        <w:tc>
          <w:tcPr>
            <w:tcW w:w="9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undiscounted future minimum lease payments</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148,801</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(60,052 )</w:t>
            </w:r>
          </w:p>
        </w:tc>
      </w:tr>
      <w:tr>
        <w:trPr>
          <w:trHeight w:val="216"/>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tenant improvement receivable</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(5,282 )</w:t>
            </w:r>
          </w:p>
        </w:tc>
      </w:tr>
      <w:tr>
        <w:trPr>
          <w:trHeight w:val="209"/>
        </w:trPr>
        <w:tc>
          <w:tcPr>
            <w:tcW w:w="90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83,467</w:t>
            </w:r>
          </w:p>
        </w:tc>
        <w:tc>
          <w:tcPr>
            <w:tcW w:w="100" w:type="dxa"/>
            <w:vAlign w:val="bottom"/>
            <w:tcBorders>
              <w:top w:val="single" w:sz="8" w:color="CFF0FC"/>
            </w:tcBorders>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18"/>
                <w:szCs w:val="18"/>
                <w:color w:val="auto"/>
              </w:rPr>
            </w:pPr>
          </w:p>
        </w:tc>
      </w:tr>
      <w:tr>
        <w:trPr>
          <w:trHeight w:val="216"/>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20" w:type="dxa"/>
            <w:vAlign w:val="bottom"/>
          </w:tcPr>
          <w:p>
            <w:pPr>
              <w:ind w:left="200"/>
              <w:spacing w:after="0"/>
              <w:rPr>
                <w:sz w:val="20"/>
                <w:szCs w:val="20"/>
                <w:color w:val="auto"/>
              </w:rPr>
            </w:pPr>
            <w:r>
              <w:rPr>
                <w:rFonts w:ascii="Arial" w:cs="Arial" w:eastAsia="Arial" w:hAnsi="Arial"/>
                <w:sz w:val="18"/>
                <w:szCs w:val="18"/>
                <w:color w:val="auto"/>
              </w:rPr>
              <w:t>Total lease liability</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83,467</w:t>
            </w:r>
          </w:p>
        </w:tc>
        <w:tc>
          <w:tcPr>
            <w:tcW w:w="10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640" w:firstLine="8"/>
        <w:spacing w:after="0" w:line="416"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&amp; Contingencies </w:t>
      </w:r>
      <w:r>
        <w:rPr>
          <w:rFonts w:ascii="Arial" w:cs="Arial" w:eastAsia="Arial" w:hAnsi="Arial"/>
          <w:sz w:val="16"/>
          <w:szCs w:val="16"/>
          <w:b w:val="1"/>
          <w:bCs w:val="1"/>
          <w:i w:val="1"/>
          <w:iCs w:val="1"/>
          <w:color w:val="auto"/>
        </w:rPr>
        <w:t>Guarantee Agreement</w:t>
      </w:r>
    </w:p>
    <w:p>
      <w:pPr>
        <w:spacing w:after="0" w:line="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September 30, 2022 and December 31, 2021.</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4" w:lineRule="exact"/>
        <w:rPr>
          <w:sz w:val="20"/>
          <w:szCs w:val="20"/>
          <w:color w:val="auto"/>
        </w:rPr>
      </w:pPr>
    </w:p>
    <w:p>
      <w:pPr>
        <w:jc w:val="both"/>
        <w:ind w:right="100" w:firstLine="509"/>
        <w:spacing w:after="0" w:line="249" w:lineRule="auto"/>
        <w:rPr>
          <w:sz w:val="20"/>
          <w:szCs w:val="20"/>
          <w:color w:val="auto"/>
        </w:rPr>
      </w:pPr>
      <w:r>
        <w:rPr>
          <w:rFonts w:ascii="Arial" w:cs="Arial" w:eastAsia="Arial" w:hAnsi="Arial"/>
          <w:sz w:val="18"/>
          <w:szCs w:val="18"/>
          <w:color w:val="auto"/>
        </w:rPr>
        <w:t>As of September 30, 2022, the Company had $2.7 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 to 60 days of the annual expiration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CRISPR Collaboration Agreement</w:t>
      </w:r>
    </w:p>
    <w:p>
      <w:pPr>
        <w:spacing w:after="0" w:line="216"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7"/>
          <w:szCs w:val="17"/>
          <w:color w:val="auto"/>
        </w:rPr>
        <w:t>On May 5, 2021, the Company entered into a research collaboration agreement (as amended, the “CRISPR Agreement”) with CRISPR Therapeutics AG (“CRISPR”) to co-develop and co-commercialize an engineered CAR-NK product candidate targeting the CD70 tumor antigen and a second novel NK plus T cell (“NK+T”) product candidate. In addition, the Company has received licenses from CRISPR for two CRISPR-Cas9 gene editing targets and will receive a license from CRISPR for up to three more CRISPR-Cas9 gene editing targets that can be engineered into an unlimited number of its own NK cell products. CRISPR also has an option to co-develop and co-commercialize a future CAR-NK program.</w:t>
      </w:r>
    </w:p>
    <w:p>
      <w:pPr>
        <w:spacing w:after="0" w:line="171"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Under the terms of the CRISPR Agreement, the Company and CRISPR share equally in all research and development costs and potential profits worldwide related to the CD70 CAR-NK product candidate, NK+T product candidate, and the potential future CAR-NK program.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condensed statements of operations.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$1.0 million and $2.8 million for the three and nine months ended September 30, 2022, respectively, and $0.9 million and $1.2 million for the three and nine months ended September 30, 2021, respectively. As of September 30, 2022, the Company had a $1.8 million receivable under the research cost sharing provision, which is included as part of prepaid expenses and other current assets in the condensed balance sheet.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ind w:right="20" w:firstLine="554"/>
        <w:spacing w:after="0" w:line="245" w:lineRule="auto"/>
        <w:rPr>
          <w:sz w:val="20"/>
          <w:szCs w:val="20"/>
          <w:color w:val="auto"/>
        </w:rPr>
      </w:pPr>
      <w:r>
        <w:rPr>
          <w:rFonts w:ascii="Arial" w:cs="Arial" w:eastAsia="Arial" w:hAnsi="Arial"/>
          <w:sz w:val="18"/>
          <w:szCs w:val="18"/>
          <w:color w:val="auto"/>
        </w:rPr>
        <w:t>For each non-collaboration product candidate incorporating a gene editing target licensed from CRISPR, the Company would retain worldwide rights and may be required to make potential future payments based on the achievement of development and regulatory approval milestones totaling less than mid-twenty million dollars for each non-collaboration product, as well as tiered royalties up to the mid-single digits on net product sales of such product. As of September 30, 2022, the Company has not paid any amounts nor are any amounts owed by the Company under the CRISPR Agreement, and no milestones have been achieved.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04"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The Company’s 2020 Performance Incentive Plan (the “2020 Plan”), which was adopted by the Company’s board of directors in June 2020 and approved by the Company’s stockholders in July 2020, became effective upon the consummation of the Company’s initial public offering (“IPO”). Upon the effectiveness of the 2020 Plan, no further grants may be made under the Company’s 2015 Equity Incentive Plan (the “2015 Plan”). The Company’s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63"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A total of 5,945,002 shares of the Company’s common stock is authorized for issuance with respect to awards granted under the 2020 Plan.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option activity under the 2020 Plan and 2015 Plan during the nine months ended September 30, 2022:</w:t>
      </w: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center"/>
              <w:ind w:left="359"/>
              <w:spacing w:after="0" w:line="158"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80" w:type="dxa"/>
            <w:vAlign w:val="bottom"/>
          </w:tcPr>
          <w:p>
            <w:pPr>
              <w:spacing w:after="0"/>
              <w:rPr>
                <w:sz w:val="13"/>
                <w:szCs w:val="13"/>
                <w:color w:val="auto"/>
              </w:rPr>
            </w:pPr>
          </w:p>
        </w:tc>
        <w:tc>
          <w:tcPr>
            <w:tcW w:w="15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Number of shares</w:t>
            </w:r>
          </w:p>
        </w:tc>
        <w:tc>
          <w:tcPr>
            <w:tcW w:w="920" w:type="dxa"/>
            <w:vAlign w:val="bottom"/>
          </w:tcPr>
          <w:p>
            <w:pPr>
              <w:jc w:val="center"/>
              <w:ind w:left="339"/>
              <w:spacing w:after="0" w:line="153" w:lineRule="exact"/>
              <w:rPr>
                <w:sz w:val="20"/>
                <w:szCs w:val="20"/>
                <w:color w:val="auto"/>
              </w:rPr>
            </w:pPr>
            <w:r>
              <w:rPr>
                <w:rFonts w:ascii="Arial" w:cs="Arial" w:eastAsia="Arial" w:hAnsi="Arial"/>
                <w:sz w:val="14"/>
                <w:szCs w:val="14"/>
                <w:b w:val="1"/>
                <w:bCs w:val="1"/>
                <w:color w:val="auto"/>
                <w:w w:val="89"/>
              </w:rPr>
              <w:t>exercise</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term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20" w:type="dxa"/>
            <w:vAlign w:val="bottom"/>
          </w:tcPr>
          <w:p>
            <w:pPr>
              <w:jc w:val="center"/>
              <w:ind w:left="339"/>
              <w:spacing w:after="0"/>
              <w:rPr>
                <w:sz w:val="20"/>
                <w:szCs w:val="20"/>
                <w:color w:val="auto"/>
              </w:rPr>
            </w:pPr>
            <w:r>
              <w:rPr>
                <w:rFonts w:ascii="Arial" w:cs="Arial" w:eastAsia="Arial" w:hAnsi="Arial"/>
                <w:sz w:val="14"/>
                <w:szCs w:val="14"/>
                <w:b w:val="1"/>
                <w:bCs w:val="1"/>
                <w:color w:val="auto"/>
                <w:w w:val="89"/>
              </w:rPr>
              <w:t>price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4,204,686</w:t>
            </w:r>
          </w:p>
        </w:tc>
        <w:tc>
          <w:tcPr>
            <w:tcW w:w="28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19.19</w:t>
            </w:r>
          </w:p>
        </w:tc>
        <w:tc>
          <w:tcPr>
            <w:tcW w:w="2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2,048,680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12.86</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(375,438 )</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(565,915 )</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22.50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5,312,013</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17.50</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Exercisable at September 30, 2022</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2,036,308</w:t>
            </w:r>
          </w:p>
        </w:tc>
        <w:tc>
          <w:tcPr>
            <w:tcW w:w="280" w:type="dxa"/>
            <w:vAlign w:val="bottom"/>
          </w:tcPr>
          <w:p>
            <w:pPr>
              <w:spacing w:after="0"/>
              <w:rPr>
                <w:sz w:val="17"/>
                <w:szCs w:val="17"/>
                <w:color w:val="auto"/>
              </w:rPr>
            </w:pPr>
          </w:p>
        </w:tc>
        <w:tc>
          <w:tcPr>
            <w:tcW w:w="920" w:type="dxa"/>
            <w:vAlign w:val="bottom"/>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84"/>
              </w:rPr>
              <w:t>17.56</w:t>
            </w:r>
          </w:p>
        </w:tc>
        <w:tc>
          <w:tcPr>
            <w:tcW w:w="1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Vested and expected to vest at September 30, 2022</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5,312,013</w:t>
            </w:r>
          </w:p>
        </w:tc>
        <w:tc>
          <w:tcPr>
            <w:tcW w:w="2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17.50</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-350520</wp:posOffset>
            </wp:positionV>
            <wp:extent cx="213423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34235" cy="1885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weighted-average grant date fair value of stock option grants was $8.74 per share for the nine months ended September 30, 2022.</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restricted stock unit activity under the 2020 Plan during the nine months ended September 30,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Weighted-average</w:t>
            </w:r>
          </w:p>
        </w:tc>
        <w:tc>
          <w:tcPr>
            <w:tcW w:w="1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grant date fair value per</w:t>
            </w:r>
          </w:p>
        </w:tc>
        <w:tc>
          <w:tcPr>
            <w:tcW w:w="100" w:type="dxa"/>
            <w:vAlign w:val="bottom"/>
          </w:tcPr>
          <w:p>
            <w:pPr>
              <w:spacing w:after="0"/>
              <w:rPr>
                <w:sz w:val="14"/>
                <w:szCs w:val="14"/>
                <w:color w:val="auto"/>
              </w:rPr>
            </w:pPr>
          </w:p>
        </w:tc>
      </w:tr>
      <w:tr>
        <w:trPr>
          <w:trHeight w:val="185"/>
        </w:trPr>
        <w:tc>
          <w:tcPr>
            <w:tcW w:w="40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6"/>
                <w:szCs w:val="16"/>
                <w:color w:val="auto"/>
              </w:rPr>
            </w:pPr>
          </w:p>
        </w:tc>
        <w:tc>
          <w:tcPr>
            <w:tcW w:w="1420" w:type="dxa"/>
            <w:vAlign w:val="bottom"/>
          </w:tcPr>
          <w:p>
            <w:pPr>
              <w:jc w:val="right"/>
              <w:ind w:right="555"/>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6"/>
                <w:szCs w:val="16"/>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36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Granted</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389,388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5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(29,680 )</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Vested</w:t>
            </w:r>
          </w:p>
        </w:tc>
        <w:tc>
          <w:tcPr>
            <w:tcW w:w="364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36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359,708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4040" w:type="dxa"/>
            <w:vAlign w:val="bottom"/>
          </w:tcPr>
          <w:p>
            <w:pPr>
              <w:spacing w:after="0"/>
              <w:rPr>
                <w:sz w:val="24"/>
                <w:szCs w:val="24"/>
                <w:color w:val="auto"/>
              </w:rPr>
            </w:pPr>
          </w:p>
        </w:tc>
        <w:tc>
          <w:tcPr>
            <w:tcW w:w="3640" w:type="dxa"/>
            <w:vAlign w:val="bottom"/>
          </w:tcPr>
          <w:p>
            <w:pPr>
              <w:jc w:val="right"/>
              <w:ind w:right="1870"/>
              <w:spacing w:after="0"/>
              <w:rPr>
                <w:sz w:val="20"/>
                <w:szCs w:val="20"/>
                <w:color w:val="auto"/>
              </w:rPr>
            </w:pPr>
            <w:r>
              <w:rPr>
                <w:rFonts w:ascii="Arial" w:cs="Arial" w:eastAsia="Arial" w:hAnsi="Arial"/>
                <w:sz w:val="18"/>
                <w:szCs w:val="18"/>
                <w:color w:val="auto"/>
              </w:rPr>
              <w:t>13</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04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-496570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-479425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The Company’s 2020 Employee Stock Purchase Plan (the “ESPP”), which was adopted by the Company’s board of directors in June 2020 and approved by the Company’s stockholders in July 2020, became effective upon the consummation of the IPO. A total of 952,524 shares of the Company’s common stock is available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September 30, 2022, no shares had been issued under the ESPP, and the full number of shares authorized under the ESPP was available for issuance purposes. As of September 30, 2022, employee contributions to the ESPP were $0.4 million and included as part of accrued and other current liabilities in the condensed balance sheets.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Restricted Stock Options</w:t>
      </w:r>
    </w:p>
    <w:p>
      <w:pPr>
        <w:spacing w:after="0" w:line="10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Shares subject to repurchase by the Company were 1,173 shares and 16,181 shares, and the related liability recorded under other long-term liabilities in the condensed balance sheets was insignificant as of September 30, 2022 and December 31, 2021,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Share-based compensation expense for the three and nine months ended September 30, 2022 and 2021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2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1,947</w:t>
            </w:r>
          </w:p>
        </w:tc>
        <w:tc>
          <w:tcPr>
            <w:tcW w:w="26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1,680</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2,443</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2,012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share-based compensation</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4,390</w:t>
            </w:r>
          </w:p>
        </w:tc>
        <w:tc>
          <w:tcPr>
            <w:tcW w:w="2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3,692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12,399</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80" w:firstLine="509"/>
        <w:spacing w:after="0" w:line="303" w:lineRule="auto"/>
        <w:rPr>
          <w:sz w:val="20"/>
          <w:szCs w:val="20"/>
          <w:color w:val="auto"/>
        </w:rPr>
      </w:pPr>
      <w:r>
        <w:rPr>
          <w:rFonts w:ascii="Arial" w:cs="Arial" w:eastAsia="Arial" w:hAnsi="Arial"/>
          <w:sz w:val="16"/>
          <w:szCs w:val="16"/>
          <w:color w:val="auto"/>
        </w:rPr>
        <w:t>The total unrecognized compensation cost related to unvested stock options was $36.7 million, which is expected to be recognized over a weighted-average remaining service period of 2.58 years as of September 30, 2022. The total unrecognized compensation cost related to unvested restricted stock units was $4.0 million, which is expected to be recognized over a weighted-average remaining service period of 3.49 years as of September 30, 2022.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There was no provision for income taxes recorded during the three and nine months ended September 30, 2022 and 2021. The Company’s deferred tax assets continue to be fully offset by a valuation allowance</w:t>
      </w:r>
      <w:r>
        <w:rPr>
          <w:rFonts w:ascii="Arial" w:cs="Arial" w:eastAsia="Arial" w:hAnsi="Arial"/>
          <w:sz w:val="18"/>
          <w:szCs w:val="18"/>
          <w:color w:val="212529"/>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Securities and Exchange Commission (the “SEC”), on March 17, 2022 for the fiscal year ended December 31, 2021,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40" w:firstLine="509"/>
        <w:spacing w:after="0" w:line="258" w:lineRule="auto"/>
        <w:rPr>
          <w:sz w:val="20"/>
          <w:szCs w:val="20"/>
          <w:color w:val="auto"/>
        </w:rPr>
      </w:pPr>
      <w:r>
        <w:rPr>
          <w:rFonts w:ascii="Arial" w:cs="Arial" w:eastAsia="Arial" w:hAnsi="Arial"/>
          <w:sz w:val="17"/>
          <w:szCs w:val="17"/>
          <w:color w:val="auto"/>
        </w:rPr>
        <w:t>We are a biopharmaceutical company focused on the discovery, development and commercialization of allogeneic, off-the-shelf engineered natural killer (“NK”) cell therapies to treat cancer. We currently have co-lead product candidates, NKX101, a CAR-NK product candidate targeting cells that display NKG2D ligands, and NKX019, a CAR-NK product candidate targeting the CD19 antigen, in ongoing Phase 1 clinical trials. Both product candidates incorporate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the treatment of cancer. Our product candidates are designed to be allogeneic and off-the-shelf, which means they are produced using cells from a different person than the patient treated, and they are produced in quantity, then frozen and therefore available for treating patients without delay, unlike autologous cell therapies, which are derived from a patient’s own cells. Based on published data from clinical trials of certain NK cell therapies, we believe that engineered NK cells have the potential to be an effective cancer therapy, be well tolerated, and avoid some of the toxicities observed with other cell therapies.</w:t>
      </w:r>
    </w:p>
    <w:p>
      <w:pPr>
        <w:spacing w:after="0" w:line="72"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Our modular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spacing w:after="0" w:line="7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NKX101 is currently being studied in a multi-center Phase 1 clinical trial in the U.S. for the treatment of relapsed/refractory acute myeloid leukemia ("AML") and higher-risk myelodysplastic syndromes ("MDS"). This ongoing first-in-human study evaluates the safety, pharmacokinetics, and preliminary anti-tumor activity of NKX101 when administered after lymphodepleting chemotherapy. The clinical trial consists of dose-finding followed by dose-expansion and is designed to identify the recommended Phase 2 dose.</w:t>
      </w:r>
    </w:p>
    <w:p>
      <w:pPr>
        <w:spacing w:after="0" w:line="93"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NKX019 is currently being studied in a multi-center Phase 1 clinical trial in the U.S. and Australia for the treatment of a variety of B-cell malignancies by targeting the CD19 antigen that is found on these types of cancerous cells and where CD19-targeted engineered NK cells, T cells and monoclonal antibodies have demonstrated clinical activity. This ongoing first-in-human study evaluates the safety, pharmacokinetics, and preliminary anti-tumor activity of NKX019 when administered after lymphodepleting chemotherapy. The clinical trial consists of dose-finding followed by dose-expansion and is designed to identify the recommended Phase 2 dose.</w:t>
      </w:r>
    </w:p>
    <w:p>
      <w:pPr>
        <w:spacing w:after="0" w:line="78"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Under the Company’s research collaboration agreement with CRISPR Therapeutics AG ("CRISPR") entered into in May 2021 (as amended, the "CRISPR Agreement"), we are collaboratively designing and advancing up to two allogeneic, gene-edited NK cell therapies, one of which is the engineered CAR-NK product candidate targeting the CD70 tumor antigen, and one allogeneic, gene-edited NK+T cell therapy.</w:t>
      </w:r>
    </w:p>
    <w:p>
      <w:pPr>
        <w:spacing w:after="0" w:line="50"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(“IPO”) completed in July 2020, the issuance of convertible promissory notes, private placements of our preferred stock, the secondary offering of our common stock completed in April 2022, and with proceeds from our previous collaboration. We incurred a net loss of $86.1 million and $91.4 million during the years ended December 31, 2021 and 2020, respectively, and $81.3 million and $63.3 million during the nine months ended September 30, 2022 and 2021, respectively, and we expect to continue to incur significant losses for the foreseeable future. As of September 30, 2022, we had an accumulated deficit of $285.4 million. At September 30, 2022, we had cash, cash equivalents, restricted cash and short-term investments of $395.1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right="160" w:firstLine="509"/>
        <w:spacing w:after="0" w:line="283" w:lineRule="auto"/>
        <w:rPr>
          <w:sz w:val="20"/>
          <w:szCs w:val="20"/>
          <w:color w:val="auto"/>
        </w:rPr>
      </w:pPr>
      <w:r>
        <w:rPr>
          <w:rFonts w:ascii="Arial" w:cs="Arial" w:eastAsia="Arial" w:hAnsi="Arial"/>
          <w:sz w:val="16"/>
          <w:szCs w:val="16"/>
          <w:color w:val="auto"/>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April 28, 2022, we issued and sold 15,333,334 shares of our common stock in an underwritten public offering, including 2,000,000 shares</w:t>
      </w:r>
    </w:p>
    <w:p>
      <w:pPr>
        <w:spacing w:after="0" w:line="12"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associated with the full exercise of the underwriters’ option to purchase additional shares, at a price to the public of $15.00 per share. The total net proceeds from the offering were approximately $215.3 million, after deducting underwriting discounts and commissions and offering expenses.</w:t>
      </w:r>
    </w:p>
    <w:p>
      <w:pPr>
        <w:spacing w:after="0" w:line="4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During the nine months ended September 30, 2022, we issued and sold 113,213 shares of our common stock pursuant to the ATM Offering Program, resulting in net proceeds of approximately $1.6 million, after deducting offering expenses.</w:t>
      </w:r>
    </w:p>
    <w:p>
      <w:pPr>
        <w:spacing w:after="0" w:line="3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Update on COVID-19, Macroeconomic Conditions, and Supply Disruptions</w:t>
      </w:r>
    </w:p>
    <w:p>
      <w:pPr>
        <w:spacing w:after="0" w:line="10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Our operations have been and may in the future be impacted by the COVID-19 pandemic, as well as by global and national economic and market conditions generally.</w:t>
      </w:r>
    </w:p>
    <w:p>
      <w:pPr>
        <w:spacing w:after="0" w:line="76"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The COVID-19 pandemic has caused and may in the future cause disruptions in the conduct and enrollment of current and future clinical trials due to, among other things, bed shortages and staffing challenges at our treating hospitals. Hospitals may experience staffing challenges as a result of employee turnover and attrition, the current labor shortage, and/or personnel being pulled off clinical trials to care for patients with COVID-19. In addition, the COVID-19 pandemic has resulted in a significant increase in FDA workload, as well as the need to reprioritize the projects under review. As a result, we may experience delays in FDA timelines along the course of the regulatory process.</w:t>
      </w:r>
    </w:p>
    <w:p>
      <w:pPr>
        <w:spacing w:after="0" w:line="78"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continuing disruptions in the global supply chain have also resulted in limited disruptions in the supply of our product candidates, as well as global supply shortages of certain materials that we and our contract development and manufacturing organization (“CDMO”) partners use for research and current good manufacturing practice manufacturing, such as certain raw materials, cell culture media, disposable plastics, and equipment. To the extent there is a subsequent outbreak of COVID-19, or if it begins to significantly impact essential distribution systems or our third-party manufacturers, contractors or suppliers, we may experience further disruptions in our supply chain and operations with associated delays in the manufacturing and supply of our product candidates.</w:t>
      </w:r>
    </w:p>
    <w:p>
      <w:pPr>
        <w:spacing w:after="0" w:line="77"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In addition, we could in the future experience delays in the construction of our commercial-scale good manufacturing practice ("GMP") manufacturing facility and future headquarters due to the COVID-19 pandemic and current macroeconomic conditions. We have seen significant inflation in construction costs in the last six months, which has negatively affected the costs of constructing our new facility. In addition, global supply chain disruptions, including procurement delays and long lead times on certain materials, could adversely impact the scheduled completion and/or costs of constructing our new facility.</w:t>
      </w:r>
    </w:p>
    <w:p>
      <w:pPr>
        <w:spacing w:after="0" w:line="91"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A shortage of fludarabine, an agent commonly used in oncology, including in lymphodepletion, has recently been reported. Fludarabine is used in our NKX101 an NKX019 clinical trials prior to treatment with our product candidates. Certain of our clinical trial sites have indicated that they are experiencing a shortage of fludarabine. Although we and our clinical sites are taking steps to try to mitigate any impact of the shortage on our clinical trials, enrollment has been delayed at certain of our clinical trial sites, and we could continue to experience enrollment delays due to the fludarabine shortage in the future.</w:t>
      </w:r>
    </w:p>
    <w:p>
      <w:pPr>
        <w:spacing w:after="0" w:line="78"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We continuously monitor the effects of domestic and global events, including but not limited to the current and expected impact of the COVID-19 pandemic, inflation, labor shortages, and supply chain matters on our operations, including continued enrollment in the NKX101 and NKX019 clinical trials, as well as on our contract research organizations ("CROs"), CDMOs, and clinical trial sites, to ensure that we remain responsive and adaptable to the dynamic changes in our operating environment.</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Research and development costs consist primarily of costs incurred for the discovery and clinical development of our drug candidates, which include:</w:t>
      </w:r>
    </w:p>
    <w:p>
      <w:pPr>
        <w:spacing w:after="0" w:line="49" w:lineRule="exact"/>
        <w:rPr>
          <w:sz w:val="20"/>
          <w:szCs w:val="20"/>
          <w:color w:val="auto"/>
        </w:rPr>
      </w:pPr>
    </w:p>
    <w:p>
      <w:pPr>
        <w:ind w:left="1020" w:right="38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in connection with research, laboratory consumables, sponsored research, and preclinical studies;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left="1020" w:right="20" w:hanging="503"/>
        <w:spacing w:after="0" w:line="25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consultants engaged in research and development related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to manufacture drug product candidates for use in our preclinical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allocated expenses for rent and maintenance of facilities, insurance and supplies;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regulatory compliance;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annual license fees.</w:t>
      </w:r>
    </w:p>
    <w:p>
      <w:pPr>
        <w:spacing w:after="0" w:line="225"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spacing w:after="0" w:line="201"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8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following table summarizes our research and development expenses for the three and nine months ended September 30, 2022 and 2021.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3"/>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ind w:left="580"/>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development program expenses: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NKX101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5,626</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3,525</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13,884</w:t>
            </w:r>
          </w:p>
        </w:tc>
        <w:tc>
          <w:tcPr>
            <w:tcW w:w="240" w:type="dxa"/>
            <w:vAlign w:val="bottom"/>
          </w:tcPr>
          <w:p>
            <w:pPr>
              <w:spacing w:after="0"/>
              <w:rPr>
                <w:sz w:val="18"/>
                <w:szCs w:val="18"/>
                <w:color w:val="auto"/>
              </w:rPr>
            </w:pPr>
          </w:p>
        </w:tc>
        <w:tc>
          <w:tcPr>
            <w:tcW w:w="380" w:type="dxa"/>
            <w:vAlign w:val="bottom"/>
          </w:tcPr>
          <w:p>
            <w:pPr>
              <w:jc w:val="center"/>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NKX019</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5,302</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CD70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Program 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Partner cost sharing</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(1,048 )</w:t>
            </w: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(852 )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(2,823 )</w:t>
            </w: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(1,210 )</w:t>
            </w: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Unallocated internal research and development costs: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related (including share-based compensation)</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21,829</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Others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18"/>
                <w:szCs w:val="18"/>
                <w:color w:val="auto"/>
              </w:rPr>
            </w:pPr>
          </w:p>
        </w:tc>
      </w:tr>
      <w:tr>
        <w:trPr>
          <w:trHeight w:val="249"/>
        </w:trPr>
        <w:tc>
          <w:tcPr>
            <w:tcW w:w="5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costs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64,053</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center"/>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p>
    <w:p>
      <w:pPr>
        <w:spacing w:after="0" w:line="186"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440"/>
        <w:spacing w:after="0" w:line="261" w:lineRule="auto"/>
        <w:rPr>
          <w:sz w:val="20"/>
          <w:szCs w:val="20"/>
          <w:color w:val="auto"/>
        </w:rPr>
      </w:pPr>
      <w:r>
        <w:rPr>
          <w:rFonts w:ascii="Arial" w:cs="Arial" w:eastAsia="Arial" w:hAnsi="Arial"/>
          <w:sz w:val="18"/>
          <w:szCs w:val="18"/>
          <w:color w:val="auto"/>
        </w:rPr>
        <w:t>candidates can be found under Part II, Item 1A, “Risk Factors” in this Quarterly Report on Form 10-Q. We may never succeed in obtaining regulatory approval for any of our drug candidates.</w:t>
      </w:r>
    </w:p>
    <w:p>
      <w:pPr>
        <w:spacing w:after="0" w:line="29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6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Interest income consists of interest earned on our cash, cash equivalents and short-term investments and adjustments related to amortization of purchase premiums and accretion of discounts of short-term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Nine Months 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4"/>
                <w:szCs w:val="14"/>
                <w:color w:val="auto"/>
              </w:rPr>
            </w:pPr>
          </w:p>
        </w:tc>
      </w:tr>
      <w:tr>
        <w:trPr>
          <w:trHeight w:val="209"/>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23,435</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16,616</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6,819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64,053</w:t>
            </w:r>
          </w:p>
        </w:tc>
        <w:tc>
          <w:tcPr>
            <w:tcW w:w="2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46,111</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tcPr>
          <w:p>
            <w:pPr>
              <w:spacing w:after="0"/>
              <w:rPr>
                <w:sz w:val="18"/>
                <w:szCs w:val="18"/>
                <w:color w:val="auto"/>
              </w:rPr>
            </w:pPr>
          </w:p>
        </w:tc>
      </w:tr>
      <w:tr>
        <w:trPr>
          <w:trHeight w:val="216"/>
        </w:trPr>
        <w:tc>
          <w:tcPr>
            <w:tcW w:w="2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9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20,430</w:t>
            </w:r>
          </w:p>
        </w:tc>
        <w:tc>
          <w:tcPr>
            <w:tcW w:w="100" w:type="dxa"/>
            <w:vAlign w:val="bottom"/>
          </w:tcPr>
          <w:p>
            <w:pPr>
              <w:spacing w:after="0"/>
              <w:rPr>
                <w:sz w:val="18"/>
                <w:szCs w:val="18"/>
                <w:color w:val="auto"/>
              </w:rPr>
            </w:pPr>
          </w:p>
        </w:tc>
      </w:tr>
      <w:tr>
        <w:trPr>
          <w:trHeight w:val="210"/>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FF0FC"/>
          </w:tcPr>
          <w:p>
            <w:pPr>
              <w:spacing w:after="0"/>
              <w:rPr>
                <w:sz w:val="18"/>
                <w:szCs w:val="18"/>
                <w:color w:val="auto"/>
              </w:rPr>
            </w:pPr>
          </w:p>
        </w:tc>
      </w:tr>
      <w:tr>
        <w:trPr>
          <w:trHeight w:val="216"/>
        </w:trPr>
        <w:tc>
          <w:tcPr>
            <w:tcW w:w="29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0"/>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(28,345 )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(22,353 )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(5,992 )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(81,255 )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(63,261 )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(17,994 )</w:t>
            </w:r>
          </w:p>
        </w:tc>
      </w:tr>
      <w:tr>
        <w:trPr>
          <w:trHeight w:val="20"/>
        </w:trPr>
        <w:tc>
          <w:tcPr>
            <w:tcW w:w="2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-1019175</wp:posOffset>
            </wp:positionV>
            <wp:extent cx="7683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-1019175</wp:posOffset>
            </wp:positionV>
            <wp:extent cx="6858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-1019175</wp:posOffset>
            </wp:positionV>
            <wp:extent cx="6858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-1019175</wp:posOffset>
            </wp:positionV>
            <wp:extent cx="6858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-1019175</wp:posOffset>
            </wp:positionV>
            <wp:extent cx="6858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-170815</wp:posOffset>
            </wp:positionV>
            <wp:extent cx="7683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-170815</wp:posOffset>
            </wp:positionV>
            <wp:extent cx="685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22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 Research and development expenses were $23.4 million and $16.6 million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2022 and 2021, respectively. The increase of $6.8 million was primarily due to an increase in personnel costs of $1.4 million as a result of continued growth in headcount, an increase of $1.7 million in program costs primarily relating to NKX101 and NKX019 and an increase of $3.3 million in other internal research costs, primarily consisting of research and laboratory supplies and facilities expenses.</w:t>
      </w:r>
    </w:p>
    <w:p>
      <w:pPr>
        <w:spacing w:after="0" w:line="16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Research and development expenses were $64.1 million and $46.1 million for the nine months ended September 30, 2022 and 2021, respectively. The increase of $17.9 million was primarily due to an increase in personnel costs of $3.8 million as a result of continued growth in headcount, an increase of $7.7 million in program costs primarily relating to NKX101 and NKX019 and an increase of $7.7 million in other internal research costs, primarily consisting of research and laboratory supplies and facilities expenses.</w:t>
      </w:r>
    </w:p>
    <w:p>
      <w:pPr>
        <w:spacing w:after="0" w:line="181" w:lineRule="exact"/>
        <w:rPr>
          <w:sz w:val="20"/>
          <w:szCs w:val="20"/>
          <w:color w:val="auto"/>
        </w:rPr>
      </w:pPr>
    </w:p>
    <w:p>
      <w:pPr>
        <w:jc w:val="both"/>
        <w:ind w:right="40" w:firstLine="509"/>
        <w:spacing w:after="0" w:line="278" w:lineRule="auto"/>
        <w:rPr>
          <w:sz w:val="20"/>
          <w:szCs w:val="20"/>
          <w:color w:val="auto"/>
        </w:rPr>
      </w:pPr>
      <w:r>
        <w:rPr>
          <w:rFonts w:ascii="Arial" w:cs="Arial" w:eastAsia="Arial" w:hAnsi="Arial"/>
          <w:sz w:val="17"/>
          <w:szCs w:val="17"/>
          <w:color w:val="auto"/>
        </w:rPr>
        <w:t>The increase in program costs relating to NKX101 and NKX019, in both the three and nine months ended September 30, 2022, was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20" w:firstLine="509"/>
        <w:spacing w:after="0" w:line="270" w:lineRule="auto"/>
        <w:rPr>
          <w:sz w:val="20"/>
          <w:szCs w:val="20"/>
          <w:color w:val="auto"/>
        </w:rPr>
      </w:pPr>
      <w:r>
        <w:rPr>
          <w:rFonts w:ascii="Arial" w:cs="Arial" w:eastAsia="Arial" w:hAnsi="Arial"/>
          <w:sz w:val="17"/>
          <w:szCs w:val="17"/>
          <w:b w:val="1"/>
          <w:bCs w:val="1"/>
          <w:color w:val="auto"/>
        </w:rPr>
        <w:t>General and administrative expenses</w:t>
      </w:r>
      <w:r>
        <w:rPr>
          <w:rFonts w:ascii="Arial" w:cs="Arial" w:eastAsia="Arial" w:hAnsi="Arial"/>
          <w:sz w:val="17"/>
          <w:szCs w:val="17"/>
          <w:color w:val="auto"/>
        </w:rPr>
        <w:t>. General and administrative expenses were $6.8 million and $5.8 million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2022 and 2021, respectively. The increase of $1.0 million was primarily due to an increase in personnel costs of $0.7 million, including an increase of $0.4 million in share-based compensation expense as a result of continued growth in headcount, and an increase of $0.2 million in other general and administrative expenses that included insurance, rent, depreciation expense and other facilities expense.</w:t>
      </w:r>
    </w:p>
    <w:p>
      <w:pPr>
        <w:spacing w:after="0" w:line="164" w:lineRule="exact"/>
        <w:rPr>
          <w:sz w:val="20"/>
          <w:szCs w:val="20"/>
          <w:color w:val="auto"/>
        </w:rPr>
      </w:pPr>
    </w:p>
    <w:p>
      <w:pPr>
        <w:ind w:right="220" w:firstLine="509"/>
        <w:spacing w:after="0" w:line="249" w:lineRule="auto"/>
        <w:rPr>
          <w:sz w:val="20"/>
          <w:szCs w:val="20"/>
          <w:color w:val="auto"/>
        </w:rPr>
      </w:pPr>
      <w:r>
        <w:rPr>
          <w:rFonts w:ascii="Arial" w:cs="Arial" w:eastAsia="Arial" w:hAnsi="Arial"/>
          <w:sz w:val="18"/>
          <w:szCs w:val="18"/>
          <w:color w:val="auto"/>
        </w:rPr>
        <w:t>General and administrative expenses were $19.9 million and $17.4 million for the nine months ended September 30, 2022 and 2021, respectively. The increase of $2.5 million was primarily due to an increase in personnel costs of $2.3 million, including an increase of $1.3 million in share-based compensation expense as a result of continued growth in headcount, and an increase of $0.8 million in other general and administrative expenses that included insurance, rent, depreciation expense and other facilities expense.</w:t>
      </w:r>
    </w:p>
    <w:p>
      <w:pPr>
        <w:spacing w:after="0" w:line="19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incurred and expect to continue to incur additional expenses as a result of being a public company, which we expect will further increase when we no longer qualify as an “emerging growth company” under the JOBS Act. In addition, we have incurred and expect to continue to incur increased expenses related to additional insurance, investor relations and other expenses related to the need for additional human resources and professional services associated with being a public company.</w:t>
      </w:r>
    </w:p>
    <w:p>
      <w:pPr>
        <w:spacing w:after="0" w:line="197" w:lineRule="exact"/>
        <w:rPr>
          <w:sz w:val="20"/>
          <w:szCs w:val="20"/>
          <w:color w:val="auto"/>
        </w:rPr>
      </w:pPr>
    </w:p>
    <w:p>
      <w:pPr>
        <w:jc w:val="both"/>
        <w:ind w:right="80" w:firstLine="509"/>
        <w:spacing w:after="0" w:line="250"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 Interest income was $1.9 million and $0.1 million for the three months ended September 30, 2022 and 2021, respectively.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was due to interest earned from short-term investments, partially offset by amortization of purchase premiums and accretion of discounts of short-term investments.</w:t>
      </w:r>
    </w:p>
    <w:p>
      <w:pPr>
        <w:spacing w:after="0" w:line="194"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Interest income was $2.7 million and $0.3 million for the nine months ended September 30, 2022 and 2021, respectively. Interest income was due to interest earned from short-term investments, partially offset by amortization of purchase premiums and accretion of discounts of short-term investments.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As of September 30, 2022, we had cash, cash equivalents, restricted cash and short-term investments of $395.1 million. In connection with our IPO which closed on July 14, 2020, we received $265.1 million in net proceeds, after deducting underwriting discounts and commissions and other offering expenses.</w:t>
      </w:r>
    </w:p>
    <w:p>
      <w:pPr>
        <w:spacing w:after="0" w:line="17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On August 12, 2021, we filed a Registration Statement on Form S-3 (the “Shelf Registration Statement”), covering the offer and sale from time to time, pursuant to Rule 415 of the Securities Act of 1933, as amended (the “Securities Act”), of up to $500.0 million in aggregate offering price of shares of our common stock, shares of our preferred stock, debt securities, warrants, and rights and units. The Shelf Registration Statement was declared effective by the SEC on September 2, 2021. The Shelf Registration Statement included a prospectus covering the offer and sale from time to time of up to $150.0 million in aggregate offering price of shares of the Company’s common stock through an “at-the-market” equity offering program under the Securities Act (the “ATM Offering Program”) with Cowen and Company, LLC, as sales agent. During the nine months ended September 30, 2022, we issued and sold 113,213 shares of our common stock pursuant to the ATM Offering Program, resulting in net proceeds of approximately $1.6 million, after deducting offering expenses.</w:t>
      </w:r>
    </w:p>
    <w:p>
      <w:pPr>
        <w:spacing w:after="0" w:line="18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April 28, 2022, we issued and sold 15,333,334 shares of our common stock in an underwritten public offering, including 2,000,000 shares associated with the full exercise of the underwriters’ option to purchase additional shares, at a price to the public of $15.00 per share. The total net proceeds from the offering were approximately $215.3 million, after deducting underwriting discounts and commissions and offering expenses.</w:t>
      </w:r>
    </w:p>
    <w:p>
      <w:pPr>
        <w:spacing w:after="0" w:line="69" w:lineRule="exact"/>
        <w:rPr>
          <w:sz w:val="20"/>
          <w:szCs w:val="20"/>
          <w:color w:val="auto"/>
        </w:rPr>
      </w:pPr>
    </w:p>
    <w:p>
      <w:pPr>
        <w:ind w:right="120" w:firstLine="509"/>
        <w:spacing w:after="0" w:line="260"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p>
    <w:p>
      <w:pPr>
        <w:spacing w:after="0" w:line="18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will need substantial additional funding to support our continuing operations and pursue our long-term development strategy.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If we fail to raise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right="280"/>
        <w:spacing w:after="0" w:line="256" w:lineRule="auto"/>
        <w:rPr>
          <w:sz w:val="20"/>
          <w:szCs w:val="20"/>
          <w:color w:val="auto"/>
        </w:rPr>
      </w:pPr>
      <w:r>
        <w:rPr>
          <w:rFonts w:ascii="Arial" w:cs="Arial" w:eastAsia="Arial" w:hAnsi="Arial"/>
          <w:sz w:val="18"/>
          <w:szCs w:val="18"/>
          <w:color w:val="auto"/>
        </w:rPr>
        <w:t>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75"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We believe that our current cash, cash equivalents, restricted cash and short-term investments as of September 30, 2022 will be sufficient to meet our cash needs for at least 12 months following the issuance date of this Quarterly Report on Form 10-Q.</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17"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(189,436 )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50,369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218,588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(20,517 )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0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Arial" w:cs="Arial" w:eastAsia="Arial" w:hAnsi="Arial"/>
          <w:sz w:val="16"/>
          <w:szCs w:val="16"/>
          <w:color w:val="auto"/>
        </w:rPr>
        <w:t>Net cash used in operating activities was $49.7 million and $50.4 million for the nine months ended September 30, 2022 and 2021, respectively. The net cash used in operating activities for the nine months ended September 30, 2022 was primarily due to our net loss of $81.3 million, adjusted for $18.3</w:t>
      </w:r>
    </w:p>
    <w:p>
      <w:pPr>
        <w:spacing w:after="0"/>
        <w:rPr>
          <w:sz w:val="20"/>
          <w:szCs w:val="20"/>
          <w:color w:val="auto"/>
        </w:rPr>
      </w:pPr>
      <w:r>
        <w:rPr>
          <w:rFonts w:ascii="Arial" w:cs="Arial" w:eastAsia="Arial" w:hAnsi="Arial"/>
          <w:sz w:val="17"/>
          <w:szCs w:val="17"/>
          <w:color w:val="auto"/>
        </w:rPr>
        <w:t>million of net non-cash charges consisting primarily of share-based compensation of $12.4 million, depreciation and amortization of $1.9 million,</w:t>
      </w:r>
    </w:p>
    <w:p>
      <w:pPr>
        <w:spacing w:after="0" w:line="34" w:lineRule="exact"/>
        <w:rPr>
          <w:sz w:val="20"/>
          <w:szCs w:val="20"/>
          <w:color w:val="auto"/>
        </w:rPr>
      </w:pPr>
    </w:p>
    <w:p>
      <w:pPr>
        <w:jc w:val="both"/>
        <w:ind w:right="520"/>
        <w:spacing w:after="0" w:line="281" w:lineRule="auto"/>
        <w:rPr>
          <w:sz w:val="20"/>
          <w:szCs w:val="20"/>
          <w:color w:val="auto"/>
        </w:rPr>
      </w:pPr>
      <w:r>
        <w:rPr>
          <w:rFonts w:ascii="Arial" w:cs="Arial" w:eastAsia="Arial" w:hAnsi="Arial"/>
          <w:sz w:val="16"/>
          <w:szCs w:val="16"/>
          <w:color w:val="auto"/>
        </w:rPr>
        <w:t>investment accretion and amortization of $0.8 million, non-cash lease expense of $3.3 million and a $13.2 million net change in operating assets and liabilities. The net cash used in operating activities for the nine months ended September 30, 2021 was primarily due to our net loss of $63.3 million,</w:t>
      </w:r>
    </w:p>
    <w:p>
      <w:pPr>
        <w:spacing w:after="0" w:line="1" w:lineRule="exact"/>
        <w:rPr>
          <w:sz w:val="20"/>
          <w:szCs w:val="20"/>
          <w:color w:val="auto"/>
        </w:rPr>
      </w:pPr>
    </w:p>
    <w:p>
      <w:pPr>
        <w:ind w:right="340"/>
        <w:spacing w:after="0" w:line="393" w:lineRule="auto"/>
        <w:rPr>
          <w:sz w:val="20"/>
          <w:szCs w:val="20"/>
          <w:color w:val="auto"/>
        </w:rPr>
      </w:pPr>
      <w:r>
        <w:rPr>
          <w:rFonts w:ascii="Arial" w:cs="Arial" w:eastAsia="Arial" w:hAnsi="Arial"/>
          <w:sz w:val="16"/>
          <w:szCs w:val="16"/>
          <w:color w:val="auto"/>
        </w:rPr>
        <w:t>adjusted for $12.9 million of net non-cash charges consisting primarily of share-based compensation of $10.7 million, depreciation and amortization of $1.2 million, investment accretion and amortization of $2.4 million, and a $1.8 million net change in operating assets and liabilities.</w:t>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Net cash used in investing activities was $189.4 million for the nine months ended September 30, 2022 net cash provided by investing activities was $50.4 million for the nine months ended September 30, 2021. The net cash used in investing activities for the nine months ended September 30, 2022 was primarily due to purchases of short-term investments of $310.3 million and purchases of property and equipment of $12.1 million primarily related to the construction of our manufacturing facility, partially offset by proceeds from maturities of short-term investments of $133.0 million. The net cash provided by investing activities for the nine months ended September 30, 2021 was primarily due to proceeds from maturities of short-term investments of $185.4 million, partially offset by purchases of short-term investments of $131.1 million and purchases of property and equipment of $3.9 million primarily related to the construction of our manufacturing facility.</w:t>
      </w:r>
    </w:p>
    <w:p>
      <w:pPr>
        <w:spacing w:after="0" w:line="3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Net cash provided by financing activities was $218.6 million for the nine months ended September 30, 2022, primarily due to the proceeds of</w:t>
      </w:r>
    </w:p>
    <w:p>
      <w:pPr>
        <w:spacing w:after="0" w:line="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$215.6 million from our secondary offering, net of issuance costs, $1.6 million from the ATM Offering Program, net of issuance costs, and proceeds of $1.4 million from the exercise of stock options. Net cash provided by financing activities was $1.2 million for the nine months ended September 30, 2021, primarily due to proceeds from the exercise of stock options.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upon our current operating plans, we believe that our existing cash, cash equivalents, restricted cash and short-term investments will be</w:t>
      </w:r>
    </w:p>
    <w:p>
      <w:pPr>
        <w:spacing w:after="0" w:line="4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right="40" w:hanging="503"/>
        <w:spacing w:after="0" w:line="291"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costs of regulatory review of our product candidates;</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and the costs associated with building our manufacturing facilities;</w:t>
      </w:r>
    </w:p>
    <w:p>
      <w:pPr>
        <w:spacing w:after="0" w:line="48"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03"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48"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willingness or ability to pay out-of-pocket for any approved products in the absence of coverage and/or adequate reimbursement from third-party payors;</w:t>
      </w:r>
    </w:p>
    <w:p>
      <w:pPr>
        <w:spacing w:after="0" w:line="76"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 and other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any product candidates, products or technologies that we may in-license or acquire.</w:t>
      </w:r>
    </w:p>
    <w:p>
      <w:pPr>
        <w:spacing w:after="0" w:line="21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Material Cash Requirements</w:t>
      </w:r>
    </w:p>
    <w:p>
      <w:pPr>
        <w:spacing w:after="0" w:line="81"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In May 2018, we entered into a lease agreement for our corporate office and laboratory space located in South San Francisco, California with an expiration date in May 2025 (the “Initial Lease Agreement”). In April 2019, we executed the first amendment to the Initial Lease Agreement for additional corporate space, laboratory space and manufacturing capabilities and an extension to the lease term through April 2026. The terms of the lease amendment contain a rent abatement for the first month and rent escalation provisions. In addition to the base rent payments, we will be obligated to pay certain customary amounts for our share of operating expenses and tax obligations related to the facilities.</w:t>
      </w:r>
    </w:p>
    <w:p>
      <w:pPr>
        <w:spacing w:after="0" w:line="63"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In May 2020, we executed the second amendment to the Initial Lease Agreement for an eight-year non-cancelable lease for additional office and laboratory space in the same building. The lease amendment for the additional space provided for abatement of rent during the first three months of the lease and contained rent escalations during the term of the lease. The lease amendment for this additional space commenced in January 2021 and expires in January 2029. The lease amendment also included an extension of the lease term of our existing office and laboratory space through January 2029, with an option to extend the lease for an additional seven-year term.</w:t>
      </w:r>
    </w:p>
    <w:p>
      <w:pPr>
        <w:spacing w:after="0" w:line="91" w:lineRule="exact"/>
        <w:rPr>
          <w:sz w:val="20"/>
          <w:szCs w:val="20"/>
          <w:color w:val="auto"/>
        </w:rPr>
      </w:pPr>
    </w:p>
    <w:p>
      <w:pPr>
        <w:ind w:right="20" w:firstLine="509"/>
        <w:spacing w:after="0" w:line="291" w:lineRule="auto"/>
        <w:rPr>
          <w:sz w:val="20"/>
          <w:szCs w:val="20"/>
          <w:color w:val="auto"/>
        </w:rPr>
      </w:pPr>
      <w:r>
        <w:rPr>
          <w:rFonts w:ascii="Arial" w:cs="Arial" w:eastAsia="Arial" w:hAnsi="Arial"/>
          <w:sz w:val="17"/>
          <w:szCs w:val="17"/>
          <w:color w:val="auto"/>
        </w:rPr>
        <w:t>In January 2021, we executed the third amendment to the Initial Lease Agreement for a three-year non-cancelable lease for additional office space in the same building. The lease amendment for this additional space commenced in the second quarter of 2021 and expires in March 2024.</w:t>
      </w:r>
    </w:p>
    <w:p>
      <w:pPr>
        <w:spacing w:after="0" w:line="3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October 2021, we executed the fourth amendment to the Initial Lease Agreement for a seven-year non-cancelable lease for additional office and laboratory space in the same building. The lease amendment for additional space provided for abatement of rent during the first two months of the lease and contained rent escalations during the term of the lease. The lease amendment for this additional space is anticipated to commence in April 2022 and expires in January 2029. The Company expects to pay base rent of approximately $4.6 million over the lease term. The lease amendment also includes this additional space in our option to extend the lease for an additional seven-year term. The other terms of the Initial Lease Agreement, as amended, remain unchanged.</w:t>
      </w:r>
    </w:p>
    <w:p>
      <w:pPr>
        <w:spacing w:after="0" w:line="7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July 2021, we entered into a lease agreement for corporate office, manufacturing and laboratory space located in South San Francisco, California with an expirati</w:t>
      </w:r>
      <w:r>
        <w:rPr>
          <w:rFonts w:ascii="Arial" w:cs="Arial" w:eastAsia="Arial" w:hAnsi="Arial"/>
          <w:sz w:val="18"/>
          <w:szCs w:val="18"/>
          <w:color w:val="212529"/>
        </w:rPr>
        <w:t>on date approximately twelve years after the lease's commencement date (the “Additional Lease Agreement”). The lease for this additional</w:t>
      </w:r>
      <w:r>
        <w:rPr>
          <w:rFonts w:ascii="Arial" w:cs="Arial" w:eastAsia="Arial" w:hAnsi="Arial"/>
          <w:sz w:val="18"/>
          <w:szCs w:val="18"/>
          <w:color w:val="auto"/>
        </w:rPr>
        <w:t xml:space="preserve"> </w:t>
      </w:r>
      <w:r>
        <w:rPr>
          <w:rFonts w:ascii="Arial" w:cs="Arial" w:eastAsia="Arial" w:hAnsi="Arial"/>
          <w:sz w:val="18"/>
          <w:szCs w:val="18"/>
          <w:color w:val="212529"/>
        </w:rPr>
        <w:t>space commenced in January 2022. The Additional Lease Agreement also provides for certain tenant improvement allowances for tenant improvements and certain infrastructure upgrades in connection with the initial buildout of the premises, a portion of which, if utilized, would need to be repaid by us over the lease term.</w:t>
      </w:r>
    </w:p>
    <w:p>
      <w:pPr>
        <w:spacing w:after="0" w:line="7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212529"/>
        </w:rPr>
        <w:t xml:space="preserve">In November 2021, we </w:t>
      </w:r>
      <w:r>
        <w:rPr>
          <w:rFonts w:ascii="Arial" w:cs="Arial" w:eastAsia="Arial" w:hAnsi="Arial"/>
          <w:sz w:val="18"/>
          <w:szCs w:val="18"/>
          <w:color w:val="000000"/>
        </w:rPr>
        <w:t>executed an amendment to the Additional Lease Agreement for our corporate office, manufacturing and laboratory space.</w:t>
      </w:r>
      <w:r>
        <w:rPr>
          <w:rFonts w:ascii="Arial" w:cs="Arial" w:eastAsia="Arial" w:hAnsi="Arial"/>
          <w:sz w:val="18"/>
          <w:szCs w:val="18"/>
          <w:color w:val="212529"/>
        </w:rPr>
        <w:t xml:space="preserve"> </w:t>
      </w:r>
      <w:r>
        <w:rPr>
          <w:rFonts w:ascii="Arial" w:cs="Arial" w:eastAsia="Arial" w:hAnsi="Arial"/>
          <w:sz w:val="18"/>
          <w:szCs w:val="18"/>
          <w:color w:val="000000"/>
        </w:rPr>
        <w:t>The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 The other terms of the Additional Lease Agreement remain unchanged.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August 2022, we entered into amendments to the Initial Lease Agreement and the Additional Lease Agreement.</w:t>
      </w:r>
    </w:p>
    <w:p>
      <w:pPr>
        <w:spacing w:after="0" w:line="104"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See Note 6 to our financial statements included elsewhere in this Quarterly Report on Form 10-Q for additional information regarding our lease liability.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right="160" w:firstLine="509"/>
        <w:spacing w:after="0" w:line="280"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the incremental borrowing rate used in determining the lease liability and right-of-use asset for the Additional Lease Agreement,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1"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September 30, 2022, as compared to the critical accounting policies and estimates disclosed in “Management’s Discussion and Analysis of Financial Condition and Results of Operations” included in our Annual Report on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jc w:val="both"/>
        <w:ind w:right="420" w:firstLine="509"/>
        <w:spacing w:after="0" w:line="261"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right="500"/>
        <w:spacing w:after="0" w:line="261" w:lineRule="auto"/>
        <w:rPr>
          <w:sz w:val="20"/>
          <w:szCs w:val="20"/>
          <w:color w:val="auto"/>
        </w:rPr>
      </w:pPr>
      <w:r>
        <w:rPr>
          <w:rFonts w:ascii="Arial" w:cs="Arial" w:eastAsia="Arial" w:hAnsi="Arial"/>
          <w:sz w:val="18"/>
          <w:szCs w:val="18"/>
          <w:color w:val="auto"/>
        </w:rPr>
        <w:t>our officers and directors. We believe the fair value of the indemnification rights and agreements is minimal. Accordingly, we have not recorded any liabilities for these indemnification rights and agreements as of September 30, 2022 and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7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September 30, 2022, this change would not have had a material effect on the fair value of our investment portfolio as of that date.</w:t>
      </w:r>
    </w:p>
    <w:p>
      <w:pPr>
        <w:spacing w:after="0" w:line="18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p>
    <w:p>
      <w:pPr>
        <w:spacing w:after="0" w:line="195" w:lineRule="exact"/>
        <w:rPr>
          <w:sz w:val="20"/>
          <w:szCs w:val="20"/>
          <w:color w:val="auto"/>
        </w:rPr>
      </w:pPr>
    </w:p>
    <w:p>
      <w:pPr>
        <w:ind w:right="260" w:firstLine="509"/>
        <w:spacing w:after="0" w:line="324" w:lineRule="auto"/>
        <w:rPr>
          <w:sz w:val="20"/>
          <w:szCs w:val="20"/>
          <w:color w:val="auto"/>
        </w:rPr>
      </w:pPr>
      <w:r>
        <w:rPr>
          <w:rFonts w:ascii="Arial" w:cs="Arial" w:eastAsia="Arial" w:hAnsi="Arial"/>
          <w:sz w:val="16"/>
          <w:szCs w:val="16"/>
          <w:color w:val="auto"/>
        </w:rPr>
        <w:t>Inflation generally affects us by increasing labor, commercial support, construction, and research and development contract costs (including manufacturing and clinical supply costs). We do not believe inflation has had a material effect on our results of operations during the periods presented.</w:t>
      </w:r>
    </w:p>
    <w:p>
      <w:pPr>
        <w:spacing w:after="0" w:line="12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management, with the participation of our chief executive officer and chief financial and business officer, evaluated the effectiveness of our disclosures controls and procedures, as defined in Rules 13a-15(e) and 15d-15(e) under the Exchange Act,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and business officer concluded that, as of such date, our disclosure controls and procedures were effective at a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Management determined that, as of September 30, 2022,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19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Ex parte reexaminations have been filed by one or more third parties against certain licensed patents in our portfolio. Ex parte reexaminations of U.S. Patent Nos. 10,774,309 and 10,829,737, which relate to our NKX101 product candidate, are pending. One ex parte reexamination of U.S. Patent No. 9,511,092 (the “092 Patent”), which does not relate to any of our current product candidates, was concluded, resulting in cancellation of certain claims, while another ex parte reexamination of the 092 Patent is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firstLine="509"/>
        <w:spacing w:after="0" w:line="273" w:lineRule="auto"/>
        <w:rPr>
          <w:sz w:val="20"/>
          <w:szCs w:val="20"/>
          <w:color w:val="auto"/>
        </w:rPr>
      </w:pPr>
      <w:r>
        <w:rPr>
          <w:rFonts w:ascii="Arial" w:cs="Arial" w:eastAsia="Arial" w:hAnsi="Arial"/>
          <w:sz w:val="16"/>
          <w:szCs w:val="16"/>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2021 and filed with the SEC on March 17, 2022, in our Quarterly Report on Form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10-Q for the quarter ended March 31, 2022 and filed with the SEC on May 12, 2022, and in our Quarterly Report on Form 10-Q for the quarter ended June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30, 2022 and filed with the SEC on August 11, 2022, are set forth below and are unchanged substantively as of the date of this Quarterly Report on Form</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10-Q, except for those risks designated by an asterisk (*).</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disclose further changes to the factors below or disclose additional factors from time to time in our future filings with the SEC.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do not have any products approved for sale.</w:t>
      </w:r>
    </w:p>
    <w:p>
      <w:pPr>
        <w:spacing w:after="0" w:line="22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significant losses for the foreseeable future.*</w:t>
      </w:r>
    </w:p>
    <w:p>
      <w:pPr>
        <w:spacing w:after="0" w:line="223"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Since our inception in 2015, we have incurred significant operating losses. Our net losses were $81.3 million, $86.1 million and $91.4 million for the nine months ended September 30, 2022 and the years ended December 31, 2021 and 2020, respectively. Our accumulated deficit was $285.4 million as of September 30, 2022. We expect to continue to incur increasing operating losses for the foreseeable future as we continue to develop our product candidates. In addition, we anticipate that our expenses will increase substantially if, and as, we: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30" w:name="page31"/>
    <w:bookmarkEnd w:id="30"/>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clinical development of NKX101 and NKX019;</w:t>
      </w:r>
    </w:p>
    <w:p>
      <w:pPr>
        <w:spacing w:after="0" w:line="103"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additional product candidates to clinical trials, including product candidates under the collaboration with CRISPR Therapeutics AG ("CRISPR");</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our current product candidates for additional disease 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qualify our own clinical- and commercial-scale clinical current good manufacturing practice ("cGMP") facilities;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 a biologics license application ("BLA") or marketing authorization application, (“MAA”) for NKX101 and/or NKX019 and/or seek marketing approvals for any of our other product candidates that successfully complete clinical trials;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in various jurisdictions for commercial sale;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 or secure marketing, sales and distribution capabilities, either internally or with third parties, to support commercialization;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 foregoing activities.</w:t>
      </w:r>
    </w:p>
    <w:p>
      <w:pPr>
        <w:spacing w:after="0" w:line="21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United Sates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78"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clinical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seeking and obtaining regulatory approvals for product candidates for which we successfully complete positive clinical trials, if any;</w:t>
      </w:r>
    </w:p>
    <w:p>
      <w:pPr>
        <w:spacing w:after="0" w:line="115" w:lineRule="exact"/>
        <w:rPr>
          <w:rFonts w:ascii="Arial" w:cs="Arial" w:eastAsia="Arial" w:hAnsi="Arial"/>
          <w:sz w:val="17"/>
          <w:szCs w:val="17"/>
          <w:color w:val="auto"/>
        </w:rPr>
      </w:pPr>
    </w:p>
    <w:p>
      <w:pPr>
        <w:ind w:left="1020" w:right="58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by establishing a commercial infrastructure or, alternatively, collaborating with a commercialization partner;</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maintaining and enhancing a sustainable, scalable, reproducible and transferable manufacturing process for each of our cell therapy product candidates;</w:t>
      </w:r>
    </w:p>
    <w:p>
      <w:pPr>
        <w:spacing w:after="0" w:line="76" w:lineRule="exact"/>
        <w:rPr>
          <w:rFonts w:ascii="Arial" w:cs="Arial" w:eastAsia="Arial" w:hAnsi="Arial"/>
          <w:sz w:val="18"/>
          <w:szCs w:val="18"/>
          <w:color w:val="auto"/>
        </w:rPr>
      </w:pPr>
    </w:p>
    <w:p>
      <w:pPr>
        <w:ind w:left="1020" w:right="200" w:hanging="503"/>
        <w:spacing w:after="0" w:line="32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viable treatment option;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1" w:name="page32"/>
    <w:bookmarkEnd w:id="31"/>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03"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48" w:lineRule="exact"/>
        <w:rPr>
          <w:rFonts w:ascii="Arial" w:cs="Arial" w:eastAsia="Arial" w:hAnsi="Arial"/>
          <w:sz w:val="18"/>
          <w:szCs w:val="18"/>
          <w:color w:val="auto"/>
        </w:rPr>
      </w:pPr>
    </w:p>
    <w:p>
      <w:pPr>
        <w:ind w:left="1020" w:right="8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know-how, and trademarks;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p>
    <w:p>
      <w:pPr>
        <w:spacing w:after="0" w:line="175" w:lineRule="exact"/>
        <w:rPr>
          <w:sz w:val="20"/>
          <w:szCs w:val="20"/>
          <w:color w:val="auto"/>
        </w:rPr>
      </w:pPr>
    </w:p>
    <w:p>
      <w:pPr>
        <w:ind w:right="160" w:firstLine="509"/>
        <w:spacing w:after="0" w:line="303" w:lineRule="auto"/>
        <w:rPr>
          <w:sz w:val="20"/>
          <w:szCs w:val="20"/>
          <w:color w:val="auto"/>
        </w:rPr>
      </w:pPr>
      <w:r>
        <w:rPr>
          <w:rFonts w:ascii="Arial" w:cs="Arial" w:eastAsia="Arial" w:hAnsi="Arial"/>
          <w:sz w:val="16"/>
          <w:szCs w:val="16"/>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8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have financed our operations primarily through private placements of our preferred stock, proceeds from our previous collaboration with GlaxoSmithKline, proceeds from our IPO completed in July 2020, proceeds from our underwritten public offering of our common stock completed in April 2022 (the “Secondary Offering”), and our "at the market" equity offering program ("ATM Offering Program"). We intend to continue to use the proceeds from our IPO and our Secondary Offering to, among other uses, advance NKX101 and NKX019 through clinical development. Developing pharmaceutical products and conducting preclinical studies and clinical trials is expensive. As of September 30, 2022, we had cash, cash equivalents, restricted cash and short-term investments of $395.1 million. Our research and development expenses increased from $36.2 million for the year ended December 31, 2020 to $63.4 million for the year ended December 31, 2021 and increased from $46.1 million for the nine months ended September 30, 2021 to $64.1 million for the nine months ended September 30, 2022.</w:t>
      </w:r>
    </w:p>
    <w:p>
      <w:pPr>
        <w:spacing w:after="0" w:line="17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Until and unless we can generate substantial product revenue, we expect to finance our cash needs through the proceeds from our IPO and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8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7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ind w:right="160"/>
        <w:spacing w:after="0" w:line="256" w:lineRule="auto"/>
        <w:rPr>
          <w:sz w:val="20"/>
          <w:szCs w:val="20"/>
          <w:color w:val="auto"/>
        </w:rPr>
      </w:pPr>
      <w:r>
        <w:rPr>
          <w:rFonts w:ascii="Arial" w:cs="Arial" w:eastAsia="Arial" w:hAnsi="Arial"/>
          <w:sz w:val="18"/>
          <w:szCs w:val="18"/>
          <w:b w:val="1"/>
          <w:bCs w:val="1"/>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175"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The COVID-19 pandemic has disrupted economic activity and business operations worldwide, including the San Francisco Bay Area, where our primary operations are located. The coronavirus pandemic continues to evolve, and multiple variants of the virus that causes COVID-19 are circulating globally, including the Omicron variants.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spacing w:after="0" w:line="14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Some of our contract research organizations ("CROs") have experienced employee turnover/attrition, delays, or disruptions during the pandemic. Some of our clinical trial sites have had to temporarily restrict enrollment into clinical protocols in order to prioritize hospital beds for COVID-19 patients, or because of loss of trial personnel to support research activities (mitigated by having the trial opened in multiple clinical sites simultaneously). In addition, we experienced and could in the future experience some delays in construction of our cGMP manufacturing facilities and in our internal research efforts. COVID-19 has also caused global supply shortages of certain materials, such as certain raw materials, cell culture media, disposable plastics, and equipment, that we and our contract development and manufacturing organizations ("CDMOs") use for research and GMP manufacturing. If we are not able to obtain sufficient quantities of cell culture media for our purposes due to the shortage, we may need to reduce the number of manufacturing runs we have planned. Supply chain and operational disruptions due to COVID-19 have contributed to certain enrollment delays in our NKX101 clinical trial. In addition, we have had minor delays in setting up clinical sites in our NKX019 clinical trial due to COVID-19 restrictions due to repurposing of healthcare personnel and facilities to support local pandemic efforts. We will continue to monitor the impact of COVID-19 and any additional waves of the pandemic on our operations, including continued enrollment in the NKX101 and NKX019 clinical trials, as well as on our collaboration partners, CROs, CDMOs, and clinical trial sites with respect to COVID-19 related shutdowns, restrictions on travel, and restrictions on hospital visits for clinical trial participants or clinical research staff. Although most COVID-19 restrictions have been lifted in the State of California and the County of San Mateo, restrictions similar to those previously imposed or new restrictions could be imposed again later.</w:t>
      </w:r>
    </w:p>
    <w:p>
      <w:pPr>
        <w:spacing w:after="0" w:line="164" w:lineRule="exact"/>
        <w:rPr>
          <w:sz w:val="20"/>
          <w:szCs w:val="20"/>
          <w:color w:val="auto"/>
        </w:rPr>
      </w:pPr>
    </w:p>
    <w:p>
      <w:pPr>
        <w:ind w:right="380" w:firstLine="509"/>
        <w:spacing w:after="0" w:line="278" w:lineRule="auto"/>
        <w:rPr>
          <w:sz w:val="20"/>
          <w:szCs w:val="20"/>
          <w:color w:val="auto"/>
        </w:rPr>
      </w:pPr>
      <w:r>
        <w:rPr>
          <w:rFonts w:ascii="Arial" w:cs="Arial" w:eastAsia="Arial" w:hAnsi="Arial"/>
          <w:sz w:val="17"/>
          <w:szCs w:val="17"/>
          <w:color w:val="auto"/>
        </w:rPr>
        <w:t>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w:t>
      </w:r>
    </w:p>
    <w:p>
      <w:pPr>
        <w:spacing w:after="0" w:line="158"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COVID-19 pandemic has also impacted, and may impact in the future, the regulatory authorities to which we are subject in our industry, which may, in turn, hamper or delay our clinical development efforts.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w:t>
      </w:r>
    </w:p>
    <w:p>
      <w:pPr>
        <w:spacing w:after="0" w:line="15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cannot predict the potential future impacts of COVID-19, including its variants, on us, our research partners, including CRISPR, and other third parties with whom we conduct business. The extent of the impact of the COVID-19 pandemic on our operational and financial performance will depend on certain developments, including the duration and spread of the outbreak, the development and spread of more contagious and/or vaccine-resistant variants, the effectiveness of actions taken in the U.S. and other countries to contain, vaccinate against, and treat the disease, and its impact on our current and planned preclinical studies and clinical trials, employees and vendors, all of which are uncertain. As a result of the COVID-19 pandemic or other pandemic, epidemic or outbreak of an infectious disease, we have experienced and/or may experience disruptions that could severely impact our business, preclinical studies and clinical trials, including:</w:t>
      </w:r>
    </w:p>
    <w:p>
      <w:pPr>
        <w:spacing w:after="0" w:line="9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including our ongoing NKX101 and NKX019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and in training medical personnel on how to properly thaw and administer our product candidates;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difficulties in recruitment of key personnel;</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20" w:right="80" w:hanging="503"/>
        <w:spacing w:after="0" w:line="25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1020" w:right="68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interruption or delays in the operations of the FDA or other regulatory authorities, which may impact review and approval timelines, including the review of Investigational New Drug applications (“IND”) or other regulatory submissions for our product candidates;</w:t>
      </w:r>
    </w:p>
    <w:p>
      <w:pPr>
        <w:spacing w:after="0" w:line="29" w:lineRule="exact"/>
        <w:rPr>
          <w:rFonts w:ascii="Arial" w:cs="Arial" w:eastAsia="Arial" w:hAnsi="Arial"/>
          <w:sz w:val="16"/>
          <w:szCs w:val="16"/>
          <w:color w:val="auto"/>
        </w:rPr>
      </w:pPr>
    </w:p>
    <w:p>
      <w:pPr>
        <w:jc w:val="both"/>
        <w:ind w:left="1020" w:right="22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87" w:lineRule="exact"/>
        <w:rPr>
          <w:rFonts w:ascii="Arial" w:cs="Arial" w:eastAsia="Arial" w:hAnsi="Arial"/>
          <w:sz w:val="18"/>
          <w:szCs w:val="18"/>
          <w:color w:val="auto"/>
        </w:rPr>
      </w:pPr>
    </w:p>
    <w:p>
      <w:pPr>
        <w:ind w:left="1020" w:right="20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spacing w:after="0" w:line="16" w:lineRule="exact"/>
        <w:rPr>
          <w:rFonts w:ascii="Arial" w:cs="Arial" w:eastAsia="Arial" w:hAnsi="Arial"/>
          <w:sz w:val="16"/>
          <w:szCs w:val="16"/>
          <w:color w:val="auto"/>
        </w:rPr>
      </w:pPr>
    </w:p>
    <w:p>
      <w:pPr>
        <w:ind w:left="1020" w:right="3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disruptions in the planning, construction or qualification of our cGMP facility for commercial-scale manufacture of our product candidates;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interruptions, or delays in receiving supplies and materials necessary for our business operations, and research and development activities;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 of services or supplies necessary for our research and development activities;</w:t>
      </w:r>
    </w:p>
    <w:p>
      <w:pPr>
        <w:spacing w:after="0" w:line="117" w:lineRule="exact"/>
        <w:rPr>
          <w:rFonts w:ascii="Arial" w:cs="Arial" w:eastAsia="Arial" w:hAnsi="Arial"/>
          <w:sz w:val="18"/>
          <w:szCs w:val="18"/>
          <w:color w:val="auto"/>
        </w:rPr>
      </w:pPr>
    </w:p>
    <w:p>
      <w:pPr>
        <w:ind w:left="1020" w:right="38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or delays to our discovery and clinical activities.</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magnitude of these disruptions will depend, in part, on the length and severity of the COVID-19 restrictions and other limitations on our ability and the ability of others to conduct business in the ordinary course.</w:t>
      </w:r>
    </w:p>
    <w:p>
      <w:pPr>
        <w:spacing w:after="0" w:line="171"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 ultimate impact of the COVID-19 outbreak or a similar health epidemic is highly uncertain. 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We do not yet know the full extent of potential delays or impacts on our business, our clinical trials, healthcare systems or the global economy as a whole, but these delays could have a material impact on our business, financial condition, and/or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success of our CAR-NK cell technology platform.</w:t>
      </w:r>
    </w:p>
    <w:p>
      <w:pPr>
        <w:spacing w:after="0" w:line="198"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Our success depends on our ability to utilize our chimeric antigen receptor-natural killer cell ("CAR-NK") technology platform to generate product candidates, to obtain regulatory approval for product candidates derived from it, and to then commercialize our product candidates addressing one or more indications. Phase 1 clinical trials to evaluate our first two CAR-NK product candidates in humans is ongoing.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right="500"/>
        <w:spacing w:after="0" w:line="246" w:lineRule="auto"/>
        <w:rPr>
          <w:sz w:val="20"/>
          <w:szCs w:val="20"/>
          <w:color w:val="auto"/>
        </w:rPr>
      </w:pPr>
      <w:r>
        <w:rPr>
          <w:rFonts w:ascii="Arial" w:cs="Arial" w:eastAsia="Arial" w:hAnsi="Arial"/>
          <w:sz w:val="18"/>
          <w:szCs w:val="18"/>
          <w:b w:val="1"/>
          <w:bCs w:val="1"/>
          <w:i w:val="1"/>
          <w:iCs w:val="1"/>
          <w:color w:val="auto"/>
        </w:rPr>
        <w:t>Utilizing CAR-NK cells represents a novel approach to the treatment of cancer, and we must overcome significant challenges in order to develop, commercialize and manufacture our product candidates.</w:t>
      </w:r>
    </w:p>
    <w:p>
      <w:pPr>
        <w:spacing w:after="0" w:line="183"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We have concentrated our research and development efforts on utilizing CAR-NK cells as an immuno-oncology therapy. To date, the FDA has approved only a few cell-based therapies for commercialization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CAR-NK platform product candidates.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advancing novel immuno-oncology therapies creates significant challenges for us, including:</w:t>
      </w:r>
    </w:p>
    <w:p>
      <w:pPr>
        <w:spacing w:after="0" w:line="10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w:t>
      </w:r>
    </w:p>
    <w:p>
      <w:pPr>
        <w:spacing w:after="0" w:line="117"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thaw and administer our cells, especially in any solid tumor trial wherein the cells are given through a procedure by trained medical doctors;</w:t>
      </w:r>
    </w:p>
    <w:p>
      <w:pPr>
        <w:spacing w:after="0" w:line="62" w:lineRule="exact"/>
        <w:rPr>
          <w:rFonts w:ascii="Arial" w:cs="Arial" w:eastAsia="Arial" w:hAnsi="Arial"/>
          <w:sz w:val="18"/>
          <w:szCs w:val="18"/>
          <w:color w:val="auto"/>
        </w:rPr>
      </w:pPr>
    </w:p>
    <w:p>
      <w:pPr>
        <w:ind w:left="1020" w:right="100" w:hanging="503"/>
        <w:spacing w:after="0" w:line="25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spacing w:after="0" w:line="66"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observed side effects with the therapy;</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reliable and safe and an effective means of genetically modifying our cells;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and cryopreservation our cells on a large scale and in a cost-effective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sourcing starting material suitable for clinical and commercial manufacturing; and</w:t>
      </w:r>
    </w:p>
    <w:p>
      <w:pPr>
        <w:spacing w:after="0" w:line="10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must be able to overcome these challenges in order for us to develop, commercialize and manufacture our product candidates utilizing CAR-NK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spacing w:after="0" w:line="305"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b w:val="1"/>
          <w:bCs w:val="1"/>
          <w:i w:val="1"/>
          <w:iCs w:val="1"/>
          <w:color w:val="auto"/>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spacing w:after="0" w:line="13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Current clinical experience with NK cell therapy is predominantly based on cells from haplomatched donors, i.e., at least half of the major Human Leukocyte Antigen (“HLA”), types matched between donor and recipient. Our ongoing NKX101 Phase 1 clinical trial evaluated product manufactured from patient specific haplo-related donors and completely unrelated donors (used off the shelf). Based on preliminary clinical results, we have moved forward into expansion cohorts and further development of NKX101 using off the shelf product only. There is a risk that the early clinical results may not be reflective of future clinical trial results which may require us to re-evaluate HLA matching. If it becomes apparent through future preclinical testing or clinical trials that such matching is required, the production of NKX101, NKX019, and our other product candidates as standardized, off-the-shelf products for all patients will not be achievable. Instead, we would need to establish an alternative approach for each of our product candidates to achieve coverage of the addressable patient population.</w:t>
      </w:r>
    </w:p>
    <w:p>
      <w:pPr>
        <w:spacing w:after="0" w:line="186"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In both NKX101 and NKX019 Phase 1 clinical trials, product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40" w:firstLine="509"/>
        <w:spacing w:after="0" w:line="245" w:lineRule="auto"/>
        <w:rPr>
          <w:sz w:val="20"/>
          <w:szCs w:val="20"/>
          <w:color w:val="auto"/>
        </w:rPr>
      </w:pPr>
      <w:r>
        <w:rPr>
          <w:rFonts w:ascii="Arial" w:cs="Arial" w:eastAsia="Arial" w:hAnsi="Arial"/>
          <w:sz w:val="18"/>
          <w:szCs w:val="18"/>
          <w:color w:val="auto"/>
        </w:rPr>
        <w:t>In addition,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99"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5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8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84"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failure of one or more of our clinical trials could occur at any stage, and any failure could prevent us from obtaining the FDA and other regulatory</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approvals necessary to commercialize our product candidates. Events that may prevent successful initiation, timely completion, or positive outcomes of our clinical development include, but are not limited to:</w:t>
      </w:r>
    </w:p>
    <w:p>
      <w:pPr>
        <w:spacing w:after="0" w:line="64"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regulatory approval to commence a clinical trial;</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recruit sufficient patients for our clinical trials in a timely manner or at all;</w:t>
      </w:r>
    </w:p>
    <w:p>
      <w:pPr>
        <w:spacing w:after="0" w:line="103"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achieving a sufficient number of clinical trial sites or obtaining the required institutional review board ("IRB"), approval at each clinical trial site;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or by the FDA or other regulatory agencies based on emerging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obtain long-term follow-up data due to patient drop out or in cases where patients elect to receive post-protocol treatment for their disease before it progresses;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termination of a clinical trial by the IRB of the institutions in which such trials are being conducted or by the Data Safety Monitoring Board ("DSMB") (where applicable);</w:t>
      </w:r>
    </w:p>
    <w:p>
      <w:pPr>
        <w:spacing w:after="0" w:line="48"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clinical trials, or production delays, shutdowns or setbacks at any of our contract manufacturers;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left="1020" w:right="10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or guidance that may require us to amend or submit new clinical protocols, or such requirements may not be as we anticipate;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03" w:lineRule="exact"/>
        <w:rPr>
          <w:rFonts w:ascii="Arial" w:cs="Arial" w:eastAsia="Arial" w:hAnsi="Arial"/>
          <w:sz w:val="18"/>
          <w:szCs w:val="18"/>
          <w:color w:val="auto"/>
        </w:rPr>
      </w:pPr>
    </w:p>
    <w:p>
      <w:pPr>
        <w:jc w:val="both"/>
        <w:ind w:left="1020" w:right="180" w:hanging="503"/>
        <w:spacing w:after="0" w:line="27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insufficient quantities or inadequate quality of our product candidates or other materials necessary to conduct preclinical studies or clinical trials of our product candidates, including potential limitations to the availability of agents such as fludarabine, cyclophosphamide, or other agents administered to patients prior to treatment or in combination with our product candidates;</w:t>
      </w:r>
    </w:p>
    <w:p>
      <w:pPr>
        <w:spacing w:after="0" w:line="49"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48" w:lineRule="exact"/>
        <w:rPr>
          <w:rFonts w:ascii="Arial" w:cs="Arial" w:eastAsia="Arial" w:hAnsi="Arial"/>
          <w:sz w:val="18"/>
          <w:szCs w:val="18"/>
          <w:color w:val="auto"/>
        </w:rPr>
      </w:pPr>
    </w:p>
    <w:p>
      <w:pPr>
        <w:ind w:left="1020" w:right="26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75"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As FDA personnel prioritize pandemic related efforts, we may experience delays in obtaining periodic advice which may affect our ability to move our clinical programs forward into the next phase of development. Also,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Over the past year, FDA has periodically announced temporary changes to its inspection activities to ensure the safety of its employees and those of the firms it regulates as the FDA adapts to the evolving COVID-19 pandemic. As of February 7, 2022, the FDA resumed conducting domestic surveillance inspections.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w:t>
      </w:r>
    </w:p>
    <w:p>
      <w:pPr>
        <w:spacing w:after="0" w:line="181"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As regulatory expectations regarding the gene editing of cellular therapies continue to evolve with data emerging on chromosomal abnormalities from CAR-T therapies or other sources, our pipeline programs that involve gene-edited cells, including an allogeneic, off-the-shelf CAR-NK product candidate targeting the CD70 tumor antigen ("CD70 CAR-NK") and an allogeneic, off-the-shelf product candidate that comprises both engineered NK cells and engineered T cells ("NK+T") programs on which we are collaborating with CRISPR, may be delayed or we may be forced to incur additional costs for those programs. For example, the FDA may require additional or new release assays for manufactured lots of any product candidates that have been gene edited, which could slow development of our gene-edited product candidates and increase expenses.</w:t>
      </w:r>
    </w:p>
    <w:p>
      <w:pPr>
        <w:spacing w:after="0" w:line="17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ind w:right="120"/>
        <w:spacing w:after="0" w:line="324" w:lineRule="auto"/>
        <w:rPr>
          <w:sz w:val="20"/>
          <w:szCs w:val="20"/>
          <w:color w:val="auto"/>
        </w:rPr>
      </w:pPr>
      <w:r>
        <w:rPr>
          <w:rFonts w:ascii="Arial" w:cs="Arial" w:eastAsia="Arial" w:hAnsi="Arial"/>
          <w:sz w:val="16"/>
          <w:szCs w:val="16"/>
          <w:b w:val="1"/>
          <w:bCs w:val="1"/>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3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w:t>
      </w:r>
    </w:p>
    <w:p>
      <w:pPr>
        <w:spacing w:after="0" w:line="174" w:lineRule="exact"/>
        <w:rPr>
          <w:sz w:val="20"/>
          <w:szCs w:val="20"/>
          <w:color w:val="auto"/>
        </w:rPr>
      </w:pPr>
    </w:p>
    <w:p>
      <w:pPr>
        <w:ind w:right="140" w:firstLine="509"/>
        <w:spacing w:after="0" w:line="280" w:lineRule="auto"/>
        <w:rPr>
          <w:sz w:val="20"/>
          <w:szCs w:val="20"/>
          <w:color w:val="auto"/>
        </w:rPr>
      </w:pPr>
      <w:r>
        <w:rPr>
          <w:rFonts w:ascii="Arial" w:cs="Arial" w:eastAsia="Arial" w:hAnsi="Arial"/>
          <w:sz w:val="16"/>
          <w:szCs w:val="16"/>
          <w:color w:val="auto"/>
        </w:rPr>
        <w:t>NKX101 is in an early-stage clinical trial and is subject to the risks inherent in drug development. In April 2022, we announced preliminary data from our Phase 1 clinical trial of NKX101 for the treatment of relapsed/refractory acute myeloid leukemia (“AML”) or higher risk myelodysplastic syndromes (“MDS”). If the ongoing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59"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We also plan to develop NKX101 for additional indications, including solid tumor indications, if we are able to obtain clinical proof-of-concept from our NKX101 Phase 1 trials for blood cancers including AML and MDS.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p>
    <w:p>
      <w:pPr>
        <w:spacing w:after="0" w:line="185" w:lineRule="exact"/>
        <w:rPr>
          <w:sz w:val="20"/>
          <w:szCs w:val="20"/>
          <w:color w:val="auto"/>
        </w:rPr>
      </w:pPr>
    </w:p>
    <w:p>
      <w:pPr>
        <w:ind w:right="200" w:firstLine="509"/>
        <w:spacing w:after="0" w:line="263" w:lineRule="auto"/>
        <w:rPr>
          <w:sz w:val="20"/>
          <w:szCs w:val="20"/>
          <w:color w:val="auto"/>
        </w:rPr>
      </w:pPr>
      <w:r>
        <w:rPr>
          <w:rFonts w:ascii="Arial" w:cs="Arial" w:eastAsia="Arial" w:hAnsi="Arial"/>
          <w:sz w:val="17"/>
          <w:szCs w:val="17"/>
          <w:color w:val="auto"/>
        </w:rPr>
        <w:t>Furthermore, the development of NKX101 for treating solid tumors is subject to a number of risks related to use of cell therapies in general including a hostile tumor micro-environment and trafficking to tumor site. Additional risks from direct liver delivery of a cell therapy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spacing w:after="0" w:line="171"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April 2022, we announced preliminary data from the multi-center Phase 1 clinical trial of NKX019 for the treatment of B-cell malignancies. Due to the availability of multiple commercially available agents that target CD19, we may have difficulty enrolling subjects into trials with NKX019 who have not previously been exposed to a CD19 directed agent. This could impact the ability to obtain data about NKX019 activity and slow enrollment.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85"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52"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620"/>
        <w:spacing w:after="0" w:line="261"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84"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3"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open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and eligibility criteria of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of subjects to clinical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medical practice patterns or guidelines related to the indications we are investigating;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 or approved therapies which present an attractive alternative to patients and their physicians;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76"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due to various reasons, including but not limited to, patients’ unwillingness to participate due to the ongoing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enrolled subjects will drop out or die before completion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failing to complete a clinical trial or returning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manufacture the requisite supply of our product candidates for a patient and clinical trials; and</w:t>
      </w:r>
    </w:p>
    <w:p>
      <w:pPr>
        <w:spacing w:after="0" w:line="103" w:lineRule="exact"/>
        <w:rPr>
          <w:rFonts w:ascii="Arial" w:cs="Arial" w:eastAsia="Arial" w:hAnsi="Arial"/>
          <w:sz w:val="18"/>
          <w:szCs w:val="18"/>
          <w:color w:val="auto"/>
        </w:rPr>
      </w:pPr>
    </w:p>
    <w:p>
      <w:pPr>
        <w:ind w:left="1020" w:right="160" w:hanging="503"/>
        <w:spacing w:after="0" w:line="25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any delay by us or by our clinical sites to obtain sufficient quantities of components and supplies necessary for the conduct of our clinical trials, including any inability to obtain agents such as cyclophosphamide, fludarabine, or other agents administered to patients prior to treatment or in combination with our product candidates.</w:t>
      </w:r>
    </w:p>
    <w:p>
      <w:pPr>
        <w:spacing w:after="0" w:line="175"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15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w:t>
      </w:r>
    </w:p>
    <w:p>
      <w:pPr>
        <w:spacing w:after="0" w:line="19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The clinical development of our product candidates also depends on the availability of a sufficient supply of certain other materials and agents used in our clinical trials. For example, certain of our clinical trial protocols require the use of fludarabine and cyclophosphamide, agents which are routinely used in oncology studies, and which we use in certain of our clinical trial protocols to condition patients for treatment with our product candidates. Further, we may develop certain of our product candidates as a combination therapy with other cancer therapies, which would require the availability and use of those therapeutic agents in certain of our clinical trial protocols. Recently, the FDA reported a shortage of fludarabine and it is uncertain how long the fludarabine shortage may last. Certain of our clinical trial sites have reported that they are experiencing a shortage of fludarabine, which has resulted in some enrollment delays. We do not know how long the fludarabine shortage may last. Any failure or delays by us or by our clinical sites to obtain sufficient quantities of fludarabine or other components and agents necessary for the conduct of our clinical trials, may delay our ability to enroll and treat patients in, or complete, our current or future clinical trials of our product candidates on time, if at 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100" w:firstLine="509"/>
        <w:spacing w:after="0" w:line="261" w:lineRule="auto"/>
        <w:rPr>
          <w:sz w:val="20"/>
          <w:szCs w:val="20"/>
          <w:color w:val="auto"/>
        </w:rPr>
      </w:pPr>
      <w:r>
        <w:rPr>
          <w:rFonts w:ascii="Arial" w:cs="Arial" w:eastAsia="Arial" w:hAnsi="Arial"/>
          <w:sz w:val="18"/>
          <w:szCs w:val="18"/>
          <w:color w:val="auto"/>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27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order to obtain FDA or other regulatory authority approval to market a new biological product we must demonstrate proof of safety, purity,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3"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45"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trials;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acceptable clinical trial design or manufacturing process; and</w:t>
      </w:r>
    </w:p>
    <w:p>
      <w:pPr>
        <w:spacing w:after="0" w:line="90"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not allowing us to rely on previous findings of safety and efficacy for other similar but approved products and published scientific literature.</w:t>
      </w:r>
    </w:p>
    <w:p>
      <w:pPr>
        <w:spacing w:after="0" w:line="170"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3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195"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81"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including the preliminary Phase 1 clinical data for NKX101 and NKX019 reported in April 2022, may differ from, and may not be indicative of,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180"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300"/>
        <w:spacing w:after="0" w:line="249" w:lineRule="auto"/>
        <w:rPr>
          <w:sz w:val="20"/>
          <w:szCs w:val="20"/>
          <w:color w:val="auto"/>
        </w:rPr>
      </w:pPr>
      <w:r>
        <w:rPr>
          <w:rFonts w:ascii="Arial" w:cs="Arial" w:eastAsia="Arial" w:hAnsi="Arial"/>
          <w:sz w:val="18"/>
          <w:szCs w:val="18"/>
          <w:color w:val="auto"/>
        </w:rPr>
        <w:t>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57"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40"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While our preliminary data from NKX101 and NKX019 Phase 1 clinical trials indicate that NK cell-based therapies may be better-tolerated as compared to T cell-based therapies due to biologic differences between these cell types, there can be no assurance that patients will not experience cytokine release syndrome ("CRS"), neurotoxicity, graft-versus-host disease ("GVHD"), or other serious adverse events. Severe adverse events associated with our product candidates NKX101 or NKX019 or lymphodepleting chemotherapy may also develop. NKX101 targets NKG2D ligands, which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70" w:lineRule="exact"/>
        <w:rPr>
          <w:sz w:val="20"/>
          <w:szCs w:val="20"/>
          <w:color w:val="auto"/>
        </w:rPr>
      </w:pPr>
    </w:p>
    <w:p>
      <w:pPr>
        <w:ind w:right="860"/>
        <w:spacing w:after="0" w:line="291" w:lineRule="auto"/>
        <w:rPr>
          <w:sz w:val="20"/>
          <w:szCs w:val="20"/>
          <w:color w:val="auto"/>
        </w:rPr>
      </w:pPr>
      <w:r>
        <w:rPr>
          <w:rFonts w:ascii="Arial" w:cs="Arial" w:eastAsia="Arial" w:hAnsi="Arial"/>
          <w:sz w:val="17"/>
          <w:szCs w:val="17"/>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60"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66"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right="180"/>
        <w:spacing w:after="0" w:line="261" w:lineRule="auto"/>
        <w:rPr>
          <w:sz w:val="20"/>
          <w:szCs w:val="20"/>
          <w:color w:val="auto"/>
        </w:rPr>
      </w:pPr>
      <w:r>
        <w:rPr>
          <w:rFonts w:ascii="Arial" w:cs="Arial" w:eastAsia="Arial" w:hAnsi="Arial"/>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8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87"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4" w:lineRule="exact"/>
        <w:rPr>
          <w:sz w:val="20"/>
          <w:szCs w:val="20"/>
          <w:color w:val="auto"/>
        </w:rPr>
      </w:pPr>
    </w:p>
    <w:p>
      <w:pPr>
        <w:ind w:right="120" w:firstLine="509"/>
        <w:spacing w:after="0" w:line="26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6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may impact public perception of our company and product candidates, or impair our ability to conduct our business.</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2" w:name="page43"/>
    <w:bookmarkEnd w:id="42"/>
    <w:p>
      <w:pPr>
        <w:ind w:right="440"/>
        <w:spacing w:after="0" w:line="261" w:lineRule="auto"/>
        <w:rPr>
          <w:sz w:val="20"/>
          <w:szCs w:val="20"/>
          <w:color w:val="auto"/>
        </w:rPr>
      </w:pPr>
      <w:r>
        <w:rPr>
          <w:rFonts w:ascii="Arial" w:cs="Arial" w:eastAsia="Arial" w:hAnsi="Arial"/>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8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79"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research methodology or technology platform used may not be successful in identifying potential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choose to cease development if we determine that clinical results do not show promise;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1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7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65"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24"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such as contract research organizations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ind w:firstLine="509"/>
        <w:spacing w:after="0" w:line="274" w:lineRule="auto"/>
        <w:rPr>
          <w:sz w:val="20"/>
          <w:szCs w:val="20"/>
          <w:color w:val="auto"/>
        </w:rPr>
      </w:pPr>
      <w:r>
        <w:rPr>
          <w:rFonts w:ascii="Arial" w:cs="Arial" w:eastAsia="Arial" w:hAnsi="Arial"/>
          <w:sz w:val="16"/>
          <w:szCs w:val="16"/>
          <w:color w:val="auto"/>
        </w:rPr>
        <w:t>We and the third parties on which we rely for clinical trials are required to comply with regulations and requirements,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64"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4"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6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30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71"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 w:name="page45"/>
    <w:bookmarkEnd w:id="44"/>
    <w:p>
      <w:pPr>
        <w:ind w:right="40" w:firstLine="509"/>
        <w:spacing w:after="0" w:line="275"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70" w:lineRule="exact"/>
        <w:rPr>
          <w:sz w:val="20"/>
          <w:szCs w:val="20"/>
          <w:color w:val="auto"/>
        </w:rPr>
      </w:pPr>
    </w:p>
    <w:p>
      <w:pPr>
        <w:jc w:val="both"/>
        <w:ind w:right="420"/>
        <w:spacing w:after="0" w:line="331" w:lineRule="auto"/>
        <w:rPr>
          <w:sz w:val="20"/>
          <w:szCs w:val="20"/>
          <w:color w:val="auto"/>
        </w:rPr>
      </w:pPr>
      <w:r>
        <w:rPr>
          <w:rFonts w:ascii="Arial" w:cs="Arial" w:eastAsia="Arial" w:hAnsi="Arial"/>
          <w:sz w:val="15"/>
          <w:szCs w:val="15"/>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23"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May 2021, we entered into a Research Collaboration Agreement (as amended, the “CRISPR Agreement”) with CRISPR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See Item 1, Business for additional information.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spacing w:after="0" w:line="206"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Whenever we enter into collaborations with third parties, we could face the following risks:</w:t>
      </w:r>
    </w:p>
    <w:p>
      <w:pPr>
        <w:spacing w:after="0" w:line="10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processes that compete directly or indirectly with our products or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1020" w:right="200" w:hanging="503"/>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6"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29" w:lineRule="exact"/>
        <w:rPr>
          <w:rFonts w:ascii="Arial" w:cs="Arial" w:eastAsia="Arial" w:hAnsi="Arial"/>
          <w:sz w:val="16"/>
          <w:szCs w:val="16"/>
          <w:color w:val="auto"/>
        </w:rPr>
      </w:pPr>
    </w:p>
    <w:p>
      <w:pPr>
        <w:ind w:left="1020" w:right="16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As a result, we may not be able to realize the benefit of new or existing collaboration agreements and strategic partnerships if we are unable to</w:t>
      </w:r>
    </w:p>
    <w:p>
      <w:pPr>
        <w:spacing w:after="0" w:line="35"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3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57" w:lineRule="exact"/>
        <w:rPr>
          <w:sz w:val="20"/>
          <w:szCs w:val="20"/>
          <w:color w:val="auto"/>
        </w:rPr>
      </w:pPr>
    </w:p>
    <w:p>
      <w:pPr>
        <w:ind w:right="360" w:firstLine="509"/>
        <w:spacing w:after="0" w:line="282" w:lineRule="auto"/>
        <w:rPr>
          <w:sz w:val="20"/>
          <w:szCs w:val="20"/>
          <w:color w:val="auto"/>
        </w:rPr>
      </w:pPr>
      <w:r>
        <w:rPr>
          <w:rFonts w:ascii="Arial" w:cs="Arial" w:eastAsia="Arial" w:hAnsi="Arial"/>
          <w:sz w:val="16"/>
          <w:szCs w:val="16"/>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w:t>
      </w:r>
    </w:p>
    <w:p>
      <w:pPr>
        <w:ind w:right="100"/>
        <w:spacing w:after="0" w:line="242" w:lineRule="auto"/>
        <w:rPr>
          <w:sz w:val="20"/>
          <w:szCs w:val="20"/>
          <w:color w:val="auto"/>
        </w:rPr>
      </w:pPr>
      <w:r>
        <w:rPr>
          <w:rFonts w:ascii="Arial" w:cs="Arial" w:eastAsia="Arial" w:hAnsi="Arial"/>
          <w:sz w:val="17"/>
          <w:szCs w:val="17"/>
          <w:color w:val="auto"/>
        </w:rPr>
        <w:t>candidates that we may seek to develop or commercialize in the future. For example, the autologous cell therapies Kymriah</w:t>
      </w:r>
      <w:r>
        <w:rPr>
          <w:rFonts w:ascii="Arial" w:cs="Arial" w:eastAsia="Arial" w:hAnsi="Arial"/>
          <w:sz w:val="23"/>
          <w:szCs w:val="23"/>
          <w:color w:val="auto"/>
          <w:vertAlign w:val="superscript"/>
        </w:rPr>
        <w:t>®</w:t>
      </w:r>
      <w:r>
        <w:rPr>
          <w:rFonts w:ascii="Arial" w:cs="Arial" w:eastAsia="Arial" w:hAnsi="Arial"/>
          <w:sz w:val="17"/>
          <w:szCs w:val="17"/>
          <w:color w:val="auto"/>
        </w:rPr>
        <w:t>, Yescarta</w:t>
      </w:r>
      <w:r>
        <w:rPr>
          <w:rFonts w:ascii="Arial" w:cs="Arial" w:eastAsia="Arial" w:hAnsi="Arial"/>
          <w:sz w:val="23"/>
          <w:szCs w:val="23"/>
          <w:color w:val="auto"/>
          <w:vertAlign w:val="superscript"/>
        </w:rPr>
        <w:t>®</w:t>
      </w:r>
      <w:r>
        <w:rPr>
          <w:rFonts w:ascii="Arial" w:cs="Arial" w:eastAsia="Arial" w:hAnsi="Arial"/>
          <w:sz w:val="17"/>
          <w:szCs w:val="17"/>
          <w:color w:val="auto"/>
        </w:rPr>
        <w:t>, Tecartus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Breyanzi</w:t>
      </w:r>
      <w:r>
        <w:rPr>
          <w:rFonts w:ascii="Arial" w:cs="Arial" w:eastAsia="Arial" w:hAnsi="Arial"/>
          <w:sz w:val="23"/>
          <w:szCs w:val="23"/>
          <w:color w:val="auto"/>
          <w:vertAlign w:val="superscript"/>
        </w:rPr>
        <w:t>®</w:t>
      </w:r>
      <w:r>
        <w:rPr>
          <w:rFonts w:ascii="Arial" w:cs="Arial" w:eastAsia="Arial" w:hAnsi="Arial"/>
          <w:sz w:val="17"/>
          <w:szCs w:val="17"/>
          <w:color w:val="auto"/>
        </w:rPr>
        <w:t>, which have been commercially approved, are direct competitors to our product candidate NKX019. In addition, other competitors, including biopharmaceutical companies, have clinical-stage or earlier stage allogenic programs, and a number of other companies are seeking to harness NK biology through engagers that seek to direct a patient’s own NK cells to the site of a tumor or are investigating other types of immune cells. Numerous academic institutions are also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managing growth.*</w:t>
      </w:r>
    </w:p>
    <w:p>
      <w:pPr>
        <w:spacing w:after="0" w:line="225"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As of September 30, 2022, we had 146 full-time employees. We will need to continue to expand our managerial, operational, clinical, quality, human resources, legal, manufacturing, supply chain,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spacing w:after="0" w:line="58" w:lineRule="exact"/>
        <w:rPr>
          <w:sz w:val="20"/>
          <w:szCs w:val="20"/>
          <w:color w:val="auto"/>
        </w:rPr>
      </w:pPr>
    </w:p>
    <w:p>
      <w:pPr>
        <w:jc w:val="both"/>
        <w:ind w:left="1020" w:right="100" w:hanging="503"/>
        <w:spacing w:after="0" w:line="25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into additional office and laboratory space as we grow our employee base;</w:t>
      </w:r>
    </w:p>
    <w:p>
      <w:pPr>
        <w:spacing w:after="0" w:line="117"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the qualification of our in-house clinical GMP manufacturing facility and establish and validate a commercial GMP manufacturing facility;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reports systems and procedures.</w:t>
      </w:r>
    </w:p>
    <w:p>
      <w:pPr>
        <w:spacing w:after="0" w:line="225"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p>
    <w:p>
      <w:pPr>
        <w:spacing w:after="0" w:line="2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57"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6"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57" w:lineRule="exact"/>
        <w:rPr>
          <w:sz w:val="20"/>
          <w:szCs w:val="20"/>
          <w:color w:val="auto"/>
        </w:rPr>
      </w:pPr>
    </w:p>
    <w:p>
      <w:pPr>
        <w:ind w:right="200" w:firstLine="509"/>
        <w:spacing w:after="0" w:line="303"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32"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insurance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that we may develop;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such outcomes could materially adversely affect our business, financial condition, results of operations and growth prospects.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Our insurance policies may be inadequate, may not cover all of our potential liabilities and may potentially expose us to unrecoverable risks.</w:t>
      </w:r>
    </w:p>
    <w:p>
      <w:pPr>
        <w:spacing w:after="0" w:line="235"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86"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6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71"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9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08" w:lineRule="exact"/>
        <w:rPr>
          <w:sz w:val="20"/>
          <w:szCs w:val="20"/>
          <w:color w:val="auto"/>
        </w:rPr>
      </w:pPr>
    </w:p>
    <w:p>
      <w:pPr>
        <w:ind w:right="140"/>
        <w:spacing w:after="0" w:line="362" w:lineRule="auto"/>
        <w:rPr>
          <w:sz w:val="20"/>
          <w:szCs w:val="20"/>
          <w:color w:val="auto"/>
        </w:rPr>
      </w:pPr>
      <w:r>
        <w:rPr>
          <w:rFonts w:ascii="Arial" w:cs="Arial" w:eastAsia="Arial" w:hAnsi="Arial"/>
          <w:sz w:val="15"/>
          <w:szCs w:val="15"/>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14"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dosed patients with haplomatched NKX101.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200" w:firstLine="509"/>
        <w:spacing w:after="0" w:line="283" w:lineRule="auto"/>
        <w:rPr>
          <w:sz w:val="20"/>
          <w:szCs w:val="20"/>
          <w:color w:val="auto"/>
        </w:rPr>
      </w:pPr>
      <w:r>
        <w:rPr>
          <w:rFonts w:ascii="Arial" w:cs="Arial" w:eastAsia="Arial" w:hAnsi="Arial"/>
          <w:sz w:val="16"/>
          <w:szCs w:val="16"/>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17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6"/>
          <w:szCs w:val="16"/>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We may lose the starting material 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NKX019, or our other product candidates could materially adversely affect our business, financial condition, results of operations and growth prospects.</w:t>
      </w:r>
    </w:p>
    <w:p>
      <w:pPr>
        <w:spacing w:after="0" w:line="17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right="80" w:firstLine="509"/>
        <w:spacing w:after="0" w:line="273" w:lineRule="auto"/>
        <w:rPr>
          <w:sz w:val="20"/>
          <w:szCs w:val="20"/>
          <w:color w:val="auto"/>
        </w:rPr>
      </w:pPr>
      <w:r>
        <w:rPr>
          <w:rFonts w:ascii="Arial" w:cs="Arial" w:eastAsia="Arial" w:hAnsi="Arial"/>
          <w:sz w:val="16"/>
          <w:szCs w:val="16"/>
          <w:color w:val="auto"/>
        </w:rPr>
        <w:t>Although we are manufacturing NKX019 in our own internal manufacturing facility for the NKX019 Phase 1 clinical trial, and plan to manufacture other product candidates in our internal manufacturing facilities in the future, we may encounter problems with the internal production of our product candidates. We believe our current clinical cGMP manufacturing facility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early-stage clinical trials has been completed, we do not yet have a cGMP facility for the commercial-scale manufacture of our product candidates. We have only recently begun building a commercial-scale cGMP manufacturing facility. Building a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have experienced and may in the future experience delays in the construction of our cGMP manufacturing facilities due to the COVID-19 pandemic and current macroeconomic conditions. Current inflationary pressures are negatively affecting and could continue to negatively affect the costs of constructing our commercial-scale manufacturing facility. Global supply chain disruptions, including procurement delays and long lead times on certain materials, could adversely impact the scheduled completion and/or costs of constructing our commercial-scale manufacturing facility.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63"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b w:val="1"/>
          <w:bCs w:val="1"/>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175"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Although we are building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We also currently rely on a third-party manufacturer for our clinical supply of NKX101. We expect to continue to outsource NKX101 manufacturing even though we have an internal cGMP facility for clinical supply, at least for a certain amount of time. We compete with other companies for access to third party cGMP facilities and cannot assure continued access.</w:t>
      </w:r>
    </w:p>
    <w:p>
      <w:pPr>
        <w:spacing w:after="0" w:line="158" w:lineRule="exact"/>
        <w:rPr>
          <w:sz w:val="20"/>
          <w:szCs w:val="20"/>
          <w:color w:val="auto"/>
        </w:rPr>
      </w:pPr>
    </w:p>
    <w:p>
      <w:pPr>
        <w:ind w:right="200" w:firstLine="509"/>
        <w:spacing w:after="0" w:line="268" w:lineRule="auto"/>
        <w:rPr>
          <w:sz w:val="20"/>
          <w:szCs w:val="20"/>
          <w:color w:val="auto"/>
        </w:rPr>
      </w:pPr>
      <w:r>
        <w:rPr>
          <w:rFonts w:ascii="Arial" w:cs="Arial" w:eastAsia="Arial" w:hAnsi="Arial"/>
          <w:sz w:val="17"/>
          <w:szCs w:val="17"/>
          <w:color w:val="auto"/>
        </w:rPr>
        <w:t>In addition, we currently outsource manufacturing of certain critical materials necessary for production of our product candidates, including K562 cells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at least for a certain amount of time.</w:t>
      </w:r>
    </w:p>
    <w:p>
      <w:pPr>
        <w:spacing w:after="0" w:line="180" w:lineRule="exact"/>
        <w:rPr>
          <w:sz w:val="20"/>
          <w:szCs w:val="20"/>
          <w:color w:val="auto"/>
        </w:rPr>
      </w:pPr>
    </w:p>
    <w:p>
      <w:pPr>
        <w:ind w:right="240" w:firstLine="509"/>
        <w:spacing w:after="0" w:line="260"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87"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58"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66"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p>
    <w:p>
      <w:pPr>
        <w:spacing w:after="0" w:line="172" w:lineRule="exact"/>
        <w:rPr>
          <w:sz w:val="20"/>
          <w:szCs w:val="20"/>
          <w:color w:val="auto"/>
        </w:rPr>
      </w:pPr>
    </w:p>
    <w:p>
      <w:pPr>
        <w:ind w:right="300" w:firstLine="509"/>
        <w:spacing w:after="0" w:line="256" w:lineRule="auto"/>
        <w:rPr>
          <w:sz w:val="20"/>
          <w:szCs w:val="20"/>
          <w:color w:val="auto"/>
        </w:rPr>
      </w:pPr>
      <w:r>
        <w:rPr>
          <w:rFonts w:ascii="Arial" w:cs="Arial" w:eastAsia="Arial" w:hAnsi="Arial"/>
          <w:sz w:val="18"/>
          <w:szCs w:val="18"/>
          <w:color w:val="auto"/>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reliant on a sole supplier for certain steps of our manufacturing process.</w:t>
      </w:r>
    </w:p>
    <w:p>
      <w:pPr>
        <w:spacing w:after="0" w:line="212"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w:t>
      </w:r>
    </w:p>
    <w:p>
      <w:pPr>
        <w:spacing w:after="0" w:line="18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Any disruption in supply of these instruments and reagents could result in delays in our clinical trials, which would materially adversely affect our business, financial condition, results of operations and growth prospects.</w:t>
      </w:r>
    </w:p>
    <w:p>
      <w:pPr>
        <w:spacing w:after="0" w:line="27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89" w:lineRule="exact"/>
        <w:rPr>
          <w:sz w:val="20"/>
          <w:szCs w:val="20"/>
          <w:color w:val="auto"/>
        </w:rPr>
      </w:pPr>
    </w:p>
    <w:p>
      <w:pPr>
        <w:ind w:right="380" w:firstLine="509"/>
        <w:spacing w:after="0" w:line="263" w:lineRule="auto"/>
        <w:rPr>
          <w:sz w:val="20"/>
          <w:szCs w:val="20"/>
          <w:color w:val="auto"/>
        </w:rPr>
      </w:pPr>
      <w:r>
        <w:rPr>
          <w:rFonts w:ascii="Arial" w:cs="Arial" w:eastAsia="Arial" w:hAnsi="Arial"/>
          <w:sz w:val="17"/>
          <w:szCs w:val="17"/>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leased a property where we are building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8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ind w:right="480"/>
        <w:spacing w:after="0" w:line="261" w:lineRule="auto"/>
        <w:rPr>
          <w:sz w:val="20"/>
          <w:szCs w:val="20"/>
          <w:color w:val="auto"/>
        </w:rPr>
      </w:pPr>
      <w:r>
        <w:rPr>
          <w:rFonts w:ascii="Arial" w:cs="Arial" w:eastAsia="Arial" w:hAnsi="Arial"/>
          <w:sz w:val="18"/>
          <w:szCs w:val="18"/>
          <w:color w:val="auto"/>
        </w:rPr>
        <w:t>revocation, seizures or recalls of drug candidates, operating restrictions and criminal prosecutions, any of which could materially adversely affect our business, financial condition, results of operations and growth prospects.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may encounter problems with the following:</w:t>
      </w:r>
    </w:p>
    <w:p>
      <w:pPr>
        <w:spacing w:after="0" w:line="104" w:lineRule="exact"/>
        <w:rPr>
          <w:sz w:val="20"/>
          <w:szCs w:val="20"/>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76"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due to natural disasters or supply chain interruptions;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12"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57"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store our CAR-NK cells, viral vector, master and working cell banks of the engineered K562 cells, and any damage or loss would cause delays in replacement, and our business could suffer.</w:t>
      </w:r>
    </w:p>
    <w:p>
      <w:pPr>
        <w:spacing w:after="0" w:line="15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7"/>
          <w:szCs w:val="17"/>
          <w:color w:val="auto"/>
        </w:rPr>
        <w:t>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right="280"/>
        <w:spacing w:after="0" w:line="261" w:lineRule="auto"/>
        <w:rPr>
          <w:sz w:val="20"/>
          <w:szCs w:val="20"/>
          <w:color w:val="auto"/>
        </w:rPr>
      </w:pPr>
      <w:r>
        <w:rPr>
          <w:rFonts w:ascii="Arial" w:cs="Arial" w:eastAsia="Arial" w:hAnsi="Arial"/>
          <w:sz w:val="18"/>
          <w:szCs w:val="18"/>
          <w:b w:val="1"/>
          <w:bCs w:val="1"/>
          <w:i w:val="1"/>
          <w:iCs w:val="1"/>
          <w:color w:val="auto"/>
        </w:rPr>
        <w:t>We have not yet developed a validated methodology for freezing and thawing commercial-scale quantities of CAR-NK cells, which we believe will be required for the storage and distribution of our CAR-NK product candidates.</w:t>
      </w:r>
    </w:p>
    <w:p>
      <w:pPr>
        <w:spacing w:after="0" w:line="18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CAR-NK cells for shipping purposes, our ability to promote adoption and standardization of our product candidates,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w:t>
      </w:r>
    </w:p>
    <w:p>
      <w:pPr>
        <w:spacing w:after="0" w:line="18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p>
    <w:p>
      <w:pPr>
        <w:spacing w:after="0" w:line="181" w:lineRule="exact"/>
        <w:rPr>
          <w:sz w:val="20"/>
          <w:szCs w:val="20"/>
          <w:color w:val="auto"/>
        </w:rPr>
      </w:pPr>
    </w:p>
    <w:p>
      <w:pPr>
        <w:jc w:val="both"/>
        <w:ind w:right="400" w:firstLine="509"/>
        <w:spacing w:after="0" w:line="278" w:lineRule="auto"/>
        <w:rPr>
          <w:sz w:val="20"/>
          <w:szCs w:val="20"/>
          <w:color w:val="auto"/>
        </w:rPr>
      </w:pPr>
      <w:r>
        <w:rPr>
          <w:rFonts w:ascii="Arial" w:cs="Arial" w:eastAsia="Arial" w:hAnsi="Arial"/>
          <w:sz w:val="17"/>
          <w:szCs w:val="17"/>
          <w:color w:val="auto"/>
        </w:rPr>
        <w:t>For these and other reasons, we have not yet established the long-term stability of our cryopreserved CAR-NK cells and we may not be able to commercialize CAR-NK cells on a large scale or in a cost-effective manner. If such product candidate is found to be instable, we would be required to conduct more frequent manufacturing runs, which could cause us to incur significant additional expenses.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157"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w:t>
      </w:r>
    </w:p>
    <w:p>
      <w:pPr>
        <w:spacing w:after="0" w:line="175"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8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8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140" w:firstLine="509"/>
        <w:spacing w:after="0" w:line="249" w:lineRule="auto"/>
        <w:rPr>
          <w:sz w:val="20"/>
          <w:szCs w:val="20"/>
          <w:color w:val="auto"/>
        </w:rPr>
      </w:pPr>
      <w:r>
        <w:rPr>
          <w:rFonts w:ascii="Arial" w:cs="Arial" w:eastAsia="Arial" w:hAnsi="Arial"/>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w:t>
      </w:r>
    </w:p>
    <w:p>
      <w:pPr>
        <w:spacing w:after="0" w:line="181"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16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w:t>
      </w:r>
    </w:p>
    <w:p>
      <w:pPr>
        <w:spacing w:after="0" w:line="186"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5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87"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57"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As of September 30, 2022,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CD70 CAR-NK patent families. Our portfolio of issued patents, excluding pending patent applications, has expiration dates between 2024 and 2040. Our portfolio, including issued patents, and including pending applications if they issue, has expiration dates between 2024 and 2043. We plan to file additional patent applications that could potentially allow for further increase of the exclusive market protection for use of NKX101, NKX019, and the product candidate from our CD70 CAR-NK program. However, we can provide no assurance that we will be able to file or receive additional patent protection for these or other product candidates.</w:t>
      </w:r>
    </w:p>
    <w:p>
      <w:pPr>
        <w:spacing w:after="0" w:line="158"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60" w:firstLine="509"/>
        <w:spacing w:after="0" w:line="273" w:lineRule="auto"/>
        <w:rPr>
          <w:sz w:val="20"/>
          <w:szCs w:val="20"/>
          <w:color w:val="auto"/>
        </w:rPr>
      </w:pPr>
      <w:r>
        <w:rPr>
          <w:rFonts w:ascii="Arial" w:cs="Arial" w:eastAsia="Arial" w:hAnsi="Arial"/>
          <w:sz w:val="16"/>
          <w:szCs w:val="16"/>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276"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89"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58"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80"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w:t>
      </w:r>
    </w:p>
    <w:p>
      <w:pPr>
        <w:spacing w:after="0" w:line="195"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p>
    <w:p>
      <w:pPr>
        <w:spacing w:after="0" w:line="175" w:lineRule="exact"/>
        <w:rPr>
          <w:sz w:val="20"/>
          <w:szCs w:val="20"/>
          <w:color w:val="auto"/>
        </w:rPr>
      </w:pPr>
    </w:p>
    <w:p>
      <w:pPr>
        <w:ind w:right="160" w:firstLine="509"/>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66"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60" w:firstLine="509"/>
        <w:spacing w:after="0" w:line="243" w:lineRule="auto"/>
        <w:rPr>
          <w:sz w:val="20"/>
          <w:szCs w:val="20"/>
          <w:color w:val="auto"/>
        </w:rPr>
      </w:pPr>
      <w:r>
        <w:rPr>
          <w:rFonts w:ascii="Arial" w:cs="Arial" w:eastAsia="Arial" w:hAnsi="Arial"/>
          <w:sz w:val="18"/>
          <w:szCs w:val="18"/>
          <w:color w:val="auto"/>
        </w:rPr>
        <w:t>Ex parte reexaminations have been filed by one or more third parties against certain licensed patents in our portfolio. Ex parte reexaminations of U.S. Patent Nos. 10,774,309 and 10,829,737, which relate to our NKX101 product candidate, are pending. One ex parte reexamination of U.S. Patent No. 9,511,092 (the “092 Patent”), which does not relate to any of our current product candidates, was concluded, resulting in cancellation of certain claims, while another ex parte reexamination of the 092 Patent is pending.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9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89"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8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w:t>
      </w:r>
    </w:p>
    <w:p>
      <w:pPr>
        <w:spacing w:after="0" w:line="158"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8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success depends in part on our ability to develop, manufacture and market our technology and use our technology without infringing the</w:t>
      </w:r>
    </w:p>
    <w:p>
      <w:pPr>
        <w:spacing w:after="0" w:line="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right="60" w:firstLine="509"/>
        <w:spacing w:after="0" w:line="283" w:lineRule="auto"/>
        <w:rPr>
          <w:sz w:val="20"/>
          <w:szCs w:val="20"/>
          <w:color w:val="auto"/>
        </w:rPr>
      </w:pPr>
      <w:r>
        <w:rPr>
          <w:rFonts w:ascii="Arial" w:cs="Arial" w:eastAsia="Arial" w:hAnsi="Arial"/>
          <w:sz w:val="16"/>
          <w:szCs w:val="16"/>
          <w:color w:val="auto"/>
        </w:rPr>
        <w:t>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56"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w:t>
      </w:r>
    </w:p>
    <w:p>
      <w:pPr>
        <w:spacing w:after="0" w:line="294"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87"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spacing w:after="0" w:line="18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5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66"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73" w:lineRule="exact"/>
        <w:rPr>
          <w:sz w:val="20"/>
          <w:szCs w:val="20"/>
          <w:color w:val="auto"/>
        </w:rPr>
      </w:pPr>
    </w:p>
    <w:p>
      <w:pPr>
        <w:ind w:right="380" w:firstLine="509"/>
        <w:spacing w:after="0" w:line="249" w:lineRule="auto"/>
        <w:rPr>
          <w:sz w:val="20"/>
          <w:szCs w:val="20"/>
          <w:color w:val="auto"/>
        </w:rPr>
      </w:pPr>
      <w:r>
        <w:rPr>
          <w:rFonts w:ascii="Arial" w:cs="Arial" w:eastAsia="Arial" w:hAnsi="Arial"/>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240"/>
        <w:spacing w:after="0" w:line="261"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1"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57"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w:t>
      </w:r>
    </w:p>
    <w:p>
      <w:pPr>
        <w:spacing w:after="0" w:line="161"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may fail to obtain or enforce assignments of intellectual property rights from our employees and contractors.</w:t>
      </w:r>
    </w:p>
    <w:p>
      <w:pPr>
        <w:spacing w:after="0" w:line="212"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26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8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96"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24"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p>
    <w:p>
      <w:pPr>
        <w:spacing w:after="0" w:line="173"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w:t>
      </w:r>
    </w:p>
    <w:p>
      <w:pPr>
        <w:spacing w:after="0" w:line="166" w:lineRule="exact"/>
        <w:rPr>
          <w:sz w:val="20"/>
          <w:szCs w:val="20"/>
          <w:color w:val="auto"/>
        </w:rPr>
      </w:pPr>
    </w:p>
    <w:p>
      <w:pPr>
        <w:ind w:right="160" w:firstLine="509"/>
        <w:spacing w:after="0" w:line="268" w:lineRule="auto"/>
        <w:rPr>
          <w:sz w:val="20"/>
          <w:szCs w:val="20"/>
          <w:color w:val="auto"/>
        </w:rPr>
      </w:pPr>
      <w:r>
        <w:rPr>
          <w:rFonts w:ascii="Arial" w:cs="Arial" w:eastAsia="Arial" w:hAnsi="Arial"/>
          <w:sz w:val="17"/>
          <w:szCs w:val="17"/>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p>
    <w:p>
      <w:pPr>
        <w:spacing w:after="0" w:line="180"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75"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30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product candidates, including NKX101 and NKX019, could be subject to regulatory limitations following approval, if and when such approval is granted.</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Following approval of a product candidate, if any, we must comply with comprehensive government regulations regarding the manufacture,</w:t>
      </w:r>
    </w:p>
    <w:p>
      <w:pPr>
        <w:spacing w:after="0" w:line="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p>
    <w:p>
      <w:pPr>
        <w:spacing w:after="0" w:line="20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87" w:lineRule="exact"/>
        <w:rPr>
          <w:sz w:val="20"/>
          <w:szCs w:val="20"/>
          <w:color w:val="auto"/>
        </w:rPr>
      </w:pPr>
    </w:p>
    <w:p>
      <w:pPr>
        <w:ind w:right="40" w:firstLine="509"/>
        <w:spacing w:after="0" w:line="278" w:lineRule="auto"/>
        <w:rPr>
          <w:sz w:val="20"/>
          <w:szCs w:val="20"/>
          <w:color w:val="auto"/>
        </w:rPr>
      </w:pPr>
      <w:r>
        <w:rPr>
          <w:rFonts w:ascii="Arial" w:cs="Arial" w:eastAsia="Arial" w:hAnsi="Arial"/>
          <w:sz w:val="17"/>
          <w:szCs w:val="17"/>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50"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such products’ manufacturing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the product label;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of a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product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Untitled or Warning Letters from the FDA;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0" w:name="page61"/>
    <w:bookmarkEnd w:id="60"/>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12"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9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86" w:lineRule="exact"/>
        <w:rPr>
          <w:sz w:val="20"/>
          <w:szCs w:val="20"/>
          <w:color w:val="auto"/>
        </w:rPr>
      </w:pPr>
    </w:p>
    <w:p>
      <w:pPr>
        <w:ind w:right="380" w:firstLine="509"/>
        <w:spacing w:after="0" w:line="260"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57"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48"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physicians to refer patients and prescribe new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prevalence and severity of any side effects;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1" w:name="page62"/>
    <w:bookmarkEnd w:id="61"/>
    <w:p>
      <w:pPr>
        <w:ind w:left="1020" w:right="2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labeling or product insert requirements imposed by the FDA or other regulatory authorities, including any limitations or warnings contained in a product’s approved labeling;</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publicity concerning our product candidates or favorable publicity about competing products and treatments;</w:t>
      </w:r>
    </w:p>
    <w:p>
      <w:pPr>
        <w:spacing w:after="0" w:line="117"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sufficient third-party payor coverage, any limitations in terms of center or personnel training requirement imposed by third parties and adequate reimbursement;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labeling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FDA requirement to undertake a REMS;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2"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5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307"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2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8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ind w:firstLine="509"/>
        <w:spacing w:after="0" w:line="277" w:lineRule="auto"/>
        <w:rPr>
          <w:sz w:val="20"/>
          <w:szCs w:val="20"/>
          <w:color w:val="auto"/>
        </w:rPr>
      </w:pPr>
      <w:r>
        <w:rPr>
          <w:rFonts w:ascii="Arial" w:cs="Arial" w:eastAsia="Arial" w:hAnsi="Arial"/>
          <w:sz w:val="16"/>
          <w:szCs w:val="16"/>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7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harm our business.*</w:t>
      </w:r>
    </w:p>
    <w:p>
      <w:pPr>
        <w:spacing w:after="0" w:line="225" w:lineRule="exact"/>
        <w:rPr>
          <w:sz w:val="20"/>
          <w:szCs w:val="20"/>
          <w:color w:val="auto"/>
        </w:rPr>
      </w:pPr>
    </w:p>
    <w:p>
      <w:pPr>
        <w:ind w:right="120" w:firstLine="509"/>
        <w:spacing w:after="0" w:line="260" w:lineRule="auto"/>
        <w:rPr>
          <w:sz w:val="20"/>
          <w:szCs w:val="20"/>
          <w:color w:val="auto"/>
        </w:rPr>
      </w:pPr>
      <w:r>
        <w:rPr>
          <w:rFonts w:ascii="Arial" w:cs="Arial" w:eastAsia="Arial" w:hAnsi="Arial"/>
          <w:sz w:val="17"/>
          <w:szCs w:val="17"/>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66" w:lineRule="exact"/>
        <w:rPr>
          <w:sz w:val="20"/>
          <w:szCs w:val="20"/>
          <w:color w:val="auto"/>
        </w:rPr>
      </w:pPr>
    </w:p>
    <w:p>
      <w:pPr>
        <w:ind w:left="1020" w:right="400" w:hanging="503"/>
        <w:spacing w:after="0" w:line="25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66" w:lineRule="exact"/>
        <w:rPr>
          <w:rFonts w:ascii="Arial" w:cs="Arial" w:eastAsia="Arial" w:hAnsi="Arial"/>
          <w:sz w:val="18"/>
          <w:szCs w:val="18"/>
          <w:color w:val="auto"/>
        </w:rPr>
      </w:pPr>
    </w:p>
    <w:p>
      <w:pPr>
        <w:ind w:left="1020" w:right="180" w:hanging="503"/>
        <w:spacing w:after="0" w:line="25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66"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48" w:lineRule="exact"/>
        <w:rPr>
          <w:rFonts w:ascii="Arial" w:cs="Arial" w:eastAsia="Arial" w:hAnsi="Arial"/>
          <w:sz w:val="18"/>
          <w:szCs w:val="18"/>
          <w:color w:val="auto"/>
        </w:rPr>
      </w:pPr>
    </w:p>
    <w:p>
      <w:pPr>
        <w:ind w:left="1020" w:right="440" w:hanging="503"/>
        <w:spacing w:after="0" w:line="25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03"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48"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the CMS to test innovative payment and service delivery models to lower Medicare and Medicaid spending, potentially including prescription drug spending.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ind w:firstLine="509"/>
        <w:spacing w:after="0" w:line="273"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case was appealed to the U.S. Court of Appeals for the Fifth Circuit. On December 18, 2019, a three-judge panel of the U.S. Court of Appeals for the Fifth Circuit declared the ACA’s individual mandate unconstitutional and remanded the case back to the Texas Federal District Court to determine whether the remainder of the ACA also is unconstitutional. On March 2, 2020, the U.S. Supreme Court agreed to hear two consolidated cases, filed by the State of California and the United States House of Representatives, asking the U.S. Supreme Court to review the severability issue. On June 17, 2021, the U.S. Supreme Court dismissed the case, finding that the plaintiffs lacked standing. Additionally,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There can be no assurances that opponents to the ACA and other healthcare reform measures will not continue attempts to repeal and/or replace the ACA.</w:t>
      </w:r>
    </w:p>
    <w:p>
      <w:pPr>
        <w:spacing w:after="0" w:line="16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 -19 pandemic. Proposed legislation, if passed, would extend this suspension until the end of the COVID-19 pandemic; however, the reductions are expected to continue through 2030.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80" w:lineRule="exact"/>
        <w:rPr>
          <w:sz w:val="20"/>
          <w:szCs w:val="20"/>
          <w:color w:val="auto"/>
        </w:rPr>
      </w:pPr>
    </w:p>
    <w:p>
      <w:pPr>
        <w:ind w:right="220" w:firstLine="509"/>
        <w:spacing w:after="0" w:line="283" w:lineRule="auto"/>
        <w:rPr>
          <w:sz w:val="20"/>
          <w:szCs w:val="20"/>
          <w:color w:val="auto"/>
        </w:rPr>
      </w:pPr>
      <w:r>
        <w:rPr>
          <w:rFonts w:ascii="Arial" w:cs="Arial" w:eastAsia="Arial" w:hAnsi="Arial"/>
          <w:sz w:val="16"/>
          <w:szCs w:val="16"/>
          <w:color w:val="auto"/>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administration have each indicated that it will continue to seek new legislative and/or administrative measures to control drug costs.</w:t>
      </w:r>
    </w:p>
    <w:p>
      <w:pPr>
        <w:spacing w:after="0" w:line="15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ind w:right="20" w:firstLine="509"/>
        <w:spacing w:after="0" w:line="273" w:lineRule="auto"/>
        <w:rPr>
          <w:sz w:val="20"/>
          <w:szCs w:val="20"/>
          <w:color w:val="auto"/>
        </w:rPr>
      </w:pPr>
      <w:r>
        <w:rPr>
          <w:rFonts w:ascii="Arial" w:cs="Arial" w:eastAsia="Arial" w:hAnsi="Arial"/>
          <w:sz w:val="16"/>
          <w:szCs w:val="16"/>
          <w:color w:val="auto"/>
        </w:rPr>
        <w:t>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August 2022, the Inflation Reduction Act of 2022 (the “IRA”) was passed by the U.S. Congress and signed into law by President Biden.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and (iii) cap Medicare beneficiaries’ annual out-of-pocket drug expenses. The IRA also extends enhanced subsidies for individuals purchasing coverage in a health insurance marketplace through plan year 2025. The effect of the IRA on our business and the healthcare industry in general is not yet known</w:t>
      </w:r>
    </w:p>
    <w:p>
      <w:pPr>
        <w:spacing w:after="0" w:line="168"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Congress and the Biden administration have indicated that they will continue to pursue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what initiatives may be adopted in the future.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spacing w:after="0" w:line="2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57" w:lineRule="exact"/>
        <w:rPr>
          <w:sz w:val="20"/>
          <w:szCs w:val="20"/>
          <w:color w:val="auto"/>
        </w:rPr>
      </w:pPr>
    </w:p>
    <w:p>
      <w:pPr>
        <w:ind w:right="260" w:firstLine="509"/>
        <w:spacing w:after="0" w:line="290" w:lineRule="auto"/>
        <w:rPr>
          <w:sz w:val="20"/>
          <w:szCs w:val="20"/>
          <w:color w:val="auto"/>
        </w:rPr>
      </w:pPr>
      <w:r>
        <w:rPr>
          <w:rFonts w:ascii="Arial" w:cs="Arial" w:eastAsia="Arial" w:hAnsi="Arial"/>
          <w:sz w:val="16"/>
          <w:szCs w:val="16"/>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we market approved products outside the United States, we expect that we will be subject to additional risks in commercialization, including:</w:t>
      </w:r>
    </w:p>
    <w:p>
      <w:pPr>
        <w:spacing w:after="0" w:line="115"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therapies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right="220" w:hanging="503"/>
        <w:spacing w:after="0" w:line="324"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and other public health crises, illnesses, epidemics or pandemics, such as the potential impact of the COVID-19 outbreak.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jc w:val="both"/>
        <w:ind w:right="240" w:firstLine="509"/>
        <w:spacing w:after="0" w:line="256" w:lineRule="auto"/>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83" w:lineRule="exact"/>
        <w:rPr>
          <w:sz w:val="20"/>
          <w:szCs w:val="20"/>
          <w:color w:val="auto"/>
        </w:rPr>
      </w:pPr>
    </w:p>
    <w:p>
      <w:pPr>
        <w:ind w:right="500"/>
        <w:spacing w:after="0" w:line="362" w:lineRule="auto"/>
        <w:rPr>
          <w:sz w:val="20"/>
          <w:szCs w:val="20"/>
          <w:color w:val="auto"/>
        </w:rPr>
      </w:pPr>
      <w:r>
        <w:rPr>
          <w:rFonts w:ascii="Arial" w:cs="Arial" w:eastAsia="Arial" w:hAnsi="Arial"/>
          <w:sz w:val="15"/>
          <w:szCs w:val="15"/>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1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88"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comply with evolving global privacy laws.</w:t>
      </w:r>
    </w:p>
    <w:p>
      <w:pPr>
        <w:spacing w:after="0" w:line="225"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5"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ind w:right="20" w:firstLine="509"/>
        <w:spacing w:after="0" w:line="276" w:lineRule="auto"/>
        <w:rPr>
          <w:sz w:val="20"/>
          <w:szCs w:val="20"/>
          <w:color w:val="auto"/>
        </w:rPr>
      </w:pPr>
      <w:r>
        <w:rPr>
          <w:rFonts w:ascii="Arial" w:cs="Arial" w:eastAsia="Arial" w:hAnsi="Arial"/>
          <w:sz w:val="16"/>
          <w:szCs w:val="16"/>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6"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(the “CCPA”), which went into effect on January 1, 2020, is creating similar risks and obligations as those created by the GDPR, though the California Consumer Privacy Act does exempt certain clinical trial data.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 which could contribute to the loss of all or part of your investment.</w:t>
      </w:r>
    </w:p>
    <w:p>
      <w:pPr>
        <w:spacing w:after="0" w:line="22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are beyond our control.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affecting the trading price of our common stock may include, but are not limited to:</w:t>
      </w:r>
    </w:p>
    <w:p>
      <w:pPr>
        <w:spacing w:after="0" w:line="117"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decision to initiate a clinical study, not to initiate a clinical study or to terminate an existing clinical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announcement of initial data or clinical results from our clinical trials or expectations that such delays may occur;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or failure of competitive products, immunotherapy drugs or cellular therapies more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strategic partnerships;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w:t>
      </w:r>
    </w:p>
    <w:p>
      <w:pPr>
        <w:spacing w:after="0" w:line="76"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inflationary pressures, interest rates, fuel prices, elections, drug pricing policies, international currency fluctuations, acts of war or terrorism, and other public health crises, illnesses, epidemics or pandemics, such as the potential impact of the COVID-19 outbreak; and</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discussed in these risk factors.</w:t>
      </w:r>
    </w:p>
    <w:p>
      <w:pPr>
        <w:spacing w:after="0" w:line="212" w:lineRule="exact"/>
        <w:rPr>
          <w:sz w:val="20"/>
          <w:szCs w:val="20"/>
          <w:color w:val="auto"/>
        </w:rPr>
      </w:pPr>
    </w:p>
    <w:p>
      <w:pPr>
        <w:ind w:right="180" w:firstLine="509"/>
        <w:spacing w:after="0" w:line="278" w:lineRule="auto"/>
        <w:rPr>
          <w:sz w:val="20"/>
          <w:szCs w:val="20"/>
          <w:color w:val="auto"/>
        </w:rPr>
      </w:pPr>
      <w:r>
        <w:rPr>
          <w:rFonts w:ascii="Arial" w:cs="Arial" w:eastAsia="Arial" w:hAnsi="Arial"/>
          <w:sz w:val="17"/>
          <w:szCs w:val="17"/>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firstLine="509"/>
        <w:spacing w:after="0" w:line="257" w:lineRule="auto"/>
        <w:rPr>
          <w:sz w:val="20"/>
          <w:szCs w:val="20"/>
          <w:color w:val="auto"/>
        </w:rPr>
      </w:pPr>
      <w:r>
        <w:rPr>
          <w:rFonts w:ascii="Arial" w:cs="Arial" w:eastAsia="Arial" w:hAnsi="Arial"/>
          <w:sz w:val="17"/>
          <w:szCs w:val="17"/>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8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8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As of November 7, 2022, our directors and executive officers, and entities affiliated with them, as well as holders of more than 5% of our outstanding shares of common stock, in the aggregate beneficially own 42%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1" w:lineRule="exact"/>
        <w:rPr>
          <w:sz w:val="20"/>
          <w:szCs w:val="20"/>
          <w:color w:val="auto"/>
        </w:rPr>
      </w:pPr>
    </w:p>
    <w:p>
      <w:pPr>
        <w:jc w:val="both"/>
        <w:ind w:right="160" w:firstLine="509"/>
        <w:spacing w:after="0" w:line="303" w:lineRule="auto"/>
        <w:rPr>
          <w:sz w:val="20"/>
          <w:szCs w:val="20"/>
          <w:color w:val="auto"/>
        </w:rPr>
      </w:pPr>
      <w:r>
        <w:rPr>
          <w:rFonts w:ascii="Arial" w:cs="Arial" w:eastAsia="Arial" w:hAnsi="Arial"/>
          <w:sz w:val="16"/>
          <w:szCs w:val="16"/>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4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8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November 7, 2022, we had 48,813,720 shares of common stock outstanding.</w:t>
      </w:r>
    </w:p>
    <w:p>
      <w:pPr>
        <w:spacing w:after="0" w:line="182"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Holders of an aggregate of 13,200,076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7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75"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ind w:firstLine="509"/>
        <w:spacing w:after="0" w:line="245"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99"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8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7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carryovers and certain other tax attributes may be limited.</w:t>
      </w:r>
    </w:p>
    <w:p>
      <w:pPr>
        <w:spacing w:after="0" w:line="21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spacing w:after="0" w:line="18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We do not expect to pay any cash dividends to the holders of our common stock for the foreseeable future.</w:t>
      </w:r>
    </w:p>
    <w:p>
      <w:pPr>
        <w:spacing w:after="0" w:line="212"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30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9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63" w:lineRule="exact"/>
        <w:rPr>
          <w:sz w:val="20"/>
          <w:szCs w:val="20"/>
          <w:color w:val="auto"/>
        </w:rPr>
      </w:pPr>
    </w:p>
    <w:p>
      <w:pPr>
        <w:ind w:left="1020" w:right="4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6"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48"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a majority of directors then in office, even though less than a quorum, may fill vacancies on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bylaws;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require supermajority votes of the holders of our common stock to amend specified provisions of our Certificate of Incorporation and bylaws.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12"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10"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3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71"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2"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of our directors, officers or other employees to us or our stockholders;</w:t>
      </w:r>
    </w:p>
    <w:p>
      <w:pPr>
        <w:spacing w:after="0" w:line="128" w:lineRule="exact"/>
        <w:rPr>
          <w:rFonts w:ascii="Arial" w:cs="Arial" w:eastAsia="Arial" w:hAnsi="Arial"/>
          <w:sz w:val="17"/>
          <w:szCs w:val="17"/>
          <w:color w:val="auto"/>
        </w:rPr>
      </w:pPr>
    </w:p>
    <w:p>
      <w:pPr>
        <w:ind w:left="1020" w:right="9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 asserting a claim against us arising pursuant to any provision of the Delaware General Corporation Law, our certificate of incorporation or our bylaws;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action asserting a claim against us that is governed by the internal affairs doctrine.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right="80" w:firstLine="509"/>
        <w:spacing w:after="0" w:line="249" w:lineRule="auto"/>
        <w:rPr>
          <w:sz w:val="20"/>
          <w:szCs w:val="20"/>
          <w:color w:val="auto"/>
        </w:rPr>
      </w:pPr>
      <w:r>
        <w:rPr>
          <w:rFonts w:ascii="Arial" w:cs="Arial" w:eastAsia="Arial" w:hAnsi="Arial"/>
          <w:sz w:val="18"/>
          <w:szCs w:val="18"/>
          <w:color w:val="auto"/>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1"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72"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macroeconomic conditions, including rising inflation, interest rates and supply chain constraints.*</w:t>
      </w:r>
    </w:p>
    <w:p>
      <w:pPr>
        <w:spacing w:after="0" w:line="320"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global financial markets. For instance, inflation has negatively impacted us and could continue to negatively impact us by increasing our cost of labor (through higher wages), commercial support, construction, manufacturing and clinical supply expenditures. See above under “</w:t>
      </w:r>
      <w:r>
        <w:rPr>
          <w:rFonts w:ascii="Arial" w:cs="Arial" w:eastAsia="Arial" w:hAnsi="Arial"/>
          <w:sz w:val="17"/>
          <w:szCs w:val="17"/>
          <w:i w:val="1"/>
          <w:iCs w:val="1"/>
          <w:color w:val="auto"/>
        </w:rPr>
        <w:t>Our manufacturing process is novel and</w:t>
      </w:r>
      <w:r>
        <w:rPr>
          <w:rFonts w:ascii="Arial" w:cs="Arial" w:eastAsia="Arial" w:hAnsi="Arial"/>
          <w:sz w:val="17"/>
          <w:szCs w:val="17"/>
          <w:color w:val="auto"/>
        </w:rPr>
        <w:t xml:space="preserve"> </w:t>
      </w:r>
      <w:r>
        <w:rPr>
          <w:rFonts w:ascii="Arial" w:cs="Arial" w:eastAsia="Arial" w:hAnsi="Arial"/>
          <w:sz w:val="17"/>
          <w:szCs w:val="17"/>
          <w:i w:val="1"/>
          <w:iCs w:val="1"/>
          <w:color w:val="auto"/>
        </w:rPr>
        <w:t>complex, and we may encounter difficulties in production, or difficulties with internal manufacturing, which would delay or prevent our ability to provide a sufficient supply of our product candidates for clinical trials or our products for patients, if approved</w:t>
      </w:r>
      <w:r>
        <w:rPr>
          <w:rFonts w:ascii="Arial" w:cs="Arial" w:eastAsia="Arial" w:hAnsi="Arial"/>
          <w:sz w:val="17"/>
          <w:szCs w:val="17"/>
          <w:color w:val="auto"/>
        </w:rPr>
        <w:t>” for the risks related to the impact of inflation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of our commercial-scale manufacturing facility.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Similarly, these macroeconomic factors could affect the ability of our third-party manufacturers, contractors or suppliers to manufacture materials required for our product candidates on a cost effective basis, if at all.</w:t>
      </w:r>
    </w:p>
    <w:p>
      <w:pPr>
        <w:spacing w:after="0" w:line="288"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84"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87"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assumption of indebtedness or contingent or unknown liabilities;</w:t>
      </w:r>
    </w:p>
    <w:p>
      <w:pPr>
        <w:spacing w:after="0" w:line="103"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drugs of an acquired company, including difficulties associated with integrating new personnel;</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adequately prosecuting and maintaining protection of any acquired intellectual property rights;</w:t>
      </w:r>
    </w:p>
    <w:p>
      <w:pPr>
        <w:spacing w:after="0" w:line="103"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drug programs and initiatives in pursuing such a strategic partnership, merger or acquisition;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about our ability to maintain key business relationships;</w:t>
      </w:r>
    </w:p>
    <w:p>
      <w:pPr>
        <w:spacing w:after="0" w:line="103"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product candidates and regulatory approvals; and</w:t>
      </w:r>
    </w:p>
    <w:p>
      <w:pPr>
        <w:spacing w:after="0" w:line="48" w:lineRule="exact"/>
        <w:rPr>
          <w:rFonts w:ascii="Arial" w:cs="Arial" w:eastAsia="Arial" w:hAnsi="Arial"/>
          <w:sz w:val="18"/>
          <w:szCs w:val="18"/>
          <w:color w:val="auto"/>
        </w:rPr>
      </w:pPr>
    </w:p>
    <w:p>
      <w:pPr>
        <w:ind w:left="1020" w:right="420" w:hanging="503"/>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60"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2"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5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57"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spacing w:after="0" w:line="18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ind w:right="180" w:firstLine="509"/>
        <w:spacing w:after="0" w:line="263" w:lineRule="auto"/>
        <w:rPr>
          <w:sz w:val="20"/>
          <w:szCs w:val="20"/>
          <w:color w:val="auto"/>
        </w:rPr>
      </w:pPr>
      <w:r>
        <w:rPr>
          <w:rFonts w:ascii="Arial" w:cs="Arial" w:eastAsia="Arial" w:hAnsi="Arial"/>
          <w:sz w:val="17"/>
          <w:szCs w:val="17"/>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8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2"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9"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0"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83"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right="560"/>
        <w:spacing w:after="0" w:line="261" w:lineRule="auto"/>
        <w:rPr>
          <w:sz w:val="20"/>
          <w:szCs w:val="20"/>
          <w:color w:val="auto"/>
        </w:rPr>
      </w:pPr>
      <w:r>
        <w:rPr>
          <w:rFonts w:ascii="Arial" w:cs="Arial" w:eastAsia="Arial" w:hAnsi="Arial"/>
          <w:sz w:val="18"/>
          <w:szCs w:val="18"/>
          <w:b w:val="1"/>
          <w:bCs w:val="1"/>
          <w:i w:val="1"/>
          <w:iCs w:val="1"/>
          <w:color w:val="auto"/>
        </w:rPr>
        <w:t>Computer system interruptions or security breaches could significantly disrupt our product development programs and our ability to operate our business.</w:t>
      </w:r>
    </w:p>
    <w:p>
      <w:pPr>
        <w:spacing w:after="0" w:line="76"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On July 14, 2020, we completed our IPO. Our registration statement on Form S-1 (File No. 333-239301) relating to the IPO was declared effective by the SEC on July 9, 2020.</w:t>
      </w:r>
    </w:p>
    <w:p>
      <w:pPr>
        <w:spacing w:after="0" w:line="171"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July 13, 2020 pursuant to Rule 424(b)(4) under the Securities Act. As of September 30, 2022, we estimate that we have used $102.6 million from the net proceeds from the IPO primarily to advance our product candidates through preclinical studies and clinical trial programs, the construction of our manufacturing facility, and for working capital and general corporate purposes. We invested the remaining funds received in cash equivalents and other marketable securities in accordance with our investment policy.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Exhibit</w:t>
            </w:r>
          </w:p>
        </w:tc>
        <w:tc>
          <w:tcPr>
            <w:tcW w:w="17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15"/>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0"/>
          </w:tcPr>
          <w:p>
            <w:pPr>
              <w:spacing w:after="0"/>
              <w:rPr>
                <w:rFonts w:ascii="Arial" w:cs="Arial" w:eastAsia="Arial" w:hAnsi="Arial"/>
                <w:sz w:val="18"/>
                <w:szCs w:val="18"/>
                <w:color w:val="0000FF"/>
              </w:rPr>
            </w:pPr>
            <w:hyperlink r:id="rId251">
              <w:r>
                <w:rPr>
                  <w:rFonts w:ascii="Arial" w:cs="Arial" w:eastAsia="Arial" w:hAnsi="Arial"/>
                  <w:sz w:val="18"/>
                  <w:szCs w:val="18"/>
                  <w:color w:val="0000FF"/>
                </w:rPr>
                <w:t>Amended and Restated Certificate of</w:t>
              </w:r>
            </w:hyperlink>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40" w:type="dxa"/>
            <w:vAlign w:val="bottom"/>
          </w:tcPr>
          <w:p>
            <w:pPr>
              <w:ind w:left="540"/>
              <w:spacing w:after="0"/>
              <w:rPr>
                <w:sz w:val="20"/>
                <w:szCs w:val="20"/>
                <w:color w:val="auto"/>
              </w:rPr>
            </w:pPr>
            <w:r>
              <w:rPr>
                <w:rFonts w:ascii="Arial" w:cs="Arial" w:eastAsia="Arial" w:hAnsi="Arial"/>
                <w:sz w:val="18"/>
                <w:szCs w:val="18"/>
                <w:color w:val="auto"/>
              </w:rPr>
              <w:t>7/14/2020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2"/>
              </w:rPr>
            </w:pPr>
            <w:hyperlink r:id="rId251">
              <w:r>
                <w:rPr>
                  <w:rFonts w:ascii="Arial" w:cs="Arial" w:eastAsia="Arial" w:hAnsi="Arial"/>
                  <w:sz w:val="18"/>
                  <w:szCs w:val="18"/>
                  <w:color w:val="0000FF"/>
                  <w:w w:val="92"/>
                </w:rPr>
                <w:t>Incorporation of Nkarta, Inc.</w:t>
              </w:r>
            </w:hyperlink>
          </w:p>
        </w:tc>
        <w:tc>
          <w:tcPr>
            <w:tcW w:w="20" w:type="dxa"/>
            <w:vAlign w:val="bottom"/>
            <w:tcBorders>
              <w:top w:val="single" w:sz="8" w:color="0000FF"/>
              <w:bottom w:val="single" w:sz="8" w:color="0000EE"/>
            </w:tcBorders>
          </w:tcPr>
          <w:p>
            <w:pPr>
              <w:spacing w:after="0"/>
              <w:rPr>
                <w:sz w:val="14"/>
                <w:szCs w:val="14"/>
                <w:color w:val="auto"/>
              </w:rPr>
            </w:pPr>
          </w:p>
        </w:tc>
        <w:tc>
          <w:tcPr>
            <w:tcW w:w="620" w:type="dxa"/>
            <w:vAlign w:val="bottom"/>
            <w:tcBorders>
              <w:top w:val="single" w:sz="8" w:color="0000FF"/>
            </w:tcBorders>
            <w:gridSpan w:val="2"/>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0"/>
          </w:tcPr>
          <w:p>
            <w:pPr>
              <w:spacing w:after="0"/>
              <w:rPr>
                <w:rFonts w:ascii="Arial" w:cs="Arial" w:eastAsia="Arial" w:hAnsi="Arial"/>
                <w:sz w:val="18"/>
                <w:szCs w:val="18"/>
                <w:color w:val="0000FF"/>
                <w:w w:val="99"/>
              </w:rPr>
            </w:pPr>
            <w:hyperlink r:id="rId252">
              <w:r>
                <w:rPr>
                  <w:rFonts w:ascii="Arial" w:cs="Arial" w:eastAsia="Arial" w:hAnsi="Arial"/>
                  <w:sz w:val="18"/>
                  <w:szCs w:val="18"/>
                  <w:color w:val="0000FF"/>
                  <w:w w:val="99"/>
                </w:rPr>
                <w:t>Amended and Restated Bylaws of Nkarta, Inc.</w:t>
              </w:r>
            </w:hyperlink>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740" w:type="dxa"/>
            <w:vAlign w:val="bottom"/>
          </w:tcPr>
          <w:p>
            <w:pPr>
              <w:ind w:left="540"/>
              <w:spacing w:after="0"/>
              <w:rPr>
                <w:sz w:val="20"/>
                <w:szCs w:val="20"/>
                <w:color w:val="auto"/>
              </w:rPr>
            </w:pPr>
            <w:r>
              <w:rPr>
                <w:rFonts w:ascii="Arial" w:cs="Arial" w:eastAsia="Arial" w:hAnsi="Arial"/>
                <w:sz w:val="18"/>
                <w:szCs w:val="18"/>
                <w:color w:val="auto"/>
              </w:rPr>
              <w:t>7/14/2020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0"/>
          </w:tcPr>
          <w:p>
            <w:pPr>
              <w:spacing w:after="0"/>
              <w:rPr>
                <w:rFonts w:ascii="Arial" w:cs="Arial" w:eastAsia="Arial" w:hAnsi="Arial"/>
                <w:sz w:val="18"/>
                <w:szCs w:val="18"/>
                <w:color w:val="0000FF"/>
                <w:w w:val="95"/>
              </w:rPr>
            </w:pPr>
            <w:hyperlink r:id="rId253">
              <w:r>
                <w:rPr>
                  <w:rFonts w:ascii="Arial" w:cs="Arial" w:eastAsia="Arial" w:hAnsi="Arial"/>
                  <w:sz w:val="18"/>
                  <w:szCs w:val="18"/>
                  <w:color w:val="0000FF"/>
                  <w:w w:val="95"/>
                </w:rPr>
                <w:t>Second Amendment to Lease, dated August 11,</w:t>
              </w:r>
            </w:hyperlink>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40" w:type="dxa"/>
            <w:vAlign w:val="bottom"/>
          </w:tcPr>
          <w:p>
            <w:pPr>
              <w:ind w:left="540"/>
              <w:spacing w:after="0"/>
              <w:rPr>
                <w:sz w:val="20"/>
                <w:szCs w:val="20"/>
                <w:color w:val="auto"/>
              </w:rPr>
            </w:pPr>
            <w:r>
              <w:rPr>
                <w:rFonts w:ascii="Arial" w:cs="Arial" w:eastAsia="Arial" w:hAnsi="Arial"/>
                <w:sz w:val="18"/>
                <w:szCs w:val="18"/>
                <w:color w:val="auto"/>
              </w:rPr>
              <w:t>8/11/2022</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253">
              <w:r>
                <w:rPr>
                  <w:rFonts w:ascii="Arial" w:cs="Arial" w:eastAsia="Arial" w:hAnsi="Arial"/>
                  <w:sz w:val="18"/>
                  <w:szCs w:val="18"/>
                  <w:color w:val="0000FF"/>
                </w:rPr>
                <w:t>2022, by and between HCP BTC, LLC and</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253">
              <w:r>
                <w:rPr>
                  <w:rFonts w:ascii="Arial" w:cs="Arial" w:eastAsia="Arial" w:hAnsi="Arial"/>
                  <w:sz w:val="18"/>
                  <w:szCs w:val="18"/>
                  <w:color w:val="0000FF"/>
                  <w:w w:val="91"/>
                </w:rPr>
                <w:t>Nkarta, Inc.</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bottom w:val="single" w:sz="8" w:color="0000FF"/>
            </w:tcBorders>
            <w:gridSpan w:val="13"/>
          </w:tcPr>
          <w:p>
            <w:pPr>
              <w:spacing w:after="0"/>
              <w:rPr>
                <w:rFonts w:ascii="Arial" w:cs="Arial" w:eastAsia="Arial" w:hAnsi="Arial"/>
                <w:sz w:val="18"/>
                <w:szCs w:val="18"/>
                <w:color w:val="0000FF"/>
                <w:w w:val="92"/>
              </w:rPr>
            </w:pPr>
            <w:hyperlink r:id="rId254">
              <w:r>
                <w:rPr>
                  <w:rFonts w:ascii="Arial" w:cs="Arial" w:eastAsia="Arial" w:hAnsi="Arial"/>
                  <w:sz w:val="18"/>
                  <w:szCs w:val="18"/>
                  <w:color w:val="0000FF"/>
                  <w:w w:val="92"/>
                </w:rPr>
                <w:t>Fifth Amendment to Lease, dated August 11,</w:t>
              </w:r>
            </w:hyperlink>
          </w:p>
        </w:tc>
        <w:tc>
          <w:tcPr>
            <w:tcW w:w="320" w:type="dxa"/>
            <w:vAlign w:val="bottom"/>
            <w:gridSpan w:val="7"/>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40" w:type="dxa"/>
            <w:vAlign w:val="bottom"/>
          </w:tcPr>
          <w:p>
            <w:pPr>
              <w:ind w:left="540"/>
              <w:spacing w:after="0"/>
              <w:rPr>
                <w:sz w:val="20"/>
                <w:szCs w:val="20"/>
                <w:color w:val="auto"/>
              </w:rPr>
            </w:pPr>
            <w:r>
              <w:rPr>
                <w:rFonts w:ascii="Arial" w:cs="Arial" w:eastAsia="Arial" w:hAnsi="Arial"/>
                <w:sz w:val="18"/>
                <w:szCs w:val="18"/>
                <w:color w:val="auto"/>
              </w:rPr>
              <w:t>8/11/2022</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20"/>
          </w:tcPr>
          <w:p>
            <w:pPr>
              <w:spacing w:after="0" w:line="169" w:lineRule="exact"/>
              <w:rPr>
                <w:rFonts w:ascii="Arial" w:cs="Arial" w:eastAsia="Arial" w:hAnsi="Arial"/>
                <w:sz w:val="18"/>
                <w:szCs w:val="18"/>
                <w:color w:val="0000FF"/>
                <w:w w:val="97"/>
              </w:rPr>
            </w:pPr>
            <w:hyperlink r:id="rId254">
              <w:r>
                <w:rPr>
                  <w:rFonts w:ascii="Arial" w:cs="Arial" w:eastAsia="Arial" w:hAnsi="Arial"/>
                  <w:sz w:val="18"/>
                  <w:szCs w:val="18"/>
                  <w:color w:val="0000FF"/>
                  <w:w w:val="97"/>
                </w:rPr>
                <w:t>2022, by and between HCP Life Science REIT,</w:t>
              </w:r>
            </w:hyperlink>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254">
              <w:r>
                <w:rPr>
                  <w:rFonts w:ascii="Arial" w:cs="Arial" w:eastAsia="Arial" w:hAnsi="Arial"/>
                  <w:sz w:val="18"/>
                  <w:szCs w:val="18"/>
                  <w:color w:val="0000FF"/>
                  <w:w w:val="90"/>
                </w:rPr>
                <w:t>Inc. and Nkarta, Inc.</w:t>
              </w:r>
            </w:hyperlink>
          </w:p>
        </w:tc>
        <w:tc>
          <w:tcPr>
            <w:tcW w:w="20" w:type="dxa"/>
            <w:vAlign w:val="bottom"/>
            <w:tcBorders>
              <w:top w:val="single" w:sz="8" w:color="0000FF"/>
              <w:bottom w:val="single" w:sz="8" w:color="0000EE"/>
            </w:tcBorders>
          </w:tcPr>
          <w:p>
            <w:pPr>
              <w:spacing w:after="0"/>
              <w:rPr>
                <w:sz w:val="14"/>
                <w:szCs w:val="14"/>
                <w:color w:val="auto"/>
              </w:rPr>
            </w:pPr>
          </w:p>
        </w:tc>
        <w:tc>
          <w:tcPr>
            <w:tcW w:w="194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0"/>
          </w:tcPr>
          <w:p>
            <w:pPr>
              <w:spacing w:after="0"/>
              <w:rPr>
                <w:sz w:val="20"/>
                <w:szCs w:val="20"/>
                <w:color w:val="auto"/>
              </w:rPr>
            </w:pPr>
            <w:r>
              <w:rPr>
                <w:rFonts w:ascii="Arial" w:cs="Arial" w:eastAsia="Arial" w:hAnsi="Arial"/>
                <w:sz w:val="18"/>
                <w:szCs w:val="18"/>
                <w:color w:val="0000FF"/>
              </w:rPr>
              <w:t>Certification of Principal Executive Officer</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1"/>
              </w:rPr>
              <w:t>Pursuant to Rules 13a-14(a) and 15d-14(a)</w:t>
            </w:r>
          </w:p>
        </w:tc>
        <w:tc>
          <w:tcPr>
            <w:tcW w:w="500" w:type="dxa"/>
            <w:vAlign w:val="bottom"/>
            <w:gridSpan w:val="8"/>
          </w:tcPr>
          <w:p>
            <w:pPr>
              <w:jc w:val="right"/>
              <w:ind w:right="160"/>
              <w:spacing w:after="0" w:line="169" w:lineRule="exact"/>
              <w:rPr>
                <w:sz w:val="20"/>
                <w:szCs w:val="20"/>
                <w:color w:val="auto"/>
              </w:rPr>
            </w:pPr>
            <w:r>
              <w:rPr>
                <w:rFonts w:ascii="Arial" w:cs="Arial" w:eastAsia="Arial" w:hAnsi="Arial"/>
                <w:sz w:val="17"/>
                <w:szCs w:val="17"/>
                <w:color w:val="0000FF"/>
                <w:w w:val="73"/>
              </w:rPr>
              <w:t>under</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0"/>
              </w:rPr>
              <w:t>the Securities Exchange Act of 1934, as Adopted</w:t>
            </w:r>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bottom w:val="single" w:sz="8" w:color="0000FF"/>
            </w:tcBorders>
            <w:gridSpan w:val="20"/>
          </w:tcPr>
          <w:p>
            <w:pPr>
              <w:spacing w:after="0" w:line="169" w:lineRule="exact"/>
              <w:rPr>
                <w:sz w:val="20"/>
                <w:szCs w:val="20"/>
                <w:color w:val="auto"/>
              </w:rPr>
            </w:pPr>
            <w:r>
              <w:rPr>
                <w:rFonts w:ascii="Arial" w:cs="Arial" w:eastAsia="Arial" w:hAnsi="Arial"/>
                <w:sz w:val="18"/>
                <w:szCs w:val="18"/>
                <w:color w:val="0000FF"/>
                <w:w w:val="89"/>
              </w:rPr>
              <w:t>Pursuant to Section 302 of the Sarbanes-Oxley Act</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20"/>
          </w:tcPr>
          <w:p>
            <w:pPr>
              <w:spacing w:after="0" w:line="169" w:lineRule="exact"/>
              <w:rPr>
                <w:sz w:val="20"/>
                <w:szCs w:val="20"/>
                <w:color w:val="auto"/>
              </w:rPr>
            </w:pPr>
            <w:r>
              <w:rPr>
                <w:rFonts w:ascii="Arial" w:cs="Arial" w:eastAsia="Arial" w:hAnsi="Arial"/>
                <w:sz w:val="18"/>
                <w:szCs w:val="18"/>
                <w:color w:val="0000FF"/>
              </w:rPr>
              <w:t>of 2002.</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0"/>
          </w:tcPr>
          <w:p>
            <w:pPr>
              <w:spacing w:after="0"/>
              <w:rPr>
                <w:sz w:val="20"/>
                <w:szCs w:val="20"/>
                <w:color w:val="auto"/>
              </w:rPr>
            </w:pPr>
            <w:r>
              <w:rPr>
                <w:rFonts w:ascii="Arial" w:cs="Arial" w:eastAsia="Arial" w:hAnsi="Arial"/>
                <w:sz w:val="18"/>
                <w:szCs w:val="18"/>
                <w:color w:val="0000FF"/>
              </w:rPr>
              <w:t>Certification of Principal Financial Officer</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90"/>
              </w:rPr>
              <w:t>Pursuant to Rules 13a-14(a) and 15d-14(a)</w:t>
            </w:r>
          </w:p>
        </w:tc>
        <w:tc>
          <w:tcPr>
            <w:tcW w:w="560" w:type="dxa"/>
            <w:vAlign w:val="bottom"/>
            <w:gridSpan w:val="10"/>
          </w:tcPr>
          <w:p>
            <w:pPr>
              <w:jc w:val="right"/>
              <w:ind w:right="160"/>
              <w:spacing w:after="0" w:line="169" w:lineRule="exact"/>
              <w:rPr>
                <w:sz w:val="20"/>
                <w:szCs w:val="20"/>
                <w:color w:val="auto"/>
              </w:rPr>
            </w:pPr>
            <w:r>
              <w:rPr>
                <w:rFonts w:ascii="Arial" w:cs="Arial" w:eastAsia="Arial" w:hAnsi="Arial"/>
                <w:sz w:val="18"/>
                <w:szCs w:val="18"/>
                <w:color w:val="0000FF"/>
                <w:w w:val="82"/>
              </w:rPr>
              <w:t>under</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0"/>
              </w:rPr>
              <w:t>the Securities Exchange Act of 1934, as Adopted</w:t>
            </w:r>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bottom w:val="single" w:sz="8" w:color="0000FF"/>
            </w:tcBorders>
            <w:gridSpan w:val="20"/>
          </w:tcPr>
          <w:p>
            <w:pPr>
              <w:spacing w:after="0" w:line="169" w:lineRule="exact"/>
              <w:rPr>
                <w:sz w:val="20"/>
                <w:szCs w:val="20"/>
                <w:color w:val="auto"/>
              </w:rPr>
            </w:pPr>
            <w:r>
              <w:rPr>
                <w:rFonts w:ascii="Arial" w:cs="Arial" w:eastAsia="Arial" w:hAnsi="Arial"/>
                <w:sz w:val="18"/>
                <w:szCs w:val="18"/>
                <w:color w:val="0000FF"/>
                <w:w w:val="89"/>
              </w:rPr>
              <w:t>Pursuant to Section 302 of the Sarbanes-Oxley Act</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20"/>
          </w:tcPr>
          <w:p>
            <w:pPr>
              <w:spacing w:after="0" w:line="169" w:lineRule="exact"/>
              <w:rPr>
                <w:sz w:val="20"/>
                <w:szCs w:val="20"/>
                <w:color w:val="auto"/>
              </w:rPr>
            </w:pPr>
            <w:r>
              <w:rPr>
                <w:rFonts w:ascii="Arial" w:cs="Arial" w:eastAsia="Arial" w:hAnsi="Arial"/>
                <w:sz w:val="18"/>
                <w:szCs w:val="18"/>
                <w:color w:val="0000FF"/>
              </w:rPr>
              <w:t>of 2002.</w:t>
            </w: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0"/>
          </w:tcPr>
          <w:p>
            <w:pPr>
              <w:spacing w:after="0"/>
              <w:rPr>
                <w:sz w:val="20"/>
                <w:szCs w:val="20"/>
                <w:color w:val="auto"/>
              </w:rPr>
            </w:pPr>
            <w:r>
              <w:rPr>
                <w:rFonts w:ascii="Arial" w:cs="Arial" w:eastAsia="Arial" w:hAnsi="Arial"/>
                <w:sz w:val="18"/>
                <w:szCs w:val="18"/>
                <w:color w:val="0000FF"/>
              </w:rPr>
              <w:t>Certification of Principal Executive Officer and</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6"/>
          </w:tcPr>
          <w:p>
            <w:pPr>
              <w:spacing w:after="0" w:line="169" w:lineRule="exact"/>
              <w:rPr>
                <w:sz w:val="20"/>
                <w:szCs w:val="20"/>
                <w:color w:val="auto"/>
              </w:rPr>
            </w:pPr>
            <w:r>
              <w:rPr>
                <w:rFonts w:ascii="Arial" w:cs="Arial" w:eastAsia="Arial" w:hAnsi="Arial"/>
                <w:sz w:val="18"/>
                <w:szCs w:val="18"/>
                <w:color w:val="0000FF"/>
                <w:w w:val="90"/>
              </w:rPr>
              <w:t>Principal Financial Officer Pursuant to 18 U.S.C.</w:t>
            </w:r>
          </w:p>
        </w:tc>
        <w:tc>
          <w:tcPr>
            <w:tcW w:w="120" w:type="dxa"/>
            <w:vAlign w:val="bottom"/>
            <w:tcBorders>
              <w:bottom w:val="single" w:sz="8" w:color="0000FF"/>
            </w:tcBorders>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bottom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88"/>
              </w:rPr>
              <w:t>Section 1350, as Adopted Pursuant to Section 906</w:t>
            </w:r>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0"/>
              </w:rPr>
              <w:t>of the Sarbanes-Oxley Act of 2002.</w:t>
            </w:r>
          </w:p>
        </w:tc>
        <w:tc>
          <w:tcPr>
            <w:tcW w:w="110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0"/>
          </w:tcPr>
          <w:p>
            <w:pPr>
              <w:spacing w:after="0"/>
              <w:rPr>
                <w:sz w:val="20"/>
                <w:szCs w:val="20"/>
                <w:color w:val="auto"/>
              </w:rPr>
            </w:pPr>
            <w:r>
              <w:rPr>
                <w:rFonts w:ascii="Arial" w:cs="Arial" w:eastAsia="Arial" w:hAnsi="Arial"/>
                <w:sz w:val="18"/>
                <w:szCs w:val="18"/>
                <w:color w:val="auto"/>
              </w:rPr>
              <w:t>Inline XBRL Instance Document</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Schema</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0"/>
          </w:tcPr>
          <w:p>
            <w:pPr>
              <w:spacing w:after="0" w:line="202" w:lineRule="exact"/>
              <w:rPr>
                <w:sz w:val="20"/>
                <w:szCs w:val="20"/>
                <w:color w:val="auto"/>
              </w:rPr>
            </w:pPr>
            <w:r>
              <w:rPr>
                <w:rFonts w:ascii="Arial" w:cs="Arial" w:eastAsia="Arial" w:hAnsi="Arial"/>
                <w:sz w:val="18"/>
                <w:szCs w:val="18"/>
                <w:color w:val="auto"/>
              </w:rPr>
              <w:t>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0"/>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Definition</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0"/>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Label</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0"/>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0"/>
          </w:tcPr>
          <w:p>
            <w:pPr>
              <w:spacing w:after="0" w:line="189" w:lineRule="exact"/>
              <w:rPr>
                <w:sz w:val="20"/>
                <w:szCs w:val="20"/>
                <w:color w:val="auto"/>
              </w:rPr>
            </w:pPr>
            <w:r>
              <w:rPr>
                <w:rFonts w:ascii="Arial" w:cs="Arial" w:eastAsia="Arial" w:hAnsi="Arial"/>
                <w:sz w:val="18"/>
                <w:szCs w:val="18"/>
                <w:color w:val="auto"/>
                <w:w w:val="97"/>
              </w:rPr>
              <w:t>Inline XBRL Taxonomy Extension Presentation</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20"/>
          </w:tcPr>
          <w:p>
            <w:pPr>
              <w:spacing w:after="0" w:line="202" w:lineRule="exact"/>
              <w:rPr>
                <w:sz w:val="20"/>
                <w:szCs w:val="20"/>
                <w:color w:val="auto"/>
              </w:rPr>
            </w:pPr>
            <w:r>
              <w:rPr>
                <w:rFonts w:ascii="Arial" w:cs="Arial" w:eastAsia="Arial" w:hAnsi="Arial"/>
                <w:sz w:val="18"/>
                <w:szCs w:val="18"/>
                <w:color w:val="auto"/>
              </w:rPr>
              <w:t>Linkbase Document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20"/>
          </w:tcPr>
          <w:p>
            <w:pPr>
              <w:spacing w:after="0" w:line="189" w:lineRule="exact"/>
              <w:rPr>
                <w:sz w:val="20"/>
                <w:szCs w:val="20"/>
                <w:color w:val="auto"/>
              </w:rPr>
            </w:pPr>
            <w:r>
              <w:rPr>
                <w:rFonts w:ascii="Arial" w:cs="Arial" w:eastAsia="Arial" w:hAnsi="Arial"/>
                <w:sz w:val="18"/>
                <w:szCs w:val="18"/>
                <w:color w:val="auto"/>
                <w:w w:val="98"/>
              </w:rPr>
              <w:t>Cover Page Interactive Data File (formatted as</w:t>
            </w: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gridSpan w:val="20"/>
          </w:tcPr>
          <w:p>
            <w:pPr>
              <w:spacing w:after="0"/>
              <w:rPr>
                <w:sz w:val="20"/>
                <w:szCs w:val="20"/>
                <w:color w:val="auto"/>
              </w:rPr>
            </w:pPr>
            <w:r>
              <w:rPr>
                <w:rFonts w:ascii="Arial" w:cs="Arial" w:eastAsia="Arial" w:hAnsi="Arial"/>
                <w:sz w:val="18"/>
                <w:szCs w:val="18"/>
                <w:color w:val="auto"/>
              </w:rPr>
              <w:t>Inline XBRL and contained in Exhibit 101)</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jc w:val="both"/>
        <w:ind w:right="180" w:firstLine="8"/>
        <w:spacing w:after="0"/>
        <w:tabs>
          <w:tab w:leader="none" w:pos="98" w:val="left"/>
        </w:tabs>
        <w:numPr>
          <w:ilvl w:val="0"/>
          <w:numId w:val="40"/>
        </w:numPr>
        <w:rPr>
          <w:rFonts w:ascii="Arial" w:cs="Arial" w:eastAsia="Arial" w:hAnsi="Arial"/>
          <w:sz w:val="23"/>
          <w:szCs w:val="23"/>
          <w:color w:val="auto"/>
          <w:vertAlign w:val="superscript"/>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Nkarta, Inc.</w:t>
      </w:r>
    </w:p>
    <w:p>
      <w:pPr>
        <w:spacing w:after="0" w:line="198" w:lineRule="exact"/>
        <w:rPr>
          <w:sz w:val="20"/>
          <w:szCs w:val="20"/>
          <w:color w:val="auto"/>
        </w:rPr>
      </w:pPr>
    </w:p>
    <w:p>
      <w:pPr>
        <w:jc w:val="center"/>
        <w:ind w:right="1540"/>
        <w:spacing w:after="0"/>
        <w:tabs>
          <w:tab w:leader="none" w:pos="3760" w:val="left"/>
          <w:tab w:leader="none" w:pos="20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Paul J. Hastings</w:t>
      </w:r>
    </w:p>
    <w:p>
      <w:pPr>
        <w:jc w:val="center"/>
        <w:ind w:left="60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5580" w:right="1540" w:hanging="8009"/>
        <w:spacing w:after="0" w:line="251" w:lineRule="auto"/>
        <w:tabs>
          <w:tab w:leader="none" w:pos="55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 /s/ Nadir Mahmood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80"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and Business Officer</w:t>
      </w:r>
    </w:p>
    <w:p>
      <w:pPr>
        <w:jc w:val="center"/>
        <w:ind w:left="600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Paul J. Hastings, certify that:</w:t>
      </w:r>
    </w:p>
    <w:p>
      <w:pPr>
        <w:spacing w:after="0" w:line="21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 (the “registrant”);</w:t>
      </w:r>
    </w:p>
    <w:p>
      <w:pPr>
        <w:spacing w:after="0" w:line="225"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56"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right="40" w:hanging="503"/>
        <w:spacing w:after="0" w:line="324"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4" w:lineRule="exact"/>
        <w:rPr>
          <w:rFonts w:ascii="Arial" w:cs="Arial" w:eastAsia="Arial" w:hAnsi="Arial"/>
          <w:sz w:val="16"/>
          <w:szCs w:val="16"/>
          <w:color w:val="auto"/>
        </w:rPr>
      </w:pPr>
    </w:p>
    <w:p>
      <w:pPr>
        <w:ind w:left="520" w:right="16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Paul J. Hastings</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NKARTA, INC.</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CERTIFICATIONS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Nadir Mahmood, certify that:</w:t>
      </w:r>
    </w:p>
    <w:p>
      <w:pPr>
        <w:spacing w:after="0" w:line="212"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 (the “registrant”);</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0" w:lineRule="exact"/>
        <w:rPr>
          <w:rFonts w:ascii="Arial" w:cs="Arial" w:eastAsia="Arial" w:hAnsi="Arial"/>
          <w:sz w:val="16"/>
          <w:szCs w:val="16"/>
          <w:color w:val="auto"/>
        </w:rPr>
      </w:pPr>
    </w:p>
    <w:p>
      <w:pPr>
        <w:ind w:left="520" w:right="160" w:hanging="512"/>
        <w:spacing w:after="0" w:line="291"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Nadir Mahmood</w:t>
      </w:r>
    </w:p>
    <w:p>
      <w:pPr>
        <w:jc w:val="center"/>
        <w:ind w:left="600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In connection with the Quarterly Report on Form 10-Q for the quarter ended September 30, 2022 of Nkarta, Inc. (the "Company") as filed with the Securities and Exchange Commission on the date hereof (the "Report"), we, Paul J. Hastings, Chief Executive Officer of the Company, and Nadir Mahmood, Chief Financial and Business Officer of the Company, certify, pursuant to 18 U.S.C. 1350, as adopted pursuant to Section 906 of the Sarbanes-Oxley Act of 2002, that:</w:t>
      </w:r>
    </w:p>
    <w:p>
      <w:pPr>
        <w:spacing w:after="0" w:line="181"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Paul J. Hastings</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398"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Nadir Mahmood</w:t>
      </w:r>
    </w:p>
    <w:p>
      <w:pPr>
        <w:jc w:val="center"/>
        <w:ind w:left="600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19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7"/>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51" Type="http://schemas.openxmlformats.org/officeDocument/2006/relationships/hyperlink" Target="https://www.sec.gov/Archives/edgar/data/1787400/000119312520192614/d62111dex31.htm" TargetMode="External"/><Relationship Id="rId252" Type="http://schemas.openxmlformats.org/officeDocument/2006/relationships/hyperlink" Target="https://www.sec.gov/Archives/edgar/data/1787400/000119312520192614/d62111dex32.htm" TargetMode="External"/><Relationship Id="rId253" Type="http://schemas.openxmlformats.org/officeDocument/2006/relationships/hyperlink" Target="https://www.sec.gov/Archives/edgar/data/1787400/000095017022016892/nktx-ex10_1.htm" TargetMode="External"/><Relationship Id="rId254" Type="http://schemas.openxmlformats.org/officeDocument/2006/relationships/hyperlink" Target="https://www.sec.gov/Archives/edgar/data/1787400/000095017022016892/nktx-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2022-11-09T15:42:12Z</dcterms:created>
  <dcterms:modified xsi:type="dcterms:W3CDTF">2022-11-09T15:42:12Z</dcterms:modified>
</cp:coreProperties>
</file>