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214630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0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Proxy Statement Pursuant to Section 14(a) of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Exchange Act of 1934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the appropriate box: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28" w:hanging="328"/>
        <w:spacing w:after="0"/>
        <w:tabs>
          <w:tab w:leader="none" w:pos="3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Preliminary Proxy Statement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  <w:tab/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  <w:tab/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  <w:tab/>
        <w:t>Soliciting Material Under §240.14a-12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9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NKARTA,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(Name of Registrant as Specified In Its Charter)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Not applicable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7178040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2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(Name of Person(s) Filing Proxy Statement, if other than the Registrant)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 of Filing Fee (Check all boxes that apply):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  <w:tab/>
        <w:t>No fee required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Fee paid previously with preliminary materials.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tabs>
          <w:tab w:leader="none" w:pos="308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137160</wp:posOffset>
            </wp:positionV>
            <wp:extent cx="717804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7178040" cy="22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297180</wp:posOffset>
            </wp:positionV>
            <wp:extent cx="7178040" cy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7"/>
          </w:cols>
          <w:pgMar w:left="292" w:top="56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178040" cy="59493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94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178040" cy="59150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91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2026-04-23T16:29:55Z</dcterms:created>
  <dcterms:modified xsi:type="dcterms:W3CDTF">2026-04-23T16:29:55Z</dcterms:modified>
</cp:coreProperties>
</file>