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333-294611</w:t>
      </w:r>
    </w:p>
    <w:p>
      <w:pPr>
        <w:spacing w:after="0" w:line="33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Up to $100,000,000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167005</wp:posOffset>
            </wp:positionV>
            <wp:extent cx="148272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6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36"/>
          <w:szCs w:val="36"/>
          <w:b w:val="1"/>
          <w:bCs w:val="1"/>
          <w:color w:val="auto"/>
        </w:rPr>
        <w:t>Nkarta, Inc.</w:t>
      </w:r>
    </w:p>
    <w:p>
      <w:pPr>
        <w:spacing w:after="0" w:line="5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36"/>
          <w:szCs w:val="36"/>
          <w:b w:val="1"/>
          <w:bCs w:val="1"/>
          <w:color w:val="auto"/>
        </w:rPr>
        <w:t> </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165735</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9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entered into a sales agreement (the “Sales Agreement”) with Stifel, Nicolaus &amp; Company,</w:t>
      </w:r>
    </w:p>
    <w:p>
      <w:pPr>
        <w:spacing w:after="0" w:line="2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Incorporated (“Stifel”) dated March 25, 2026, relating to the sale of shares of our common stock, par value</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$0.0001 per share, offered by this prospectus. In accordance with the terms of the Sales Agreement, under this</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prospectus we may offer and sell shares of our common stock having an aggregate offering price of up to</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$100,000,000 from time to time through or to Stifel, acting as our agent or principal.</w:t>
      </w:r>
    </w:p>
    <w:p>
      <w:pPr>
        <w:spacing w:after="0" w:line="99" w:lineRule="exact"/>
        <w:rPr>
          <w:sz w:val="24"/>
          <w:szCs w:val="24"/>
          <w:color w:val="auto"/>
        </w:rPr>
      </w:pPr>
    </w:p>
    <w:p>
      <w:pPr>
        <w:jc w:val="both"/>
        <w:ind w:left="400" w:right="45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“NKTX.” On March 24, 2026, the last reported sale price of our common stock on The Nasdaq Global Select Market was $2.05 per share.</w:t>
      </w:r>
    </w:p>
    <w:p>
      <w:pPr>
        <w:spacing w:after="0" w:line="54" w:lineRule="exact"/>
        <w:rPr>
          <w:sz w:val="24"/>
          <w:szCs w:val="24"/>
          <w:color w:val="auto"/>
        </w:rPr>
      </w:pPr>
    </w:p>
    <w:p>
      <w:pPr>
        <w:ind w:left="400" w:right="559" w:firstLine="360"/>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in sales deemed to be an “at-the-market offering” as defined in Rule 415(a)(4) promulgated under the Securities Act of 1933, as amended (the “Securities Act”). Stifel is not required to sell any specific amount of securities, but will act as our sales agent using commercially reasonable efforts consistent with its normal trading and sales practices, on mutually agreed terms between Stifel and us. There is no arrangement for funds to be received in any escrow, trust or similar arrangement.</w:t>
      </w:r>
    </w:p>
    <w:p>
      <w:pPr>
        <w:spacing w:after="0" w:line="79" w:lineRule="exact"/>
        <w:rPr>
          <w:sz w:val="24"/>
          <w:szCs w:val="24"/>
          <w:color w:val="auto"/>
        </w:rPr>
      </w:pPr>
    </w:p>
    <w:p>
      <w:pPr>
        <w:ind w:left="400" w:right="479" w:firstLine="360"/>
        <w:spacing w:after="0" w:line="255" w:lineRule="auto"/>
        <w:rPr>
          <w:sz w:val="20"/>
          <w:szCs w:val="20"/>
          <w:color w:val="auto"/>
        </w:rPr>
      </w:pPr>
      <w:r>
        <w:rPr>
          <w:rFonts w:ascii="Times New Roman" w:cs="Times New Roman" w:eastAsia="Times New Roman" w:hAnsi="Times New Roman"/>
          <w:sz w:val="18"/>
          <w:szCs w:val="18"/>
          <w:color w:val="auto"/>
        </w:rPr>
        <w:t>The compensation to Stifel for sales of common stock sold pursuant to the Sales Agreement will be up to 3.0% of the aggregate gross proceeds of any shares of common stock sold under the Sales Agreement. In connection with the sale of the common stock on our behalf, Stifel will be deemed to be an “underwriter” within the meaning of the Securities Act and the compensation of Stifel will be deemed to be underwriting commissions or discounts. We have also agreed to provide indemnification and contribution to Stifel with respect to certain liabilities, including liabilities under the Securities Act or the Securities Exchange Act of 1934, as amended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173990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4" w:lineRule="exact"/>
        <w:rPr>
          <w:sz w:val="24"/>
          <w:szCs w:val="24"/>
          <w:color w:val="auto"/>
        </w:rPr>
      </w:pPr>
    </w:p>
    <w:p>
      <w:pPr>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a high degree of risk. Please read carefully the section entitled “Risk Factors”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the “Risk Factors” section contained in the documents incorporated by reference in this prospectus before investing in our common stock.</w:t>
      </w:r>
    </w:p>
    <w:p>
      <w:pPr>
        <w:spacing w:after="0" w:line="63" w:lineRule="exact"/>
        <w:rPr>
          <w:sz w:val="24"/>
          <w:szCs w:val="24"/>
          <w:color w:val="auto"/>
        </w:rPr>
      </w:pPr>
    </w:p>
    <w:p>
      <w:pPr>
        <w:jc w:val="both"/>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165100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Stifel</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April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gridSpan w:val="5"/>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040" w:type="dxa"/>
            <w:vAlign w:val="bottom"/>
            <w:gridSpan w:val="5"/>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540" w:type="dxa"/>
            <w:vAlign w:val="bottom"/>
            <w:gridSpan w:val="7"/>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2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8"/>
          </w:tcPr>
          <w:p>
            <w:pPr>
              <w:spacing w:after="0"/>
              <w:rPr>
                <w:sz w:val="16"/>
                <w:szCs w:val="16"/>
                <w:color w:val="auto"/>
              </w:rPr>
            </w:pP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2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w w:val="98"/>
              </w:rPr>
              <w:t>INFORMATION WE INCORPORATE BY REFERENCE</w:t>
            </w:r>
          </w:p>
        </w:tc>
        <w:tc>
          <w:tcPr>
            <w:tcW w:w="180" w:type="dxa"/>
            <w:vAlign w:val="bottom"/>
          </w:tcPr>
          <w:p>
            <w:pPr>
              <w:spacing w:after="0"/>
              <w:rPr>
                <w:sz w:val="16"/>
                <w:szCs w:val="16"/>
                <w:color w:val="auto"/>
              </w:rPr>
            </w:pPr>
          </w:p>
        </w:tc>
        <w:tc>
          <w:tcPr>
            <w:tcW w:w="3720" w:type="dxa"/>
            <w:vAlign w:val="bottom"/>
            <w:gridSpan w:val="2"/>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may from time to time sell shares of our common stock having an aggregate offering price of up to $100,000,000 under this prospectus at prices and on terms to be determined by market conditions at the time of the offering.</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You should only rely on the information contained in or incorporated by reference in this prospectus. We have not, and Stifel has not, authorized anyone to provide you with different information. We and Stifel take no responsibility for, and can provide no assurance as to the reliability of, any other information that others may give you. If anyone provides you with different or inconsistent information, you should not rely on it. We and Stifel are not making offers to sell the common stock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8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Before purchasing our common stock, you should carefully read this prospectus together with the additional information described under the heading “Where You Can Find Additional Information” and “Information We Incorporate by Reference.” You should assume that the information contained in this prospectus is accurate only as of the date on its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72"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References in this prospectus to the terms “we,” “us,” “our,” “the Company” or other similar terms refer to Nkarta, Inc. We do not have any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“forward-looking statements” within the meaning of Section 27A of the Securities Act, and Section 21E of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potential impact of modified lymphodepleting conditioning on our clinical trials, initiation of further clinical trials and the availability of disclosure of clinical data from our clinical trials) for the continued and future clinical development and commercial potential of our product candidates and the therapeutic potential, accessibility, tolerability, advantages, and safety profile of natural killer (“NK”) cell therapies, including NKX019.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w:t>
      </w:r>
    </w:p>
    <w:p>
      <w:pPr>
        <w:spacing w:after="0" w:line="81" w:lineRule="exact"/>
        <w:rPr>
          <w:sz w:val="20"/>
          <w:szCs w:val="20"/>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lack of any products approved for sale;</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significant losses and our expectation of incurring significant losses for the foreseeable future;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product sales and achieve or maintain profitability;</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including any resulting dilution to our stockholders, restrictions on our operations or requirements to relinquish rights to our product candidates;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the success of our chimeric antigen receptor-NK (“CAR NK”) cell technology platform and the significant challenges we must overcome to develop, commercialize and manufacture our product candidates;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the success of our product candidates, and in particular the clinical success of NKX019 and the risks we face that we may fail to develop NKX019 and/or our other product candidates successfully or be unable to obtain regulatory approval for them;</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clinical data supporting the effectiveness of CD19-targeted cell therapies against autoimmune disease are limited, and CD19-targeted CAR NK cell therapies, such as NKX019, may not provide the same, or any, therapeutic benefit against autoimmune diseases, or be competitive with respect to other CD19-targeted therapies for the treatment of autoimmune disease;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and retain patients in clinical trials, which is expensive and time-consuming;</w:t>
      </w:r>
    </w:p>
    <w:p>
      <w:pPr>
        <w:spacing w:after="0" w:line="11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for any of the indications for which we plan to develop them, and any related restrictions, limitations and/or warnings in the label of an approved product;</w:t>
      </w:r>
    </w:p>
    <w:p>
      <w:pPr>
        <w:spacing w:after="0" w:line="6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milestones for development of our product candidates, including the timely conduct of our clinical trials and the availability of clinical data from those trials;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that may occur in interim, preliminary or “topline” data from our clinical trials;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be required to halt or delay further clinical development if any of our product candidates, or any competing product candidates, demonstrate relevant, serious adverse events;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collaborations with third parties on commercially reasonable terms,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academic institutions and other biopharmaceutical companies that develop similar or alternatives to cellular immunotherapy product candidates;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internally manufacture our product candidates, including our reliance on third parties to manufacture certain of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sole supplier for certain steps of our manufacturing process;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commission and receive regulatory approvals for our manufacturing facilities, which could result in delays to our development plans and limit our ability to develop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optimal donor and manufacturing parameters for our product candidates;</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 agreement with National University of Singapore and St. Jude Children’s Research Hospital with respect to certain rights to our product candidates;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for our products and our ability to operate our business without infringing on the intellectual property rights of others;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sales and marketing capabilities if any of our product candidates are approved for marketing and commercialization;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limitations on our product candidates following approval, including NKX019, if and when such approval is granted;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of our shares of common stock among our existing executive officers, directors and principal stockholders, which may prevent new investors from influencing significant corporate decisions;</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product development program as a result of computer system interruptions or security breaches of our information systems;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in “Risk Factors” in this prospectus supplement and Part I, Item 1A, Risk Factors in our most recent Annual Report on Form 10-K filed with the SEC, as such risk factors may be amended, supplemented or superseded from time to time by our subsequent periodic reports we file with the SEC, including our Quarterly Reports on Form 10-Q, and in any prospectus supplement.</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 We caution you that the forward-looking statements in this prospectus supplement, the accompanying prospectus and the documents incorporated by reference herein and therein, are made only as of their respective dates. These statements are inherently uncertain, and investors are cautioned not to unduly rely upon these statements.</w:t>
      </w:r>
    </w:p>
    <w:p>
      <w:pPr>
        <w:spacing w:after="0" w:line="75"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or incorporated by reference herein, whether as a result of any new information, future events, changed circumstances or otherwise.</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including the documents incorporated by reference herein,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956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69564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320" w:right="3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common stock discussed under “Risk Factors” beginning on page </w:t>
      </w:r>
      <w:r>
        <w:rPr>
          <w:rFonts w:ascii="Times New Roman" w:cs="Times New Roman" w:eastAsia="Times New Roman" w:hAnsi="Times New Roman"/>
          <w:sz w:val="18"/>
          <w:szCs w:val="18"/>
          <w:i w:val="1"/>
          <w:iCs w:val="1"/>
          <w:u w:val="single" w:color="auto"/>
          <w:color w:val="0000EE"/>
        </w:rPr>
        <w:t>6</w:t>
      </w:r>
      <w:r>
        <w:rPr>
          <w:rFonts w:ascii="Times New Roman" w:cs="Times New Roman" w:eastAsia="Times New Roman" w:hAnsi="Times New Roman"/>
          <w:sz w:val="18"/>
          <w:szCs w:val="18"/>
          <w:i w:val="1"/>
          <w:iCs w:val="1"/>
          <w:color w:val="auto"/>
        </w:rPr>
        <w:t xml:space="preserve"> of this prospectus, along with our consolidated financial statements and notes to those consolidated financial statements and the other information incorporated by reference in this prospectus.</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the development of allogeneic, off-the-shelf engineered NK cell therapies. Our company was founded on the belief that engineered NK cell therapies can transform the lives of patients by offering therapies that are clinically meaningful, broadly accessible and unencumbered by the safety concerns often associated with other cell therapy approaches. Our lead pipeline program is NKX019, a CAR NK product candidate targeting the CD19 antigen for the treatment of patients with autoimmune diseases. Our CAR NK platform enables an on-demand, off-the-shelf approach involving scaled manufacturing to broaden patient access. We have developed proprietary technologies designed to generate an abundant supply of NK cells, increase NK cell recognition of target antigens, and enhance NK cell fitness to support scalable, off the 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w:t>
      </w:r>
    </w:p>
    <w:p>
      <w:pPr>
        <w:spacing w:after="0" w:line="89" w:lineRule="exact"/>
        <w:rPr>
          <w:sz w:val="20"/>
          <w:szCs w:val="20"/>
          <w:color w:val="auto"/>
        </w:rPr>
      </w:pPr>
    </w:p>
    <w:p>
      <w:pPr>
        <w:ind w:left="320" w:right="319" w:firstLine="360"/>
        <w:spacing w:after="0" w:line="273" w:lineRule="auto"/>
        <w:rPr>
          <w:sz w:val="20"/>
          <w:szCs w:val="20"/>
          <w:color w:val="auto"/>
        </w:rPr>
      </w:pPr>
      <w:r>
        <w:rPr>
          <w:rFonts w:ascii="Times New Roman" w:cs="Times New Roman" w:eastAsia="Times New Roman" w:hAnsi="Times New Roman"/>
          <w:sz w:val="17"/>
          <w:szCs w:val="17"/>
          <w:color w:val="auto"/>
        </w:rPr>
        <w:t>NKX019 is currently being studied in an ongoing Phase 1 clinical trial, Ntrust-1, for lupus nephritis and primary membranous nephropathy and a Phase 1 clinical trial, Ntrust-2, for systemic sclerosis, idiopathic inflammatory myopathy, and antineutrophil cytoplasmic antibody-associated vasculitis. NKX019 was initially studied in a Phase 1 clinical trial for certain B-cell malignancies, along with NKX101, a CAR NK product candidate targeting cells that display NKG2D ligands, which was studied in a Phase 1 clinical trial for certain hematologic malignancies. Both oncology studies closed patient enrollment in 2023 and have been deprioritized to direct primary resources to the development of our lead pipeline program, NKX019, for the treatment of autoimmune diseases.</w:t>
      </w:r>
    </w:p>
    <w:p>
      <w:pPr>
        <w:spacing w:after="0" w:line="63" w:lineRule="exact"/>
        <w:rPr>
          <w:sz w:val="20"/>
          <w:szCs w:val="20"/>
          <w:color w:val="auto"/>
        </w:rPr>
      </w:pPr>
    </w:p>
    <w:p>
      <w:pPr>
        <w:ind w:left="320" w:right="359" w:firstLine="360"/>
        <w:spacing w:after="0" w:line="268" w:lineRule="auto"/>
        <w:rPr>
          <w:sz w:val="20"/>
          <w:szCs w:val="20"/>
          <w:color w:val="auto"/>
        </w:rPr>
      </w:pPr>
      <w:r>
        <w:rPr>
          <w:rFonts w:ascii="Times New Roman" w:cs="Times New Roman" w:eastAsia="Times New Roman" w:hAnsi="Times New Roman"/>
          <w:sz w:val="17"/>
          <w:szCs w:val="17"/>
          <w:color w:val="auto"/>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on the surface of an NK cell to enable the cell to recognize specific proteins or antigens that are present on the surface of target cells. Our engineered CAR NK cells consist of an NK cell engineered with a targeting receptor,</w:t>
      </w:r>
    </w:p>
    <w:p>
      <w:pPr>
        <w:spacing w:after="0" w:line="5" w:lineRule="exact"/>
        <w:rPr>
          <w:sz w:val="20"/>
          <w:szCs w:val="20"/>
          <w:color w:val="auto"/>
        </w:rPr>
      </w:pPr>
    </w:p>
    <w:p>
      <w:pPr>
        <w:ind w:left="320" w:right="1199"/>
        <w:spacing w:after="0" w:line="260" w:lineRule="auto"/>
        <w:rPr>
          <w:sz w:val="20"/>
          <w:szCs w:val="20"/>
          <w:color w:val="auto"/>
        </w:rPr>
      </w:pPr>
      <w:r>
        <w:rPr>
          <w:rFonts w:ascii="Times New Roman" w:cs="Times New Roman" w:eastAsia="Times New Roman" w:hAnsi="Times New Roman"/>
          <w:sz w:val="18"/>
          <w:szCs w:val="18"/>
          <w:color w:val="auto"/>
        </w:rPr>
        <w:t>OX40 costimulatory domain, CD3ζ(zeta) signaling moiety, and a membrane-bound form of the cytokine IL(interleukin)-15.</w:t>
      </w: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1150 Veterans Boulevard, South San Francisco, California 94080, our telephone number is (925) 407-1049, and our website is </w:t>
      </w:r>
      <w:r>
        <w:rPr>
          <w:rFonts w:ascii="Times New Roman" w:cs="Times New Roman" w:eastAsia="Times New Roman" w:hAnsi="Times New Roman"/>
          <w:sz w:val="18"/>
          <w:szCs w:val="18"/>
          <w:i w:val="1"/>
          <w:iCs w:val="1"/>
          <w:color w:val="auto"/>
        </w:rPr>
        <w:t>www.nkartatx.com</w:t>
      </w:r>
      <w:r>
        <w:rPr>
          <w:rFonts w:ascii="Times New Roman" w:cs="Times New Roman" w:eastAsia="Times New Roman" w:hAnsi="Times New Roman"/>
          <w:sz w:val="18"/>
          <w:szCs w:val="18"/>
          <w:color w:val="auto"/>
        </w:rPr>
        <w:t>. The information contained on or that can be accessed through our website does not constitute part of this prospectus, except for reports filed with the SEC that are specifically incorporated herein by reference.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47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78479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38"/>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Nkarta, Inc.</w:t>
            </w:r>
          </w:p>
        </w:tc>
      </w:tr>
      <w:tr>
        <w:trPr>
          <w:trHeight w:val="34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Shares of our common stock having an aggregate</w:t>
            </w:r>
          </w:p>
        </w:tc>
      </w:tr>
      <w:tr>
        <w:trPr>
          <w:trHeight w:val="234"/>
        </w:trPr>
        <w:tc>
          <w:tcPr>
            <w:tcW w:w="34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offering price of up to $100,000,000.</w:t>
            </w:r>
          </w:p>
        </w:tc>
      </w:tr>
      <w:tr>
        <w:trPr>
          <w:trHeight w:val="302"/>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After this</w:t>
            </w: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Up to 120,070,977 shares of our common stock,</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assuming sales of 48,780,487 shares of common stock in</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this offering at an offering price of $2.05 per share,</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which was the last reported sale price of our common</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stock on The Nasdaq Global Select Market on</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March 24, 2026. The actual number of shares issued will</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vary depending on the sales prices at which such shares</w:t>
            </w:r>
          </w:p>
        </w:tc>
      </w:tr>
      <w:tr>
        <w:trPr>
          <w:trHeight w:val="234"/>
        </w:trPr>
        <w:tc>
          <w:tcPr>
            <w:tcW w:w="34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are sold pursuant to this offering.</w:t>
            </w:r>
          </w:p>
        </w:tc>
      </w:tr>
      <w:tr>
        <w:trPr>
          <w:trHeight w:val="33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Manner of Offering</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We will sell the shares of our common stock offered</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hereby by any method permitted that is deemed an “at</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market offering” as defined in Rule 415(a)(4) under</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Securities Act, through our sales agent, Stifel,</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Nicolaus &amp; Company, Incorporated. See “Plan of</w:t>
            </w:r>
          </w:p>
        </w:tc>
      </w:tr>
      <w:tr>
        <w:trPr>
          <w:trHeight w:val="234"/>
        </w:trPr>
        <w:tc>
          <w:tcPr>
            <w:tcW w:w="34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Distribution.”</w:t>
            </w:r>
          </w:p>
        </w:tc>
      </w:tr>
      <w:tr>
        <w:trPr>
          <w:trHeight w:val="34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from the sale of any</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common stock offered under this prospectus to fund the</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research, development and manufacturing of our product</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candidates, continue research activities related to</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advancing our NK cell therapy platform, increase our</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working capital, fund capital expenditures and for</w:t>
            </w:r>
          </w:p>
        </w:tc>
      </w:tr>
      <w:tr>
        <w:trPr>
          <w:trHeight w:val="234"/>
        </w:trPr>
        <w:tc>
          <w:tcPr>
            <w:tcW w:w="34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general corporate purposes.</w:t>
            </w:r>
          </w:p>
        </w:tc>
      </w:tr>
      <w:tr>
        <w:trPr>
          <w:trHeight w:val="306"/>
        </w:trPr>
        <w:tc>
          <w:tcPr>
            <w:tcW w:w="3440" w:type="dxa"/>
            <w:vAlign w:val="bottom"/>
          </w:tcPr>
          <w:p>
            <w:pPr>
              <w:spacing w:after="0"/>
              <w:rPr>
                <w:sz w:val="24"/>
                <w:szCs w:val="24"/>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Pending the specific use of net proceeds as described in</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this prospectus, we intend to invest the net proceeds to</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us from this offering in short term investments,</w:t>
            </w:r>
          </w:p>
        </w:tc>
      </w:tr>
      <w:tr>
        <w:trPr>
          <w:trHeight w:val="234"/>
        </w:trPr>
        <w:tc>
          <w:tcPr>
            <w:tcW w:w="34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including marketable securities. See “Use of Proceeds.”</w:t>
            </w:r>
          </w:p>
        </w:tc>
      </w:tr>
      <w:tr>
        <w:trPr>
          <w:trHeight w:val="365"/>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“NKTX”</w:t>
            </w:r>
          </w:p>
        </w:tc>
      </w:tr>
      <w:tr>
        <w:trPr>
          <w:trHeight w:val="33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Investing in our common stock involves a high degree of</w:t>
            </w:r>
          </w:p>
        </w:tc>
      </w:tr>
      <w:tr>
        <w:trPr>
          <w:trHeight w:val="194"/>
        </w:trPr>
        <w:tc>
          <w:tcPr>
            <w:tcW w:w="3440" w:type="dxa"/>
            <w:vAlign w:val="bottom"/>
          </w:tcPr>
          <w:p>
            <w:pPr>
              <w:spacing w:after="0"/>
              <w:rPr>
                <w:sz w:val="16"/>
                <w:szCs w:val="16"/>
                <w:color w:val="auto"/>
              </w:rPr>
            </w:pPr>
          </w:p>
        </w:tc>
        <w:tc>
          <w:tcPr>
            <w:tcW w:w="4980" w:type="dxa"/>
            <w:vAlign w:val="bottom"/>
            <w:gridSpan w:val="3"/>
          </w:tcPr>
          <w:p>
            <w:pPr>
              <w:ind w:left="880"/>
              <w:spacing w:after="0" w:line="194" w:lineRule="exact"/>
              <w:rPr>
                <w:sz w:val="20"/>
                <w:szCs w:val="20"/>
                <w:color w:val="auto"/>
              </w:rPr>
            </w:pPr>
            <w:r>
              <w:rPr>
                <w:rFonts w:ascii="Times New Roman" w:cs="Times New Roman" w:eastAsia="Times New Roman" w:hAnsi="Times New Roman"/>
                <w:sz w:val="18"/>
                <w:szCs w:val="18"/>
                <w:color w:val="auto"/>
              </w:rPr>
              <w:t xml:space="preserve">risk. See “Risk Factors” beginning on page </w:t>
            </w: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color w:val="auto"/>
              </w:rPr>
              <w:t xml:space="preserve"> of this</w:t>
            </w:r>
          </w:p>
        </w:tc>
      </w:tr>
      <w:tr>
        <w:trPr>
          <w:trHeight w:val="20"/>
        </w:trPr>
        <w:tc>
          <w:tcPr>
            <w:tcW w:w="3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prospectus and in the documents incorporated by</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into this prospectus for a discussion of certain</w:t>
            </w:r>
          </w:p>
        </w:tc>
      </w:tr>
      <w:tr>
        <w:trPr>
          <w:trHeight w:val="216"/>
        </w:trPr>
        <w:tc>
          <w:tcPr>
            <w:tcW w:w="3440" w:type="dxa"/>
            <w:vAlign w:val="bottom"/>
          </w:tcPr>
          <w:p>
            <w:pPr>
              <w:spacing w:after="0"/>
              <w:rPr>
                <w:sz w:val="18"/>
                <w:szCs w:val="18"/>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factors to consider carefully before deciding to purchase</w:t>
            </w:r>
          </w:p>
        </w:tc>
      </w:tr>
      <w:tr>
        <w:trPr>
          <w:trHeight w:val="234"/>
        </w:trPr>
        <w:tc>
          <w:tcPr>
            <w:tcW w:w="3440" w:type="dxa"/>
            <w:vAlign w:val="bottom"/>
          </w:tcPr>
          <w:p>
            <w:pPr>
              <w:spacing w:after="0"/>
              <w:rPr>
                <w:sz w:val="20"/>
                <w:szCs w:val="20"/>
                <w:color w:val="auto"/>
              </w:rPr>
            </w:pPr>
          </w:p>
        </w:tc>
        <w:tc>
          <w:tcPr>
            <w:tcW w:w="4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any shares of our common stock.</w:t>
            </w:r>
          </w:p>
        </w:tc>
      </w:tr>
    </w:tbl>
    <w:p>
      <w:pPr>
        <w:spacing w:after="0" w:line="90"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71,078,531 shares of our common stock outstanding as of December 31, 2025, and excludes the following:</w:t>
      </w:r>
    </w:p>
    <w:p>
      <w:pPr>
        <w:spacing w:after="0" w:line="54" w:lineRule="exact"/>
        <w:rPr>
          <w:sz w:val="20"/>
          <w:szCs w:val="20"/>
          <w:color w:val="auto"/>
        </w:rPr>
      </w:pPr>
    </w:p>
    <w:p>
      <w:pPr>
        <w:ind w:left="1020" w:right="33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11,386,162 shares of common stock issuable upon the exercise of outstanding stock options and vesting of restricted stock units under our 2020 Performance Incentive Plan (the “2020 Plan”) and our 2015 Equity Incentive Plan;</w:t>
      </w:r>
    </w:p>
    <w:p>
      <w:pPr>
        <w:spacing w:after="0" w:line="67" w:lineRule="exact"/>
        <w:rPr>
          <w:rFonts w:ascii="Times New Roman" w:cs="Times New Roman" w:eastAsia="Times New Roman" w:hAnsi="Times New Roman"/>
          <w:sz w:val="18"/>
          <w:szCs w:val="18"/>
          <w:color w:val="auto"/>
        </w:rPr>
      </w:pPr>
    </w:p>
    <w:p>
      <w:pPr>
        <w:ind w:left="1020" w:right="75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3,914,097 shares of our common stock reserved for future issuance of equity award grants under our 2020 Plan;</w:t>
      </w:r>
    </w:p>
    <w:p>
      <w:pPr>
        <w:spacing w:after="0" w:line="53" w:lineRule="exact"/>
        <w:rPr>
          <w:rFonts w:ascii="Times New Roman" w:cs="Times New Roman" w:eastAsia="Times New Roman" w:hAnsi="Times New Roman"/>
          <w:sz w:val="18"/>
          <w:szCs w:val="18"/>
          <w:color w:val="auto"/>
        </w:rPr>
      </w:pPr>
    </w:p>
    <w:p>
      <w:pPr>
        <w:ind w:left="1020" w:right="37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2,173,680 shares of common stock reserved for future issuance under our 2020 Employee Stock Purchase Plan; and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3,000,031 shares of our common stock issuable upon the exercise of our existing pre-funded warrants.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deciding to invest in our common stock, you should carefully consider the risks and uncertainties described below together with all of the other information contained in this prospectus and in the documents incorporated by reference herein, including the risks described in “Item 1A. Risk Factors” of our most recent Annual Report on Form 10-K or Quarterly Report on Form 10-Q filed with the SEC, as such risk factors may be amended, supplemented or superseded from time to time by other reports we file with the SEC, including subsequent Annual Reports on Form 10-K and Quarterly Reports on Form 10-Q. If any of these risks actually occur, our business, prospects, operating results and financial condition could suffer materially. In such event, the trading price of our common stock could decline and you might lose all or part of your investment.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5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are beyond our control. Factors affecting the trading price of our common stock, may include but are not limited to: (i) our decision to initiate a clinical study, not to initiate a clinical study or to terminate an existing clinical study; (ii) changes in our strategy, including decisions to deprioritize certain product candidates or change our pipeline focus in the future, as well as cost-containment or cost-optimization initiatives we may undertake; (iii) delays in the announcement of initial data or clinical results from our clinical trials or expectations that such delays may occur; (iv) data or clinical results from our clinical trials; (v) adverse regulatory decisions, including failure to receive regulatory approval for our products; (vi) success or failure of competitive products, immunotherapy drugs or cellular therapies more generally; (vii) adverse developments concerning our manufacturers or our strategic partnerships; (viii) adverse safety or other clinical results, such as those that have occurred in the past or that may occur in the future, related to cellular therapies being developed by other companies that are or may be perceived to be similar to our cellular therapies; (ix) operating and stock price performance of other companies that investors deem comparable to us; (x) sales of substantial amounts of common stock by our directors, executive officers or significant stockholders or the perception that such sales could occur;</w:t>
      </w:r>
    </w:p>
    <w:p>
      <w:pPr>
        <w:spacing w:after="0" w:line="12" w:lineRule="exact"/>
        <w:rPr>
          <w:sz w:val="20"/>
          <w:szCs w:val="20"/>
          <w:color w:val="auto"/>
        </w:rPr>
      </w:pPr>
    </w:p>
    <w:p>
      <w:pPr>
        <w:ind w:left="300" w:right="399" w:hanging="8"/>
        <w:spacing w:after="0" w:line="252" w:lineRule="auto"/>
        <w:tabs>
          <w:tab w:leader="none" w:pos="6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(xii) other factors discussed in “Item 1A. Risk Factors” of our most recent Annual Report on Form 10-K or Quarterly Report on Form 10-Q filed with the SEC, as such risk factors may be amended, supplemented or superseded from time to time by other reports we file with the SEC, including subsequent Annual Reports on Form 10-K and Quarterly Reports on Form 10-Q, that are incorporated by reference herein.</w:t>
      </w:r>
    </w:p>
    <w:p>
      <w:pPr>
        <w:spacing w:after="0" w:line="8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72" w:lineRule="exact"/>
        <w:rPr>
          <w:sz w:val="20"/>
          <w:szCs w:val="20"/>
          <w:color w:val="auto"/>
        </w:rPr>
      </w:pPr>
    </w:p>
    <w:p>
      <w:pPr>
        <w:ind w:left="300" w:right="439" w:firstLine="360"/>
        <w:spacing w:after="0" w:line="252"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ind w:left="300" w:right="419" w:firstLine="360"/>
        <w:spacing w:after="0" w:line="276" w:lineRule="auto"/>
        <w:rPr>
          <w:sz w:val="20"/>
          <w:szCs w:val="20"/>
          <w:color w:val="auto"/>
        </w:rPr>
      </w:pPr>
      <w:r>
        <w:rPr>
          <w:rFonts w:ascii="Times New Roman" w:cs="Times New Roman" w:eastAsia="Times New Roman" w:hAnsi="Times New Roman"/>
          <w:sz w:val="17"/>
          <w:szCs w:val="17"/>
          <w:color w:val="auto"/>
        </w:rPr>
        <w:t>As of March 18, 2026, our directors and executive officers, and entities affiliated with them, as well as holders of more than 5% of our outstanding shares of common stock, in the aggregate beneficially own approximately</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38% of our common stock (based on 71,290,490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81"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shares were sold in the initial public offering (“IPO”) and have held their shares for a longer period, they may be more interested in selling our company to an acquirer than other investors, or they may want us to pursue strategies that deviate from the interests of other stockholders.</w:t>
      </w:r>
    </w:p>
    <w:p>
      <w:pPr>
        <w:spacing w:after="0" w:line="314"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51"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March 18, 2026, we had 74,290,521 shares of common stock outstanding (including pre-funded warrants).</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312" w:lineRule="exact"/>
        <w:rPr>
          <w:sz w:val="20"/>
          <w:szCs w:val="20"/>
          <w:color w:val="auto"/>
        </w:rPr>
      </w:pPr>
    </w:p>
    <w:p>
      <w:pPr>
        <w:ind w:left="30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rely on exemptions from certain disclosure and governance requirements applicable to smaller reporting companies, as a result of which our common stock may be less attractive to investors.</w:t>
      </w:r>
    </w:p>
    <w:p>
      <w:pPr>
        <w:spacing w:after="0" w:line="6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by applicable rules of the SEC. We will remain a smaller reporting company and non-accelerated filer until we have a public float of $700 million or more as of the last business day of our most recently completed second fiscal quarter, or a public float of $250 million or more as of the last business day of our most recently completed second fiscal quarter and annual revenues of $100 million or more. Although we no longer qualify as an emerging growth company, as long as we continue to qualify as a smaller reporting company and do not otherwise become an “accelerated filer” or “large accelerated filer,” we may continue to rely on scaled disclosure requirements, including the exemption from the auditor attestation requirements of Section 404(b) of the Sarbanes-Oxley Act and reduced disclosure obligations regarding executive compensation and certain other disclosures in our periodic reports and proxy statements. We cannot predict if investors will find our common stock less attractive if we rely on smaller reporting company exemptions. If some investors find our common stock less attractive as a result, there may be a less active trading market for our common stock and our stock price may be more volatile.</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we may not use these proceeds effectively or in ways with which you agree.</w:t>
      </w:r>
    </w:p>
    <w:p>
      <w:pPr>
        <w:spacing w:after="0" w:line="5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Our management will have broad discretion as to the application of the net proceeds of this offering and could use them for purposes other than those contemplated at the time of this offering. See “Use of Proceeds.”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stockholders may not agree with the manner in which our management chooses to allocate and spend the net proceeds. Moreover, our management may use the net proceeds for corporate purposes that may not yield profitable results or increase the market price of our common stock.</w:t>
      </w:r>
    </w:p>
    <w:p>
      <w:pPr>
        <w:spacing w:after="0" w:line="334"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 Sales Agreement does not specify any required minimum or maximum sales price. Investors may experience a decline in the value of their shares as a result of share sales made at prices lower than the prices they paid.</w:t>
      </w:r>
    </w:p>
    <w:p>
      <w:pPr>
        <w:spacing w:after="0" w:line="328"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may issue under the Sales Agreement, at any one time or in total, is uncertain and you may experience future dilution as a result of future equity offerings.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submit an order to Stifel to sell shares of our common stock at any time throughout the term of the Sales Agreement. The number of shares that are sold by Stifel after we submit any such order will fluctuate based on the market price of the common stock during the sales period and limits we set with Stifel. Because the price per share of each share sold will fluctuate based on the market price of our common stock during the sales period, it is not possible at this stage to predict the number of shares that will be ultimately issued. In addition, in order to raise additional capital, we may offer in the future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investors in this offering.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sale of any common stock offered under this prospectus to fund the research, development and manufacturing of our product candidates, continue research activities related to advancing our NK cell therapy platform, increase our working capital, fund capital expenditures and for general corporate purposes.</w:t>
      </w:r>
    </w:p>
    <w:p>
      <w:pPr>
        <w:spacing w:after="0" w:line="72"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we intend to invest the net proceeds to us from this offering in short term investments, including marketable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a Sales Agreement with Stifel, under which we may issue and sell from time to time up to $100,000,000 of our common stock through Stifel as our sales agent. If authorized by us in writing, Stifel may purchase shares of our common stock as principal.</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Sales, if any, of our common stock under the Sales Agreement may be made by any method permitted by law deemed to be an “at the market” offering as defined in Rule 415 of the Securities Act, including without limitation sales made on or through The Nasdaq Global Select Market or on any other existing trading market for the common stock, in the over-the-counter market, in privately negotiated transactions or through a combination of any such methods of sale permitted by law.</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Stifel will offer our common stock subject to the terms and conditions of the Sales Agreement on a daily basis or as otherwise agreed upon by us and Stifel. We will designate the maximum amount of common stock to be sold through Stifel on a daily basis or otherwise determine such maximum amount together with Stifel. Subject to the terms and conditions of the Sales Agreement, Stifel will use its commercially reasonable efforts to sell on our behalf all of the shares of common stock requested to be sold by us. We may instruct Stifel not to sell common stock if the sales cannot be effected at or above the price designated by us in any such instruction. Stifel or we may suspend the offering of our common stock being made through Stifel under the Sales Agreement upon proper notice to the other party. Stifel and we each have the right, by giving written notice as specified in the Sales Agreement, to terminate the Sales Agreement in each party’s sole discretion at any time.</w:t>
      </w:r>
    </w:p>
    <w:p>
      <w:pPr>
        <w:spacing w:after="0" w:line="80"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Stifel as sales agent will be up to 3.0% of the gross sales price of the shares sold through it pursuant to the Sales Agreement. We have also agreed to reimburse Stifel up to $50,000 of Stifel’s actual outside legal expenses incurred by Stifel in connection with this offering. We estimate that the total expenses of the offering payable by us, excluding commissions payable to Stifel under the Sales Agreement, will be approximately $300,000.</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Stifel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7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Stifel under the Sales Agreement, the net proceeds to us and the compensation paid by us to Stifel in connection with the sales of common stock.</w:t>
      </w:r>
    </w:p>
    <w:p>
      <w:pPr>
        <w:spacing w:after="0" w:line="68" w:lineRule="exact"/>
        <w:rPr>
          <w:sz w:val="20"/>
          <w:szCs w:val="20"/>
          <w:color w:val="auto"/>
        </w:rPr>
      </w:pPr>
    </w:p>
    <w:p>
      <w:pPr>
        <w:jc w:val="both"/>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trading day (or such earlier day as is industry practice for regular-way trading) following the date on which any sales were made in return for payment of the net proceeds to us. There is no arrangement for funds to be received in an escrow, trust or similar arrangement.</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Stifel will be deemed to be an “underwriter” within the meaning of the Securities Act, and the compensation paid to Stifel will be deemed to be underwriting commissions or discounts. We have agreed in the Sales Agreement to provide indemnification and contribution to Stifel against certain liabilities, including liabilities under the Securities Act. As sales agent, Stifel will not engage in any transaction that stabilizes our common stock.</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“NKTX.”</w:t>
      </w:r>
    </w:p>
    <w:p>
      <w:pPr>
        <w:spacing w:after="0" w:line="117"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Stifel and/or its affiliates have provided, and may in the future provide, various investment banking and other financial services for us for which services they have received and, may in the future receive, customary fees.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O’Melveny &amp; Myers LLP. Certain matters will be passed upon for Stifel by Willkie Farr &amp; Gallagher LLP.</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This prospectus does not contain all of the information included in the registration statement. The full registration statement may be obtained from the SEC or us, as provided below.</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located at </w:t>
      </w:r>
      <w:r>
        <w:rPr>
          <w:rFonts w:ascii="Times New Roman" w:cs="Times New Roman" w:eastAsia="Times New Roman" w:hAnsi="Times New Roman"/>
          <w:sz w:val="18"/>
          <w:szCs w:val="18"/>
          <w:i w:val="1"/>
          <w:iCs w:val="1"/>
          <w:color w:val="auto"/>
        </w:rPr>
        <w:t>www.nkartatx.com</w:t>
      </w:r>
      <w:r>
        <w:rPr>
          <w:rFonts w:ascii="Times New Roman" w:cs="Times New Roman" w:eastAsia="Times New Roman" w:hAnsi="Times New Roman"/>
          <w:sz w:val="18"/>
          <w:szCs w:val="18"/>
          <w:color w:val="auto"/>
        </w:rPr>
        <w:t>, where these SEC filings and other information about the Company can be accessed, free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as soon as reasonably practicable after we electronically file the information with, or furnish it to, the SEC. The information contained on or that can be accessed through our website does not constitute part of this prospectus, except for reports filed with the SEC that are specifically incorporated herein by reference.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WE INCORPORATE BY REFERENCE</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Any statement contained in a document incorporated or deemed to be incorporated by reference in this prospectus will be deemed to be modified or superseded for purposes of this prospectus to the extent a statement contained in this prospectus or in any other subsequently filed document that is or is deemed to be incorporated by reference in this prospectus modifies or supersedes that statement. We incorporate by reference in this prospectus the following documents and reports we filed with the SEC (other than, in each case, the portions that are deemed to have been furnished and not filed in accordance with SEC rules):</w:t>
      </w:r>
    </w:p>
    <w:p>
      <w:pPr>
        <w:spacing w:after="0" w:line="80" w:lineRule="exact"/>
        <w:rPr>
          <w:sz w:val="20"/>
          <w:szCs w:val="20"/>
          <w:color w:val="auto"/>
        </w:rPr>
      </w:pPr>
    </w:p>
    <w:p>
      <w:pPr>
        <w:ind w:left="1000" w:right="6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25, 2026;</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2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incorporated by reference into Part III of our Annual Report on Form 10-K for the year ended December 31, 2024, as filed with the SEC on April 21, 2025; and</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par value $0.0001 per share, contained in </w:t>
      </w:r>
      <w:hyperlink r:id="rId30">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2025 (filed with the SEC on March 25, 2026), which updated the description thereof contained in our Registration Statement on </w:t>
      </w:r>
      <w:hyperlink r:id="rId3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July 2, 2020 (File No. 001-39370), and any amendments or reports filed for the purpose of updating such description.</w:t>
      </w:r>
    </w:p>
    <w:p>
      <w:pPr>
        <w:spacing w:after="0" w:line="75"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incorporate by reference the information contained in all other documents that we file with the SEC</w:t>
      </w:r>
    </w:p>
    <w:p>
      <w:pPr>
        <w:spacing w:after="0" w:line="27"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Sections 13(a), 13(c), 14 or 15(d) of the Securities Exchange Act of 1934, as amended, or the</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Exchange Act, (other than the portions that are deemed to have been furnished and not filed in accordance with SEC</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rules, unless otherwise indicated therein), on or after the date of the registration statement of which this prospectus</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forms a part and prior to its effectiveness and prior to the completion of the offering of all securities under this</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prospectus and any prospectus supplement. The information contained in any such document will be considered part</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this prospectus from the date the document is filed with the SEC. Any statement contained in a document</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incorporated or deemed to be incorporated by reference herein shall be deemed to be modified or superseded for</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purposes of this prospectus and any accompanying prospectus supplement to the extent that a statement contained</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herein or therein or in any other subsequently filed document which also is or is deemed to be incorporated by</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 herein or therein modifies or supersedes such statement. Any such statement so modified or superseded</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shall not be deemed, except as so modified or superseded, to constitute a part of this prospectus or any</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accompanying prospectus supplement. We will provide to each person, including any beneficial owner, to whom a</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7"/>
          <w:szCs w:val="17"/>
          <w:color w:val="auto"/>
        </w:rPr>
        <w:t>prospectus (or a notice of registration in lieu thereof) is delivered, a copy of any or all of the documents incorporated</w:t>
      </w:r>
    </w:p>
    <w:p>
      <w:pPr>
        <w:spacing w:after="0" w:line="21"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by reference in this prospectus or any accompanying prospectus supplement (other than an exhibit to these filings,</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the exhibit is specifically incorporated by reference in the document requested) at no cost. Any such request</w:t>
      </w:r>
    </w:p>
    <w:p>
      <w:pPr>
        <w:spacing w:after="0" w:line="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can be made by writing or telephoning us at the following address and telephone number:</w:t>
      </w:r>
    </w:p>
    <w:p>
      <w:pPr>
        <w:spacing w:after="0" w:line="153"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Nkarta,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1150 Veterans Boulevard</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(925) 407-1049</w:t>
      </w:r>
    </w:p>
    <w:p>
      <w:pPr>
        <w:spacing w:after="0" w:line="20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Up to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185420</wp:posOffset>
            </wp:positionV>
            <wp:extent cx="1482725" cy="48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4827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Nkarta, Inc.</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787400</wp:posOffset>
            </wp:positionV>
            <wp:extent cx="1097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170180</wp:posOffset>
            </wp:positionV>
            <wp:extent cx="1097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Stifel</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jpe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28" Type="http://schemas.openxmlformats.org/officeDocument/2006/relationships/hyperlink" Target="https://www.sec.gov/ix?doc=/Archives/edgar/data/1787400/000178740026000006/nktx-20251231.htm" TargetMode="External"/><Relationship Id="rId29" Type="http://schemas.openxmlformats.org/officeDocument/2006/relationships/hyperlink" Target="https://www.sec.gov/ix?doc=/Archives/edgar/data/1787400/000114036125014740/ny20043443x1_def14a.htm" TargetMode="External"/><Relationship Id="rId30" Type="http://schemas.openxmlformats.org/officeDocument/2006/relationships/hyperlink" Target="https://www.sec.gov/Archives/edgar/data/1787400/000178740026000006/nktx-ex4_3.htm" TargetMode="External"/><Relationship Id="rId31" Type="http://schemas.openxmlformats.org/officeDocument/2006/relationships/hyperlink" Target="https://www.sec.gov/Archives/edgar/data/1787400/000119312520186958/d7788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2026-04-03T16:30:29Z</dcterms:created>
  <dcterms:modified xsi:type="dcterms:W3CDTF">2026-04-03T16:30:29Z</dcterms:modified>
</cp:coreProperties>
</file>