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73" w:before="0" w:after="0"/>
        <w:jc w:val="center"/>
        <w:rPr/>
      </w:pPr>
      <w:bookmarkStart w:id="0" w:name="nktx-20220331.htm"/>
      <w:bookmarkStart w:id="1" w:name="ksnktx20220331"/>
      <w:bookmarkEnd w:id="0"/>
      <w:bookmarkEnd w:id="1"/>
      <w:r>
        <w:rPr/>
        <w:t> </w:t>
      </w:r>
    </w:p>
    <w:p>
      <w:pPr>
        <w:pStyle w:val="TextBody"/>
        <w:pBdr>
          <w:bottom w:val="double" w:sz="6" w:space="1" w:color="000000"/>
        </w:pBdr>
        <w:spacing w:lineRule="auto" w:line="273" w:before="0" w:after="0"/>
        <w:jc w:val="center"/>
        <w:rPr/>
      </w:pPr>
      <w:r>
        <w:rPr/>
        <w:t> </w:t>
      </w:r>
    </w:p>
    <w:p>
      <w:pPr>
        <w:pStyle w:val="TextBody"/>
        <w:spacing w:lineRule="auto" w:line="273" w:before="80" w:after="0"/>
        <w:jc w:val="center"/>
        <w:rPr>
          <w:rFonts w:ascii="Times New Roman" w:hAnsi="Times New Roman"/>
          <w:b/>
          <w:sz w:val="36"/>
        </w:rPr>
      </w:pPr>
      <w:r>
        <w:rPr>
          <w:rFonts w:ascii="Times New Roman" w:hAnsi="Times New Roman"/>
          <w:b/>
          <w:sz w:val="36"/>
        </w:rPr>
        <w:t>UNITED STATES</w:t>
      </w:r>
    </w:p>
    <w:p>
      <w:pPr>
        <w:pStyle w:val="TextBody"/>
        <w:spacing w:lineRule="auto" w:line="273" w:before="0" w:after="0"/>
        <w:jc w:val="center"/>
        <w:rPr>
          <w:rFonts w:ascii="Times New Roman" w:hAnsi="Times New Roman"/>
          <w:b/>
          <w:sz w:val="36"/>
        </w:rPr>
      </w:pPr>
      <w:r>
        <w:rPr>
          <w:rFonts w:ascii="Times New Roman" w:hAnsi="Times New Roman"/>
          <w:b/>
          <w:sz w:val="36"/>
        </w:rPr>
        <w:t>SECURITIES AND EXCHANGE COMMISSION</w:t>
      </w:r>
    </w:p>
    <w:p>
      <w:pPr>
        <w:pStyle w:val="TextBody"/>
        <w:spacing w:lineRule="auto" w:line="273" w:before="0" w:after="0"/>
        <w:jc w:val="center"/>
        <w:rPr>
          <w:rFonts w:ascii="Times New Roman" w:hAnsi="Times New Roman"/>
          <w:b/>
          <w:sz w:val="24"/>
        </w:rPr>
      </w:pPr>
      <w:r>
        <w:rPr>
          <w:rFonts w:ascii="Times New Roman" w:hAnsi="Times New Roman"/>
          <w:b/>
          <w:sz w:val="24"/>
        </w:rPr>
        <w:t>WASHINGTON, DC 20549</w:t>
      </w:r>
    </w:p>
    <w:p>
      <w:pPr>
        <w:pStyle w:val="TextBody"/>
        <w:pBdr>
          <w:bottom w:val="single" w:sz="4" w:space="1" w:color="000000"/>
        </w:pBdr>
        <w:spacing w:lineRule="auto" w:line="273" w:before="0" w:after="0"/>
        <w:jc w:val="center"/>
        <w:rPr/>
      </w:pPr>
      <w:r>
        <w:rPr/>
        <w:t> </w:t>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b/>
          <w:sz w:val="36"/>
        </w:rPr>
      </w:pPr>
      <w:r>
        <w:rPr>
          <w:rFonts w:ascii="Times New Roman" w:hAnsi="Times New Roman"/>
          <w:b/>
          <w:sz w:val="36"/>
        </w:rPr>
        <w:t>FORM 10-Q</w:t>
      </w:r>
    </w:p>
    <w:p>
      <w:pPr>
        <w:pStyle w:val="TextBody"/>
        <w:pBdr>
          <w:bottom w:val="single" w:sz="4" w:space="1" w:color="000000"/>
        </w:pBdr>
        <w:spacing w:lineRule="auto" w:line="273" w:before="0" w:after="0"/>
        <w:jc w:val="center"/>
        <w:rPr/>
      </w:pPr>
      <w:r>
        <w:rPr/>
        <w:t> </w:t>
      </w:r>
    </w:p>
    <w:p>
      <w:pPr>
        <w:pStyle w:val="TextBody"/>
        <w:spacing w:lineRule="auto" w:line="273" w:before="0" w:after="0"/>
        <w:jc w:val="center"/>
        <w:rPr/>
      </w:pPr>
      <w:r>
        <w:rPr/>
        <w:t> </w:t>
      </w:r>
    </w:p>
    <w:p>
      <w:pPr>
        <w:pStyle w:val="TextBody"/>
        <w:spacing w:lineRule="auto" w:line="273" w:before="0" w:after="0"/>
        <w:jc w:val="left"/>
        <w:rPr>
          <w:rFonts w:ascii="Times New Roman" w:hAnsi="Times New Roman"/>
          <w:b/>
          <w:sz w:val="16"/>
        </w:rPr>
      </w:pPr>
      <w:r>
        <w:rPr>
          <w:rFonts w:ascii="Times New Roman" w:hAnsi="Times New Roman"/>
          <w:b/>
          <w:sz w:val="16"/>
        </w:rPr>
        <w:t>(Mark One)</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lineRule="auto" w:line="252" w:before="40" w:after="0"/>
              <w:ind w:left="0" w:right="0" w:hanging="0"/>
              <w:jc w:val="left"/>
              <w:rPr>
                <w:rFonts w:ascii="Times New Roman" w:hAnsi="Times New Roman"/>
                <w:b/>
                <w:sz w:val="20"/>
              </w:rPr>
            </w:pPr>
            <w:r>
              <w:rPr>
                <w:rFonts w:ascii="Times New Roman" w:hAnsi="Times New Roman"/>
                <w:b/>
                <w:sz w:val="20"/>
              </w:rPr>
              <w:t>QUARTERLY REPORT PURSUANT TO SECTION 13 OR 15(d) OF THE SECURITIES EXCHANGE ACT OF 1934</w:t>
            </w:r>
          </w:p>
        </w:tc>
      </w:tr>
    </w:tbl>
    <w:p>
      <w:pPr>
        <w:pStyle w:val="TextBody"/>
        <w:spacing w:lineRule="auto" w:line="273" w:before="0" w:after="0"/>
        <w:jc w:val="center"/>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For the quarterly period ended March 31, 2022</w:t>
      </w:r>
    </w:p>
    <w:p>
      <w:pPr>
        <w:pStyle w:val="TextBody"/>
        <w:spacing w:lineRule="auto" w:line="273" w:before="120" w:after="0"/>
        <w:jc w:val="center"/>
        <w:rPr>
          <w:rFonts w:ascii="Times New Roman" w:hAnsi="Times New Roman"/>
          <w:b/>
          <w:sz w:val="20"/>
        </w:rPr>
      </w:pPr>
      <w:r>
        <w:rPr>
          <w:rFonts w:ascii="Times New Roman" w:hAnsi="Times New Roman"/>
          <w:b/>
          <w:sz w:val="20"/>
        </w:rPr>
        <w:t>OR</w:t>
      </w:r>
    </w:p>
    <w:p>
      <w:pPr>
        <w:pStyle w:val="TextBody"/>
        <w:spacing w:lineRule="auto" w:line="273" w:before="0" w:after="0"/>
        <w:jc w:val="center"/>
        <w:rPr/>
      </w:pPr>
      <w:r>
        <w:rPr/>
        <w:t> </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lineRule="auto" w:line="252" w:before="40" w:after="0"/>
              <w:ind w:left="0" w:right="0" w:hanging="0"/>
              <w:jc w:val="left"/>
              <w:rPr>
                <w:rFonts w:ascii="Times New Roman" w:hAnsi="Times New Roman"/>
                <w:b/>
                <w:sz w:val="20"/>
              </w:rPr>
            </w:pPr>
            <w:r>
              <w:rPr>
                <w:rFonts w:ascii="Times New Roman" w:hAnsi="Times New Roman"/>
                <w:b/>
                <w:sz w:val="20"/>
              </w:rPr>
              <w:t>TRANSITION REPORT PURSUANT TO SECTION 13 OR 15(d) OF THE SECURITIES EXCHANGE ACT OF 1934</w:t>
            </w:r>
          </w:p>
        </w:tc>
      </w:tr>
    </w:tbl>
    <w:p>
      <w:pPr>
        <w:pStyle w:val="TextBody"/>
        <w:spacing w:lineRule="auto" w:line="273" w:before="0" w:after="0"/>
        <w:jc w:val="center"/>
        <w:rPr/>
      </w:pPr>
      <w:r>
        <w:rPr/>
        <w:t> </w:t>
      </w:r>
    </w:p>
    <w:p>
      <w:pPr>
        <w:pStyle w:val="TextBody"/>
        <w:spacing w:lineRule="auto" w:line="273" w:before="0" w:after="0"/>
        <w:jc w:val="center"/>
        <w:rPr>
          <w:rFonts w:ascii="Times New Roman" w:hAnsi="Times New Roman"/>
          <w:sz w:val="20"/>
        </w:rPr>
      </w:pPr>
      <w:r>
        <w:rPr>
          <w:rFonts w:ascii="Times New Roman" w:hAnsi="Times New Roman"/>
          <w:b/>
          <w:sz w:val="20"/>
        </w:rPr>
        <w:t>For the transition period from to</w:t>
      </w:r>
      <w:r>
        <w:rPr>
          <w:rFonts w:ascii="Times New Roman" w:hAnsi="Times New Roman"/>
          <w:sz w:val="20"/>
        </w:rPr>
        <w:t xml:space="preserve"> </w:t>
      </w:r>
    </w:p>
    <w:p>
      <w:pPr>
        <w:pStyle w:val="TextBody"/>
        <w:spacing w:lineRule="auto" w:line="273" w:before="120" w:after="0"/>
        <w:jc w:val="center"/>
        <w:rPr>
          <w:rFonts w:ascii="Times New Roman" w:hAnsi="Times New Roman"/>
          <w:b/>
          <w:sz w:val="20"/>
        </w:rPr>
      </w:pPr>
      <w:r>
        <w:rPr>
          <w:rFonts w:ascii="Times New Roman" w:hAnsi="Times New Roman"/>
          <w:b/>
          <w:sz w:val="20"/>
        </w:rPr>
        <w:t>Commission File Number: 001-39370</w:t>
      </w:r>
    </w:p>
    <w:p>
      <w:pPr>
        <w:pStyle w:val="TextBody"/>
        <w:pBdr>
          <w:bottom w:val="single" w:sz="4" w:space="1" w:color="000000"/>
        </w:pBdr>
        <w:spacing w:lineRule="auto" w:line="273" w:before="0" w:after="0"/>
        <w:jc w:val="center"/>
        <w:rPr/>
      </w:pPr>
      <w:r>
        <w:rPr/>
        <w:t> </w:t>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b/>
          <w:sz w:val="48"/>
        </w:rPr>
      </w:pPr>
      <w:r>
        <w:rPr>
          <w:rFonts w:ascii="Times New Roman" w:hAnsi="Times New Roman"/>
          <w:b/>
          <w:sz w:val="48"/>
        </w:rPr>
        <w:t>Nkarta, Inc.</w:t>
      </w:r>
    </w:p>
    <w:p>
      <w:pPr>
        <w:pStyle w:val="TextBody"/>
        <w:spacing w:lineRule="auto" w:line="273"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pBdr>
          <w:bottom w:val="single" w:sz="4" w:space="1" w:color="000000"/>
        </w:pBdr>
        <w:spacing w:lineRule="auto" w:line="273" w:before="0" w:after="0"/>
        <w:jc w:val="center"/>
        <w:rPr/>
      </w:pPr>
      <w:r>
        <w:rPr/>
        <w:t> </w:t>
      </w:r>
    </w:p>
    <w:p>
      <w:pPr>
        <w:pStyle w:val="TextBody"/>
        <w:spacing w:lineRule="auto" w:line="273" w:before="0" w:after="0"/>
        <w:jc w:val="center"/>
        <w:rPr/>
      </w:pPr>
      <w:r>
        <w:rPr/>
        <w:t> </w:t>
      </w:r>
    </w:p>
    <w:tbl>
      <w:tblPr>
        <w:tblW w:w="4052" w:type="dxa"/>
        <w:jc w:val="left"/>
        <w:tblInd w:w="0" w:type="dxa"/>
        <w:tblCellMar>
          <w:top w:w="28" w:type="dxa"/>
          <w:left w:w="28" w:type="dxa"/>
          <w:bottom w:w="28" w:type="dxa"/>
          <w:right w:w="28" w:type="dxa"/>
        </w:tblCellMar>
      </w:tblPr>
      <w:tblGrid>
        <w:gridCol w:w="2806"/>
        <w:gridCol w:w="1246"/>
      </w:tblGrid>
      <w:tr>
        <w:trPr/>
        <w:tc>
          <w:tcPr>
            <w:tcW w:w="2806"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r>
      <w:tr>
        <w:trPr/>
        <w:tc>
          <w:tcPr>
            <w:tcW w:w="28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Delaware</w:t>
            </w:r>
          </w:p>
        </w:tc>
        <w:tc>
          <w:tcPr>
            <w:tcW w:w="12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47-4515206</w:t>
            </w:r>
          </w:p>
        </w:tc>
      </w:tr>
      <w:tr>
        <w:trPr/>
        <w:tc>
          <w:tcPr>
            <w:tcW w:w="28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(State or other jurisdiction of</w:t>
            </w:r>
          </w:p>
          <w:p>
            <w:pPr>
              <w:pStyle w:val="TableContents"/>
              <w:spacing w:lineRule="auto" w:line="252" w:before="0" w:after="15"/>
              <w:ind w:left="0" w:right="0" w:hanging="0"/>
              <w:jc w:val="center"/>
              <w:rPr>
                <w:rFonts w:ascii="Times New Roman" w:hAnsi="Times New Roman"/>
                <w:b/>
                <w:sz w:val="14"/>
              </w:rPr>
            </w:pPr>
            <w:r>
              <w:rPr>
                <w:rFonts w:ascii="Times New Roman" w:hAnsi="Times New Roman"/>
                <w:b/>
                <w:sz w:val="14"/>
              </w:rPr>
              <w:t>incorporation or organization)</w:t>
            </w:r>
          </w:p>
        </w:tc>
        <w:tc>
          <w:tcPr>
            <w:tcW w:w="12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(I.R.S. Employer</w:t>
            </w:r>
          </w:p>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Identification No.)</w:t>
            </w:r>
          </w:p>
        </w:tc>
      </w:tr>
      <w:tr>
        <w:trPr/>
        <w:tc>
          <w:tcPr>
            <w:tcW w:w="28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6000 Shoreline Court, Suite 102</w:t>
            </w:r>
          </w:p>
          <w:p>
            <w:pPr>
              <w:pStyle w:val="TableContents"/>
              <w:spacing w:lineRule="auto" w:line="252" w:before="0" w:after="15"/>
              <w:ind w:left="0" w:right="0" w:hanging="0"/>
              <w:jc w:val="center"/>
              <w:rPr>
                <w:rFonts w:ascii="Times New Roman" w:hAnsi="Times New Roman"/>
                <w:b/>
                <w:sz w:val="20"/>
              </w:rPr>
            </w:pPr>
            <w:r>
              <w:rPr>
                <w:rFonts w:ascii="Times New Roman" w:hAnsi="Times New Roman"/>
                <w:b/>
                <w:sz w:val="20"/>
              </w:rPr>
              <w:t>South San Francisco, CA</w:t>
            </w:r>
          </w:p>
        </w:tc>
        <w:tc>
          <w:tcPr>
            <w:tcW w:w="12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94080</w:t>
            </w:r>
          </w:p>
        </w:tc>
      </w:tr>
      <w:tr>
        <w:trPr/>
        <w:tc>
          <w:tcPr>
            <w:tcW w:w="28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(Address of principal executive offices)</w:t>
            </w:r>
          </w:p>
        </w:tc>
        <w:tc>
          <w:tcPr>
            <w:tcW w:w="12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(Zip Code)</w:t>
            </w:r>
          </w:p>
        </w:tc>
      </w:tr>
    </w:tbl>
    <w:p>
      <w:pPr>
        <w:pStyle w:val="TextBody"/>
        <w:spacing w:lineRule="auto" w:line="273" w:before="0" w:after="0"/>
        <w:jc w:val="center"/>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(415) 582-4923</w:t>
      </w:r>
    </w:p>
    <w:p>
      <w:pPr>
        <w:pStyle w:val="TextBody"/>
        <w:spacing w:lineRule="auto" w:line="273" w:before="0" w:after="0"/>
        <w:jc w:val="center"/>
        <w:rPr>
          <w:rFonts w:ascii="Times New Roman" w:hAnsi="Times New Roman"/>
          <w:b/>
          <w:sz w:val="14"/>
        </w:rPr>
      </w:pPr>
      <w:r>
        <w:rPr>
          <w:rFonts w:ascii="Times New Roman" w:hAnsi="Times New Roman"/>
          <w:b/>
          <w:sz w:val="14"/>
        </w:rPr>
        <w:t>(Registrant’s telephone number, including area code)</w:t>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Not applicable</w:t>
      </w:r>
    </w:p>
    <w:p>
      <w:pPr>
        <w:pStyle w:val="TextBody"/>
        <w:spacing w:lineRule="auto" w:line="273" w:before="0" w:after="0"/>
        <w:jc w:val="center"/>
        <w:rPr>
          <w:rFonts w:ascii="Times New Roman" w:hAnsi="Times New Roman"/>
          <w:b/>
          <w:sz w:val="14"/>
        </w:rPr>
      </w:pPr>
      <w:r>
        <w:rPr>
          <w:rFonts w:ascii="Times New Roman" w:hAnsi="Times New Roman"/>
          <w:b/>
          <w:sz w:val="14"/>
        </w:rPr>
        <w:t>(Former name, former address and former fiscal year, if changed since last report)</w:t>
      </w:r>
    </w:p>
    <w:p>
      <w:pPr>
        <w:pStyle w:val="TextBody"/>
        <w:pBdr>
          <w:bottom w:val="single" w:sz="4" w:space="1" w:color="000000"/>
        </w:pBdr>
        <w:spacing w:lineRule="auto" w:line="273" w:before="0" w:after="0"/>
        <w:jc w:val="center"/>
        <w:rPr/>
      </w:pPr>
      <w:r>
        <w:rPr/>
        <w:t> </w:t>
      </w:r>
    </w:p>
    <w:p>
      <w:pPr>
        <w:pStyle w:val="TextBody"/>
        <w:spacing w:lineRule="auto" w:line="273" w:before="0" w:after="0"/>
        <w:jc w:val="center"/>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Securities registered pursuant to Section 12(b) of the Act:</w:t>
      </w:r>
      <w:r>
        <w:rPr>
          <w:rFonts w:ascii="Times New Roman" w:hAnsi="Times New Roman"/>
          <w:sz w:val="20"/>
        </w:rPr>
        <w:t xml:space="preserve"> </w:t>
      </w:r>
    </w:p>
    <w:p>
      <w:pPr>
        <w:pStyle w:val="TextBody"/>
        <w:spacing w:lineRule="auto" w:line="273" w:before="0" w:after="0"/>
        <w:jc w:val="left"/>
        <w:rPr/>
      </w:pPr>
      <w:r>
        <w:rPr/>
        <w:t> </w:t>
      </w:r>
    </w:p>
    <w:tbl>
      <w:tblPr>
        <w:tblW w:w="7720" w:type="dxa"/>
        <w:jc w:val="left"/>
        <w:tblInd w:w="0" w:type="dxa"/>
        <w:tblCellMar>
          <w:top w:w="28" w:type="dxa"/>
          <w:left w:w="28" w:type="dxa"/>
          <w:bottom w:w="28" w:type="dxa"/>
          <w:right w:w="28" w:type="dxa"/>
        </w:tblCellMar>
      </w:tblPr>
      <w:tblGrid>
        <w:gridCol w:w="3286"/>
        <w:gridCol w:w="146"/>
        <w:gridCol w:w="826"/>
        <w:gridCol w:w="146"/>
        <w:gridCol w:w="3316"/>
      </w:tblGrid>
      <w:tr>
        <w:trPr/>
        <w:tc>
          <w:tcPr>
            <w:tcW w:w="3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32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Trading</w:t>
            </w:r>
          </w:p>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33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Name of each exchange on which registered</w:t>
            </w:r>
          </w:p>
        </w:tc>
      </w:tr>
      <w:tr>
        <w:trPr/>
        <w:tc>
          <w:tcPr>
            <w:tcW w:w="328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Common Stock, $0.0001 par value per share</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26"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NKTX</w:t>
            </w:r>
          </w:p>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316"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The Nasdaq Stock Market LLC</w:t>
            </w:r>
          </w:p>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(Nasdaq Global Select Market)</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 w:hAnsi="Times New Roman"/>
          <w:b w:val="false"/>
          <w:sz w:val="18"/>
        </w:rPr>
        <w:t>No ☐</w:t>
      </w:r>
    </w:p>
    <w:p>
      <w:pPr>
        <w:pStyle w:val="TextBody"/>
        <w:spacing w:lineRule="auto" w:line="273" w:before="80" w:after="0"/>
        <w:jc w:val="left"/>
        <w:rPr>
          <w:rFonts w:ascii="Times New Roman" w:hAnsi="Times New Roman"/>
          <w:sz w:val="20"/>
        </w:rPr>
      </w:pPr>
      <w:r>
        <w:rPr>
          <w:rFonts w:ascii="Times New Roman" w:hAnsi="Times New Roman"/>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 w:hAnsi="Times New Roman"/>
          <w:b w:val="false"/>
          <w:sz w:val="18"/>
        </w:rPr>
        <w:t>No ☐</w:t>
      </w:r>
    </w:p>
    <w:p>
      <w:pPr>
        <w:pStyle w:val="TextBody"/>
        <w:spacing w:lineRule="auto" w:line="273" w:before="80" w:after="0"/>
        <w:jc w:val="left"/>
        <w:rPr>
          <w:rFonts w:ascii="Times New Roman" w:hAnsi="Times New Roman"/>
          <w:b w:val="false"/>
          <w:sz w:val="18"/>
        </w:rPr>
      </w:pPr>
      <w:r>
        <w:rPr>
          <w:rFonts w:ascii="Times New Roman" w:hAnsi="Times New Roman"/>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lineRule="auto" w:line="273" w:before="0" w:after="0"/>
        <w:jc w:val="left"/>
        <w:rPr/>
      </w:pPr>
      <w:r>
        <w:rPr/>
        <w:t> </w:t>
      </w:r>
    </w:p>
    <w:tbl>
      <w:tblPr>
        <w:tblW w:w="5197" w:type="dxa"/>
        <w:jc w:val="left"/>
        <w:tblInd w:w="0" w:type="dxa"/>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Large accelerated filer</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0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Accelerated filer</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r>
      <w:tr>
        <w:trPr/>
        <w:tc>
          <w:tcPr>
            <w:tcW w:w="20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62"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172"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07"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20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Non-accelerated filer</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0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Smaller reporting company</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r>
      <w:tr>
        <w:trPr/>
        <w:tc>
          <w:tcPr>
            <w:tcW w:w="20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0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20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Emerging growth company</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0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spacing w:lineRule="auto" w:line="273" w:before="80" w:after="0"/>
        <w:jc w:val="left"/>
        <w:rPr>
          <w:rFonts w:ascii="Times New Roman" w:hAnsi="Times New Roman"/>
          <w:sz w:val="20"/>
        </w:rPr>
      </w:pPr>
      <w:r>
        <w:rPr>
          <w:rFonts w:ascii="Times New Roman" w:hAnsi="Times New Roman"/>
          <w:b w:val="false"/>
          <w:sz w:val="18"/>
        </w:rPr>
        <w:t xml:space="preserve">Indicate by check mark whether the registrant is a shell company (as defined in Rule 12b-2 of the Exchange Act). Yes ☐ No </w:t>
      </w:r>
      <w:r>
        <w:rPr>
          <w:rFonts w:ascii="Times New Roman" w:hAnsi="Times New Roman"/>
          <w:sz w:val="20"/>
        </w:rPr>
        <w:t>☒</w:t>
      </w:r>
    </w:p>
    <w:p>
      <w:pPr>
        <w:pStyle w:val="TextBody"/>
        <w:spacing w:lineRule="auto" w:line="273" w:before="80" w:after="0"/>
        <w:jc w:val="left"/>
        <w:rPr>
          <w:rFonts w:ascii="Times New Roman" w:hAnsi="Times New Roman"/>
          <w:sz w:val="20"/>
        </w:rPr>
      </w:pPr>
      <w:r>
        <w:rPr>
          <w:rFonts w:ascii="Times New Roman" w:hAnsi="Times New Roman"/>
          <w:b w:val="false"/>
          <w:sz w:val="18"/>
        </w:rPr>
        <w:t>As of May 9, 2022, the registrant had 48,404,331</w:t>
      </w:r>
      <w:r>
        <w:rPr>
          <w:rFonts w:ascii="Times New Roman" w:hAnsi="Times New Roman"/>
          <w:sz w:val="20"/>
        </w:rPr>
        <w:t xml:space="preserve"> </w:t>
      </w:r>
      <w:r>
        <w:rPr>
          <w:rFonts w:ascii="Times New Roman" w:hAnsi="Times New Roman"/>
          <w:b w:val="false"/>
          <w:sz w:val="18"/>
        </w:rPr>
        <w:t>shares of common stock, par value $0.0001 per share, outstanding.</w:t>
      </w:r>
    </w:p>
    <w:p>
      <w:pPr>
        <w:pStyle w:val="TextBody"/>
        <w:pBdr>
          <w:bottom w:val="double" w:sz="6" w:space="1" w:color="000000"/>
        </w:pBdr>
        <w:spacing w:lineRule="auto" w:line="273" w:before="0" w:after="0"/>
        <w:jc w:val="left"/>
        <w:rPr/>
      </w:pPr>
      <w:r>
        <w:rPr/>
        <w:t> </w:t>
      </w:r>
    </w:p>
    <w:p>
      <w:pPr>
        <w:pStyle w:val="TextBody"/>
        <w:spacing w:lineRule="atLeast" w:line="141" w:before="0" w:after="0"/>
        <w:jc w:val="center"/>
        <w:rPr/>
      </w:pPr>
      <w:r>
        <w:rPr/>
        <w:t> </w:t>
      </w:r>
    </w:p>
    <w:p>
      <w:pPr>
        <w:pStyle w:val="HorizontalLine"/>
        <w:rPr/>
      </w:pPr>
      <w:r>
        <w:rPr/>
      </w:r>
    </w:p>
    <w:p>
      <w:pPr>
        <w:pStyle w:val="TextBody"/>
        <w:spacing w:lineRule="auto" w:line="273" w:before="0" w:after="0"/>
        <w:jc w:val="center"/>
        <w:rPr>
          <w:rFonts w:ascii="Times New Roman" w:hAnsi="Times New Roman"/>
          <w:b/>
          <w:sz w:val="20"/>
        </w:rPr>
      </w:pPr>
      <w:r>
        <w:rPr>
          <w:rFonts w:ascii="Times New Roman" w:hAnsi="Times New Roman"/>
          <w:b/>
          <w:sz w:val="20"/>
        </w:rPr>
        <w:t>Table of Contents</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841"/>
        <w:gridCol w:w="8852"/>
        <w:gridCol w:w="512"/>
      </w:tblGrid>
      <w:tr>
        <w:trPr/>
        <w:tc>
          <w:tcPr>
            <w:tcW w:w="841" w:type="dxa"/>
            <w:tcBorders/>
            <w:shd w:fill="auto" w:val="clear"/>
            <w:vAlign w:val="center"/>
          </w:tcPr>
          <w:p>
            <w:pPr>
              <w:pStyle w:val="TableContents"/>
              <w:spacing w:before="0" w:after="283"/>
              <w:rPr>
                <w:sz w:val="4"/>
                <w:szCs w:val="4"/>
              </w:rPr>
            </w:pPr>
            <w:r>
              <w:rPr>
                <w:sz w:val="4"/>
                <w:szCs w:val="4"/>
              </w:rPr>
            </w:r>
          </w:p>
        </w:tc>
        <w:tc>
          <w:tcPr>
            <w:tcW w:w="8852"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ind w:left="0" w:right="0" w:firstLine="137"/>
              <w:rPr>
                <w:sz w:val="4"/>
                <w:szCs w:val="4"/>
              </w:rPr>
            </w:pPr>
            <w:r>
              <w:rPr>
                <w:sz w:val="4"/>
                <w:szCs w:val="4"/>
              </w:rPr>
            </w:r>
          </w:p>
        </w:tc>
      </w:tr>
      <w:tr>
        <w:trPr/>
        <w:tc>
          <w:tcPr>
            <w:tcW w:w="841"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8852"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left"/>
              <w:rPr/>
            </w:pPr>
            <w:r>
              <w:rPr/>
              <w:t> </w:t>
            </w:r>
          </w:p>
        </w:tc>
        <w:tc>
          <w:tcPr>
            <w:tcW w:w="512"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137" w:right="0" w:hanging="0"/>
              <w:jc w:val="left"/>
              <w:rPr>
                <w:rFonts w:ascii="Times New Roman" w:hAnsi="Times New Roman"/>
                <w:b/>
                <w:sz w:val="16"/>
              </w:rPr>
            </w:pPr>
            <w:r>
              <w:rPr>
                <w:rFonts w:ascii="Times New Roman" w:hAnsi="Times New Roman"/>
                <w:b/>
                <w:sz w:val="16"/>
              </w:rPr>
              <w:t>Page</w:t>
            </w:r>
          </w:p>
        </w:tc>
      </w:tr>
      <w:tr>
        <w:trPr/>
        <w:tc>
          <w:tcPr>
            <w:tcW w:w="8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PART I.</w:t>
            </w:r>
          </w:p>
        </w:tc>
        <w:tc>
          <w:tcPr>
            <w:tcW w:w="885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part_ifinancial_information">
              <w:r>
                <w:rPr>
                  <w:rStyle w:val="InternetLink"/>
                  <w:rFonts w:ascii="Times New Roman" w:hAnsi="Times New Roman"/>
                  <w:b w:val="false"/>
                  <w:sz w:val="20"/>
                  <w:u w:val="single"/>
                </w:rPr>
                <w:t>FINANCIAL INFORMATION</w:t>
              </w:r>
            </w:hyperlink>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8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1.</w:t>
            </w:r>
          </w:p>
        </w:tc>
        <w:tc>
          <w:tcPr>
            <w:tcW w:w="885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1_financial_statements">
              <w:r>
                <w:rPr>
                  <w:rStyle w:val="InternetLink"/>
                  <w:rFonts w:ascii="Times New Roman" w:hAnsi="Times New Roman"/>
                  <w:b w:val="false"/>
                  <w:sz w:val="20"/>
                  <w:u w:val="single"/>
                </w:rPr>
                <w:t>Financial Statements</w:t>
              </w:r>
            </w:hyperlink>
            <w:r>
              <w:rPr>
                <w:rFonts w:ascii="Times New Roman" w:hAnsi="Times New Roman"/>
                <w:b w:val="false"/>
                <w:sz w:val="20"/>
                <w:u w:val="single"/>
              </w:rPr>
              <w:t>:</w:t>
            </w:r>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1</w:t>
            </w:r>
          </w:p>
        </w:tc>
      </w:tr>
      <w:tr>
        <w:trPr/>
        <w:tc>
          <w:tcPr>
            <w:tcW w:w="841"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885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condensed_balance_sheets">
              <w:r>
                <w:rPr>
                  <w:rStyle w:val="InternetLink"/>
                  <w:rFonts w:ascii="Times New Roman" w:hAnsi="Times New Roman"/>
                  <w:b w:val="false"/>
                  <w:sz w:val="20"/>
                  <w:u w:val="single"/>
                </w:rPr>
                <w:t>Condensed Balance Sheets as of March 31, 2022 and December 31, 2021 (unaudited)</w:t>
              </w:r>
            </w:hyperlink>
            <w:r>
              <w:rPr>
                <w:rFonts w:ascii="Times New Roman" w:hAnsi="Times New Roman"/>
                <w:sz w:val="20"/>
              </w:rPr>
              <w:t xml:space="preserve"> </w:t>
            </w:r>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1</w:t>
            </w:r>
          </w:p>
        </w:tc>
      </w:tr>
      <w:tr>
        <w:trPr/>
        <w:tc>
          <w:tcPr>
            <w:tcW w:w="841"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885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condensed_statements_operations_comprehe">
              <w:r>
                <w:rPr>
                  <w:rStyle w:val="InternetLink"/>
                  <w:rFonts w:ascii="Times New Roman" w:hAnsi="Times New Roman"/>
                  <w:b w:val="false"/>
                  <w:sz w:val="20"/>
                  <w:u w:val="single"/>
                </w:rPr>
                <w:t>Condensed Statements of Operations and Comprehensive Loss for the three months ended March 31, 2022 and 2021 (unaudited)</w:t>
              </w:r>
            </w:hyperlink>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2</w:t>
            </w:r>
          </w:p>
        </w:tc>
      </w:tr>
      <w:tr>
        <w:trPr/>
        <w:tc>
          <w:tcPr>
            <w:tcW w:w="841"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885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condensed_statements_convertible_preferr">
              <w:r>
                <w:rPr>
                  <w:rStyle w:val="InternetLink"/>
                  <w:rFonts w:ascii="Times New Roman" w:hAnsi="Times New Roman"/>
                  <w:b w:val="false"/>
                  <w:sz w:val="20"/>
                  <w:u w:val="single"/>
                </w:rPr>
                <w:t>Condensed Statements of Stockholders’ Equity for the three months ended March 31, 2022 and 2021 (unaudited)</w:t>
              </w:r>
            </w:hyperlink>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3</w:t>
            </w:r>
          </w:p>
        </w:tc>
      </w:tr>
      <w:tr>
        <w:trPr/>
        <w:tc>
          <w:tcPr>
            <w:tcW w:w="841"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885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condensed_statement_cash_flows">
              <w:r>
                <w:rPr>
                  <w:rStyle w:val="InternetLink"/>
                  <w:rFonts w:ascii="Times New Roman" w:hAnsi="Times New Roman"/>
                  <w:b w:val="false"/>
                  <w:sz w:val="20"/>
                  <w:u w:val="single"/>
                </w:rPr>
                <w:t>Condensed Statements of Cash Flows for the three months ended March 31, 2022 and 2021 (unaudited)</w:t>
              </w:r>
            </w:hyperlink>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5</w:t>
            </w:r>
          </w:p>
        </w:tc>
      </w:tr>
      <w:tr>
        <w:trPr/>
        <w:tc>
          <w:tcPr>
            <w:tcW w:w="841"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885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notes_to_financial_statements">
              <w:r>
                <w:rPr>
                  <w:rStyle w:val="InternetLink"/>
                  <w:rFonts w:ascii="Times New Roman" w:hAnsi="Times New Roman"/>
                  <w:b w:val="false"/>
                  <w:sz w:val="20"/>
                  <w:u w:val="single"/>
                </w:rPr>
                <w:t>Notes to Unaudited Condensed Financial Statements</w:t>
              </w:r>
            </w:hyperlink>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w:t>
            </w:r>
          </w:p>
        </w:tc>
      </w:tr>
      <w:tr>
        <w:trPr/>
        <w:tc>
          <w:tcPr>
            <w:tcW w:w="8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2.</w:t>
            </w:r>
          </w:p>
        </w:tc>
        <w:tc>
          <w:tcPr>
            <w:tcW w:w="885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2_managements_discussion_analysis_f">
              <w:r>
                <w:rPr>
                  <w:rStyle w:val="InternetLink"/>
                  <w:rFonts w:ascii="Times New Roman" w:hAnsi="Times New Roman"/>
                  <w:b w:val="false"/>
                  <w:sz w:val="20"/>
                  <w:u w:val="single"/>
                </w:rPr>
                <w:t>Management’s Discussion and Analysis of Financial Condition and Results of Operations</w:t>
              </w:r>
            </w:hyperlink>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w:t>
            </w:r>
          </w:p>
        </w:tc>
      </w:tr>
      <w:tr>
        <w:trPr/>
        <w:tc>
          <w:tcPr>
            <w:tcW w:w="8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3.</w:t>
            </w:r>
          </w:p>
        </w:tc>
        <w:tc>
          <w:tcPr>
            <w:tcW w:w="885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3_quantitative_qualitative_disclosu">
              <w:r>
                <w:rPr>
                  <w:rStyle w:val="InternetLink"/>
                  <w:rFonts w:ascii="Times New Roman" w:hAnsi="Times New Roman"/>
                  <w:b w:val="false"/>
                  <w:sz w:val="20"/>
                  <w:u w:val="single"/>
                </w:rPr>
                <w:t>Quantitative and Qualitative Disclosures About Market Risk</w:t>
              </w:r>
            </w:hyperlink>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w:t>
            </w:r>
          </w:p>
        </w:tc>
      </w:tr>
      <w:tr>
        <w:trPr/>
        <w:tc>
          <w:tcPr>
            <w:tcW w:w="8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4.</w:t>
            </w:r>
          </w:p>
        </w:tc>
        <w:tc>
          <w:tcPr>
            <w:tcW w:w="885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4_controls_procedures">
              <w:r>
                <w:rPr>
                  <w:rStyle w:val="InternetLink"/>
                  <w:rFonts w:ascii="Times New Roman" w:hAnsi="Times New Roman"/>
                  <w:b w:val="false"/>
                  <w:sz w:val="20"/>
                  <w:u w:val="single"/>
                </w:rPr>
                <w:t>Controls and Procedures</w:t>
              </w:r>
            </w:hyperlink>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w:t>
            </w:r>
          </w:p>
        </w:tc>
      </w:tr>
      <w:tr>
        <w:trPr/>
        <w:tc>
          <w:tcPr>
            <w:tcW w:w="8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PART II.</w:t>
            </w:r>
          </w:p>
        </w:tc>
        <w:tc>
          <w:tcPr>
            <w:tcW w:w="885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part_iior_information">
              <w:r>
                <w:rPr>
                  <w:rStyle w:val="InternetLink"/>
                  <w:rFonts w:ascii="Times New Roman" w:hAnsi="Times New Roman"/>
                  <w:b w:val="false"/>
                  <w:sz w:val="20"/>
                  <w:u w:val="single"/>
                </w:rPr>
                <w:t>OTHER INFORMATION</w:t>
              </w:r>
            </w:hyperlink>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8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1.</w:t>
            </w:r>
          </w:p>
        </w:tc>
        <w:tc>
          <w:tcPr>
            <w:tcW w:w="885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1_legal_proceedings">
              <w:r>
                <w:rPr>
                  <w:rStyle w:val="InternetLink"/>
                  <w:rFonts w:ascii="Times New Roman" w:hAnsi="Times New Roman"/>
                  <w:b w:val="false"/>
                  <w:sz w:val="20"/>
                  <w:u w:val="single"/>
                </w:rPr>
                <w:t>Legal Proceedings</w:t>
              </w:r>
            </w:hyperlink>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w:t>
            </w:r>
          </w:p>
        </w:tc>
      </w:tr>
      <w:tr>
        <w:trPr/>
        <w:tc>
          <w:tcPr>
            <w:tcW w:w="8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1A.</w:t>
            </w:r>
          </w:p>
        </w:tc>
        <w:tc>
          <w:tcPr>
            <w:tcW w:w="885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1a_risk_factors">
              <w:r>
                <w:rPr>
                  <w:rStyle w:val="InternetLink"/>
                  <w:rFonts w:ascii="Times New Roman" w:hAnsi="Times New Roman"/>
                  <w:b w:val="false"/>
                  <w:sz w:val="20"/>
                  <w:u w:val="single"/>
                </w:rPr>
                <w:t>Risk Factors</w:t>
              </w:r>
            </w:hyperlink>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w:t>
            </w:r>
          </w:p>
        </w:tc>
      </w:tr>
      <w:tr>
        <w:trPr/>
        <w:tc>
          <w:tcPr>
            <w:tcW w:w="8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2.</w:t>
            </w:r>
          </w:p>
        </w:tc>
        <w:tc>
          <w:tcPr>
            <w:tcW w:w="885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2_unregistered_sales_equity_securit">
              <w:r>
                <w:rPr>
                  <w:rStyle w:val="InternetLink"/>
                  <w:rFonts w:ascii="Times New Roman" w:hAnsi="Times New Roman"/>
                  <w:b w:val="false"/>
                  <w:sz w:val="20"/>
                  <w:u w:val="single"/>
                </w:rPr>
                <w:t>Unregistered Sales of Equity Securities and Use of Proceeds</w:t>
              </w:r>
            </w:hyperlink>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66</w:t>
            </w:r>
          </w:p>
        </w:tc>
      </w:tr>
      <w:tr>
        <w:trPr/>
        <w:tc>
          <w:tcPr>
            <w:tcW w:w="8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3.</w:t>
            </w:r>
          </w:p>
        </w:tc>
        <w:tc>
          <w:tcPr>
            <w:tcW w:w="885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3_defaults_upon_senior_securities">
              <w:r>
                <w:rPr>
                  <w:rStyle w:val="InternetLink"/>
                  <w:rFonts w:ascii="Times New Roman" w:hAnsi="Times New Roman"/>
                  <w:b w:val="false"/>
                  <w:sz w:val="20"/>
                  <w:u w:val="single"/>
                </w:rPr>
                <w:t>Defaults Upon Senior Securities</w:t>
              </w:r>
            </w:hyperlink>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67</w:t>
            </w:r>
          </w:p>
        </w:tc>
      </w:tr>
      <w:tr>
        <w:trPr/>
        <w:tc>
          <w:tcPr>
            <w:tcW w:w="8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4.</w:t>
            </w:r>
          </w:p>
        </w:tc>
        <w:tc>
          <w:tcPr>
            <w:tcW w:w="885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4_mine_safety_disclosures">
              <w:r>
                <w:rPr>
                  <w:rStyle w:val="InternetLink"/>
                  <w:rFonts w:ascii="Times New Roman" w:hAnsi="Times New Roman"/>
                  <w:b w:val="false"/>
                  <w:sz w:val="20"/>
                  <w:u w:val="single"/>
                </w:rPr>
                <w:t>Mine Safety Disclosures</w:t>
              </w:r>
            </w:hyperlink>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67</w:t>
            </w:r>
          </w:p>
        </w:tc>
      </w:tr>
      <w:tr>
        <w:trPr/>
        <w:tc>
          <w:tcPr>
            <w:tcW w:w="8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5.</w:t>
            </w:r>
          </w:p>
        </w:tc>
        <w:tc>
          <w:tcPr>
            <w:tcW w:w="885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5_or_information">
              <w:r>
                <w:rPr>
                  <w:rStyle w:val="InternetLink"/>
                  <w:rFonts w:ascii="Times New Roman" w:hAnsi="Times New Roman"/>
                  <w:b w:val="false"/>
                  <w:sz w:val="20"/>
                  <w:u w:val="single"/>
                </w:rPr>
                <w:t>Other Information</w:t>
              </w:r>
            </w:hyperlink>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67</w:t>
            </w:r>
          </w:p>
        </w:tc>
      </w:tr>
      <w:tr>
        <w:trPr/>
        <w:tc>
          <w:tcPr>
            <w:tcW w:w="8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6.</w:t>
            </w:r>
          </w:p>
        </w:tc>
        <w:tc>
          <w:tcPr>
            <w:tcW w:w="885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6_exhibits">
              <w:r>
                <w:rPr>
                  <w:rStyle w:val="InternetLink"/>
                  <w:rFonts w:ascii="Times New Roman" w:hAnsi="Times New Roman"/>
                  <w:b w:val="false"/>
                  <w:sz w:val="20"/>
                  <w:u w:val="single"/>
                </w:rPr>
                <w:t>Exhibits</w:t>
              </w:r>
            </w:hyperlink>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68</w:t>
            </w:r>
          </w:p>
        </w:tc>
      </w:tr>
      <w:tr>
        <w:trPr/>
        <w:tc>
          <w:tcPr>
            <w:tcW w:w="9693"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signatures">
              <w:r>
                <w:rPr>
                  <w:rStyle w:val="InternetLink"/>
                  <w:rFonts w:ascii="Times New Roman" w:hAnsi="Times New Roman"/>
                  <w:b w:val="false"/>
                  <w:sz w:val="20"/>
                  <w:u w:val="single"/>
                </w:rPr>
                <w:t>Signatures</w:t>
              </w:r>
            </w:hyperlink>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69</w:t>
            </w:r>
          </w:p>
        </w:tc>
      </w:tr>
    </w:tbl>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i</w:t>
      </w:r>
    </w:p>
    <w:p>
      <w:pPr>
        <w:pStyle w:val="HorizontalLine"/>
        <w:rPr/>
      </w:pPr>
      <w:r>
        <w:rPr/>
      </w:r>
    </w:p>
    <w:p>
      <w:pPr>
        <w:pStyle w:val="TextBody"/>
        <w:spacing w:lineRule="auto" w:line="273" w:before="0" w:after="0"/>
        <w:jc w:val="center"/>
        <w:rPr>
          <w:rFonts w:ascii="Times New Roman" w:hAnsi="Times New Roman"/>
          <w:b/>
          <w:sz w:val="20"/>
        </w:rPr>
      </w:pPr>
      <w:r>
        <w:rPr>
          <w:rFonts w:ascii="Times New Roman" w:hAnsi="Times New Roman"/>
          <w:b/>
          <w:sz w:val="20"/>
        </w:rPr>
        <w:t>CAUTIONARY NOTE REGARDING FORWARD-LOOKING STATEMENTS</w:t>
      </w:r>
    </w:p>
    <w:p>
      <w:pPr>
        <w:pStyle w:val="TextBody"/>
        <w:spacing w:lineRule="auto" w:line="273" w:before="0" w:after="0"/>
        <w:jc w:val="left"/>
        <w:rPr>
          <w:rFonts w:ascii="Times New Roman" w:hAnsi="Times New Roman"/>
          <w:sz w:val="20"/>
        </w:rPr>
      </w:pPr>
      <w:r>
        <w:rPr>
          <w:rFonts w:ascii="Times New Roman" w:hAnsi="Times New Roman"/>
          <w:b w:val="false"/>
          <w:sz w:val="20"/>
        </w:rPr>
        <w:br/>
      </w:r>
      <w:r>
        <w:rPr>
          <w:rFonts w:ascii="Times New Roman" w:hAnsi="Times New Roman"/>
          <w:sz w:val="20"/>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This Quarterly Report on Form 10-Q, and the information incorporated herein by reference, particularly in the sections captioned “Risk Factors” under Part II, Item 1A, and “Management’s Discussion and Analysis of Financial Condition and Results of Operations” under Part I, Item 2, contains forward-looking statements within the meaning of Section 27A of the Securities Act of 1933, as amended, or the Securities Act, and Section 21E of the Securities Exchange Act of 1934, as amended.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In addition, these statements are based on our management’s beliefs and assumptions and on information currently available to our management as of the date of this Quarterly Report on Form 10-Q.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inherently subject to risks and uncertainties, some of which cannot be predicted or quantified. You should read the sections titled “Risk Factor Summary” below and “Risk Factors” set forth in Part II, Item 1A of this Quarterly Report on Form 10-Q for a discussion of important factors that may cause our actual results to differ materially from those expressed or implied by our forward-looking statements, which such factors may be updated or supplemented from time to time by subsequent reports we file with the Securities and Exchange Commission.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Quarterly Report on Form 10-Q will prove to be accurate. Except as required by applicable law, we do not plan to publicly update or revise any forward-looking statements contained herein, whether as a result of any new information, future events, changed circumstances or otherwise.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You should read this Quarterly Report on Form 10-Q, completely and with the understanding that our actual future results may be materially different from what we expect. We qualify all of our forward-looking statements by these cautionary statements.</w:t>
      </w:r>
    </w:p>
    <w:p>
      <w:pPr>
        <w:pStyle w:val="TextBody"/>
        <w:spacing w:lineRule="auto" w:line="273" w:before="0" w:after="0"/>
        <w:jc w:val="center"/>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ii</w:t>
      </w:r>
    </w:p>
    <w:p>
      <w:pPr>
        <w:pStyle w:val="HorizontalLine"/>
        <w:rPr/>
      </w:pPr>
      <w:r>
        <w:rPr/>
      </w:r>
    </w:p>
    <w:p>
      <w:pPr>
        <w:pStyle w:val="TextBody"/>
        <w:spacing w:lineRule="auto" w:line="273" w:before="0" w:after="0"/>
        <w:jc w:val="center"/>
        <w:rPr>
          <w:rFonts w:ascii="Times New Roman" w:hAnsi="Times New Roman"/>
          <w:b/>
          <w:sz w:val="20"/>
        </w:rPr>
      </w:pPr>
      <w:r>
        <w:rPr>
          <w:rFonts w:ascii="Times New Roman" w:hAnsi="Times New Roman"/>
          <w:b/>
          <w:sz w:val="20"/>
        </w:rPr>
        <w:t>RISK FACTOR SUMMARY</w:t>
      </w:r>
    </w:p>
    <w:p>
      <w:pPr>
        <w:pStyle w:val="TextBody"/>
        <w:spacing w:lineRule="auto" w:line="273" w:before="0" w:after="0"/>
        <w:jc w:val="center"/>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Part II, Item 1A, “Risk Factors” in this Quarterly Report on Form 10-Q. The below summary is qualified in its entirety by the more complete discussion of such risks and uncertainties. You should consider carefully the risks and uncertainties described under Part II, Item 1A, “Risk Factors” in this Quarterly Report on Form 10-Q as part of your evaluation of an investment in our common stock.</w:t>
      </w:r>
    </w:p>
    <w:p>
      <w:pPr>
        <w:pStyle w:val="TextBody"/>
        <w:spacing w:lineRule="auto" w:line="273" w:before="0" w:after="0"/>
        <w:jc w:val="left"/>
        <w:rPr/>
      </w:pPr>
      <w:r>
        <w:rPr/>
        <w:t> </w:t>
      </w:r>
    </w:p>
    <w:p>
      <w:pPr>
        <w:pStyle w:val="TextBody"/>
        <w:spacing w:lineRule="auto" w:line="273" w:before="120" w:after="0"/>
        <w:jc w:val="left"/>
        <w:rPr/>
      </w:pPr>
      <w:r>
        <w:rPr/>
        <w:t>•</w:t>
      </w:r>
    </w:p>
    <w:p>
      <w:pPr>
        <w:pStyle w:val="TextBody"/>
        <w:spacing w:lineRule="auto" w:line="273" w:before="120" w:after="0"/>
        <w:jc w:val="left"/>
        <w:rPr/>
      </w:pPr>
      <w:r>
        <w:rPr>
          <w:rFonts w:ascii="Times New Roman" w:hAnsi="Times New Roman"/>
          <w:b w:val="false"/>
          <w:i/>
          <w:sz w:val="20"/>
        </w:rPr>
        <w:t>We have a limited operating history and do not have any products approved for sale</w:t>
      </w:r>
      <w:r>
        <w:rPr>
          <w:rFonts w:ascii="Times New Roman" w:hAnsi="Times New Roman"/>
          <w:b w:val="false"/>
          <w:sz w:val="20"/>
        </w:rPr>
        <w:t>.</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i/>
          <w:sz w:val="20"/>
        </w:rPr>
      </w:pPr>
      <w:r>
        <w:rPr>
          <w:rFonts w:ascii="Times New Roman" w:hAnsi="Times New Roman"/>
          <w:b w:val="false"/>
          <w:i/>
          <w:sz w:val="20"/>
        </w:rPr>
        <w:t>We have incurred significant losses since our inception and we expect to continue to incur significant losses for the foreseeable future.</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i/>
          <w:sz w:val="20"/>
        </w:rPr>
      </w:pPr>
      <w:r>
        <w:rPr>
          <w:rFonts w:ascii="Times New Roman" w:hAnsi="Times New Roman"/>
          <w:b w:val="false"/>
          <w:i/>
          <w:sz w:val="20"/>
        </w:rPr>
        <w:t>We have never generated revenue from product sales and may never achieve or maintain profitability.</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i/>
          <w:sz w:val="20"/>
        </w:rPr>
      </w:pPr>
      <w:r>
        <w:rPr>
          <w:rFonts w:ascii="Times New Roman" w:hAnsi="Times New Roman"/>
          <w:b w:val="false"/>
          <w:i/>
          <w:sz w:val="20"/>
        </w:rPr>
        <w:t>We will require additional capital, which, if available, may cause dilution to our stockholders, restrict our operations or require us to relinquish rights to our product candidates.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i/>
          <w:sz w:val="20"/>
        </w:rPr>
      </w:pPr>
      <w:r>
        <w:rPr>
          <w:rFonts w:ascii="Times New Roman" w:hAnsi="Times New Roman"/>
          <w:b w:val="false"/>
          <w:i/>
          <w:sz w:val="20"/>
        </w:rPr>
        <w:t xml:space="preserve">Our business and the business or operations of our research partners and other third parties with whom we conduct business have been and could continue to be adversely affected by the effects of health epidemics, including the COVID-19 pandemic, in regions where we or third parties on which we rely have business operations.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i/>
          <w:sz w:val="20"/>
        </w:rPr>
      </w:pPr>
      <w:r>
        <w:rPr>
          <w:rFonts w:ascii="Times New Roman" w:hAnsi="Times New Roman"/>
          <w:b w:val="false"/>
          <w:i/>
          <w:sz w:val="20"/>
        </w:rPr>
        <w:t>Our business depends upon the success of our CAR-NK cell technology platform.</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i/>
          <w:sz w:val="20"/>
        </w:rPr>
      </w:pPr>
      <w:r>
        <w:rPr>
          <w:rFonts w:ascii="Times New Roman" w:hAnsi="Times New Roman"/>
          <w:b w:val="false"/>
          <w:i/>
          <w:sz w:val="20"/>
        </w:rPr>
        <w:t>Utilizing CAR-NK cells represents a novel approach to the treatment of cancer, and we must overcome significant challenges in order to develop, commercialize and manufacture our product candidates.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i/>
          <w:sz w:val="20"/>
        </w:rPr>
      </w:pPr>
      <w:r>
        <w:rPr>
          <w:rFonts w:ascii="Times New Roman" w:hAnsi="Times New Roman"/>
          <w:b w:val="false"/>
          <w:i/>
          <w:sz w:val="20"/>
        </w:rPr>
        <w:t>Clinical development involves a lengthy and expensive process with an uncertain outcome, and we may encounter substantial delays due to a variety of reasons outside our control.</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i/>
          <w:sz w:val="20"/>
        </w:rPr>
      </w:pPr>
      <w:r>
        <w:rPr>
          <w:rFonts w:ascii="Times New Roman" w:hAnsi="Times New Roman"/>
          <w:b w:val="false"/>
          <w:i/>
          <w:sz w:val="20"/>
        </w:rPr>
        <w:t xml:space="preserve">Our business is highly dependent on the success of our product candidates, and on the success of NKX101 and NKX019 in particular, and we may fail to develop NKX101, NKX019 and/or our other product candidates successfully or be unable to obtain regulatory approval for them.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i/>
          <w:sz w:val="20"/>
        </w:rPr>
      </w:pPr>
      <w:r>
        <w:rPr>
          <w:rFonts w:ascii="Times New Roman" w:hAnsi="Times New Roman"/>
          <w:b w:val="false"/>
          <w:i/>
          <w:sz w:val="20"/>
        </w:rPr>
        <w:t>Our preclinical pipeline programs may experience delays or may never advance to clinical trials, which would adversely affect our ability to obtain regulatory approvals or commercialize these programs on a timely basis or at all.</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i/>
          <w:sz w:val="20"/>
        </w:rPr>
      </w:pPr>
      <w:r>
        <w:rPr>
          <w:rFonts w:ascii="Times New Roman" w:hAnsi="Times New Roman"/>
          <w:b w:val="false"/>
          <w:i/>
          <w:sz w:val="20"/>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i/>
          <w:sz w:val="20"/>
        </w:rPr>
      </w:pPr>
      <w:r>
        <w:rPr>
          <w:rFonts w:ascii="Times New Roman" w:hAnsi="Times New Roman"/>
          <w:b w:val="false"/>
          <w:i/>
          <w:sz w:val="20"/>
        </w:rPr>
        <w:t>If any of our product candidates, or any competing product candidates, demonstrate relevant, serious adverse events, we may be required to halt or delay further clinical development.</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i/>
          <w:sz w:val="20"/>
        </w:rPr>
      </w:pPr>
      <w:r>
        <w:rPr>
          <w:rFonts w:ascii="Times New Roman" w:hAnsi="Times New Roman"/>
          <w:b w:val="false"/>
          <w:i/>
          <w:sz w:val="20"/>
        </w:rPr>
        <w:t>We have entered into a research collaboration with CRISPR Therapeutics regarding certain product candidates, and we may enter into additional collaborations with third parties to develop or commercialize other product candidates. Our prospects with respect to those product candidates will depend in significant part on the success of those collaborations, and we may not realize the benefits of such collaborations.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i/>
          <w:sz w:val="20"/>
        </w:rPr>
      </w:pPr>
      <w:r>
        <w:rPr>
          <w:rFonts w:ascii="Times New Roman" w:hAnsi="Times New Roman"/>
          <w:b w:val="false"/>
          <w:i/>
          <w:sz w:val="20"/>
        </w:rPr>
        <w:t>If we fail to compete effectively with academic institutions and other biopharmaceutical companies that develop similar or alternatives to cellular immunotherapy product candidates, our business will be materially adversely affected.</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i/>
          <w:sz w:val="20"/>
        </w:rPr>
      </w:pPr>
      <w:r>
        <w:rPr>
          <w:rFonts w:ascii="Times New Roman" w:hAnsi="Times New Roman"/>
          <w:b w:val="false"/>
          <w:i/>
          <w:sz w:val="20"/>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i/>
          <w:sz w:val="20"/>
        </w:rPr>
      </w:pPr>
      <w:r>
        <w:rPr>
          <w:rFonts w:ascii="Times New Roman" w:hAnsi="Times New Roman"/>
          <w:b w:val="false"/>
          <w:i/>
          <w:sz w:val="20"/>
        </w:rPr>
        <w:t>We rely on third parties to manufacture certain of our product candidates, and certain materials for use in the production of our product candidates, which increases the risk that we will not have sufficient quantities of such product candidates or materials, or such quantities at an acceptable cost, which could delay, prevent or impair our development or commercialization efforts.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i/>
          <w:sz w:val="20"/>
        </w:rPr>
      </w:pPr>
      <w:r>
        <w:rPr>
          <w:rFonts w:ascii="Times New Roman" w:hAnsi="Times New Roman"/>
          <w:b w:val="false"/>
          <w:i/>
          <w:sz w:val="20"/>
        </w:rPr>
        <w:t>We are reliant on a sole supplier for certain steps of our manufacturing process.</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i/>
          <w:sz w:val="20"/>
        </w:rPr>
      </w:pPr>
      <w:r>
        <w:rPr>
          <w:rFonts w:ascii="Times New Roman" w:hAnsi="Times New Roman"/>
          <w:b w:val="false"/>
          <w:i/>
          <w:sz w:val="20"/>
        </w:rPr>
        <w:t>Delays in commissioning and receiving regulatory approvals for our manufacturing facilities could delay our development plans and thereby limit our ability to develop our product candidates and generate revenues.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iii</w:t>
      </w:r>
    </w:p>
    <w:p>
      <w:pPr>
        <w:pStyle w:val="HorizontalLine"/>
        <w:rPr/>
      </w:pPr>
      <w:r>
        <w:rPr/>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i/>
          <w:sz w:val="20"/>
        </w:rPr>
      </w:pPr>
      <w:r>
        <w:rPr>
          <w:rFonts w:ascii="Times New Roman" w:hAnsi="Times New Roman"/>
          <w:b w:val="false"/>
          <w:i/>
          <w:sz w:val="20"/>
        </w:rPr>
        <w:t>If our license agreement with National University of Singapore and St. Jude’s Children’s Research Hospital, Inc. is terminated, we could lose our rights to key components enabling our NK cell engineering platform.</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i/>
          <w:sz w:val="20"/>
        </w:rPr>
      </w:pPr>
      <w:r>
        <w:rPr>
          <w:rFonts w:ascii="Times New Roman" w:hAnsi="Times New Roman"/>
          <w:b w:val="false"/>
          <w:i/>
          <w:sz w:val="20"/>
        </w:rPr>
        <w:t xml:space="preserve">If any patent protection we obtain is not sufficiently robust, our competitors could develop and commercialize products and technology similar or identical to ours.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i/>
          <w:sz w:val="20"/>
        </w:rPr>
      </w:pPr>
      <w:r>
        <w:rPr>
          <w:rFonts w:ascii="Times New Roman" w:hAnsi="Times New Roman"/>
          <w:b w:val="false"/>
          <w:i/>
          <w:sz w:val="20"/>
        </w:rPr>
        <w:t xml:space="preserve">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i/>
          <w:sz w:val="20"/>
        </w:rPr>
      </w:pPr>
      <w:r>
        <w:rPr>
          <w:rFonts w:ascii="Times New Roman" w:hAnsi="Times New Roman"/>
          <w:b w:val="false"/>
          <w:i/>
          <w:sz w:val="20"/>
        </w:rPr>
        <w:t>Our product candidates, including NKX101 and NKX019, could be subject to regulatory limitations following approval, if and when such approval is granted.</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i/>
          <w:sz w:val="20"/>
        </w:rPr>
      </w:pPr>
      <w:r>
        <w:rPr>
          <w:rFonts w:ascii="Times New Roman" w:hAnsi="Times New Roman"/>
          <w:b w:val="false"/>
          <w:i/>
          <w:sz w:val="20"/>
        </w:rPr>
        <w:t>The market price for our common stock may be volatile, which could contribute to the loss of all or part of your investment.</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i/>
          <w:sz w:val="20"/>
        </w:rPr>
      </w:pPr>
      <w:r>
        <w:rPr>
          <w:rFonts w:ascii="Times New Roman" w:hAnsi="Times New Roman"/>
          <w:b w:val="false"/>
          <w:i/>
          <w:sz w:val="20"/>
        </w:rPr>
        <w:t>Concentration of ownership of our shares of common stock among our existing executive officers, directors and principal stockholders may prevent new investors from influencing significant corporate decisions.</w:t>
      </w:r>
    </w:p>
    <w:p>
      <w:pPr>
        <w:pStyle w:val="TextBody"/>
        <w:spacing w:lineRule="auto" w:line="273" w:before="12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iv</w:t>
      </w:r>
    </w:p>
    <w:p>
      <w:pPr>
        <w:pStyle w:val="HorizontalLine"/>
        <w:rPr/>
      </w:pPr>
      <w:r>
        <w:rPr/>
      </w:r>
    </w:p>
    <w:p>
      <w:pPr>
        <w:pStyle w:val="TextBody"/>
        <w:spacing w:lineRule="auto" w:line="273" w:before="0" w:after="0"/>
        <w:jc w:val="center"/>
        <w:rPr>
          <w:rFonts w:ascii="Times New Roman" w:hAnsi="Times New Roman"/>
          <w:b/>
          <w:sz w:val="20"/>
        </w:rPr>
      </w:pPr>
      <w:bookmarkStart w:id="2" w:name="part_ifinancial_information"/>
      <w:bookmarkEnd w:id="2"/>
      <w:r>
        <w:rPr>
          <w:rFonts w:ascii="Times New Roman" w:hAnsi="Times New Roman"/>
          <w:b/>
          <w:sz w:val="20"/>
        </w:rPr>
        <w:t>PART I—FINANCIAL INFORMATION</w:t>
      </w:r>
    </w:p>
    <w:p>
      <w:pPr>
        <w:pStyle w:val="TextBody"/>
        <w:spacing w:lineRule="auto" w:line="273" w:before="240" w:after="0"/>
        <w:jc w:val="left"/>
        <w:rPr>
          <w:rFonts w:ascii="Times New Roman" w:hAnsi="Times New Roman"/>
          <w:b/>
          <w:sz w:val="20"/>
        </w:rPr>
      </w:pPr>
      <w:bookmarkStart w:id="3" w:name="item_1_financial_statements"/>
      <w:bookmarkEnd w:id="3"/>
      <w:r>
        <w:rPr>
          <w:rFonts w:ascii="Times New Roman" w:hAnsi="Times New Roman"/>
          <w:b/>
          <w:sz w:val="20"/>
        </w:rPr>
        <w:t>Item 1. Financial Statements.</w:t>
      </w:r>
    </w:p>
    <w:p>
      <w:pPr>
        <w:pStyle w:val="TextBody"/>
        <w:spacing w:lineRule="auto" w:line="273" w:before="360" w:after="0"/>
        <w:jc w:val="center"/>
        <w:rPr>
          <w:rFonts w:ascii="Times New Roman" w:hAnsi="Times New Roman"/>
          <w:sz w:val="20"/>
        </w:rPr>
      </w:pPr>
      <w:r>
        <w:rPr>
          <w:rFonts w:ascii="Times New Roman" w:hAnsi="Times New Roman"/>
          <w:b/>
          <w:sz w:val="20"/>
        </w:rPr>
        <w:t>NKARTA, INC.</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bookmarkStart w:id="4" w:name="condensed_balance_sheets"/>
      <w:bookmarkEnd w:id="4"/>
      <w:r>
        <w:rPr>
          <w:rFonts w:ascii="Times New Roman" w:hAnsi="Times New Roman"/>
          <w:b/>
          <w:sz w:val="20"/>
        </w:rPr>
        <w:t>CONDENSED BALANCE SHEETS</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(Unaudited, in thousands)</w:t>
      </w:r>
    </w:p>
    <w:p>
      <w:pPr>
        <w:pStyle w:val="TextBody"/>
        <w:spacing w:lineRule="auto" w:line="273" w:before="0" w:after="0"/>
        <w:jc w:val="left"/>
        <w:rPr/>
      </w:pPr>
      <w:r>
        <w:rPr/>
        <w:t> </w:t>
      </w:r>
    </w:p>
    <w:tbl>
      <w:tblPr>
        <w:tblW w:w="7017" w:type="dxa"/>
        <w:jc w:val="left"/>
        <w:tblInd w:w="0" w:type="dxa"/>
        <w:tblCellMar>
          <w:top w:w="28" w:type="dxa"/>
          <w:left w:w="28" w:type="dxa"/>
          <w:bottom w:w="28" w:type="dxa"/>
          <w:right w:w="28" w:type="dxa"/>
        </w:tblCellMar>
      </w:tblPr>
      <w:tblGrid>
        <w:gridCol w:w="4021"/>
        <w:gridCol w:w="146"/>
        <w:gridCol w:w="211"/>
        <w:gridCol w:w="841"/>
        <w:gridCol w:w="166"/>
        <w:gridCol w:w="146"/>
        <w:gridCol w:w="219"/>
        <w:gridCol w:w="876"/>
        <w:gridCol w:w="391"/>
      </w:tblGrid>
      <w:tr>
        <w:trPr/>
        <w:tc>
          <w:tcPr>
            <w:tcW w:w="40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02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March 31,</w:t>
              <w:b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w:t>
              <w:br/>
              <w:t>2021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0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hanging="0"/>
              <w:jc w:val="right"/>
              <w:rPr/>
            </w:pPr>
            <w:r>
              <w:rPr/>
              <w:t> </w:t>
            </w:r>
          </w:p>
        </w:tc>
      </w:tr>
      <w:tr>
        <w:trPr/>
        <w:tc>
          <w:tcPr>
            <w:tcW w:w="40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402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41,611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60,816</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402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Short-term investments, available-for-sale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175,346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177,272</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402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Prepaid expenses and other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6,261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7,692</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0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223,218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245,780</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40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2,098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2,098</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40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Property and equipment,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14,053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12,856</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40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lease right-of-use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65,469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11,678</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40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long-term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1,461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1,491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0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306,299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273,903</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0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Liabilities and 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hanging="0"/>
              <w:jc w:val="right"/>
              <w:rPr/>
            </w:pPr>
            <w:r>
              <w:rPr/>
              <w:t> </w:t>
            </w:r>
          </w:p>
        </w:tc>
      </w:tr>
      <w:tr>
        <w:trPr/>
        <w:tc>
          <w:tcPr>
            <w:tcW w:w="40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402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Accounts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2,016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1,112</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402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Operating lease liabilities, current portion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2,505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2,484</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402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Accrued and other 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6,321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9,347</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0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10,842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12,943</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40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lease liabilities, net of current portion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66,740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9,975</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40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long-term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0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77,593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22,936</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4021"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Commitments</w:t>
            </w:r>
            <w:r>
              <w:rPr>
                <w:rFonts w:ascii="Times New Roman" w:hAnsi="Times New Roman"/>
                <w:sz w:val="20"/>
              </w:rPr>
              <w:t> </w:t>
            </w:r>
            <w:r>
              <w:rPr>
                <w:rFonts w:ascii="Times New Roman" w:hAnsi="Times New Roman"/>
                <w:b w:val="false"/>
                <w:sz w:val="20"/>
              </w:rPr>
              <w:t>and contingencies</w:t>
            </w:r>
            <w:r>
              <w:rPr>
                <w:rFonts w:ascii="Times New Roman" w:hAnsi="Times New Roman"/>
                <w:sz w:val="20"/>
              </w:rPr>
              <w:t> </w:t>
            </w:r>
            <w:r>
              <w:rPr>
                <w:rFonts w:ascii="Times New Roman" w:hAnsi="Times New Roman"/>
                <w:b w:val="false"/>
                <w:sz w:val="20"/>
              </w:rPr>
              <w:t>(Note 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hanging="0"/>
              <w:jc w:val="right"/>
              <w:rPr/>
            </w:pPr>
            <w:r>
              <w:rPr/>
              <w:t> </w:t>
            </w:r>
          </w:p>
        </w:tc>
      </w:tr>
      <w:tr>
        <w:trPr/>
        <w:tc>
          <w:tcPr>
            <w:tcW w:w="40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100"/>
              <w:jc w:val="right"/>
              <w:rPr/>
            </w:pPr>
            <w:r>
              <w:rPr/>
              <w:t> </w:t>
            </w:r>
          </w:p>
        </w:tc>
      </w:tr>
      <w:tr>
        <w:trPr/>
        <w:tc>
          <w:tcPr>
            <w:tcW w:w="402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Preferred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76" w:type="dxa"/>
            <w:tcBorders/>
            <w:shd w:fill="auto" w:val="clear"/>
            <w:vAlign w:val="center"/>
          </w:tcPr>
          <w:p>
            <w:pPr>
              <w:pStyle w:val="TableContents"/>
              <w:spacing w:lineRule="auto" w:line="252" w:before="0" w:after="0"/>
              <w:ind w:left="0" w:right="0" w:hanging="0"/>
              <w:jc w:val="right"/>
              <w:rPr/>
            </w:pPr>
            <w:r>
              <w:rPr/>
              <w:t>—</w:t>
            </w:r>
          </w:p>
        </w:tc>
        <w:tc>
          <w:tcPr>
            <w:tcW w:w="391" w:type="dxa"/>
            <w:tcBorders/>
            <w:shd w:fill="auto" w:val="clear"/>
            <w:vAlign w:val="center"/>
          </w:tcPr>
          <w:p>
            <w:pPr>
              <w:pStyle w:val="TableContents"/>
              <w:spacing w:lineRule="auto" w:line="252" w:before="0" w:after="0"/>
              <w:ind w:left="0" w:right="0" w:firstLine="100"/>
              <w:jc w:val="left"/>
              <w:rPr/>
            </w:pPr>
            <w:r>
              <w:rPr/>
              <w:t> </w:t>
            </w:r>
          </w:p>
        </w:tc>
      </w:tr>
      <w:tr>
        <w:trPr/>
        <w:tc>
          <w:tcPr>
            <w:tcW w:w="402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Common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w:t>
            </w:r>
          </w:p>
        </w:tc>
        <w:tc>
          <w:tcPr>
            <w:tcW w:w="391" w:type="dxa"/>
            <w:tcBorders/>
            <w:shd w:fill="auto" w:val="clear"/>
            <w:vAlign w:val="center"/>
          </w:tcPr>
          <w:p>
            <w:pPr>
              <w:pStyle w:val="TableContents"/>
              <w:spacing w:lineRule="auto" w:line="252" w:before="0" w:after="0"/>
              <w:ind w:left="0" w:right="0" w:firstLine="100"/>
              <w:jc w:val="left"/>
              <w:rPr/>
            </w:pPr>
            <w:r>
              <w:rPr/>
              <w:t> </w:t>
            </w:r>
          </w:p>
        </w:tc>
      </w:tr>
      <w:tr>
        <w:trPr/>
        <w:tc>
          <w:tcPr>
            <w:tcW w:w="402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Additional paid-in capital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459,392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455,210</w:t>
            </w:r>
          </w:p>
        </w:tc>
        <w:tc>
          <w:tcPr>
            <w:tcW w:w="391" w:type="dxa"/>
            <w:tcBorders/>
            <w:shd w:fill="auto" w:val="clear"/>
            <w:vAlign w:val="center"/>
          </w:tcPr>
          <w:p>
            <w:pPr>
              <w:pStyle w:val="TableContents"/>
              <w:spacing w:lineRule="auto" w:line="252" w:before="0" w:after="0"/>
              <w:ind w:left="0" w:right="0" w:firstLine="100"/>
              <w:jc w:val="left"/>
              <w:rPr/>
            </w:pPr>
            <w:r>
              <w:rPr/>
              <w:t> </w:t>
            </w:r>
          </w:p>
        </w:tc>
      </w:tr>
      <w:tr>
        <w:trPr/>
        <w:tc>
          <w:tcPr>
            <w:tcW w:w="402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Accumulated other comprehensive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(606</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(150</w:t>
            </w:r>
          </w:p>
        </w:tc>
        <w:tc>
          <w:tcPr>
            <w:tcW w:w="39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w:t>
            </w:r>
          </w:p>
        </w:tc>
      </w:tr>
      <w:tr>
        <w:trPr/>
        <w:tc>
          <w:tcPr>
            <w:tcW w:w="402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Accumulated deficit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(230,083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(204,096</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0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228,706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250,967</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0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liabilities and 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306,299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273,903</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40" w:after="0"/>
        <w:jc w:val="center"/>
        <w:rPr>
          <w:rFonts w:ascii="Times New Roman" w:hAnsi="Times New Roman"/>
          <w:b w:val="false"/>
          <w:sz w:val="20"/>
        </w:rPr>
      </w:pPr>
      <w:r>
        <w:rPr>
          <w:rFonts w:ascii="Times New Roman" w:hAnsi="Times New Roman"/>
          <w:b w:val="false"/>
          <w:sz w:val="20"/>
        </w:rPr>
        <w:t>The accompanying notes are an integral part of these condensed financial statements.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NKARTA, INC.</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bookmarkStart w:id="5" w:name="condensed_statements_operations_comprehe"/>
      <w:bookmarkEnd w:id="5"/>
      <w:r>
        <w:rPr>
          <w:rFonts w:ascii="Times New Roman" w:hAnsi="Times New Roman"/>
          <w:b/>
          <w:sz w:val="20"/>
        </w:rPr>
        <w:t>CONDENSED STATEMENTS OF OPERATIONS AND COMPREHENSIVE LOSS</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20"/>
        </w:rPr>
        <w:t>(Unaudited, in thousands, except share and per share data)</w:t>
      </w:r>
      <w:r>
        <w:rPr>
          <w:rFonts w:ascii="Times New Roman" w:hAnsi="Times New Roman"/>
          <w:sz w:val="20"/>
        </w:rPr>
        <w:t xml:space="preserve"> </w:t>
      </w:r>
    </w:p>
    <w:p>
      <w:pPr>
        <w:pStyle w:val="TextBody"/>
        <w:spacing w:lineRule="auto" w:line="273" w:before="0" w:after="0"/>
        <w:jc w:val="left"/>
        <w:rPr/>
      </w:pPr>
      <w:r>
        <w:rPr/>
        <w:t> </w:t>
      </w:r>
    </w:p>
    <w:tbl>
      <w:tblPr>
        <w:tblW w:w="7579" w:type="dxa"/>
        <w:jc w:val="left"/>
        <w:tblInd w:w="0" w:type="dxa"/>
        <w:tblCellMar>
          <w:top w:w="28" w:type="dxa"/>
          <w:left w:w="28" w:type="dxa"/>
          <w:bottom w:w="28" w:type="dxa"/>
          <w:right w:w="28" w:type="dxa"/>
        </w:tblCellMar>
      </w:tblPr>
      <w:tblGrid>
        <w:gridCol w:w="4216"/>
        <w:gridCol w:w="146"/>
        <w:gridCol w:w="211"/>
        <w:gridCol w:w="1036"/>
        <w:gridCol w:w="166"/>
        <w:gridCol w:w="146"/>
        <w:gridCol w:w="211"/>
        <w:gridCol w:w="1036"/>
        <w:gridCol w:w="411"/>
      </w:tblGrid>
      <w:tr>
        <w:trPr/>
        <w:tc>
          <w:tcPr>
            <w:tcW w:w="42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21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0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Three Months Ended</w:t>
              <w:br/>
              <w:t>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21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2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shd w:fill="auto" w:val="clear"/>
            <w:vAlign w:val="center"/>
          </w:tcPr>
          <w:p>
            <w:pPr>
              <w:pStyle w:val="TableContents"/>
              <w:spacing w:lineRule="auto" w:line="252" w:before="0" w:after="0"/>
              <w:ind w:left="0" w:right="0" w:hanging="0"/>
              <w:jc w:val="right"/>
              <w:rPr/>
            </w:pPr>
            <w:r>
              <w:rPr/>
              <w:t> </w:t>
            </w:r>
          </w:p>
        </w:tc>
        <w:tc>
          <w:tcPr>
            <w:tcW w:w="411" w:type="dxa"/>
            <w:tcBorders/>
            <w:shd w:fill="auto" w:val="clear"/>
            <w:vAlign w:val="center"/>
          </w:tcPr>
          <w:p>
            <w:pPr>
              <w:pStyle w:val="TableContents"/>
              <w:spacing w:lineRule="auto" w:line="252" w:before="0" w:after="0"/>
              <w:ind w:left="0" w:right="0" w:firstLine="200"/>
              <w:jc w:val="right"/>
              <w:rPr/>
            </w:pPr>
            <w:r>
              <w:rPr/>
              <w:t> </w:t>
            </w:r>
          </w:p>
        </w:tc>
      </w:tr>
      <w:tr>
        <w:trPr/>
        <w:tc>
          <w:tcPr>
            <w:tcW w:w="421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19,568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13,539</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421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6,530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5,942</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2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26,098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19,481</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2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Loss from operations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(26,098</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(19,481</w:t>
            </w:r>
          </w:p>
        </w:tc>
        <w:tc>
          <w:tcPr>
            <w:tcW w:w="4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2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income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shd w:fill="auto" w:val="clear"/>
            <w:vAlign w:val="center"/>
          </w:tcPr>
          <w:p>
            <w:pPr>
              <w:pStyle w:val="TableContents"/>
              <w:spacing w:lineRule="auto" w:line="252" w:before="0" w:after="0"/>
              <w:ind w:left="0" w:right="0" w:hanging="0"/>
              <w:jc w:val="right"/>
              <w:rPr/>
            </w:pPr>
            <w:r>
              <w:rPr/>
              <w:t> </w:t>
            </w:r>
          </w:p>
        </w:tc>
        <w:tc>
          <w:tcPr>
            <w:tcW w:w="411" w:type="dxa"/>
            <w:tcBorders/>
            <w:shd w:fill="auto" w:val="clear"/>
            <w:vAlign w:val="center"/>
          </w:tcPr>
          <w:p>
            <w:pPr>
              <w:pStyle w:val="TableContents"/>
              <w:spacing w:lineRule="auto" w:line="252" w:before="0" w:after="0"/>
              <w:ind w:left="0" w:right="0" w:firstLine="200"/>
              <w:jc w:val="right"/>
              <w:rPr/>
            </w:pPr>
            <w:r>
              <w:rPr/>
              <w:t> </w:t>
            </w:r>
          </w:p>
        </w:tc>
      </w:tr>
      <w:tr>
        <w:trPr/>
        <w:tc>
          <w:tcPr>
            <w:tcW w:w="421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Interest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110</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421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Other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2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other income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108</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2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(25,987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(19,373</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2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Comprehensive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shd w:fill="auto" w:val="clear"/>
            <w:vAlign w:val="center"/>
          </w:tcPr>
          <w:p>
            <w:pPr>
              <w:pStyle w:val="TableContents"/>
              <w:spacing w:lineRule="auto" w:line="252" w:before="0" w:after="0"/>
              <w:ind w:left="0" w:right="0" w:hanging="0"/>
              <w:jc w:val="right"/>
              <w:rPr/>
            </w:pPr>
            <w:r>
              <w:rPr/>
              <w:t> </w:t>
            </w:r>
          </w:p>
        </w:tc>
        <w:tc>
          <w:tcPr>
            <w:tcW w:w="411" w:type="dxa"/>
            <w:tcBorders/>
            <w:shd w:fill="auto" w:val="clear"/>
            <w:vAlign w:val="center"/>
          </w:tcPr>
          <w:p>
            <w:pPr>
              <w:pStyle w:val="TableContents"/>
              <w:spacing w:lineRule="auto" w:line="252" w:before="0" w:after="0"/>
              <w:ind w:left="0" w:right="0" w:firstLine="200"/>
              <w:jc w:val="right"/>
              <w:rPr/>
            </w:pPr>
            <w:r>
              <w:rPr/>
              <w:t> </w:t>
            </w:r>
          </w:p>
        </w:tc>
      </w:tr>
      <w:tr>
        <w:trPr/>
        <w:tc>
          <w:tcPr>
            <w:tcW w:w="421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(25,987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(19,373</w:t>
            </w:r>
          </w:p>
        </w:tc>
        <w:tc>
          <w:tcPr>
            <w:tcW w:w="4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421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Other comprehensive gain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(456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2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Comprehensive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(26,443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(19,342</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2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 per share, basic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(0.79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(0.59</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2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 xml:space="preserve">Weighted average shares used to compute net loss </w:t>
              <w:br/>
              <w:t>   per share, basic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32,992,582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32,739,610</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40" w:after="0"/>
        <w:jc w:val="center"/>
        <w:rPr>
          <w:rFonts w:ascii="Times New Roman" w:hAnsi="Times New Roman"/>
          <w:b w:val="false"/>
          <w:sz w:val="20"/>
        </w:rPr>
      </w:pPr>
      <w:r>
        <w:rPr>
          <w:rFonts w:ascii="Times New Roman" w:hAnsi="Times New Roman"/>
          <w:b w:val="false"/>
          <w:sz w:val="20"/>
        </w:rPr>
        <w:t>The accompanying notes are an integral part of these condensed financial statements.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NKARTA,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bookmarkStart w:id="6" w:name="condensed_statements_convertible_preferr"/>
      <w:bookmarkEnd w:id="6"/>
      <w:r>
        <w:rPr>
          <w:rFonts w:ascii="Times New Roman" w:hAnsi="Times New Roman"/>
          <w:b/>
          <w:sz w:val="20"/>
        </w:rPr>
        <w:t>CONDENSED STATEMENTS OF STOCKHOLDERS’ EQUITY</w:t>
      </w:r>
    </w:p>
    <w:p>
      <w:pPr>
        <w:pStyle w:val="TextBody"/>
        <w:spacing w:lineRule="auto" w:line="273" w:before="0" w:after="0"/>
        <w:jc w:val="center"/>
        <w:rPr>
          <w:rFonts w:ascii="Times New Roman" w:hAnsi="Times New Roman"/>
          <w:b/>
          <w:sz w:val="20"/>
        </w:rPr>
      </w:pPr>
      <w:r>
        <w:rPr>
          <w:rFonts w:ascii="Times New Roman" w:hAnsi="Times New Roman"/>
          <w:b/>
          <w:sz w:val="20"/>
        </w:rPr>
        <w:t>(Unaudited, in thousands, except share data)</w:t>
      </w:r>
    </w:p>
    <w:p>
      <w:pPr>
        <w:pStyle w:val="TextBody"/>
        <w:spacing w:lineRule="auto" w:line="273" w:before="0" w:after="0"/>
        <w:jc w:val="left"/>
        <w:rPr/>
      </w:pPr>
      <w:r>
        <w:rPr/>
        <w:t> </w:t>
      </w:r>
    </w:p>
    <w:tbl>
      <w:tblPr>
        <w:tblW w:w="8327" w:type="dxa"/>
        <w:jc w:val="left"/>
        <w:tblInd w:w="0" w:type="dxa"/>
        <w:tblCellMar>
          <w:top w:w="28" w:type="dxa"/>
          <w:left w:w="28" w:type="dxa"/>
          <w:bottom w:w="28" w:type="dxa"/>
          <w:right w:w="28" w:type="dxa"/>
        </w:tblCellMar>
      </w:tblPr>
      <w:tblGrid>
        <w:gridCol w:w="1786"/>
        <w:gridCol w:w="146"/>
        <w:gridCol w:w="146"/>
        <w:gridCol w:w="766"/>
        <w:gridCol w:w="146"/>
        <w:gridCol w:w="146"/>
        <w:gridCol w:w="181"/>
        <w:gridCol w:w="346"/>
        <w:gridCol w:w="146"/>
        <w:gridCol w:w="146"/>
        <w:gridCol w:w="181"/>
        <w:gridCol w:w="586"/>
        <w:gridCol w:w="146"/>
        <w:gridCol w:w="146"/>
        <w:gridCol w:w="297"/>
        <w:gridCol w:w="619"/>
        <w:gridCol w:w="151"/>
        <w:gridCol w:w="146"/>
        <w:gridCol w:w="181"/>
        <w:gridCol w:w="631"/>
        <w:gridCol w:w="151"/>
        <w:gridCol w:w="146"/>
        <w:gridCol w:w="187"/>
        <w:gridCol w:w="608"/>
        <w:gridCol w:w="196"/>
      </w:tblGrid>
      <w:tr>
        <w:trPr/>
        <w:tc>
          <w:tcPr>
            <w:tcW w:w="17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17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731"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67"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Additional</w:t>
              <w:br/>
              <w:t>Paid-in</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Accumulated</w:t>
              <w:br/>
              <w:t>Other</w:t>
              <w:br/>
              <w:t>Comprehensive</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1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Accumulated</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Total</w:t>
              <w:br/>
              <w:t>Stockholders'</w:t>
            </w:r>
          </w:p>
        </w:tc>
        <w:tc>
          <w:tcPr>
            <w:tcW w:w="196" w:type="dxa"/>
            <w:tcBorders/>
            <w:shd w:fill="auto" w:val="clear"/>
            <w:vAlign w:val="center"/>
          </w:tcPr>
          <w:p>
            <w:pPr>
              <w:pStyle w:val="TableContents"/>
              <w:spacing w:lineRule="auto" w:line="252" w:before="0" w:after="0"/>
              <w:ind w:left="0" w:right="0" w:hanging="0"/>
              <w:jc w:val="center"/>
              <w:rPr/>
            </w:pPr>
            <w:r>
              <w:rPr/>
              <w:t> </w:t>
            </w:r>
          </w:p>
        </w:tc>
      </w:tr>
      <w:tr>
        <w:trPr/>
        <w:tc>
          <w:tcPr>
            <w:tcW w:w="17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1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2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6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Loss</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1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Deficit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Equity</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78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Balance,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6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32,971,107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34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58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455,210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619"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(150</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(204,096</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608"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250,967</w:t>
            </w:r>
          </w:p>
        </w:tc>
        <w:tc>
          <w:tcPr>
            <w:tcW w:w="196" w:type="dxa"/>
            <w:tcBorders/>
            <w:shd w:fill="auto" w:val="clear"/>
            <w:vAlign w:val="center"/>
          </w:tcPr>
          <w:p>
            <w:pPr>
              <w:pStyle w:val="TableContents"/>
              <w:spacing w:lineRule="auto" w:line="252" w:before="0" w:after="0"/>
              <w:ind w:left="0" w:right="0" w:hanging="0"/>
              <w:jc w:val="left"/>
              <w:rPr/>
            </w:pPr>
            <w:r>
              <w:rPr/>
              <w:t> </w:t>
            </w:r>
          </w:p>
        </w:tc>
      </w:tr>
      <w:tr>
        <w:trPr/>
        <w:tc>
          <w:tcPr>
            <w:tcW w:w="178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Vesting of shares of common</w:t>
              <w:br/>
              <w:t>   stock subject to repurchase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6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10,924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7" w:type="dxa"/>
            <w:tcBorders/>
            <w:shd w:fill="auto" w:val="clear"/>
            <w:vAlign w:val="center"/>
          </w:tcPr>
          <w:p>
            <w:pPr>
              <w:pStyle w:val="TableContents"/>
              <w:spacing w:lineRule="auto" w:line="252" w:before="0" w:after="0"/>
              <w:ind w:left="0" w:right="0" w:hanging="0"/>
              <w:jc w:val="left"/>
              <w:rPr/>
            </w:pPr>
            <w:r>
              <w:rPr/>
              <w:t> </w:t>
            </w:r>
          </w:p>
        </w:tc>
        <w:tc>
          <w:tcPr>
            <w:tcW w:w="619"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608"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6</w:t>
            </w:r>
          </w:p>
        </w:tc>
        <w:tc>
          <w:tcPr>
            <w:tcW w:w="196" w:type="dxa"/>
            <w:tcBorders/>
            <w:shd w:fill="auto" w:val="clear"/>
            <w:vAlign w:val="center"/>
          </w:tcPr>
          <w:p>
            <w:pPr>
              <w:pStyle w:val="TableContents"/>
              <w:spacing w:lineRule="auto" w:line="252" w:before="0" w:after="0"/>
              <w:ind w:left="0" w:right="0" w:hanging="0"/>
              <w:jc w:val="left"/>
              <w:rPr/>
            </w:pPr>
            <w:r>
              <w:rPr/>
              <w:t> </w:t>
            </w:r>
          </w:p>
        </w:tc>
      </w:tr>
      <w:tr>
        <w:trPr/>
        <w:tc>
          <w:tcPr>
            <w:tcW w:w="178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 xml:space="preserve">Issuance of common stock </w:t>
              <w:br/>
              <w:t xml:space="preserve">   upon exercise of stock </w:t>
              <w:br/>
              <w:t>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6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21,067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79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7" w:type="dxa"/>
            <w:tcBorders/>
            <w:shd w:fill="auto" w:val="clear"/>
            <w:vAlign w:val="center"/>
          </w:tcPr>
          <w:p>
            <w:pPr>
              <w:pStyle w:val="TableContents"/>
              <w:spacing w:lineRule="auto" w:line="252" w:before="0" w:after="0"/>
              <w:ind w:left="0" w:right="0" w:hanging="0"/>
              <w:jc w:val="left"/>
              <w:rPr/>
            </w:pPr>
            <w:r>
              <w:rPr/>
              <w:t> </w:t>
            </w:r>
          </w:p>
        </w:tc>
        <w:tc>
          <w:tcPr>
            <w:tcW w:w="619"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608"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79</w:t>
            </w:r>
          </w:p>
        </w:tc>
        <w:tc>
          <w:tcPr>
            <w:tcW w:w="196" w:type="dxa"/>
            <w:tcBorders/>
            <w:shd w:fill="auto" w:val="clear"/>
            <w:vAlign w:val="center"/>
          </w:tcPr>
          <w:p>
            <w:pPr>
              <w:pStyle w:val="TableContents"/>
              <w:spacing w:lineRule="auto" w:line="252" w:before="0" w:after="0"/>
              <w:ind w:left="0" w:right="0" w:hanging="0"/>
              <w:jc w:val="left"/>
              <w:rPr/>
            </w:pPr>
            <w:r>
              <w:rPr/>
              <w:t> </w:t>
            </w:r>
          </w:p>
        </w:tc>
      </w:tr>
      <w:tr>
        <w:trPr/>
        <w:tc>
          <w:tcPr>
            <w:tcW w:w="178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Share-based compensation</w:t>
              <w:br/>
              <w:t>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4,097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7" w:type="dxa"/>
            <w:tcBorders/>
            <w:shd w:fill="auto" w:val="clear"/>
            <w:vAlign w:val="center"/>
          </w:tcPr>
          <w:p>
            <w:pPr>
              <w:pStyle w:val="TableContents"/>
              <w:spacing w:lineRule="auto" w:line="252" w:before="0" w:after="0"/>
              <w:ind w:left="0" w:right="0" w:hanging="0"/>
              <w:jc w:val="left"/>
              <w:rPr/>
            </w:pPr>
            <w:r>
              <w:rPr/>
              <w:t> </w:t>
            </w:r>
          </w:p>
        </w:tc>
        <w:tc>
          <w:tcPr>
            <w:tcW w:w="619"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608"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4,097</w:t>
            </w:r>
          </w:p>
        </w:tc>
        <w:tc>
          <w:tcPr>
            <w:tcW w:w="196" w:type="dxa"/>
            <w:tcBorders/>
            <w:shd w:fill="auto" w:val="clear"/>
            <w:vAlign w:val="center"/>
          </w:tcPr>
          <w:p>
            <w:pPr>
              <w:pStyle w:val="TableContents"/>
              <w:spacing w:lineRule="auto" w:line="252" w:before="0" w:after="0"/>
              <w:ind w:left="0" w:right="0" w:hanging="0"/>
              <w:jc w:val="left"/>
              <w:rPr/>
            </w:pPr>
            <w:r>
              <w:rPr/>
              <w:t> </w:t>
            </w:r>
          </w:p>
        </w:tc>
      </w:tr>
      <w:tr>
        <w:trPr/>
        <w:tc>
          <w:tcPr>
            <w:tcW w:w="178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 xml:space="preserve">Unrealized loss on </w:t>
              <w:br/>
              <w:t>   short-term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7" w:type="dxa"/>
            <w:tcBorders/>
            <w:shd w:fill="auto" w:val="clear"/>
            <w:vAlign w:val="center"/>
          </w:tcPr>
          <w:p>
            <w:pPr>
              <w:pStyle w:val="TableContents"/>
              <w:spacing w:lineRule="auto" w:line="252" w:before="0" w:after="0"/>
              <w:ind w:left="0" w:right="0" w:hanging="0"/>
              <w:jc w:val="left"/>
              <w:rPr/>
            </w:pPr>
            <w:r>
              <w:rPr/>
              <w:t> </w:t>
            </w:r>
          </w:p>
        </w:tc>
        <w:tc>
          <w:tcPr>
            <w:tcW w:w="619"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(456</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608"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(456</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r>
      <w:tr>
        <w:trPr/>
        <w:tc>
          <w:tcPr>
            <w:tcW w:w="178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(25,987</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0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(25,987</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r>
      <w:tr>
        <w:trPr/>
        <w:tc>
          <w:tcPr>
            <w:tcW w:w="178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Balance,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33,003,098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459,392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61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(606</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(230,083</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60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228,706</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center"/>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NKARTA,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CONDENSED STATEMENTS OF STOCKHOLDERS’ EQUITY</w:t>
      </w:r>
    </w:p>
    <w:p>
      <w:pPr>
        <w:pStyle w:val="TextBody"/>
        <w:spacing w:lineRule="auto" w:line="273" w:before="0" w:after="0"/>
        <w:jc w:val="center"/>
        <w:rPr>
          <w:rFonts w:ascii="Times New Roman" w:hAnsi="Times New Roman"/>
          <w:b/>
          <w:sz w:val="20"/>
        </w:rPr>
      </w:pPr>
      <w:r>
        <w:rPr>
          <w:rFonts w:ascii="Times New Roman" w:hAnsi="Times New Roman"/>
          <w:b/>
          <w:sz w:val="20"/>
        </w:rPr>
        <w:t>(Unaudited, in thousands, except share data)</w:t>
      </w:r>
    </w:p>
    <w:p>
      <w:pPr>
        <w:pStyle w:val="TextBody"/>
        <w:spacing w:lineRule="auto" w:line="273" w:before="0" w:after="0"/>
        <w:jc w:val="left"/>
        <w:rPr/>
      </w:pPr>
      <w:r>
        <w:rPr/>
        <w:t> </w:t>
      </w:r>
    </w:p>
    <w:tbl>
      <w:tblPr>
        <w:tblW w:w="8322" w:type="dxa"/>
        <w:jc w:val="left"/>
        <w:tblInd w:w="0" w:type="dxa"/>
        <w:tblCellMar>
          <w:top w:w="28" w:type="dxa"/>
          <w:left w:w="28" w:type="dxa"/>
          <w:bottom w:w="28" w:type="dxa"/>
          <w:right w:w="28" w:type="dxa"/>
        </w:tblCellMar>
      </w:tblPr>
      <w:tblGrid>
        <w:gridCol w:w="1786"/>
        <w:gridCol w:w="146"/>
        <w:gridCol w:w="146"/>
        <w:gridCol w:w="766"/>
        <w:gridCol w:w="146"/>
        <w:gridCol w:w="146"/>
        <w:gridCol w:w="181"/>
        <w:gridCol w:w="346"/>
        <w:gridCol w:w="146"/>
        <w:gridCol w:w="146"/>
        <w:gridCol w:w="181"/>
        <w:gridCol w:w="586"/>
        <w:gridCol w:w="146"/>
        <w:gridCol w:w="146"/>
        <w:gridCol w:w="314"/>
        <w:gridCol w:w="602"/>
        <w:gridCol w:w="146"/>
        <w:gridCol w:w="146"/>
        <w:gridCol w:w="181"/>
        <w:gridCol w:w="631"/>
        <w:gridCol w:w="151"/>
        <w:gridCol w:w="146"/>
        <w:gridCol w:w="187"/>
        <w:gridCol w:w="608"/>
        <w:gridCol w:w="196"/>
      </w:tblGrid>
      <w:tr>
        <w:trPr/>
        <w:tc>
          <w:tcPr>
            <w:tcW w:w="17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17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31"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67"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Additional</w:t>
              <w:br/>
              <w:t>Paid-in</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Accumulated</w:t>
              <w:br/>
              <w:t>Other</w:t>
              <w:br/>
              <w:t>Comprehensive</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1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Accumulated</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Total</w:t>
              <w:br/>
              <w:t>Stockholders'</w:t>
            </w:r>
          </w:p>
        </w:tc>
        <w:tc>
          <w:tcPr>
            <w:tcW w:w="196" w:type="dxa"/>
            <w:tcBorders/>
            <w:shd w:fill="auto" w:val="clear"/>
            <w:vAlign w:val="center"/>
          </w:tcPr>
          <w:p>
            <w:pPr>
              <w:pStyle w:val="TableContents"/>
              <w:spacing w:lineRule="auto" w:line="252" w:before="0" w:after="0"/>
              <w:ind w:left="0" w:right="0" w:hanging="0"/>
              <w:jc w:val="center"/>
              <w:rPr/>
            </w:pPr>
            <w:r>
              <w:rPr/>
              <w:t> </w:t>
            </w:r>
          </w:p>
        </w:tc>
      </w:tr>
      <w:tr>
        <w:trPr/>
        <w:tc>
          <w:tcPr>
            <w:tcW w:w="17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6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Income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1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Deficit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Equity</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78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Balance, December 31,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6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32,627,963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34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58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439,235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602"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(118,021</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608"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321,220</w:t>
            </w:r>
          </w:p>
        </w:tc>
        <w:tc>
          <w:tcPr>
            <w:tcW w:w="196" w:type="dxa"/>
            <w:tcBorders/>
            <w:shd w:fill="auto" w:val="clear"/>
            <w:vAlign w:val="center"/>
          </w:tcPr>
          <w:p>
            <w:pPr>
              <w:pStyle w:val="TableContents"/>
              <w:spacing w:lineRule="auto" w:line="252" w:before="0" w:after="0"/>
              <w:ind w:left="0" w:right="0" w:hanging="0"/>
              <w:jc w:val="left"/>
              <w:rPr/>
            </w:pPr>
            <w:r>
              <w:rPr/>
              <w:t> </w:t>
            </w:r>
          </w:p>
        </w:tc>
      </w:tr>
      <w:tr>
        <w:trPr/>
        <w:tc>
          <w:tcPr>
            <w:tcW w:w="178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Vesting of shares of common</w:t>
              <w:br/>
              <w:t>   stock subject to repurchase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6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15,802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4"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608"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9</w:t>
            </w:r>
          </w:p>
        </w:tc>
        <w:tc>
          <w:tcPr>
            <w:tcW w:w="196" w:type="dxa"/>
            <w:tcBorders/>
            <w:shd w:fill="auto" w:val="clear"/>
            <w:vAlign w:val="center"/>
          </w:tcPr>
          <w:p>
            <w:pPr>
              <w:pStyle w:val="TableContents"/>
              <w:spacing w:lineRule="auto" w:line="252" w:before="0" w:after="0"/>
              <w:ind w:left="0" w:right="0" w:hanging="0"/>
              <w:jc w:val="left"/>
              <w:rPr/>
            </w:pPr>
            <w:r>
              <w:rPr/>
              <w:t> </w:t>
            </w:r>
          </w:p>
        </w:tc>
      </w:tr>
      <w:tr>
        <w:trPr/>
        <w:tc>
          <w:tcPr>
            <w:tcW w:w="178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 xml:space="preserve">Issuance of common stock </w:t>
              <w:br/>
              <w:t xml:space="preserve">   upon exercise of stock </w:t>
              <w:br/>
              <w:t>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6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154,489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756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4"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608"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756</w:t>
            </w:r>
          </w:p>
        </w:tc>
        <w:tc>
          <w:tcPr>
            <w:tcW w:w="196" w:type="dxa"/>
            <w:tcBorders/>
            <w:shd w:fill="auto" w:val="clear"/>
            <w:vAlign w:val="center"/>
          </w:tcPr>
          <w:p>
            <w:pPr>
              <w:pStyle w:val="TableContents"/>
              <w:spacing w:lineRule="auto" w:line="252" w:before="0" w:after="0"/>
              <w:ind w:left="0" w:right="0" w:hanging="0"/>
              <w:jc w:val="left"/>
              <w:rPr/>
            </w:pPr>
            <w:r>
              <w:rPr/>
              <w:t> </w:t>
            </w:r>
          </w:p>
        </w:tc>
      </w:tr>
      <w:tr>
        <w:trPr/>
        <w:tc>
          <w:tcPr>
            <w:tcW w:w="178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Share-based compensation</w:t>
              <w:br/>
              <w:t>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3,347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4"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608"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3,347</w:t>
            </w:r>
          </w:p>
        </w:tc>
        <w:tc>
          <w:tcPr>
            <w:tcW w:w="196" w:type="dxa"/>
            <w:tcBorders/>
            <w:shd w:fill="auto" w:val="clear"/>
            <w:vAlign w:val="center"/>
          </w:tcPr>
          <w:p>
            <w:pPr>
              <w:pStyle w:val="TableContents"/>
              <w:spacing w:lineRule="auto" w:line="252" w:before="0" w:after="0"/>
              <w:ind w:left="0" w:right="0" w:hanging="0"/>
              <w:jc w:val="left"/>
              <w:rPr/>
            </w:pPr>
            <w:r>
              <w:rPr/>
              <w:t> </w:t>
            </w:r>
          </w:p>
        </w:tc>
      </w:tr>
      <w:tr>
        <w:trPr/>
        <w:tc>
          <w:tcPr>
            <w:tcW w:w="178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 xml:space="preserve">Unrealized gain on </w:t>
              <w:br/>
              <w:t>   short-term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4" w:type="dxa"/>
            <w:tcBorders/>
            <w:shd w:fill="auto" w:val="clear"/>
            <w:vAlign w:val="center"/>
          </w:tcPr>
          <w:p>
            <w:pPr>
              <w:pStyle w:val="TableContents"/>
              <w:spacing w:lineRule="auto" w:line="252" w:before="0" w:after="0"/>
              <w:ind w:left="0" w:right="0" w:hanging="0"/>
              <w:jc w:val="left"/>
              <w:rPr/>
            </w:pPr>
            <w:r>
              <w:rPr/>
              <w:t> </w:t>
            </w:r>
          </w:p>
        </w:tc>
        <w:tc>
          <w:tcPr>
            <w:tcW w:w="602"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608" w:type="dxa"/>
            <w:tcBorders/>
            <w:shd w:fill="auto" w:val="cle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31</w:t>
            </w:r>
          </w:p>
        </w:tc>
        <w:tc>
          <w:tcPr>
            <w:tcW w:w="196" w:type="dxa"/>
            <w:tcBorders/>
            <w:shd w:fill="auto" w:val="clear"/>
            <w:vAlign w:val="center"/>
          </w:tcPr>
          <w:p>
            <w:pPr>
              <w:pStyle w:val="TableContents"/>
              <w:spacing w:lineRule="auto" w:line="252" w:before="0" w:after="0"/>
              <w:ind w:left="0" w:right="0" w:hanging="0"/>
              <w:jc w:val="left"/>
              <w:rPr/>
            </w:pPr>
            <w:r>
              <w:rPr/>
              <w:t> </w:t>
            </w:r>
          </w:p>
        </w:tc>
      </w:tr>
      <w:tr>
        <w:trPr/>
        <w:tc>
          <w:tcPr>
            <w:tcW w:w="178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0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(19,373</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0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(19,373</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r>
      <w:tr>
        <w:trPr/>
        <w:tc>
          <w:tcPr>
            <w:tcW w:w="178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Balance, March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32,798,254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443,347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60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(137,394</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t>
            </w:r>
          </w:p>
        </w:tc>
        <w:tc>
          <w:tcPr>
            <w:tcW w:w="60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4"/>
              </w:rPr>
            </w:pPr>
            <w:r>
              <w:rPr>
                <w:rFonts w:ascii="Times New Roman" w:hAnsi="Times New Roman"/>
                <w:b w:val="false"/>
                <w:sz w:val="14"/>
              </w:rPr>
              <w:t>305,990</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The accompanying notes are an integral part of these condensed financial statements.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NKARTA, INC.</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bookmarkStart w:id="7" w:name="condensed_statement_cash_flows"/>
      <w:bookmarkEnd w:id="7"/>
      <w:r>
        <w:rPr>
          <w:rFonts w:ascii="Times New Roman" w:hAnsi="Times New Roman"/>
          <w:b/>
          <w:sz w:val="20"/>
        </w:rPr>
        <w:t>CONDENSED STATEMENT OF CASH FLOWS</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(Unaudited, in thousands)</w:t>
      </w:r>
    </w:p>
    <w:p>
      <w:pPr>
        <w:pStyle w:val="TextBody"/>
        <w:spacing w:lineRule="auto" w:line="273" w:before="0" w:after="0"/>
        <w:jc w:val="left"/>
        <w:rPr/>
      </w:pPr>
      <w:r>
        <w:rPr/>
        <w:t> </w:t>
      </w:r>
    </w:p>
    <w:tbl>
      <w:tblPr>
        <w:tblW w:w="9589" w:type="dxa"/>
        <w:jc w:val="left"/>
        <w:tblInd w:w="0" w:type="dxa"/>
        <w:tblCellMar>
          <w:top w:w="28" w:type="dxa"/>
          <w:left w:w="28" w:type="dxa"/>
          <w:bottom w:w="28" w:type="dxa"/>
          <w:right w:w="28" w:type="dxa"/>
        </w:tblCellMar>
      </w:tblPr>
      <w:tblGrid>
        <w:gridCol w:w="6646"/>
        <w:gridCol w:w="146"/>
        <w:gridCol w:w="211"/>
        <w:gridCol w:w="736"/>
        <w:gridCol w:w="166"/>
        <w:gridCol w:w="146"/>
        <w:gridCol w:w="211"/>
        <w:gridCol w:w="736"/>
        <w:gridCol w:w="591"/>
      </w:tblGrid>
      <w:tr>
        <w:trPr/>
        <w:tc>
          <w:tcPr>
            <w:tcW w:w="6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66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0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Three Months Ended</w:t>
              <w:br/>
              <w:t>March 31,</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6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Cash flows from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200"/>
              <w:jc w:val="right"/>
              <w:rPr/>
            </w:pPr>
            <w:r>
              <w:rPr/>
              <w:t> </w:t>
            </w:r>
          </w:p>
        </w:tc>
      </w:tr>
      <w:tr>
        <w:trPr/>
        <w:tc>
          <w:tcPr>
            <w:tcW w:w="664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(25,987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(19,373</w:t>
            </w:r>
          </w:p>
        </w:tc>
        <w:tc>
          <w:tcPr>
            <w:tcW w:w="59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664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Adjustments to reconcile net loss to net cash used in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400"/>
              <w:jc w:val="right"/>
              <w:rPr/>
            </w:pPr>
            <w:r>
              <w:rPr/>
              <w:t> </w:t>
            </w:r>
          </w:p>
        </w:tc>
      </w:tr>
      <w:tr>
        <w:trPr/>
        <w:tc>
          <w:tcPr>
            <w:tcW w:w="6646"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Share-based compensation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4,097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3,347</w:t>
            </w:r>
          </w:p>
        </w:tc>
        <w:tc>
          <w:tcPr>
            <w:tcW w:w="591" w:type="dxa"/>
            <w:tcBorders/>
            <w:shd w:fill="auto" w:val="clear"/>
            <w:vAlign w:val="center"/>
          </w:tcPr>
          <w:p>
            <w:pPr>
              <w:pStyle w:val="TableContents"/>
              <w:spacing w:lineRule="auto" w:line="252" w:before="0" w:after="0"/>
              <w:ind w:left="0" w:right="0" w:firstLine="400"/>
              <w:jc w:val="left"/>
              <w:rPr/>
            </w:pPr>
            <w:r>
              <w:rPr/>
              <w:t> </w:t>
            </w:r>
          </w:p>
        </w:tc>
      </w:tr>
      <w:tr>
        <w:trPr/>
        <w:tc>
          <w:tcPr>
            <w:tcW w:w="6646"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Depreciation and amortization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610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301</w:t>
            </w:r>
          </w:p>
        </w:tc>
        <w:tc>
          <w:tcPr>
            <w:tcW w:w="591" w:type="dxa"/>
            <w:tcBorders/>
            <w:shd w:fill="auto" w:val="clear"/>
            <w:vAlign w:val="center"/>
          </w:tcPr>
          <w:p>
            <w:pPr>
              <w:pStyle w:val="TableContents"/>
              <w:spacing w:lineRule="auto" w:line="252" w:before="0" w:after="0"/>
              <w:ind w:left="0" w:right="0" w:firstLine="400"/>
              <w:jc w:val="left"/>
              <w:rPr/>
            </w:pPr>
            <w:r>
              <w:rPr/>
              <w:t> </w:t>
            </w:r>
          </w:p>
        </w:tc>
      </w:tr>
      <w:tr>
        <w:trPr/>
        <w:tc>
          <w:tcPr>
            <w:tcW w:w="6646"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Accretion and amortization of premiums and discounts on investments,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727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758</w:t>
            </w:r>
          </w:p>
        </w:tc>
        <w:tc>
          <w:tcPr>
            <w:tcW w:w="591" w:type="dxa"/>
            <w:tcBorders/>
            <w:shd w:fill="auto" w:val="clear"/>
            <w:vAlign w:val="center"/>
          </w:tcPr>
          <w:p>
            <w:pPr>
              <w:pStyle w:val="TableContents"/>
              <w:spacing w:lineRule="auto" w:line="252" w:before="0" w:after="0"/>
              <w:ind w:left="0" w:right="0" w:firstLine="400"/>
              <w:jc w:val="left"/>
              <w:rPr/>
            </w:pPr>
            <w:r>
              <w:rPr/>
              <w:t> </w:t>
            </w:r>
          </w:p>
        </w:tc>
      </w:tr>
      <w:tr>
        <w:trPr/>
        <w:tc>
          <w:tcPr>
            <w:tcW w:w="6646"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Non-cash lease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1,380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137</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664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Changes in operating assets and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400"/>
              <w:jc w:val="right"/>
              <w:rPr/>
            </w:pPr>
            <w:r>
              <w:rPr/>
              <w:t> </w:t>
            </w:r>
          </w:p>
        </w:tc>
      </w:tr>
      <w:tr>
        <w:trPr/>
        <w:tc>
          <w:tcPr>
            <w:tcW w:w="6646"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Prepaid expenses and other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1,460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825</w:t>
            </w:r>
          </w:p>
        </w:tc>
        <w:tc>
          <w:tcPr>
            <w:tcW w:w="591" w:type="dxa"/>
            <w:tcBorders/>
            <w:shd w:fill="auto" w:val="clear"/>
            <w:vAlign w:val="center"/>
          </w:tcPr>
          <w:p>
            <w:pPr>
              <w:pStyle w:val="TableContents"/>
              <w:spacing w:lineRule="auto" w:line="252" w:before="0" w:after="0"/>
              <w:ind w:left="0" w:right="0" w:firstLine="400"/>
              <w:jc w:val="left"/>
              <w:rPr/>
            </w:pPr>
            <w:r>
              <w:rPr/>
              <w:t> </w:t>
            </w:r>
          </w:p>
        </w:tc>
      </w:tr>
      <w:tr>
        <w:trPr/>
        <w:tc>
          <w:tcPr>
            <w:tcW w:w="6646"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Operating lease right-of-use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1,319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pPr>
            <w:r>
              <w:rPr/>
              <w:t>—</w:t>
            </w:r>
          </w:p>
        </w:tc>
        <w:tc>
          <w:tcPr>
            <w:tcW w:w="591" w:type="dxa"/>
            <w:tcBorders/>
            <w:shd w:fill="auto" w:val="clear"/>
            <w:vAlign w:val="center"/>
          </w:tcPr>
          <w:p>
            <w:pPr>
              <w:pStyle w:val="TableContents"/>
              <w:spacing w:lineRule="auto" w:line="252" w:before="0" w:after="0"/>
              <w:ind w:left="0" w:right="0" w:firstLine="400"/>
              <w:jc w:val="left"/>
              <w:rPr/>
            </w:pPr>
            <w:r>
              <w:rPr/>
              <w:t> </w:t>
            </w:r>
          </w:p>
        </w:tc>
      </w:tr>
      <w:tr>
        <w:trPr/>
        <w:tc>
          <w:tcPr>
            <w:tcW w:w="6646"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Operating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pPr>
            <w:r>
              <w:rPr/>
              <w:t>—</w:t>
            </w:r>
          </w:p>
        </w:tc>
        <w:tc>
          <w:tcPr>
            <w:tcW w:w="591" w:type="dxa"/>
            <w:tcBorders/>
            <w:shd w:fill="auto" w:val="clear"/>
            <w:vAlign w:val="center"/>
          </w:tcPr>
          <w:p>
            <w:pPr>
              <w:pStyle w:val="TableContents"/>
              <w:spacing w:lineRule="auto" w:line="252" w:before="0" w:after="0"/>
              <w:ind w:left="0" w:right="0" w:firstLine="400"/>
              <w:jc w:val="left"/>
              <w:rPr/>
            </w:pPr>
            <w:r>
              <w:rPr/>
              <w:t> </w:t>
            </w:r>
          </w:p>
        </w:tc>
      </w:tr>
      <w:tr>
        <w:trPr/>
        <w:tc>
          <w:tcPr>
            <w:tcW w:w="6646"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Accounts payable and accrued and other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(2,159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(642</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6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cash used in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(18,258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(14,647</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6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Cash flows from 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200"/>
              <w:jc w:val="right"/>
              <w:rPr/>
            </w:pPr>
            <w:r>
              <w:rPr/>
              <w:t> </w:t>
            </w:r>
          </w:p>
        </w:tc>
      </w:tr>
      <w:tr>
        <w:trPr/>
        <w:tc>
          <w:tcPr>
            <w:tcW w:w="664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Purchases of property and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(1,770</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(1,033</w:t>
            </w:r>
          </w:p>
        </w:tc>
        <w:tc>
          <w:tcPr>
            <w:tcW w:w="59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664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Purchases of short-term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(28,472</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(35,161</w:t>
            </w:r>
          </w:p>
        </w:tc>
        <w:tc>
          <w:tcPr>
            <w:tcW w:w="59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664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Maturities of short-term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29,216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16,000</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cash used in 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(1,026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(20,194</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6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Cash flows from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200"/>
              <w:jc w:val="right"/>
              <w:rPr/>
            </w:pPr>
            <w:r>
              <w:rPr/>
              <w:t> </w:t>
            </w:r>
          </w:p>
        </w:tc>
      </w:tr>
      <w:tr>
        <w:trPr/>
        <w:tc>
          <w:tcPr>
            <w:tcW w:w="664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Proceeds from stock option exercises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756</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664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Proceeds from early exercise of stock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w:t>
            </w:r>
          </w:p>
        </w:tc>
        <w:tc>
          <w:tcPr>
            <w:tcW w:w="591" w:type="dxa"/>
            <w:tcBorders/>
            <w:shd w:fill="auto" w:val="clear"/>
            <w:vAlign w:val="center"/>
          </w:tcPr>
          <w:p>
            <w:pPr>
              <w:pStyle w:val="TableContents"/>
              <w:spacing w:lineRule="auto" w:line="252" w:before="0" w:after="0"/>
              <w:ind w:left="0" w:right="0" w:hanging="0"/>
              <w:jc w:val="left"/>
              <w:rPr/>
            </w:pPr>
            <w:r>
              <w:rPr/>
              <w:t> </w:t>
            </w:r>
          </w:p>
        </w:tc>
      </w:tr>
      <w:tr>
        <w:trPr/>
        <w:tc>
          <w:tcPr>
            <w:tcW w:w="6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cash provided by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736"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79</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736"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757</w:t>
            </w:r>
          </w:p>
        </w:tc>
        <w:tc>
          <w:tcPr>
            <w:tcW w:w="59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r>
      <w:tr>
        <w:trPr/>
        <w:tc>
          <w:tcPr>
            <w:tcW w:w="6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increase in 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(19,205</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(34,084</w:t>
            </w:r>
          </w:p>
        </w:tc>
        <w:tc>
          <w:tcPr>
            <w:tcW w:w="5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6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Cash, cash equivalents, and restricted cash beginning of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62,914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97,105</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Cash, cash equivalents, and restricted cash end of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43,709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63,021</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Reconciliation of cash, cash equivalents and restricted cash to the balance sheet: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200"/>
              <w:jc w:val="right"/>
              <w:rPr/>
            </w:pPr>
            <w:r>
              <w:rPr/>
              <w:t> </w:t>
            </w:r>
          </w:p>
        </w:tc>
      </w:tr>
      <w:tr>
        <w:trPr/>
        <w:tc>
          <w:tcPr>
            <w:tcW w:w="664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41,611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62,608</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664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2,098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413</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664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 cash, cash equivalents and 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43,709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63,021</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The accompanying notes are an integral part of these condensed financial statements.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NKARTA, INC.</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bookmarkStart w:id="8" w:name="notes_to_financial_statements"/>
      <w:bookmarkEnd w:id="8"/>
      <w:r>
        <w:rPr>
          <w:rFonts w:ascii="Times New Roman" w:hAnsi="Times New Roman"/>
          <w:b/>
          <w:sz w:val="20"/>
        </w:rPr>
        <w:t>NOTES TO FINANCIAL STATEMENTS</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20"/>
        </w:rPr>
        <w:t>(Unaudited)</w:t>
      </w:r>
      <w:r>
        <w:rPr>
          <w:rFonts w:ascii="Times New Roman" w:hAnsi="Times New Roman"/>
          <w:sz w:val="20"/>
        </w:rPr>
        <w:t xml:space="preserve"> </w:t>
      </w:r>
    </w:p>
    <w:p>
      <w:pPr>
        <w:pStyle w:val="TextBody"/>
        <w:spacing w:lineRule="auto" w:line="273" w:before="24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sz w:val="20"/>
        </w:rPr>
        <w:t>1. Organization and Description of Business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Description</w:t>
      </w:r>
      <w:r>
        <w:rPr>
          <w:rFonts w:ascii="Times New Roman" w:hAnsi="Times New Roman"/>
          <w:sz w:val="20"/>
        </w:rPr>
        <w:t xml:space="preserve"> </w:t>
      </w:r>
      <w:r>
        <w:rPr>
          <w:rFonts w:ascii="Times New Roman" w:hAnsi="Times New Roman"/>
          <w:b/>
          <w:i/>
          <w:sz w:val="20"/>
        </w:rPr>
        <w:t>of the Business</w:t>
      </w:r>
    </w:p>
    <w:p>
      <w:pPr>
        <w:pStyle w:val="TextBody"/>
        <w:spacing w:lineRule="auto" w:line="273" w:before="120" w:after="0"/>
        <w:jc w:val="left"/>
        <w:rPr>
          <w:rFonts w:ascii="Times New Roman" w:hAnsi="Times New Roman"/>
          <w:sz w:val="20"/>
        </w:rPr>
      </w:pPr>
      <w:r>
        <w:rPr>
          <w:rFonts w:ascii="Times New Roman" w:hAnsi="Times New Roman"/>
          <w:b w:val="false"/>
          <w:sz w:val="20"/>
        </w:rPr>
        <w:t>Nkarta, Inc. (“Nkarta” or the “Company”) was incorporated in the State of Delaware in July 2015. The Company is a biopharmaceutical company developing engineered natural killer (“NK”) cells to treat cancer. The Company is focused on leveraging the natural potent power of NK cells to identify and kill abnormal cells and recruit adaptive immune effectors to generate responses that are specific and durable. Nkarta is combining its NK expansion platform technology with proprietary cell engineering technologies to generate an abundant supply of NK cells, engineer enhanced NK cell recognition of tumor targets, and improve persistence for sustained activity in the body for the treatment of cancer. Nkarta’s goal is to develop off-the-shelf NK cell therapy product candidates to improve outcomes for patients. The Company’s operations are based in South San Francisco, California and it operates in one</w:t>
      </w:r>
      <w:r>
        <w:rPr>
          <w:rFonts w:ascii="Times New Roman" w:hAnsi="Times New Roman"/>
          <w:sz w:val="20"/>
        </w:rPr>
        <w:t xml:space="preserve"> </w:t>
      </w:r>
      <w:r>
        <w:rPr>
          <w:rFonts w:ascii="Times New Roman" w:hAnsi="Times New Roman"/>
          <w:b w:val="false"/>
          <w:sz w:val="20"/>
        </w:rPr>
        <w:t>segment.</w:t>
      </w:r>
    </w:p>
    <w:p>
      <w:pPr>
        <w:pStyle w:val="TextBody"/>
        <w:spacing w:lineRule="auto" w:line="273" w:before="360" w:after="0"/>
        <w:jc w:val="left"/>
        <w:rPr>
          <w:rFonts w:ascii="Times New Roman" w:hAnsi="Times New Roman"/>
          <w:b/>
          <w:i/>
          <w:sz w:val="20"/>
        </w:rPr>
      </w:pPr>
      <w:r>
        <w:rPr>
          <w:rFonts w:ascii="Times New Roman" w:hAnsi="Times New Roman"/>
          <w:b/>
          <w:i/>
          <w:sz w:val="20"/>
        </w:rPr>
        <w:t>Liquidity and Management Plans</w:t>
      </w:r>
    </w:p>
    <w:p>
      <w:pPr>
        <w:pStyle w:val="TextBody"/>
        <w:spacing w:lineRule="auto" w:line="273" w:before="120" w:after="0"/>
        <w:jc w:val="left"/>
        <w:rPr>
          <w:rFonts w:ascii="Times New Roman" w:hAnsi="Times New Roman"/>
          <w:sz w:val="20"/>
        </w:rPr>
      </w:pPr>
      <w:r>
        <w:rPr>
          <w:rFonts w:ascii="Times New Roman" w:hAnsi="Times New Roman"/>
          <w:b w:val="false"/>
          <w:sz w:val="20"/>
        </w:rPr>
        <w:t>The accompanying unaudited condensed financial statements have been prepared assuming that the Company will continue as a going concern. However, since inception, the Company has devoted substantially all of its efforts to organizing and staffing, business planning, raising capital, conducting preclinical studies and initiating clinical studies, and has not realized substantial revenues from its planned principal operations. In addition, the Company has a limited operating history, has incurred operating losses since inception and expects that it will continue to incur net losses into the foreseeable future as it continues its research and development activities. As of March 31, 2022, the Company had an accumulated deficit of $230.1</w:t>
      </w:r>
      <w:r>
        <w:rPr>
          <w:rFonts w:ascii="Times New Roman" w:hAnsi="Times New Roman"/>
          <w:sz w:val="20"/>
        </w:rPr>
        <w:t xml:space="preserve"> </w:t>
      </w:r>
      <w:r>
        <w:rPr>
          <w:rFonts w:ascii="Times New Roman" w:hAnsi="Times New Roman"/>
          <w:b w:val="false"/>
          <w:sz w:val="20"/>
        </w:rPr>
        <w:t>million and cash, cash equivalents, restricted cash and short-term investments of $219.1</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p>
    <w:p>
      <w:pPr>
        <w:pStyle w:val="TextBody"/>
        <w:spacing w:lineRule="auto" w:line="273" w:before="12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Management plans to continue to incur substantial costs in order to conduct research and development activities and additional capital will be needed to undertake these activities. The Company intends to raise such capital through debt or equity financings or other arrangements to fund operations. Management believes that the Company’s current cash, cash equivalents, restricted cash and short-term investments will provide sufficient funds to enable the Company to meet its obligations for at least twelve months from the filing date of this report.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On April 28, 2022, the Company issued and sold 15,333,334</w:t>
      </w:r>
      <w:r>
        <w:rPr>
          <w:rFonts w:ascii="Times New Roman" w:hAnsi="Times New Roman"/>
          <w:sz w:val="20"/>
        </w:rPr>
        <w:t xml:space="preserve"> </w:t>
      </w:r>
      <w:r>
        <w:rPr>
          <w:rFonts w:ascii="Times New Roman" w:hAnsi="Times New Roman"/>
          <w:b w:val="false"/>
          <w:sz w:val="20"/>
        </w:rPr>
        <w:t>shares of its common stock in an underwritten public offering for total net proceeds of approximately $215.5</w:t>
      </w:r>
      <w:r>
        <w:rPr>
          <w:rFonts w:ascii="Times New Roman" w:hAnsi="Times New Roman"/>
          <w:sz w:val="20"/>
        </w:rPr>
        <w:t xml:space="preserve"> </w:t>
      </w:r>
      <w:r>
        <w:rPr>
          <w:rFonts w:ascii="Times New Roman" w:hAnsi="Times New Roman"/>
          <w:b w:val="false"/>
          <w:sz w:val="20"/>
        </w:rPr>
        <w:t>million. See Note 11, Subsequent Events for additional information.</w:t>
      </w:r>
    </w:p>
    <w:p>
      <w:pPr>
        <w:pStyle w:val="TextBody"/>
        <w:spacing w:lineRule="auto" w:line="273" w:before="0" w:after="0"/>
        <w:jc w:val="left"/>
        <w:rPr/>
      </w:pPr>
      <w:r>
        <w:rPr/>
        <w:t> </w:t>
      </w:r>
    </w:p>
    <w:p>
      <w:pPr>
        <w:pStyle w:val="TextBody"/>
        <w:spacing w:lineRule="auto" w:line="247" w:before="360" w:after="0"/>
        <w:jc w:val="left"/>
        <w:rPr>
          <w:rFonts w:ascii="Times New Roman" w:hAnsi="Times New Roman"/>
          <w:sz w:val="20"/>
        </w:rPr>
      </w:pPr>
      <w:r>
        <w:rPr>
          <w:rFonts w:ascii="Times New Roman" w:hAnsi="Times New Roman"/>
          <w:b/>
          <w:sz w:val="20"/>
        </w:rPr>
        <w:t>2. Basis of Presentation and Significant Accounting Policies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Basis of Presentation</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Times New Roman" w:hAnsi="Times New Roman"/>
          <w:b w:val="false"/>
          <w:sz w:val="20"/>
        </w:rPr>
        <w:t>The accompanying unaudited condensed financial statements as of March 31, 2022 and for the three months ended March 31, 2022 and 2021 have been prepared in accordance with U.S. generally accepted accounting principle (“U.S. GAAP”) for interim financial information and pursuant to Article 10 of Regulation S-X of the Securities Act. Accordingly, they do not include all of the information and notes required by U.S. GAAP for complete financial statements. These unaudited condensed financial statements include only normal and recurring adjustments that the Company believes are necessary to fairly state the Company’s financial position and the results of its operations and cash flows.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Times New Roman" w:hAnsi="Times New Roman"/>
          <w:b w:val="false"/>
          <w:sz w:val="20"/>
        </w:rPr>
        <w:t>The results for the three months ended March 31, 2022 are not necessarily indicative of the results expected for the full year or any subsequent interim period. The condensed balance sheet at December 31, 2021 has been derived from the audited financial statements at that date but does not include all disclosures required by U.S. GAAP for complete financial statements. Because all of the disclosures required by U.S. GAAP for complete financial statements are not included herein, these unaudited condensed financial statements and the notes accompanying them should be read in conjunction with the Company’s audited financial statements for the year ended December 31, 2021, contained in the Company’s Annual Report on Form 10-K for the year ended December 31, 2021 filed by the Company with the SEC on March 17, 2022.</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w:t>
      </w:r>
    </w:p>
    <w:p>
      <w:pPr>
        <w:pStyle w:val="HorizontalLine"/>
        <w:rPr/>
      </w:pPr>
      <w:r>
        <w:rPr/>
      </w:r>
    </w:p>
    <w:p>
      <w:pPr>
        <w:pStyle w:val="TextBody"/>
        <w:spacing w:lineRule="auto" w:line="273" w:before="240" w:after="0"/>
        <w:jc w:val="both"/>
        <w:rPr>
          <w:rFonts w:ascii="Times New Roman" w:hAnsi="Times New Roman"/>
          <w:b/>
          <w:i/>
          <w:sz w:val="20"/>
        </w:rPr>
      </w:pPr>
      <w:r>
        <w:rPr>
          <w:rFonts w:ascii="Times New Roman" w:hAnsi="Times New Roman"/>
          <w:b/>
          <w:i/>
          <w:sz w:val="20"/>
        </w:rPr>
        <w:t>COVID-19 Pandemic</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COVID-19 pandemic has caused disruptions in the global economy and has affected and may continue to affect the Company’s business and operations. The extent of the impact of the COVID-19 pandemic on the Company’s operational and financial performance will depend on certain developments, including the duration and spread of the outbreak, the development and spread of more contagious and/or vaccine-resistant variants, the effectiveness of actions taken in the United States and other countries to contain, vaccinate against, and treat the disease, and the pandemic’s impact on the Company’s current and planned preclinical studies and clinical trials, employees and vendors, all of which are uncertain and cannot be predicted. The extent to which the COVID-19 pandemic may impact the Company’s financial condition or results of operations is uncertain. In response to the pandemic, the Coronavirus Aid, Relief and Economic Security Act (the “CARES Act”) was signed into law on March 27, 2020. The CARES Act, among other things, includes tax provisions relating to refundable payroll tax credits, deferment of employer’s social security payments, net operating loss utilization and carryback periods, modifications to the net interest deduction limitations and technical corrections to tax depreciation methods for qualified improvement property. The CARES Act had no impact on the Company’s income tax provision for the year ended December 31, 2021. The Company continues to evaluate the impact of the CARES Act on its financial position, results of operations and cash flows. The Company currently does not expect to apply for loans or grants under the CARES Act.</w:t>
      </w:r>
    </w:p>
    <w:p>
      <w:pPr>
        <w:pStyle w:val="TextBody"/>
        <w:spacing w:lineRule="auto" w:line="273" w:before="360" w:after="0"/>
        <w:jc w:val="left"/>
        <w:rPr>
          <w:rFonts w:ascii="Times New Roman" w:hAnsi="Times New Roman"/>
          <w:b/>
          <w:i/>
          <w:sz w:val="20"/>
        </w:rPr>
      </w:pPr>
      <w:r>
        <w:rPr>
          <w:rFonts w:ascii="Times New Roman" w:hAnsi="Times New Roman"/>
          <w:b/>
          <w:i/>
          <w:sz w:val="20"/>
        </w:rPr>
        <w:t>Use of Estimates</w:t>
      </w:r>
    </w:p>
    <w:p>
      <w:pPr>
        <w:pStyle w:val="TextBody"/>
        <w:spacing w:lineRule="auto" w:line="273" w:before="240" w:after="0"/>
        <w:jc w:val="both"/>
        <w:rPr>
          <w:rFonts w:ascii="Times New Roman" w:hAnsi="Times New Roman"/>
          <w:b w:val="false"/>
          <w:sz w:val="20"/>
        </w:rPr>
      </w:pPr>
      <w:r>
        <w:rPr>
          <w:rFonts w:ascii="Times New Roman" w:hAnsi="Times New Roman"/>
          <w:b w:val="false"/>
          <w:sz w:val="20"/>
        </w:rPr>
        <w:t>The preparation of financial statements in conformity with U.S. GAAP requires management to make estimates and assumptions that affect the amounts reported in the Company’s financial statements and accompanying notes. On an ongoing basis, management evaluates its estimates, including those related to preclinical studies, fair value of assets and liabilities, share-based compensation and income taxes. Management bases its estimates on historical experience, knowledge of current events and actions it may undertake in the future that management believes to be reasonable under the circumstances. Actual results may differ from these estimates and assumptions.</w:t>
      </w:r>
    </w:p>
    <w:p>
      <w:pPr>
        <w:pStyle w:val="TextBody"/>
        <w:spacing w:lineRule="auto" w:line="273" w:before="360" w:after="0"/>
        <w:jc w:val="left"/>
        <w:rPr>
          <w:rFonts w:ascii="Times New Roman" w:hAnsi="Times New Roman"/>
          <w:sz w:val="20"/>
        </w:rPr>
      </w:pPr>
      <w:r>
        <w:rPr>
          <w:rFonts w:ascii="Times New Roman" w:hAnsi="Times New Roman"/>
          <w:b/>
          <w:i/>
          <w:sz w:val="20"/>
        </w:rPr>
        <w:t>Net Loss Per Share</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Basic net loss per share is calculated by dividing the net loss by the weighted-average number of common shares outstanding for the period, without consideration of potential dilutive securities. Diluted net loss per share is computed by dividing the net loss by the sum of the weighted average number of common shares plus the potential dilutive effects of potential dilutive securities outstanding during the period. Potential dilutive securities are excluded from diluted earnings or loss per share if the effect of such inclusion is antidilutive. The Company’s potentially dilutive securities, which include convertible preferred stock prior to the conversion of such shares to common stock, unvested common stock, and outstanding stock options under the Company’s equity incentive plan, have been excluded from the computation of diluted net loss per share as they would be anti-dilutive to the net loss per share. For all periods presented, there is no difference in the number of shares used to calculate basic and diluted shares outstanding due to the Company’s net loss position.</w:t>
      </w:r>
      <w:r>
        <w:rPr>
          <w:rFonts w:ascii="Times New Roman" w:hAnsi="Times New Roman"/>
          <w:sz w:val="20"/>
        </w:rPr>
        <w:t xml:space="preserve"> </w:t>
      </w:r>
    </w:p>
    <w:p>
      <w:pPr>
        <w:pStyle w:val="TextBody"/>
        <w:spacing w:lineRule="auto" w:line="273" w:before="360" w:after="0"/>
        <w:jc w:val="left"/>
        <w:rPr/>
      </w:pPr>
      <w:r>
        <w:rPr/>
        <w:t> </w:t>
      </w:r>
    </w:p>
    <w:p>
      <w:pPr>
        <w:pStyle w:val="TextBody"/>
        <w:spacing w:lineRule="auto" w:line="273" w:before="360" w:after="0"/>
        <w:jc w:val="left"/>
        <w:rPr>
          <w:rFonts w:ascii="Times New Roman" w:hAnsi="Times New Roman"/>
          <w:b/>
          <w:sz w:val="20"/>
        </w:rPr>
      </w:pPr>
      <w:r>
        <w:rPr>
          <w:rFonts w:ascii="Times New Roman" w:hAnsi="Times New Roman"/>
          <w:b/>
          <w:sz w:val="20"/>
        </w:rPr>
        <w:t>3. Net Loss Per Share</w:t>
      </w:r>
    </w:p>
    <w:p>
      <w:pPr>
        <w:pStyle w:val="TextBody"/>
        <w:spacing w:lineRule="auto" w:line="273" w:before="120" w:after="0"/>
        <w:jc w:val="left"/>
        <w:rPr>
          <w:rFonts w:ascii="Times New Roman" w:hAnsi="Times New Roman"/>
          <w:sz w:val="20"/>
        </w:rPr>
      </w:pPr>
      <w:r>
        <w:rPr>
          <w:rFonts w:ascii="Times New Roman" w:hAnsi="Times New Roman"/>
          <w:b w:val="false"/>
          <w:sz w:val="20"/>
        </w:rPr>
        <w:t>The following tables summarize the computation of the basic and diluted net loss per share (in thousands except share and per share data):</w:t>
      </w:r>
      <w:r>
        <w:rPr>
          <w:rFonts w:ascii="Times New Roman" w:hAnsi="Times New Roman"/>
          <w:sz w:val="20"/>
        </w:rPr>
        <w:t xml:space="preserve"> </w:t>
      </w:r>
    </w:p>
    <w:p>
      <w:pPr>
        <w:pStyle w:val="TextBody"/>
        <w:spacing w:lineRule="auto" w:line="273" w:before="0" w:after="0"/>
        <w:jc w:val="left"/>
        <w:rPr/>
      </w:pPr>
      <w:r>
        <w:rPr/>
        <w:t> </w:t>
      </w:r>
    </w:p>
    <w:tbl>
      <w:tblPr>
        <w:tblW w:w="7514" w:type="dxa"/>
        <w:jc w:val="left"/>
        <w:tblInd w:w="0" w:type="dxa"/>
        <w:tblCellMar>
          <w:top w:w="28" w:type="dxa"/>
          <w:left w:w="28" w:type="dxa"/>
          <w:bottom w:w="28" w:type="dxa"/>
          <w:right w:w="28" w:type="dxa"/>
        </w:tblCellMar>
      </w:tblPr>
      <w:tblGrid>
        <w:gridCol w:w="4171"/>
        <w:gridCol w:w="146"/>
        <w:gridCol w:w="211"/>
        <w:gridCol w:w="1036"/>
        <w:gridCol w:w="166"/>
        <w:gridCol w:w="146"/>
        <w:gridCol w:w="211"/>
        <w:gridCol w:w="1036"/>
        <w:gridCol w:w="391"/>
      </w:tblGrid>
      <w:tr>
        <w:trPr/>
        <w:tc>
          <w:tcPr>
            <w:tcW w:w="41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17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0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Three Months Ended</w:t>
              <w:b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17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17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Numerator: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hanging="0"/>
              <w:jc w:val="right"/>
              <w:rPr/>
            </w:pPr>
            <w:r>
              <w:rPr/>
              <w:t> </w:t>
            </w:r>
          </w:p>
        </w:tc>
      </w:tr>
      <w:tr>
        <w:trPr/>
        <w:tc>
          <w:tcPr>
            <w:tcW w:w="41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(25,987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(19,373</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17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Denominator: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417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Weighted average common shares outstanding</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33,000,238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32,806,880</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417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Less: weighted average unvested common stock</w:t>
              <w:br/>
              <w:t>   issued upon early exercise of common stock</w:t>
              <w:br/>
              <w:t>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(7,656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(67,270</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1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Weighted average shares used to compute net loss</w:t>
              <w:br/>
              <w:t>   per share, basic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32,992,582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32,739,610</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1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 per share, basic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(0.79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(0.59</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w:t>
      </w:r>
    </w:p>
    <w:p>
      <w:pPr>
        <w:pStyle w:val="HorizontalLine"/>
        <w:rPr/>
      </w:pPr>
      <w:r>
        <w:rPr/>
      </w:r>
    </w:p>
    <w:p>
      <w:pPr>
        <w:pStyle w:val="TextBody"/>
        <w:spacing w:lineRule="auto" w:line="273" w:before="40" w:after="0"/>
        <w:jc w:val="left"/>
        <w:rPr>
          <w:rFonts w:ascii="Times New Roman" w:hAnsi="Times New Roman"/>
          <w:sz w:val="20"/>
        </w:rPr>
      </w:pPr>
      <w:r>
        <w:rPr>
          <w:rFonts w:ascii="Times New Roman" w:hAnsi="Times New Roman"/>
          <w:b w:val="false"/>
          <w:sz w:val="20"/>
        </w:rPr>
        <w:t>The following table summarizes the outstanding potentially dilutive securities that have been excluded in the calculation of diluted net loss per share because their inclusion would be anti-dilutive:</w:t>
      </w:r>
      <w:r>
        <w:rPr>
          <w:rFonts w:ascii="Times New Roman" w:hAnsi="Times New Roman"/>
          <w:sz w:val="20"/>
        </w:rPr>
        <w:t xml:space="preserve"> </w:t>
      </w:r>
    </w:p>
    <w:p>
      <w:pPr>
        <w:pStyle w:val="TextBody"/>
        <w:spacing w:lineRule="auto" w:line="273" w:before="0" w:after="0"/>
        <w:jc w:val="left"/>
        <w:rPr/>
      </w:pPr>
      <w:r>
        <w:rPr/>
        <w:t> </w:t>
      </w:r>
    </w:p>
    <w:tbl>
      <w:tblPr>
        <w:tblW w:w="7959" w:type="dxa"/>
        <w:jc w:val="left"/>
        <w:tblInd w:w="0" w:type="dxa"/>
        <w:tblCellMar>
          <w:top w:w="28" w:type="dxa"/>
          <w:left w:w="28" w:type="dxa"/>
          <w:bottom w:w="28" w:type="dxa"/>
          <w:right w:w="28" w:type="dxa"/>
        </w:tblCellMar>
      </w:tblPr>
      <w:tblGrid>
        <w:gridCol w:w="5176"/>
        <w:gridCol w:w="146"/>
        <w:gridCol w:w="146"/>
        <w:gridCol w:w="931"/>
        <w:gridCol w:w="146"/>
        <w:gridCol w:w="146"/>
        <w:gridCol w:w="146"/>
        <w:gridCol w:w="931"/>
        <w:gridCol w:w="191"/>
      </w:tblGrid>
      <w:tr>
        <w:trPr/>
        <w:tc>
          <w:tcPr>
            <w:tcW w:w="51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517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As of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17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1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Common stock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5,070,367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4,185,431</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51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Restricted stock units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229,418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4,185,431</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51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Unvested common stock upon early exercise of common stock</w:t>
              <w:br/>
              <w:t>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5,257</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62,424</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17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5,305,042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8,433,286</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120" w:after="0"/>
        <w:jc w:val="left"/>
        <w:rPr/>
      </w:pPr>
      <w:r>
        <w:rPr/>
        <w:t> </w:t>
      </w:r>
    </w:p>
    <w:p>
      <w:pPr>
        <w:pStyle w:val="TextBody"/>
        <w:spacing w:lineRule="auto" w:line="273" w:before="160" w:after="0"/>
        <w:jc w:val="left"/>
        <w:rPr>
          <w:rFonts w:ascii="Times New Roman" w:hAnsi="Times New Roman"/>
          <w:sz w:val="20"/>
        </w:rPr>
      </w:pPr>
      <w:r>
        <w:rPr>
          <w:rFonts w:ascii="Times New Roman" w:hAnsi="Times New Roman"/>
          <w:b/>
          <w:sz w:val="20"/>
        </w:rPr>
        <w:t>4. Fair Value of Financial Instruments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following tables summarize the fair value of the Company’s financial instruments (in thousands):</w:t>
      </w:r>
      <w:r>
        <w:rPr>
          <w:rFonts w:ascii="Times New Roman" w:hAnsi="Times New Roman"/>
          <w:sz w:val="20"/>
        </w:rPr>
        <w:t xml:space="preserve"> </w:t>
      </w:r>
    </w:p>
    <w:p>
      <w:pPr>
        <w:pStyle w:val="TextBody"/>
        <w:spacing w:lineRule="auto" w:line="273" w:before="0" w:after="0"/>
        <w:jc w:val="left"/>
        <w:rPr/>
      </w:pPr>
      <w:r>
        <w:rPr/>
        <w:t> </w:t>
      </w:r>
    </w:p>
    <w:tbl>
      <w:tblPr>
        <w:tblW w:w="8554" w:type="dxa"/>
        <w:jc w:val="left"/>
        <w:tblInd w:w="0" w:type="dxa"/>
        <w:tblCellMar>
          <w:top w:w="28" w:type="dxa"/>
          <w:left w:w="28" w:type="dxa"/>
          <w:bottom w:w="28" w:type="dxa"/>
          <w:right w:w="28" w:type="dxa"/>
        </w:tblCellMar>
      </w:tblPr>
      <w:tblGrid>
        <w:gridCol w:w="2446"/>
        <w:gridCol w:w="146"/>
        <w:gridCol w:w="211"/>
        <w:gridCol w:w="781"/>
        <w:gridCol w:w="146"/>
        <w:gridCol w:w="146"/>
        <w:gridCol w:w="289"/>
        <w:gridCol w:w="926"/>
        <w:gridCol w:w="146"/>
        <w:gridCol w:w="146"/>
        <w:gridCol w:w="211"/>
        <w:gridCol w:w="781"/>
        <w:gridCol w:w="146"/>
        <w:gridCol w:w="146"/>
        <w:gridCol w:w="415"/>
        <w:gridCol w:w="681"/>
        <w:gridCol w:w="791"/>
      </w:tblGrid>
      <w:tr>
        <w:trPr/>
        <w:tc>
          <w:tcPr>
            <w:tcW w:w="24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r>
      <w:tr>
        <w:trPr/>
        <w:tc>
          <w:tcPr>
            <w:tcW w:w="24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92"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887"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Fair Value Measurements Using</w:t>
            </w:r>
          </w:p>
        </w:tc>
        <w:tc>
          <w:tcPr>
            <w:tcW w:w="7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4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March 31,</w:t>
              <w:b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1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Quoted Prices</w:t>
              <w:br/>
              <w:t>in Active</w:t>
              <w:br/>
              <w:t>Markets for</w:t>
              <w:br/>
              <w:t>Identical Assets</w:t>
              <w:b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Significant</w:t>
              <w:br/>
              <w:t>Other</w:t>
              <w:br/>
              <w:t>Observable</w:t>
              <w:br/>
              <w:t>Inputs</w:t>
              <w:b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Significant</w:t>
              <w:br/>
              <w:t>Unobservable</w:t>
              <w:br/>
              <w:t>Inputs</w:t>
              <w:br/>
              <w:t>(Level 3)</w:t>
            </w:r>
          </w:p>
        </w:tc>
        <w:tc>
          <w:tcPr>
            <w:tcW w:w="7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44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15"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6" w:type="dxa"/>
            <w:gridSpan w:val="2"/>
            <w:tcBorders/>
            <w:shd w:fill="auto" w:val="clear"/>
            <w:vAlign w:val="center"/>
          </w:tcPr>
          <w:p>
            <w:pPr>
              <w:pStyle w:val="TableContents"/>
              <w:spacing w:lineRule="auto" w:line="252" w:before="0" w:after="0"/>
              <w:ind w:left="0" w:right="0" w:hanging="0"/>
              <w:jc w:val="right"/>
              <w:rPr/>
            </w:pPr>
            <w:r>
              <w:rPr/>
              <w:t> </w:t>
            </w:r>
          </w:p>
        </w:tc>
        <w:tc>
          <w:tcPr>
            <w:tcW w:w="791" w:type="dxa"/>
            <w:tcBorders/>
            <w:shd w:fill="auto" w:val="clear"/>
            <w:vAlign w:val="center"/>
          </w:tcPr>
          <w:p>
            <w:pPr>
              <w:pStyle w:val="TableContents"/>
              <w:spacing w:lineRule="auto" w:line="252" w:before="0" w:after="0"/>
              <w:ind w:left="0" w:right="0" w:firstLine="200"/>
              <w:jc w:val="right"/>
              <w:rPr/>
            </w:pPr>
            <w:r>
              <w:rPr/>
              <w:t> </w:t>
            </w:r>
          </w:p>
        </w:tc>
      </w:tr>
      <w:tr>
        <w:trPr/>
        <w:tc>
          <w:tcPr>
            <w:tcW w:w="244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15"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6" w:type="dxa"/>
            <w:gridSpan w:val="2"/>
            <w:tcBorders/>
            <w:shd w:fill="auto" w:val="clear"/>
            <w:vAlign w:val="center"/>
          </w:tcPr>
          <w:p>
            <w:pPr>
              <w:pStyle w:val="TableContents"/>
              <w:spacing w:lineRule="auto" w:line="252" w:before="0" w:after="0"/>
              <w:ind w:left="0" w:right="0" w:hanging="0"/>
              <w:jc w:val="right"/>
              <w:rPr/>
            </w:pPr>
            <w:r>
              <w:rPr/>
              <w:t> </w:t>
            </w:r>
          </w:p>
        </w:tc>
        <w:tc>
          <w:tcPr>
            <w:tcW w:w="791" w:type="dxa"/>
            <w:tcBorders/>
            <w:shd w:fill="auto" w:val="clear"/>
            <w:vAlign w:val="center"/>
          </w:tcPr>
          <w:p>
            <w:pPr>
              <w:pStyle w:val="TableContents"/>
              <w:spacing w:lineRule="auto" w:line="252" w:before="0" w:after="0"/>
              <w:ind w:left="0" w:right="0" w:firstLine="400"/>
              <w:jc w:val="right"/>
              <w:rPr/>
            </w:pPr>
            <w:r>
              <w:rPr/>
              <w:t> </w:t>
            </w:r>
          </w:p>
        </w:tc>
      </w:tr>
      <w:tr>
        <w:trPr/>
        <w:tc>
          <w:tcPr>
            <w:tcW w:w="2446"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Money market funds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35,047</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35,047</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7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244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Short-term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15"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6" w:type="dxa"/>
            <w:gridSpan w:val="2"/>
            <w:tcBorders/>
            <w:shd w:fill="auto" w:val="clear"/>
            <w:vAlign w:val="center"/>
          </w:tcPr>
          <w:p>
            <w:pPr>
              <w:pStyle w:val="TableContents"/>
              <w:spacing w:lineRule="auto" w:line="252" w:before="0" w:after="0"/>
              <w:ind w:left="0" w:right="0" w:hanging="0"/>
              <w:jc w:val="right"/>
              <w:rPr/>
            </w:pPr>
            <w:r>
              <w:rPr/>
              <w:t> </w:t>
            </w:r>
          </w:p>
        </w:tc>
        <w:tc>
          <w:tcPr>
            <w:tcW w:w="791" w:type="dxa"/>
            <w:tcBorders/>
            <w:shd w:fill="auto" w:val="clear"/>
            <w:vAlign w:val="center"/>
          </w:tcPr>
          <w:p>
            <w:pPr>
              <w:pStyle w:val="TableContents"/>
              <w:spacing w:lineRule="auto" w:line="252" w:before="0" w:after="0"/>
              <w:ind w:left="0" w:right="0" w:firstLine="400"/>
              <w:jc w:val="right"/>
              <w:rPr/>
            </w:pPr>
            <w:r>
              <w:rPr/>
              <w:t> </w:t>
            </w:r>
          </w:p>
        </w:tc>
      </w:tr>
      <w:tr>
        <w:trPr/>
        <w:tc>
          <w:tcPr>
            <w:tcW w:w="2446"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Corporate debt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97,965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2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97,965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5" w:type="dxa"/>
            <w:tcBorders/>
            <w:shd w:fill="auto" w:val="clear"/>
            <w:vAlign w:val="center"/>
          </w:tcPr>
          <w:p>
            <w:pPr>
              <w:pStyle w:val="TableContents"/>
              <w:spacing w:lineRule="auto" w:line="252" w:before="0" w:after="0"/>
              <w:ind w:left="0" w:right="0" w:hanging="0"/>
              <w:jc w:val="left"/>
              <w:rPr/>
            </w:pPr>
            <w:r>
              <w:rPr/>
              <w:t> </w:t>
            </w:r>
          </w:p>
        </w:tc>
        <w:tc>
          <w:tcPr>
            <w:tcW w:w="681" w:type="dxa"/>
            <w:tcBorders/>
            <w:shd w:fill="auto" w:val="clear"/>
            <w:vAlign w:val="center"/>
          </w:tcPr>
          <w:p>
            <w:pPr>
              <w:pStyle w:val="TableContents"/>
              <w:spacing w:lineRule="auto" w:line="252" w:before="0" w:after="0"/>
              <w:ind w:left="0" w:right="0" w:hanging="0"/>
              <w:jc w:val="right"/>
              <w:rPr/>
            </w:pPr>
            <w:r>
              <w:rPr/>
              <w:t>—</w:t>
            </w:r>
          </w:p>
        </w:tc>
        <w:tc>
          <w:tcPr>
            <w:tcW w:w="791" w:type="dxa"/>
            <w:tcBorders/>
            <w:shd w:fill="auto" w:val="clear"/>
            <w:vAlign w:val="center"/>
          </w:tcPr>
          <w:p>
            <w:pPr>
              <w:pStyle w:val="TableContents"/>
              <w:spacing w:lineRule="auto" w:line="252" w:before="0" w:after="0"/>
              <w:ind w:left="0" w:right="0" w:firstLine="400"/>
              <w:jc w:val="left"/>
              <w:rPr/>
            </w:pPr>
            <w:r>
              <w:rPr/>
              <w:t> </w:t>
            </w:r>
          </w:p>
        </w:tc>
      </w:tr>
      <w:tr>
        <w:trPr/>
        <w:tc>
          <w:tcPr>
            <w:tcW w:w="2446"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Commercial paper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21,287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9" w:type="dxa"/>
            <w:tcBorders/>
            <w:shd w:fill="auto" w:val="clear"/>
            <w:vAlign w:val="center"/>
          </w:tcPr>
          <w:p>
            <w:pPr>
              <w:pStyle w:val="TableContents"/>
              <w:spacing w:lineRule="auto" w:line="252" w:before="0" w:after="0"/>
              <w:ind w:left="0" w:right="0" w:hanging="0"/>
              <w:jc w:val="left"/>
              <w:rPr/>
            </w:pPr>
            <w:r>
              <w:rPr/>
              <w:t> </w:t>
            </w:r>
          </w:p>
        </w:tc>
        <w:tc>
          <w:tcPr>
            <w:tcW w:w="92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21,287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5" w:type="dxa"/>
            <w:tcBorders/>
            <w:shd w:fill="auto" w:val="clear"/>
            <w:vAlign w:val="center"/>
          </w:tcPr>
          <w:p>
            <w:pPr>
              <w:pStyle w:val="TableContents"/>
              <w:spacing w:lineRule="auto" w:line="252" w:before="0" w:after="0"/>
              <w:ind w:left="0" w:right="0" w:hanging="0"/>
              <w:jc w:val="left"/>
              <w:rPr/>
            </w:pPr>
            <w:r>
              <w:rPr/>
              <w:t> </w:t>
            </w:r>
          </w:p>
        </w:tc>
        <w:tc>
          <w:tcPr>
            <w:tcW w:w="681" w:type="dxa"/>
            <w:tcBorders/>
            <w:shd w:fill="auto" w:val="clear"/>
            <w:vAlign w:val="center"/>
          </w:tcPr>
          <w:p>
            <w:pPr>
              <w:pStyle w:val="TableContents"/>
              <w:spacing w:lineRule="auto" w:line="252" w:before="0" w:after="0"/>
              <w:ind w:left="0" w:right="0" w:hanging="0"/>
              <w:jc w:val="right"/>
              <w:rPr/>
            </w:pPr>
            <w:r>
              <w:rPr/>
              <w:t>—</w:t>
            </w:r>
          </w:p>
        </w:tc>
        <w:tc>
          <w:tcPr>
            <w:tcW w:w="791" w:type="dxa"/>
            <w:tcBorders/>
            <w:shd w:fill="auto" w:val="clear"/>
            <w:vAlign w:val="center"/>
          </w:tcPr>
          <w:p>
            <w:pPr>
              <w:pStyle w:val="TableContents"/>
              <w:spacing w:lineRule="auto" w:line="252" w:before="0" w:after="0"/>
              <w:ind w:left="0" w:right="0" w:firstLine="400"/>
              <w:jc w:val="left"/>
              <w:rPr/>
            </w:pPr>
            <w:r>
              <w:rPr/>
              <w:t> </w:t>
            </w:r>
          </w:p>
        </w:tc>
      </w:tr>
      <w:tr>
        <w:trPr/>
        <w:tc>
          <w:tcPr>
            <w:tcW w:w="2446"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U.S. Government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56,094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56,094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7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600"/>
              <w:jc w:val="left"/>
              <w:rPr/>
            </w:pPr>
            <w:r>
              <w:rPr/>
              <w:t> </w:t>
            </w:r>
          </w:p>
        </w:tc>
      </w:tr>
      <w:tr>
        <w:trPr/>
        <w:tc>
          <w:tcPr>
            <w:tcW w:w="2446" w:type="dxa"/>
            <w:tcBorders/>
            <w:shd w:fill="auto" w:val="clear"/>
            <w:vAlign w:val="center"/>
          </w:tcPr>
          <w:p>
            <w:pPr>
              <w:pStyle w:val="TableContents"/>
              <w:spacing w:lineRule="auto" w:line="252" w:before="0" w:after="0"/>
              <w:ind w:left="600" w:right="0" w:hanging="0"/>
              <w:jc w:val="left"/>
              <w:rPr>
                <w:rFonts w:ascii="Times New Roman" w:hAnsi="Times New Roman"/>
                <w:b w:val="false"/>
                <w:sz w:val="20"/>
              </w:rPr>
            </w:pPr>
            <w:r>
              <w:rPr>
                <w:rFonts w:ascii="Times New Roman" w:hAnsi="Times New Roman"/>
                <w:b w:val="false"/>
                <w:sz w:val="20"/>
              </w:rPr>
              <w:t>Total short-term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175,346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175,346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7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244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210,393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2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35,047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175,346</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7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tbl>
      <w:tblPr>
        <w:tblW w:w="8657" w:type="dxa"/>
        <w:jc w:val="left"/>
        <w:tblInd w:w="0" w:type="dxa"/>
        <w:tblCellMar>
          <w:top w:w="28" w:type="dxa"/>
          <w:left w:w="28" w:type="dxa"/>
          <w:bottom w:w="28" w:type="dxa"/>
          <w:right w:w="28" w:type="dxa"/>
        </w:tblCellMar>
      </w:tblPr>
      <w:tblGrid>
        <w:gridCol w:w="2446"/>
        <w:gridCol w:w="146"/>
        <w:gridCol w:w="233"/>
        <w:gridCol w:w="862"/>
        <w:gridCol w:w="146"/>
        <w:gridCol w:w="146"/>
        <w:gridCol w:w="289"/>
        <w:gridCol w:w="926"/>
        <w:gridCol w:w="146"/>
        <w:gridCol w:w="146"/>
        <w:gridCol w:w="211"/>
        <w:gridCol w:w="781"/>
        <w:gridCol w:w="146"/>
        <w:gridCol w:w="146"/>
        <w:gridCol w:w="415"/>
        <w:gridCol w:w="681"/>
        <w:gridCol w:w="791"/>
      </w:tblGrid>
      <w:tr>
        <w:trPr/>
        <w:tc>
          <w:tcPr>
            <w:tcW w:w="24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r>
      <w:tr>
        <w:trPr/>
        <w:tc>
          <w:tcPr>
            <w:tcW w:w="24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95"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887"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Fair Value Measurements Using</w:t>
            </w:r>
          </w:p>
        </w:tc>
        <w:tc>
          <w:tcPr>
            <w:tcW w:w="7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4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w:t>
              <w:b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1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Quoted Prices</w:t>
              <w:br/>
              <w:t>in Active</w:t>
              <w:br/>
              <w:t>Markets for</w:t>
              <w:br/>
              <w:t>Identical Assets</w:t>
              <w:b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Significant</w:t>
              <w:br/>
              <w:t>Other</w:t>
              <w:br/>
              <w:t>Observable</w:t>
              <w:br/>
              <w:t>Inputs</w:t>
              <w:b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Significant</w:t>
              <w:br/>
              <w:t>Unobservable</w:t>
              <w:br/>
              <w:t>Inputs</w:t>
              <w:br/>
              <w:t>(Level 3)</w:t>
            </w:r>
          </w:p>
        </w:tc>
        <w:tc>
          <w:tcPr>
            <w:tcW w:w="7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44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15"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6" w:type="dxa"/>
            <w:gridSpan w:val="2"/>
            <w:tcBorders/>
            <w:shd w:fill="auto" w:val="clear"/>
            <w:vAlign w:val="center"/>
          </w:tcPr>
          <w:p>
            <w:pPr>
              <w:pStyle w:val="TableContents"/>
              <w:spacing w:lineRule="auto" w:line="252" w:before="0" w:after="0"/>
              <w:ind w:left="0" w:right="0" w:hanging="0"/>
              <w:jc w:val="right"/>
              <w:rPr/>
            </w:pPr>
            <w:r>
              <w:rPr/>
              <w:t> </w:t>
            </w:r>
          </w:p>
        </w:tc>
        <w:tc>
          <w:tcPr>
            <w:tcW w:w="791" w:type="dxa"/>
            <w:tcBorders/>
            <w:shd w:fill="auto" w:val="clear"/>
            <w:vAlign w:val="center"/>
          </w:tcPr>
          <w:p>
            <w:pPr>
              <w:pStyle w:val="TableContents"/>
              <w:spacing w:lineRule="auto" w:line="252" w:before="0" w:after="0"/>
              <w:ind w:left="0" w:right="0" w:firstLine="200"/>
              <w:jc w:val="right"/>
              <w:rPr/>
            </w:pPr>
            <w:r>
              <w:rPr/>
              <w:t> </w:t>
            </w:r>
          </w:p>
        </w:tc>
      </w:tr>
      <w:tr>
        <w:trPr/>
        <w:tc>
          <w:tcPr>
            <w:tcW w:w="244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15"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6" w:type="dxa"/>
            <w:gridSpan w:val="2"/>
            <w:tcBorders/>
            <w:shd w:fill="auto" w:val="clear"/>
            <w:vAlign w:val="center"/>
          </w:tcPr>
          <w:p>
            <w:pPr>
              <w:pStyle w:val="TableContents"/>
              <w:spacing w:lineRule="auto" w:line="252" w:before="0" w:after="0"/>
              <w:ind w:left="0" w:right="0" w:hanging="0"/>
              <w:jc w:val="right"/>
              <w:rPr/>
            </w:pPr>
            <w:r>
              <w:rPr/>
              <w:t> </w:t>
            </w:r>
          </w:p>
        </w:tc>
        <w:tc>
          <w:tcPr>
            <w:tcW w:w="791" w:type="dxa"/>
            <w:tcBorders/>
            <w:shd w:fill="auto" w:val="clear"/>
            <w:vAlign w:val="center"/>
          </w:tcPr>
          <w:p>
            <w:pPr>
              <w:pStyle w:val="TableContents"/>
              <w:spacing w:lineRule="auto" w:line="252" w:before="0" w:after="0"/>
              <w:ind w:left="0" w:right="0" w:firstLine="400"/>
              <w:jc w:val="right"/>
              <w:rPr/>
            </w:pPr>
            <w:r>
              <w:rPr/>
              <w:t> </w:t>
            </w:r>
          </w:p>
        </w:tc>
      </w:tr>
      <w:tr>
        <w:trPr/>
        <w:tc>
          <w:tcPr>
            <w:tcW w:w="2446"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Money market funds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6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57,018</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57,018</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7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244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Short-term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15"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6" w:type="dxa"/>
            <w:gridSpan w:val="2"/>
            <w:tcBorders/>
            <w:shd w:fill="auto" w:val="clear"/>
            <w:vAlign w:val="center"/>
          </w:tcPr>
          <w:p>
            <w:pPr>
              <w:pStyle w:val="TableContents"/>
              <w:spacing w:lineRule="auto" w:line="252" w:before="0" w:after="0"/>
              <w:ind w:left="0" w:right="0" w:hanging="0"/>
              <w:jc w:val="right"/>
              <w:rPr/>
            </w:pPr>
            <w:r>
              <w:rPr/>
              <w:t> </w:t>
            </w:r>
          </w:p>
        </w:tc>
        <w:tc>
          <w:tcPr>
            <w:tcW w:w="791" w:type="dxa"/>
            <w:tcBorders/>
            <w:shd w:fill="auto" w:val="clear"/>
            <w:vAlign w:val="center"/>
          </w:tcPr>
          <w:p>
            <w:pPr>
              <w:pStyle w:val="TableContents"/>
              <w:spacing w:lineRule="auto" w:line="252" w:before="0" w:after="0"/>
              <w:ind w:left="0" w:right="0" w:firstLine="400"/>
              <w:jc w:val="right"/>
              <w:rPr/>
            </w:pPr>
            <w:r>
              <w:rPr/>
              <w:t> </w:t>
            </w:r>
          </w:p>
        </w:tc>
      </w:tr>
      <w:tr>
        <w:trPr/>
        <w:tc>
          <w:tcPr>
            <w:tcW w:w="2446"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Corporate debt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6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111,466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2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111,466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5" w:type="dxa"/>
            <w:tcBorders/>
            <w:shd w:fill="auto" w:val="clear"/>
            <w:vAlign w:val="center"/>
          </w:tcPr>
          <w:p>
            <w:pPr>
              <w:pStyle w:val="TableContents"/>
              <w:spacing w:lineRule="auto" w:line="252" w:before="0" w:after="0"/>
              <w:ind w:left="0" w:right="0" w:hanging="0"/>
              <w:jc w:val="left"/>
              <w:rPr/>
            </w:pPr>
            <w:r>
              <w:rPr/>
              <w:t> </w:t>
            </w:r>
          </w:p>
        </w:tc>
        <w:tc>
          <w:tcPr>
            <w:tcW w:w="681" w:type="dxa"/>
            <w:tcBorders/>
            <w:shd w:fill="auto" w:val="clear"/>
            <w:vAlign w:val="center"/>
          </w:tcPr>
          <w:p>
            <w:pPr>
              <w:pStyle w:val="TableContents"/>
              <w:spacing w:lineRule="auto" w:line="252" w:before="0" w:after="0"/>
              <w:ind w:left="0" w:right="0" w:hanging="0"/>
              <w:jc w:val="right"/>
              <w:rPr/>
            </w:pPr>
            <w:r>
              <w:rPr/>
              <w:t>—</w:t>
            </w:r>
          </w:p>
        </w:tc>
        <w:tc>
          <w:tcPr>
            <w:tcW w:w="791" w:type="dxa"/>
            <w:tcBorders/>
            <w:shd w:fill="auto" w:val="clear"/>
            <w:vAlign w:val="center"/>
          </w:tcPr>
          <w:p>
            <w:pPr>
              <w:pStyle w:val="TableContents"/>
              <w:spacing w:lineRule="auto" w:line="252" w:before="0" w:after="0"/>
              <w:ind w:left="0" w:right="0" w:firstLine="400"/>
              <w:jc w:val="left"/>
              <w:rPr/>
            </w:pPr>
            <w:r>
              <w:rPr/>
              <w:t> </w:t>
            </w:r>
          </w:p>
        </w:tc>
      </w:tr>
      <w:tr>
        <w:trPr/>
        <w:tc>
          <w:tcPr>
            <w:tcW w:w="2446"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Commercial paper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6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21,272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9" w:type="dxa"/>
            <w:tcBorders/>
            <w:shd w:fill="auto" w:val="clear"/>
            <w:vAlign w:val="center"/>
          </w:tcPr>
          <w:p>
            <w:pPr>
              <w:pStyle w:val="TableContents"/>
              <w:spacing w:lineRule="auto" w:line="252" w:before="0" w:after="0"/>
              <w:ind w:left="0" w:right="0" w:hanging="0"/>
              <w:jc w:val="left"/>
              <w:rPr/>
            </w:pPr>
            <w:r>
              <w:rPr/>
              <w:t> </w:t>
            </w:r>
          </w:p>
        </w:tc>
        <w:tc>
          <w:tcPr>
            <w:tcW w:w="92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21,272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5" w:type="dxa"/>
            <w:tcBorders/>
            <w:shd w:fill="auto" w:val="clear"/>
            <w:vAlign w:val="center"/>
          </w:tcPr>
          <w:p>
            <w:pPr>
              <w:pStyle w:val="TableContents"/>
              <w:spacing w:lineRule="auto" w:line="252" w:before="0" w:after="0"/>
              <w:ind w:left="0" w:right="0" w:hanging="0"/>
              <w:jc w:val="left"/>
              <w:rPr/>
            </w:pPr>
            <w:r>
              <w:rPr/>
              <w:t> </w:t>
            </w:r>
          </w:p>
        </w:tc>
        <w:tc>
          <w:tcPr>
            <w:tcW w:w="681" w:type="dxa"/>
            <w:tcBorders/>
            <w:shd w:fill="auto" w:val="clear"/>
            <w:vAlign w:val="center"/>
          </w:tcPr>
          <w:p>
            <w:pPr>
              <w:pStyle w:val="TableContents"/>
              <w:spacing w:lineRule="auto" w:line="252" w:before="0" w:after="0"/>
              <w:ind w:left="0" w:right="0" w:hanging="0"/>
              <w:jc w:val="right"/>
              <w:rPr/>
            </w:pPr>
            <w:r>
              <w:rPr/>
              <w:t>—</w:t>
            </w:r>
          </w:p>
        </w:tc>
        <w:tc>
          <w:tcPr>
            <w:tcW w:w="791" w:type="dxa"/>
            <w:tcBorders/>
            <w:shd w:fill="auto" w:val="clear"/>
            <w:vAlign w:val="center"/>
          </w:tcPr>
          <w:p>
            <w:pPr>
              <w:pStyle w:val="TableContents"/>
              <w:spacing w:lineRule="auto" w:line="252" w:before="0" w:after="0"/>
              <w:ind w:left="0" w:right="0" w:firstLine="400"/>
              <w:jc w:val="left"/>
              <w:rPr/>
            </w:pPr>
            <w:r>
              <w:rPr/>
              <w:t> </w:t>
            </w:r>
          </w:p>
        </w:tc>
      </w:tr>
      <w:tr>
        <w:trPr/>
        <w:tc>
          <w:tcPr>
            <w:tcW w:w="2446"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U.S. Government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44,534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44,534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7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600"/>
              <w:jc w:val="left"/>
              <w:rPr/>
            </w:pPr>
            <w:r>
              <w:rPr/>
              <w:t> </w:t>
            </w:r>
          </w:p>
        </w:tc>
      </w:tr>
      <w:tr>
        <w:trPr/>
        <w:tc>
          <w:tcPr>
            <w:tcW w:w="2446" w:type="dxa"/>
            <w:tcBorders/>
            <w:shd w:fill="auto" w:val="clear"/>
            <w:vAlign w:val="center"/>
          </w:tcPr>
          <w:p>
            <w:pPr>
              <w:pStyle w:val="TableContents"/>
              <w:spacing w:lineRule="auto" w:line="252" w:before="0" w:after="0"/>
              <w:ind w:left="600" w:right="0" w:hanging="0"/>
              <w:jc w:val="left"/>
              <w:rPr>
                <w:rFonts w:ascii="Times New Roman" w:hAnsi="Times New Roman"/>
                <w:b w:val="false"/>
                <w:sz w:val="20"/>
              </w:rPr>
            </w:pPr>
            <w:r>
              <w:rPr>
                <w:rFonts w:ascii="Times New Roman" w:hAnsi="Times New Roman"/>
                <w:b w:val="false"/>
                <w:sz w:val="20"/>
              </w:rPr>
              <w:t>Total short-term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177,272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177,272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7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244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6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234,290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2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57,018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177,272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7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360" w:after="0"/>
        <w:jc w:val="left"/>
        <w:rPr>
          <w:rFonts w:ascii="Times New Roman" w:hAnsi="Times New Roman"/>
          <w:sz w:val="20"/>
        </w:rPr>
      </w:pPr>
      <w:r>
        <w:rPr>
          <w:rFonts w:ascii="Times New Roman" w:hAnsi="Times New Roman"/>
          <w:b/>
          <w:i/>
          <w:sz w:val="20"/>
        </w:rPr>
        <w:t>Cash Equivalents and Short-Term Investments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Financial assets measured at fair value on a recurring basis consist of the Company’s cash equivalents and short-term investments. Cash equivalents consisted of money market funds and short-term investments consisted of commercial paper, U.S. Government securities and corporate bonds. The Company obtains pricing information from its investment manager and generally determines the fair value of investment securities using standard observable inputs, including reported trades, broker/dealer quotes, and bids and/or offers.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Investments are classified as Level 1 within the fair value hierarchy if their quoted prices are available in active markets for identical securities. Investments in money market funds of $35.0</w:t>
      </w:r>
      <w:r>
        <w:rPr>
          <w:rFonts w:ascii="Times New Roman" w:hAnsi="Times New Roman"/>
          <w:sz w:val="20"/>
        </w:rPr>
        <w:t xml:space="preserve"> </w:t>
      </w:r>
      <w:r>
        <w:rPr>
          <w:rFonts w:ascii="Times New Roman" w:hAnsi="Times New Roman"/>
          <w:b w:val="false"/>
          <w:sz w:val="20"/>
        </w:rPr>
        <w:t>million and $57.0</w:t>
      </w:r>
      <w:r>
        <w:rPr>
          <w:rFonts w:ascii="Times New Roman" w:hAnsi="Times New Roman"/>
          <w:sz w:val="20"/>
        </w:rPr>
        <w:t xml:space="preserve"> </w:t>
      </w:r>
      <w:r>
        <w:rPr>
          <w:rFonts w:ascii="Times New Roman" w:hAnsi="Times New Roman"/>
          <w:b w:val="false"/>
          <w:sz w:val="20"/>
        </w:rPr>
        <w:t>million as of March 31, 2022 and December 31, 2021, respectively, were classified as Level 1 instruments and were included in cash and cash equivalents.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w:t>
      </w:r>
    </w:p>
    <w:p>
      <w:pPr>
        <w:pStyle w:val="HorizontalLine"/>
        <w:rPr/>
      </w:pPr>
      <w:r>
        <w:rPr/>
      </w:r>
    </w:p>
    <w:p>
      <w:pPr>
        <w:pStyle w:val="TextBody"/>
        <w:spacing w:lineRule="auto" w:line="273" w:before="240" w:after="0"/>
        <w:jc w:val="left"/>
        <w:rPr>
          <w:rFonts w:ascii="Times New Roman" w:hAnsi="Times New Roman"/>
          <w:sz w:val="20"/>
        </w:rPr>
      </w:pPr>
      <w:r>
        <w:rPr>
          <w:rFonts w:ascii="Times New Roman" w:hAnsi="Times New Roman"/>
          <w:b w:val="false"/>
          <w:sz w:val="20"/>
        </w:rPr>
        <w:t>Investments in marketable securities are valued using Level 2 inputs. Level 2 securities are initially valued at the transaction price and subsequently valued and reported upon utilizing inputs other than quoted prices that are observable either directly or indirectly, such as quotes from third-party pricing vendors. Fair values determined by Level 2 inputs, which utilize data points that are observable such as quoted prices, interest rates and yield curves, require the exercise of judgment and use of estimates, that if changed, could significantly affect the Company’s financial position and results of operations. The marketable securities of $175.3</w:t>
      </w:r>
      <w:r>
        <w:rPr>
          <w:rFonts w:ascii="Times New Roman" w:hAnsi="Times New Roman"/>
          <w:sz w:val="20"/>
        </w:rPr>
        <w:t xml:space="preserve"> </w:t>
      </w:r>
      <w:r>
        <w:rPr>
          <w:rFonts w:ascii="Times New Roman" w:hAnsi="Times New Roman"/>
          <w:b w:val="false"/>
          <w:sz w:val="20"/>
        </w:rPr>
        <w:t>million and $177.3</w:t>
      </w:r>
      <w:r>
        <w:rPr>
          <w:rFonts w:ascii="Times New Roman" w:hAnsi="Times New Roman"/>
          <w:sz w:val="20"/>
        </w:rPr>
        <w:t xml:space="preserve"> </w:t>
      </w:r>
      <w:r>
        <w:rPr>
          <w:rFonts w:ascii="Times New Roman" w:hAnsi="Times New Roman"/>
          <w:b w:val="false"/>
          <w:sz w:val="20"/>
        </w:rPr>
        <w:t>million as of March 31, 2022 and December 31, 2021, respectively, were classified as Level 2 instruments and were included in short-term investments. Accrued interest receivable related to short-term investments was $1.0</w:t>
      </w:r>
      <w:r>
        <w:rPr>
          <w:rFonts w:ascii="Times New Roman" w:hAnsi="Times New Roman"/>
          <w:sz w:val="20"/>
        </w:rPr>
        <w:t xml:space="preserve"> </w:t>
      </w:r>
      <w:r>
        <w:rPr>
          <w:rFonts w:ascii="Times New Roman" w:hAnsi="Times New Roman"/>
          <w:b w:val="false"/>
          <w:sz w:val="20"/>
        </w:rPr>
        <w:t>million as of both March 31, 2022 and December 31, 2021 and included as part of prepaid expenses and other current assets in the condensed balance sheets.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following tables summarize the Company’s short-term investments accounted for as available-for-sale securities as of March 31, 2022 and December 31, 2021 (in thousands):</w:t>
      </w:r>
    </w:p>
    <w:p>
      <w:pPr>
        <w:pStyle w:val="TextBody"/>
        <w:spacing w:lineRule="auto" w:line="273" w:before="0" w:after="0"/>
        <w:jc w:val="left"/>
        <w:rPr/>
      </w:pPr>
      <w:r>
        <w:rPr/>
        <w:t> </w:t>
      </w:r>
    </w:p>
    <w:tbl>
      <w:tblPr>
        <w:tblW w:w="8802" w:type="dxa"/>
        <w:jc w:val="left"/>
        <w:tblInd w:w="0" w:type="dxa"/>
        <w:tblCellMar>
          <w:top w:w="28" w:type="dxa"/>
          <w:left w:w="28" w:type="dxa"/>
          <w:bottom w:w="28" w:type="dxa"/>
          <w:right w:w="28" w:type="dxa"/>
        </w:tblCellMar>
      </w:tblPr>
      <w:tblGrid>
        <w:gridCol w:w="2311"/>
        <w:gridCol w:w="146"/>
        <w:gridCol w:w="1156"/>
        <w:gridCol w:w="146"/>
        <w:gridCol w:w="211"/>
        <w:gridCol w:w="781"/>
        <w:gridCol w:w="146"/>
        <w:gridCol w:w="146"/>
        <w:gridCol w:w="270"/>
        <w:gridCol w:w="616"/>
        <w:gridCol w:w="166"/>
        <w:gridCol w:w="146"/>
        <w:gridCol w:w="335"/>
        <w:gridCol w:w="551"/>
        <w:gridCol w:w="146"/>
        <w:gridCol w:w="146"/>
        <w:gridCol w:w="211"/>
        <w:gridCol w:w="781"/>
        <w:gridCol w:w="391"/>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52" w:type="dxa"/>
            <w:gridSpan w:val="14"/>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March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3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Maturity</w:t>
              <w:br/>
              <w:t>(in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Amortized</w:t>
              <w:b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Unrealized</w:t>
              <w:br/>
              <w:t>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Unrealized</w:t>
              <w:br/>
              <w:t>Gains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Estimated</w:t>
              <w:br/>
              <w:t>Fair 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Corporate debt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6" w:type="dxa"/>
            <w:tcBorders/>
            <w:shd w:fill="auto" w:val="clear"/>
            <w:vAlign w:val="center"/>
          </w:tcPr>
          <w:p>
            <w:pPr>
              <w:pStyle w:val="TableContents"/>
              <w:spacing w:lineRule="auto" w:line="252" w:before="0" w:after="0"/>
              <w:ind w:left="0" w:right="0" w:hanging="0"/>
              <w:jc w:val="center"/>
              <w:rPr>
                <w:rFonts w:ascii="Times New Roman" w:hAnsi="Times New Roman"/>
                <w:sz w:val="20"/>
              </w:rPr>
            </w:pPr>
            <w:r>
              <w:rPr>
                <w:rFonts w:ascii="Times New Roman" w:hAnsi="Times New Roman"/>
                <w:b w:val="false"/>
                <w:sz w:val="20"/>
              </w:rPr>
              <w:t>1 year</w:t>
            </w:r>
            <w:r>
              <w:rPr>
                <w:rFonts w:ascii="Times New Roman" w:hAnsi="Times New Roman"/>
                <w:sz w:val="20"/>
              </w:rPr>
              <w:t> </w:t>
            </w:r>
            <w:r>
              <w:rPr>
                <w:rFonts w:ascii="Times New Roman" w:hAnsi="Times New Roman"/>
                <w:b w:val="false"/>
                <w:sz w:val="20"/>
              </w:rPr>
              <w:t>or less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98,273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1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(312</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5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97,965</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Commercial paper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6" w:type="dxa"/>
            <w:tcBorders/>
            <w:shd w:fill="auto" w:val="clear"/>
            <w:vAlign w:val="center"/>
          </w:tcPr>
          <w:p>
            <w:pPr>
              <w:pStyle w:val="TableContents"/>
              <w:spacing w:lineRule="auto" w:line="252" w:before="0" w:after="0"/>
              <w:ind w:left="0" w:right="0" w:hanging="0"/>
              <w:jc w:val="center"/>
              <w:rPr>
                <w:rFonts w:ascii="Times New Roman" w:hAnsi="Times New Roman"/>
                <w:sz w:val="20"/>
              </w:rPr>
            </w:pPr>
            <w:r>
              <w:rPr>
                <w:rFonts w:ascii="Times New Roman" w:hAnsi="Times New Roman"/>
                <w:b w:val="false"/>
                <w:sz w:val="20"/>
              </w:rPr>
              <w:t>1 year</w:t>
            </w:r>
            <w:r>
              <w:rPr>
                <w:rFonts w:ascii="Times New Roman" w:hAnsi="Times New Roman"/>
                <w:sz w:val="20"/>
              </w:rPr>
              <w:t> </w:t>
            </w:r>
            <w:r>
              <w:rPr>
                <w:rFonts w:ascii="Times New Roman" w:hAnsi="Times New Roman"/>
                <w:b w:val="false"/>
                <w:sz w:val="20"/>
              </w:rPr>
              <w:t>or less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21,287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0" w:type="dxa"/>
            <w:tcBorders/>
            <w:shd w:fill="auto" w:val="clear"/>
            <w:vAlign w:val="center"/>
          </w:tcPr>
          <w:p>
            <w:pPr>
              <w:pStyle w:val="TableContents"/>
              <w:spacing w:lineRule="auto" w:line="252" w:before="0" w:after="0"/>
              <w:ind w:left="0" w:right="0" w:hanging="0"/>
              <w:jc w:val="left"/>
              <w:rPr/>
            </w:pPr>
            <w:r>
              <w:rPr/>
              <w:t> </w:t>
            </w:r>
          </w:p>
        </w:tc>
        <w:tc>
          <w:tcPr>
            <w:tcW w:w="616"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5" w:type="dxa"/>
            <w:tcBorders/>
            <w:shd w:fill="auto" w:val="clear"/>
            <w:vAlign w:val="center"/>
          </w:tcPr>
          <w:p>
            <w:pPr>
              <w:pStyle w:val="TableContents"/>
              <w:spacing w:lineRule="auto" w:line="252" w:before="0" w:after="0"/>
              <w:ind w:left="0" w:right="0" w:hanging="0"/>
              <w:jc w:val="left"/>
              <w:rPr/>
            </w:pPr>
            <w:r>
              <w:rPr/>
              <w:t> </w:t>
            </w:r>
          </w:p>
        </w:tc>
        <w:tc>
          <w:tcPr>
            <w:tcW w:w="55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21,287</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U.S. Government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6" w:type="dxa"/>
            <w:tcBorders/>
            <w:shd w:fill="auto" w:val="clear"/>
            <w:vAlign w:val="center"/>
          </w:tcPr>
          <w:p>
            <w:pPr>
              <w:pStyle w:val="TableContents"/>
              <w:spacing w:lineRule="auto" w:line="252" w:before="0" w:after="0"/>
              <w:ind w:left="0" w:right="0" w:hanging="0"/>
              <w:jc w:val="center"/>
              <w:rPr>
                <w:rFonts w:ascii="Times New Roman" w:hAnsi="Times New Roman"/>
                <w:sz w:val="20"/>
              </w:rPr>
            </w:pPr>
            <w:r>
              <w:rPr>
                <w:rFonts w:ascii="Times New Roman" w:hAnsi="Times New Roman"/>
                <w:b w:val="false"/>
                <w:sz w:val="20"/>
              </w:rPr>
              <w:t>1 year</w:t>
            </w:r>
            <w:r>
              <w:rPr>
                <w:rFonts w:ascii="Times New Roman" w:hAnsi="Times New Roman"/>
                <w:sz w:val="20"/>
              </w:rPr>
              <w:t> </w:t>
            </w:r>
            <w:r>
              <w:rPr>
                <w:rFonts w:ascii="Times New Roman" w:hAnsi="Times New Roman"/>
                <w:b w:val="false"/>
                <w:sz w:val="20"/>
              </w:rPr>
              <w:t>or less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56,392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56,094</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231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175,952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(610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175,346</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tbl>
      <w:tblPr>
        <w:tblW w:w="8802" w:type="dxa"/>
        <w:jc w:val="left"/>
        <w:tblInd w:w="0" w:type="dxa"/>
        <w:tblCellMar>
          <w:top w:w="28" w:type="dxa"/>
          <w:left w:w="28" w:type="dxa"/>
          <w:bottom w:w="28" w:type="dxa"/>
          <w:right w:w="28" w:type="dxa"/>
        </w:tblCellMar>
      </w:tblPr>
      <w:tblGrid>
        <w:gridCol w:w="2311"/>
        <w:gridCol w:w="146"/>
        <w:gridCol w:w="1156"/>
        <w:gridCol w:w="146"/>
        <w:gridCol w:w="211"/>
        <w:gridCol w:w="781"/>
        <w:gridCol w:w="146"/>
        <w:gridCol w:w="146"/>
        <w:gridCol w:w="270"/>
        <w:gridCol w:w="616"/>
        <w:gridCol w:w="166"/>
        <w:gridCol w:w="146"/>
        <w:gridCol w:w="335"/>
        <w:gridCol w:w="551"/>
        <w:gridCol w:w="146"/>
        <w:gridCol w:w="146"/>
        <w:gridCol w:w="211"/>
        <w:gridCol w:w="781"/>
        <w:gridCol w:w="391"/>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52" w:type="dxa"/>
            <w:gridSpan w:val="14"/>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 2021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Maturity</w:t>
              <w:br/>
              <w:t>(in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Amortized</w:t>
              <w:b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Unrealized</w:t>
              <w:br/>
              <w:t>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Unrealized</w:t>
              <w:br/>
              <w:t>Gains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Estimated</w:t>
              <w:br/>
              <w:t>Fair 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Corporate debt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6" w:type="dxa"/>
            <w:tcBorders/>
            <w:shd w:fill="auto" w:val="clear"/>
            <w:vAlign w:val="center"/>
          </w:tcPr>
          <w:p>
            <w:pPr>
              <w:pStyle w:val="TableContents"/>
              <w:spacing w:lineRule="auto" w:line="252" w:before="0" w:after="0"/>
              <w:ind w:left="0" w:right="0" w:hanging="0"/>
              <w:jc w:val="center"/>
              <w:rPr>
                <w:rFonts w:ascii="Times New Roman" w:hAnsi="Times New Roman"/>
                <w:sz w:val="20"/>
              </w:rPr>
            </w:pPr>
            <w:r>
              <w:rPr>
                <w:rFonts w:ascii="Times New Roman" w:hAnsi="Times New Roman"/>
                <w:b w:val="false"/>
                <w:sz w:val="20"/>
              </w:rPr>
              <w:t>1 year</w:t>
            </w:r>
            <w:r>
              <w:rPr>
                <w:rFonts w:ascii="Times New Roman" w:hAnsi="Times New Roman"/>
                <w:sz w:val="20"/>
              </w:rPr>
              <w:t> </w:t>
            </w:r>
            <w:r>
              <w:rPr>
                <w:rFonts w:ascii="Times New Roman" w:hAnsi="Times New Roman"/>
                <w:b w:val="false"/>
                <w:sz w:val="20"/>
              </w:rPr>
              <w:t>or less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111,548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1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3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5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111,466</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Commercial paper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6" w:type="dxa"/>
            <w:tcBorders/>
            <w:shd w:fill="auto" w:val="clear"/>
            <w:vAlign w:val="center"/>
          </w:tcPr>
          <w:p>
            <w:pPr>
              <w:pStyle w:val="TableContents"/>
              <w:spacing w:lineRule="auto" w:line="252" w:before="0" w:after="0"/>
              <w:ind w:left="0" w:right="0" w:hanging="0"/>
              <w:jc w:val="center"/>
              <w:rPr>
                <w:rFonts w:ascii="Times New Roman" w:hAnsi="Times New Roman"/>
                <w:sz w:val="20"/>
              </w:rPr>
            </w:pPr>
            <w:r>
              <w:rPr>
                <w:rFonts w:ascii="Times New Roman" w:hAnsi="Times New Roman"/>
                <w:b w:val="false"/>
                <w:sz w:val="20"/>
              </w:rPr>
              <w:t>1 year</w:t>
            </w:r>
            <w:r>
              <w:rPr>
                <w:rFonts w:ascii="Times New Roman" w:hAnsi="Times New Roman"/>
                <w:sz w:val="20"/>
              </w:rPr>
              <w:t> </w:t>
            </w:r>
            <w:r>
              <w:rPr>
                <w:rFonts w:ascii="Times New Roman" w:hAnsi="Times New Roman"/>
                <w:b w:val="false"/>
                <w:sz w:val="20"/>
              </w:rPr>
              <w:t>or less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21,272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0" w:type="dxa"/>
            <w:tcBorders/>
            <w:shd w:fill="auto" w:val="clear"/>
            <w:vAlign w:val="center"/>
          </w:tcPr>
          <w:p>
            <w:pPr>
              <w:pStyle w:val="TableContents"/>
              <w:spacing w:lineRule="auto" w:line="252" w:before="0" w:after="0"/>
              <w:ind w:left="0" w:right="0" w:hanging="0"/>
              <w:jc w:val="left"/>
              <w:rPr/>
            </w:pPr>
            <w:r>
              <w:rPr/>
              <w:t> </w:t>
            </w:r>
          </w:p>
        </w:tc>
        <w:tc>
          <w:tcPr>
            <w:tcW w:w="616"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5" w:type="dxa"/>
            <w:tcBorders/>
            <w:shd w:fill="auto" w:val="clear"/>
            <w:vAlign w:val="center"/>
          </w:tcPr>
          <w:p>
            <w:pPr>
              <w:pStyle w:val="TableContents"/>
              <w:spacing w:lineRule="auto" w:line="252" w:before="0" w:after="0"/>
              <w:ind w:left="0" w:right="0" w:hanging="0"/>
              <w:jc w:val="left"/>
              <w:rPr/>
            </w:pPr>
            <w:r>
              <w:rPr/>
              <w:t> </w:t>
            </w:r>
          </w:p>
        </w:tc>
        <w:tc>
          <w:tcPr>
            <w:tcW w:w="55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21,272</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U.S. Government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6" w:type="dxa"/>
            <w:tcBorders/>
            <w:shd w:fill="auto" w:val="clear"/>
            <w:vAlign w:val="center"/>
          </w:tcPr>
          <w:p>
            <w:pPr>
              <w:pStyle w:val="TableContents"/>
              <w:spacing w:lineRule="auto" w:line="252" w:before="0" w:after="0"/>
              <w:ind w:left="0" w:right="0" w:hanging="0"/>
              <w:jc w:val="center"/>
              <w:rPr>
                <w:rFonts w:ascii="Times New Roman" w:hAnsi="Times New Roman"/>
                <w:sz w:val="20"/>
              </w:rPr>
            </w:pPr>
            <w:r>
              <w:rPr>
                <w:rFonts w:ascii="Times New Roman" w:hAnsi="Times New Roman"/>
                <w:b w:val="false"/>
                <w:sz w:val="20"/>
              </w:rPr>
              <w:t>1 year</w:t>
            </w:r>
            <w:r>
              <w:rPr>
                <w:rFonts w:ascii="Times New Roman" w:hAnsi="Times New Roman"/>
                <w:sz w:val="20"/>
              </w:rPr>
              <w:t> </w:t>
            </w:r>
            <w:r>
              <w:rPr>
                <w:rFonts w:ascii="Times New Roman" w:hAnsi="Times New Roman"/>
                <w:b w:val="false"/>
                <w:sz w:val="20"/>
              </w:rPr>
              <w:t>or less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44,602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1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(68</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5" w:type="dxa"/>
            <w:tcBorders/>
            <w:shd w:fill="auto" w:val="clear"/>
            <w:vAlign w:val="center"/>
          </w:tcPr>
          <w:p>
            <w:pPr>
              <w:pStyle w:val="TableContents"/>
              <w:spacing w:lineRule="auto" w:line="252" w:before="0" w:after="0"/>
              <w:ind w:left="0" w:right="0" w:hanging="0"/>
              <w:jc w:val="left"/>
              <w:rPr/>
            </w:pPr>
            <w:r>
              <w:rPr/>
              <w:t> </w:t>
            </w:r>
          </w:p>
        </w:tc>
        <w:tc>
          <w:tcPr>
            <w:tcW w:w="55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44,534</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231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177,422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177,272</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40" w:after="0"/>
        <w:jc w:val="left"/>
        <w:rPr>
          <w:rFonts w:ascii="Times New Roman" w:hAnsi="Times New Roman"/>
          <w:sz w:val="20"/>
        </w:rPr>
      </w:pPr>
      <w:r>
        <w:rPr>
          <w:rFonts w:ascii="Times New Roman" w:hAnsi="Times New Roman"/>
          <w:b w:val="false"/>
          <w:sz w:val="20"/>
        </w:rPr>
        <w:t>The Company has classified all of its available-for-sale investment securities as current assets on the condensed balance sheets based on the highly liquid nature of these investment securities and because these investment securities are considered available for use in current operations.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Company considers whether unrealized losses have resulted from a credit loss or other factors. The unrealized losses on the Company’s available-for-sale securities as of March 31, 2022</w:t>
      </w:r>
      <w:r>
        <w:rPr>
          <w:rFonts w:ascii="Times New Roman" w:hAnsi="Times New Roman"/>
          <w:sz w:val="20"/>
        </w:rPr>
        <w:t xml:space="preserve"> </w:t>
      </w:r>
      <w:r>
        <w:rPr>
          <w:rFonts w:ascii="Times New Roman" w:hAnsi="Times New Roman"/>
          <w:b w:val="false"/>
          <w:sz w:val="20"/>
        </w:rPr>
        <w:t>and December 31, 2021 were caused by fluctuations in market value and interest rates as a result of the economic environment and not credit risk. The Company concluded that an allowance for credit losses was unnecessary as of March 31, 2022</w:t>
      </w:r>
      <w:r>
        <w:rPr>
          <w:rFonts w:ascii="Times New Roman" w:hAnsi="Times New Roman"/>
          <w:sz w:val="20"/>
        </w:rPr>
        <w:t xml:space="preserve"> </w:t>
      </w:r>
      <w:r>
        <w:rPr>
          <w:rFonts w:ascii="Times New Roman" w:hAnsi="Times New Roman"/>
          <w:b w:val="false"/>
          <w:sz w:val="20"/>
        </w:rPr>
        <w:t>and that there were no</w:t>
      </w:r>
      <w:r>
        <w:rPr>
          <w:rFonts w:ascii="Times New Roman" w:hAnsi="Times New Roman"/>
          <w:sz w:val="20"/>
        </w:rPr>
        <w:t xml:space="preserve"> </w:t>
      </w:r>
      <w:r>
        <w:rPr>
          <w:rFonts w:ascii="Times New Roman" w:hAnsi="Times New Roman"/>
          <w:b w:val="false"/>
          <w:sz w:val="20"/>
        </w:rPr>
        <w:t>impairments as of December 31, 2021. It is neither management’s intention to sell nor is it more likely than not that the Company will be required to sell these investments prior to recovery of their cost basis or recovery of fair value. Unrealized gains and losses are included in accumulated other comprehensive loss.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There was no</w:t>
      </w:r>
      <w:r>
        <w:rPr>
          <w:rFonts w:ascii="Times New Roman" w:hAnsi="Times New Roman"/>
          <w:sz w:val="20"/>
        </w:rPr>
        <w:t xml:space="preserve"> </w:t>
      </w:r>
      <w:r>
        <w:rPr>
          <w:rFonts w:ascii="Times New Roman" w:hAnsi="Times New Roman"/>
          <w:b w:val="false"/>
          <w:sz w:val="20"/>
        </w:rPr>
        <w:t>realized gain or loss on available-for-sale securities in the periods presented. The Company uses the specific identification method to determine the cost basis of investments sold.</w:t>
      </w:r>
    </w:p>
    <w:p>
      <w:pPr>
        <w:pStyle w:val="TextBody"/>
        <w:spacing w:lineRule="auto" w:line="273" w:before="160" w:after="0"/>
        <w:jc w:val="left"/>
        <w:rPr>
          <w:rFonts w:ascii="Times New Roman" w:hAnsi="Times New Roman"/>
          <w:sz w:val="20"/>
        </w:rPr>
      </w:pPr>
      <w:r>
        <w:rPr>
          <w:rFonts w:ascii="Times New Roman" w:hAnsi="Times New Roman"/>
          <w:b/>
          <w:sz w:val="20"/>
        </w:rPr>
        <w:t>5. Balance Sheet Components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i/>
          <w:sz w:val="20"/>
        </w:rPr>
        <w:t>Prepaid Expenses and Other Current Assets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Prepaid expenses and other current assets are comprised of the following (in thousands):</w:t>
      </w:r>
      <w:r>
        <w:rPr>
          <w:rFonts w:ascii="Times New Roman" w:hAnsi="Times New Roman"/>
          <w:sz w:val="20"/>
        </w:rPr>
        <w:t xml:space="preserve"> </w:t>
      </w:r>
    </w:p>
    <w:p>
      <w:pPr>
        <w:pStyle w:val="TextBody"/>
        <w:spacing w:lineRule="auto" w:line="273" w:before="0" w:after="0"/>
        <w:jc w:val="left"/>
        <w:rPr/>
      </w:pPr>
      <w:r>
        <w:rPr/>
        <w:t> </w:t>
      </w:r>
    </w:p>
    <w:tbl>
      <w:tblPr>
        <w:tblW w:w="6710" w:type="dxa"/>
        <w:jc w:val="left"/>
        <w:tblInd w:w="0" w:type="dxa"/>
        <w:tblCellMar>
          <w:top w:w="28" w:type="dxa"/>
          <w:left w:w="28" w:type="dxa"/>
          <w:bottom w:w="28" w:type="dxa"/>
          <w:right w:w="28" w:type="dxa"/>
        </w:tblCellMar>
      </w:tblPr>
      <w:tblGrid>
        <w:gridCol w:w="3931"/>
        <w:gridCol w:w="146"/>
        <w:gridCol w:w="230"/>
        <w:gridCol w:w="625"/>
        <w:gridCol w:w="146"/>
        <w:gridCol w:w="146"/>
        <w:gridCol w:w="294"/>
        <w:gridCol w:w="801"/>
        <w:gridCol w:w="391"/>
      </w:tblGrid>
      <w:tr>
        <w:trPr/>
        <w:tc>
          <w:tcPr>
            <w:tcW w:w="3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93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March 31,</w:t>
              <w:b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w:t>
              <w:br/>
              <w:t>2021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9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Prepaid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2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3,981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0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4,538</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39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2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2,280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3,154</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39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 prepaid expenses and other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2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6,261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0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7,692</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9</w:t>
      </w:r>
    </w:p>
    <w:p>
      <w:pPr>
        <w:pStyle w:val="HorizontalLine"/>
        <w:rPr/>
      </w:pPr>
      <w:r>
        <w:rPr/>
      </w:r>
    </w:p>
    <w:p>
      <w:pPr>
        <w:pStyle w:val="TextBody"/>
        <w:spacing w:lineRule="auto" w:line="273" w:before="160" w:after="0"/>
        <w:jc w:val="left"/>
        <w:rPr>
          <w:rFonts w:ascii="Times New Roman" w:hAnsi="Times New Roman"/>
          <w:sz w:val="20"/>
        </w:rPr>
      </w:pPr>
      <w:r>
        <w:rPr>
          <w:rFonts w:ascii="Times New Roman" w:hAnsi="Times New Roman"/>
          <w:b/>
          <w:i/>
          <w:sz w:val="20"/>
        </w:rPr>
        <w:t>Property and Equipment, Net</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Property and equipment, net is comprised of the following (in thousands):</w:t>
      </w:r>
      <w:r>
        <w:rPr>
          <w:rFonts w:ascii="Times New Roman" w:hAnsi="Times New Roman"/>
          <w:sz w:val="20"/>
        </w:rPr>
        <w:t xml:space="preserve"> </w:t>
      </w:r>
    </w:p>
    <w:p>
      <w:pPr>
        <w:pStyle w:val="TextBody"/>
        <w:spacing w:lineRule="auto" w:line="273" w:before="0" w:after="0"/>
        <w:jc w:val="left"/>
        <w:rPr/>
      </w:pPr>
      <w:r>
        <w:rPr/>
        <w:t> </w:t>
      </w:r>
    </w:p>
    <w:tbl>
      <w:tblPr>
        <w:tblW w:w="6902" w:type="dxa"/>
        <w:jc w:val="left"/>
        <w:tblInd w:w="0" w:type="dxa"/>
        <w:tblCellMar>
          <w:top w:w="28" w:type="dxa"/>
          <w:left w:w="28" w:type="dxa"/>
          <w:bottom w:w="28" w:type="dxa"/>
          <w:right w:w="28" w:type="dxa"/>
        </w:tblCellMar>
      </w:tblPr>
      <w:tblGrid>
        <w:gridCol w:w="4051"/>
        <w:gridCol w:w="146"/>
        <w:gridCol w:w="211"/>
        <w:gridCol w:w="676"/>
        <w:gridCol w:w="166"/>
        <w:gridCol w:w="146"/>
        <w:gridCol w:w="260"/>
        <w:gridCol w:w="835"/>
        <w:gridCol w:w="411"/>
      </w:tblGrid>
      <w:tr>
        <w:trPr/>
        <w:tc>
          <w:tcPr>
            <w:tcW w:w="40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0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March 31,</w:t>
              <w:b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w:t>
              <w:br/>
              <w:t>2021</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0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Leasehold improvements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3,465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3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3,462</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40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Furniture and fixtures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543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3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544</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40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Research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10,567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3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9,633</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40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Computers and software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3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130</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40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Construction in progress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3,145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2,274</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405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 property and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17,850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3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16,043</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40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Less accumulated depreciation and amortization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(3,797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(3,187</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405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 property and equipment,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14,053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12,856</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40" w:after="0"/>
        <w:jc w:val="left"/>
        <w:rPr>
          <w:rFonts w:ascii="Times New Roman" w:hAnsi="Times New Roman"/>
          <w:sz w:val="20"/>
        </w:rPr>
      </w:pPr>
      <w:r>
        <w:rPr>
          <w:rFonts w:ascii="Times New Roman" w:hAnsi="Times New Roman"/>
          <w:b w:val="false"/>
          <w:sz w:val="20"/>
        </w:rPr>
        <w:t>Depreciation and amortization expense was $0.6</w:t>
      </w:r>
      <w:r>
        <w:rPr>
          <w:rFonts w:ascii="Times New Roman" w:hAnsi="Times New Roman"/>
          <w:sz w:val="20"/>
        </w:rPr>
        <w:t xml:space="preserve"> </w:t>
      </w:r>
      <w:r>
        <w:rPr>
          <w:rFonts w:ascii="Times New Roman" w:hAnsi="Times New Roman"/>
          <w:b w:val="false"/>
          <w:sz w:val="20"/>
        </w:rPr>
        <w:t>million and $0.3</w:t>
      </w:r>
      <w:r>
        <w:rPr>
          <w:rFonts w:ascii="Times New Roman" w:hAnsi="Times New Roman"/>
          <w:sz w:val="20"/>
        </w:rPr>
        <w:t xml:space="preserve"> </w:t>
      </w:r>
      <w:r>
        <w:rPr>
          <w:rFonts w:ascii="Times New Roman" w:hAnsi="Times New Roman"/>
          <w:b w:val="false"/>
          <w:sz w:val="20"/>
        </w:rPr>
        <w:t>million for the three months ended March 31, 2022 and 2021, respectively.</w:t>
      </w:r>
    </w:p>
    <w:p>
      <w:pPr>
        <w:pStyle w:val="TextBody"/>
        <w:spacing w:lineRule="auto" w:line="273" w:before="160" w:after="0"/>
        <w:jc w:val="left"/>
        <w:rPr>
          <w:rFonts w:ascii="Times New Roman" w:hAnsi="Times New Roman"/>
          <w:b/>
          <w:i/>
          <w:sz w:val="20"/>
        </w:rPr>
      </w:pPr>
      <w:r>
        <w:rPr>
          <w:rFonts w:ascii="Times New Roman" w:hAnsi="Times New Roman"/>
          <w:b/>
          <w:i/>
          <w:sz w:val="20"/>
        </w:rPr>
        <w:t>Accrued and Other Current Liabilities</w:t>
      </w:r>
    </w:p>
    <w:p>
      <w:pPr>
        <w:pStyle w:val="TextBody"/>
        <w:spacing w:lineRule="auto" w:line="273" w:before="120" w:after="0"/>
        <w:jc w:val="left"/>
        <w:rPr>
          <w:rFonts w:ascii="Times New Roman" w:hAnsi="Times New Roman"/>
          <w:sz w:val="20"/>
        </w:rPr>
      </w:pPr>
      <w:r>
        <w:rPr>
          <w:rFonts w:ascii="Times New Roman" w:hAnsi="Times New Roman"/>
          <w:b w:val="false"/>
          <w:sz w:val="20"/>
        </w:rPr>
        <w:t>Accrued other current liabilities are comprised of the following (in thousands):</w:t>
      </w:r>
      <w:r>
        <w:rPr>
          <w:rFonts w:ascii="Times New Roman" w:hAnsi="Times New Roman"/>
          <w:sz w:val="20"/>
        </w:rPr>
        <w:t xml:space="preserve"> </w:t>
      </w:r>
    </w:p>
    <w:p>
      <w:pPr>
        <w:pStyle w:val="TextBody"/>
        <w:spacing w:lineRule="auto" w:line="273" w:before="0" w:after="0"/>
        <w:jc w:val="left"/>
        <w:rPr/>
      </w:pPr>
      <w:r>
        <w:rPr/>
        <w:t> </w:t>
      </w:r>
    </w:p>
    <w:tbl>
      <w:tblPr>
        <w:tblW w:w="6185" w:type="dxa"/>
        <w:jc w:val="left"/>
        <w:tblInd w:w="0" w:type="dxa"/>
        <w:tblCellMar>
          <w:top w:w="28" w:type="dxa"/>
          <w:left w:w="28" w:type="dxa"/>
          <w:bottom w:w="28" w:type="dxa"/>
          <w:right w:w="28" w:type="dxa"/>
        </w:tblCellMar>
      </w:tblPr>
      <w:tblGrid>
        <w:gridCol w:w="3406"/>
        <w:gridCol w:w="146"/>
        <w:gridCol w:w="230"/>
        <w:gridCol w:w="625"/>
        <w:gridCol w:w="146"/>
        <w:gridCol w:w="146"/>
        <w:gridCol w:w="294"/>
        <w:gridCol w:w="801"/>
        <w:gridCol w:w="391"/>
      </w:tblGrid>
      <w:tr>
        <w:trPr/>
        <w:tc>
          <w:tcPr>
            <w:tcW w:w="3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40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March 31,</w:t>
              <w:b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w:t>
              <w:br/>
              <w:t>2021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40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Accrued compensation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2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2,650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0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5,453</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340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Accrued research and development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pPr>
            <w:r>
              <w:rPr/>
              <w:t> </w:t>
            </w:r>
          </w:p>
        </w:tc>
        <w:tc>
          <w:tcPr>
            <w:tcW w:w="62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2,949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4" w:type="dxa"/>
            <w:tcBorders/>
            <w:shd w:fill="auto" w:val="clear"/>
            <w:vAlign w:val="center"/>
          </w:tcPr>
          <w:p>
            <w:pPr>
              <w:pStyle w:val="TableContents"/>
              <w:spacing w:lineRule="auto" w:line="252" w:before="0" w:after="0"/>
              <w:ind w:left="0" w:right="0" w:hanging="0"/>
              <w:jc w:val="left"/>
              <w:rPr/>
            </w:pPr>
            <w:r>
              <w:rPr/>
              <w:t> </w:t>
            </w:r>
          </w:p>
        </w:tc>
        <w:tc>
          <w:tcPr>
            <w:tcW w:w="80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2,280</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340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Accrued property and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pPr>
            <w:r>
              <w:rPr/>
              <w:t> </w:t>
            </w:r>
          </w:p>
        </w:tc>
        <w:tc>
          <w:tcPr>
            <w:tcW w:w="62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4" w:type="dxa"/>
            <w:tcBorders/>
            <w:shd w:fill="auto" w:val="clear"/>
            <w:vAlign w:val="center"/>
          </w:tcPr>
          <w:p>
            <w:pPr>
              <w:pStyle w:val="TableContents"/>
              <w:spacing w:lineRule="auto" w:line="252" w:before="0" w:after="0"/>
              <w:ind w:left="0" w:right="0" w:hanging="0"/>
              <w:jc w:val="left"/>
              <w:rPr/>
            </w:pPr>
            <w:r>
              <w:rPr/>
              <w:t> </w:t>
            </w:r>
          </w:p>
        </w:tc>
        <w:tc>
          <w:tcPr>
            <w:tcW w:w="80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96</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340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accrued and 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2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607</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1,518</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340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 accrued and other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2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6,321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0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9,347</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160" w:after="0"/>
        <w:jc w:val="left"/>
        <w:rPr>
          <w:rFonts w:ascii="Times New Roman" w:hAnsi="Times New Roman"/>
          <w:sz w:val="20"/>
        </w:rPr>
      </w:pPr>
      <w:r>
        <w:rPr>
          <w:rFonts w:ascii="Times New Roman" w:hAnsi="Times New Roman"/>
          <w:b/>
          <w:sz w:val="20"/>
        </w:rPr>
        <w:t>6. Leases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 has operating leases for its current corporate offices, laboratory space, manufacturing facility, and dedicated space in a vivarium in South San Francisco, California, as well as for an additional facility in South San Francisco that the Company plans to use for corporate offices, laboratories and manufacturing. Rent expense, which is recognized on a straight-line basis over the term of each lease, was $2.6</w:t>
      </w:r>
      <w:r>
        <w:rPr>
          <w:rFonts w:ascii="Times New Roman" w:hAnsi="Times New Roman"/>
          <w:sz w:val="20"/>
        </w:rPr>
        <w:t xml:space="preserve"> </w:t>
      </w:r>
      <w:r>
        <w:rPr>
          <w:rFonts w:ascii="Times New Roman" w:hAnsi="Times New Roman"/>
          <w:b w:val="false"/>
          <w:sz w:val="20"/>
        </w:rPr>
        <w:t>million and $0.6</w:t>
      </w:r>
      <w:r>
        <w:rPr>
          <w:rFonts w:ascii="Times New Roman" w:hAnsi="Times New Roman"/>
          <w:sz w:val="20"/>
        </w:rPr>
        <w:t xml:space="preserve"> </w:t>
      </w:r>
      <w:r>
        <w:rPr>
          <w:rFonts w:ascii="Times New Roman" w:hAnsi="Times New Roman"/>
          <w:b w:val="false"/>
          <w:sz w:val="20"/>
        </w:rPr>
        <w:t>million for the three months ended March 31, 2022 and 2021, respectively. The total cash paid for operating leases included in the operating cash flows was $0.6</w:t>
      </w:r>
      <w:r>
        <w:rPr>
          <w:rFonts w:ascii="Times New Roman" w:hAnsi="Times New Roman"/>
          <w:sz w:val="20"/>
        </w:rPr>
        <w:t xml:space="preserve"> </w:t>
      </w:r>
      <w:r>
        <w:rPr>
          <w:rFonts w:ascii="Times New Roman" w:hAnsi="Times New Roman"/>
          <w:b w:val="false"/>
          <w:sz w:val="20"/>
        </w:rPr>
        <w:t>million and $0.4</w:t>
      </w:r>
      <w:r>
        <w:rPr>
          <w:rFonts w:ascii="Times New Roman" w:hAnsi="Times New Roman"/>
          <w:sz w:val="20"/>
        </w:rPr>
        <w:t xml:space="preserve"> </w:t>
      </w:r>
      <w:r>
        <w:rPr>
          <w:rFonts w:ascii="Times New Roman" w:hAnsi="Times New Roman"/>
          <w:b w:val="false"/>
          <w:sz w:val="20"/>
        </w:rPr>
        <w:t>million for the three months ended March 31, 2022 and 2021, respectively. The weighted-average remaining lease term was 11.5</w:t>
      </w:r>
      <w:r>
        <w:rPr>
          <w:rFonts w:ascii="Times New Roman" w:hAnsi="Times New Roman"/>
          <w:sz w:val="20"/>
        </w:rPr>
        <w:t xml:space="preserve"> </w:t>
      </w:r>
      <w:r>
        <w:rPr>
          <w:rFonts w:ascii="Times New Roman" w:hAnsi="Times New Roman"/>
          <w:b w:val="false"/>
          <w:sz w:val="20"/>
        </w:rPr>
        <w:t>years for the corporate office, laboratory space leases, and additional facility as of March 31, 2022. The weighted-average discount rate was 8.8% as of March 31, 2022.</w:t>
      </w:r>
    </w:p>
    <w:p>
      <w:pPr>
        <w:pStyle w:val="TextBody"/>
        <w:spacing w:lineRule="auto" w:line="273" w:before="120" w:after="0"/>
        <w:jc w:val="left"/>
        <w:rPr>
          <w:rFonts w:ascii="Times New Roman" w:hAnsi="Times New Roman"/>
          <w:sz w:val="20"/>
        </w:rPr>
      </w:pPr>
      <w:r>
        <w:rPr>
          <w:rFonts w:ascii="Times New Roman" w:hAnsi="Times New Roman"/>
          <w:b w:val="false"/>
          <w:sz w:val="20"/>
        </w:rPr>
        <w:t>In May 2018, the Company entered into a lease agreement for its corporate office and laboratory space located in South San Francisco, California with an expiration date in May 2025</w:t>
      </w:r>
      <w:r>
        <w:rPr>
          <w:rFonts w:ascii="Times New Roman" w:hAnsi="Times New Roman"/>
          <w:sz w:val="20"/>
        </w:rPr>
        <w:t xml:space="preserve"> </w:t>
      </w:r>
      <w:r>
        <w:rPr>
          <w:rFonts w:ascii="Times New Roman" w:hAnsi="Times New Roman"/>
          <w:b w:val="false"/>
          <w:sz w:val="20"/>
        </w:rPr>
        <w:t>(the “Initial Lease Agreement”).</w:t>
      </w:r>
      <w:r>
        <w:rPr>
          <w:rFonts w:ascii="Times New Roman" w:hAnsi="Times New Roman"/>
          <w:sz w:val="20"/>
        </w:rPr>
        <w:t xml:space="preserve"> </w:t>
      </w:r>
      <w:r>
        <w:rPr>
          <w:rFonts w:ascii="Times New Roman" w:hAnsi="Times New Roman"/>
          <w:b w:val="false"/>
          <w:sz w:val="20"/>
        </w:rPr>
        <w:t>In April 2019, the Company executed the first amendment to the Initial Lease Agreement for additional corporate space, laboratory space and manufacturing capabilities and an extension to the lease term through April 2026.</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In May 2020, the Company signed a second amendment to the Initial Lease Agreement. The amended lease provides for an eight-year</w:t>
      </w:r>
      <w:r>
        <w:rPr>
          <w:rFonts w:ascii="Times New Roman" w:hAnsi="Times New Roman"/>
          <w:sz w:val="20"/>
        </w:rPr>
        <w:t xml:space="preserve"> </w:t>
      </w:r>
      <w:r>
        <w:rPr>
          <w:rFonts w:ascii="Times New Roman" w:hAnsi="Times New Roman"/>
          <w:b w:val="false"/>
          <w:sz w:val="20"/>
        </w:rPr>
        <w:t>non-cancelable lease of additional office and laboratory space in the same building. The lease amendment for additional office and laboratory space provided for abatement of rent during the first three months of the lease and contains rent escalations during the term of the lease. The lease for this additional space commenced in January 2021 and expires in January 2029. The lease amendment also includes an extension of the lease term for the existing office and laboratory space beginning on May 1, 2020 and expiring in January 2029. The amendment to the Initial Lease Agreement also includes an option to extend the lease for an additional seven-year</w:t>
      </w:r>
      <w:r>
        <w:rPr>
          <w:rFonts w:ascii="Times New Roman" w:hAnsi="Times New Roman"/>
          <w:sz w:val="20"/>
        </w:rPr>
        <w:t xml:space="preserve"> </w:t>
      </w:r>
      <w:r>
        <w:rPr>
          <w:rFonts w:ascii="Times New Roman" w:hAnsi="Times New Roman"/>
          <w:b w:val="false"/>
          <w:sz w:val="20"/>
        </w:rPr>
        <w:t>term.</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 January 2021, the Company signed a third amendment to the Initial Lease Agreement which provides for lease of additional space in the same building. The lease amendment for this additional space commenced in April 2021 and expires in March 2024.</w:t>
      </w:r>
    </w:p>
    <w:p>
      <w:pPr>
        <w:pStyle w:val="TextBody"/>
        <w:spacing w:lineRule="auto" w:line="273" w:before="120" w:after="0"/>
        <w:jc w:val="left"/>
        <w:rPr>
          <w:rFonts w:ascii="Times New Roman" w:hAnsi="Times New Roman"/>
          <w:sz w:val="20"/>
        </w:rPr>
      </w:pPr>
      <w:r>
        <w:rPr>
          <w:rFonts w:ascii="Times New Roman" w:hAnsi="Times New Roman"/>
          <w:b w:val="false"/>
          <w:sz w:val="20"/>
        </w:rPr>
        <w:t>In October 2021, the Company signed a fourth amendment to the Initial Lease Agreement which provides for lease of additional space in the same building. The lease for additional office and laboratory space provides for abatement of rent during the first two months of the lease and contains rent escalations during the term of the lease. The lease amendment of this additional space commenced in April 2022 and expires in January 2029. The Company expects to pay base rent of approximately $4.6</w:t>
      </w:r>
      <w:r>
        <w:rPr>
          <w:rFonts w:ascii="Times New Roman" w:hAnsi="Times New Roman"/>
          <w:sz w:val="20"/>
        </w:rPr>
        <w:t xml:space="preserve"> </w:t>
      </w:r>
      <w:r>
        <w:rPr>
          <w:rFonts w:ascii="Times New Roman" w:hAnsi="Times New Roman"/>
          <w:b w:val="false"/>
          <w:sz w:val="20"/>
        </w:rPr>
        <w:t>million over the lease term. The lease amendment also includes this additional space in the Company’s option to extend the amended Initial Lease Agreement for an additional seven-year term.</w:t>
      </w:r>
      <w:r>
        <w:rPr>
          <w:rFonts w:ascii="Times New Roman" w:hAnsi="Times New Roman"/>
          <w:sz w:val="20"/>
        </w:rPr>
        <w:t xml:space="preserve"> </w:t>
      </w:r>
      <w:r>
        <w:rPr>
          <w:rFonts w:ascii="Times New Roman" w:hAnsi="Times New Roman"/>
          <w:b w:val="false"/>
          <w:sz w:val="20"/>
        </w:rPr>
        <w:t>The other terms of the Initial Lease Agreement, as amended, remain unchanged.</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10</w:t>
      </w:r>
    </w:p>
    <w:p>
      <w:pPr>
        <w:pStyle w:val="HorizontalLine"/>
        <w:rPr/>
      </w:pPr>
      <w:r>
        <w:rPr/>
      </w:r>
    </w:p>
    <w:p>
      <w:pPr>
        <w:pStyle w:val="TextBody"/>
        <w:spacing w:lineRule="auto" w:line="273" w:before="120" w:after="0"/>
        <w:jc w:val="left"/>
        <w:rPr>
          <w:rFonts w:ascii="Times New Roman" w:hAnsi="Times New Roman"/>
          <w:sz w:val="20"/>
        </w:rPr>
      </w:pPr>
      <w:r>
        <w:rPr>
          <w:rFonts w:ascii="Times New Roman" w:hAnsi="Times New Roman"/>
          <w:b w:val="false"/>
          <w:sz w:val="20"/>
        </w:rPr>
        <w:t>In July 2021, the Company entered into a lease agreement for corporate office, manufacturing and laboratory space located in South San Francisco, California with an expiration date approximately twelve years</w:t>
      </w:r>
      <w:r>
        <w:rPr>
          <w:rFonts w:ascii="Times New Roman" w:hAnsi="Times New Roman"/>
          <w:sz w:val="20"/>
        </w:rPr>
        <w:t xml:space="preserve"> </w:t>
      </w:r>
      <w:r>
        <w:rPr>
          <w:rFonts w:ascii="Times New Roman" w:hAnsi="Times New Roman"/>
          <w:b w:val="false"/>
          <w:sz w:val="20"/>
        </w:rPr>
        <w:t>after the lease commencement date (the “Additional Lease Agreement”). The lease for this additional space and the Company's obligation to pay rent commenced in January 2022. In addition to base rent, the Company is responsible for payment of direct expenses, which include operating, insurance and tax expenses. The lease also provides for certain tenant improvement allowances of up to approximately $25.2</w:t>
      </w:r>
      <w:r>
        <w:rPr>
          <w:rFonts w:ascii="Times New Roman" w:hAnsi="Times New Roman"/>
          <w:sz w:val="20"/>
        </w:rPr>
        <w:t xml:space="preserve"> </w:t>
      </w:r>
      <w:r>
        <w:rPr>
          <w:rFonts w:ascii="Times New Roman" w:hAnsi="Times New Roman"/>
          <w:b w:val="false"/>
          <w:sz w:val="20"/>
        </w:rPr>
        <w:t>million for tenant improvements and certain infrastructure upgrades in connection with the initial buildout of the premises, approximately $4.4</w:t>
      </w:r>
      <w:r>
        <w:rPr>
          <w:rFonts w:ascii="Times New Roman" w:hAnsi="Times New Roman"/>
          <w:sz w:val="20"/>
        </w:rPr>
        <w:t xml:space="preserve"> </w:t>
      </w:r>
      <w:r>
        <w:rPr>
          <w:rFonts w:ascii="Times New Roman" w:hAnsi="Times New Roman"/>
          <w:b w:val="false"/>
          <w:sz w:val="20"/>
        </w:rPr>
        <w:t>million of which, if utilized, would need to be repaid by the Company over the lease term. In 2021, the Company delivered a security deposit in the form of a letter of credit of $1.6</w:t>
      </w:r>
      <w:r>
        <w:rPr>
          <w:rFonts w:ascii="Times New Roman" w:hAnsi="Times New Roman"/>
          <w:sz w:val="20"/>
        </w:rPr>
        <w:t xml:space="preserve"> </w:t>
      </w:r>
      <w:r>
        <w:rPr>
          <w:rFonts w:ascii="Times New Roman" w:hAnsi="Times New Roman"/>
          <w:b w:val="false"/>
          <w:sz w:val="20"/>
        </w:rPr>
        <w:t>million to the landlord in connection with the Additional Lease Agreement.</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In November 2021, the Company entered into an amendment to its corporate office, manufacturing and laboratory facilities lease. The lease amendment expressly includes manufacturing as a permitted use at the facility, clarifies that Silicon Valley Bank is an acceptable bank for purposes of issuing a letter of credit under the lease, revises the letter of credit transferability terms and replaces the form of letter of credit attached to the lease.</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Maturities of operating lease liabilities under existing operating leases as of March 31, 2022 were as follows (in thousands):</w:t>
      </w:r>
      <w:r>
        <w:rPr>
          <w:rFonts w:ascii="Times New Roman" w:hAnsi="Times New Roman"/>
          <w:sz w:val="20"/>
        </w:rPr>
        <w:t xml:space="preserve"> </w:t>
      </w:r>
    </w:p>
    <w:p>
      <w:pPr>
        <w:pStyle w:val="TextBody"/>
        <w:spacing w:lineRule="auto" w:line="273" w:before="0" w:after="0"/>
        <w:jc w:val="left"/>
        <w:rPr/>
      </w:pPr>
      <w:r>
        <w:rPr/>
        <w:t> </w:t>
      </w:r>
    </w:p>
    <w:tbl>
      <w:tblPr>
        <w:tblW w:w="5885" w:type="dxa"/>
        <w:jc w:val="left"/>
        <w:tblInd w:w="0" w:type="dxa"/>
        <w:tblCellMar>
          <w:top w:w="28" w:type="dxa"/>
          <w:left w:w="28" w:type="dxa"/>
          <w:bottom w:w="28" w:type="dxa"/>
          <w:right w:w="28" w:type="dxa"/>
        </w:tblCellMar>
      </w:tblPr>
      <w:tblGrid>
        <w:gridCol w:w="4336"/>
        <w:gridCol w:w="146"/>
        <w:gridCol w:w="211"/>
        <w:gridCol w:w="781"/>
        <w:gridCol w:w="411"/>
      </w:tblGrid>
      <w:tr>
        <w:trPr/>
        <w:tc>
          <w:tcPr>
            <w:tcW w:w="43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3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Year ending December 31,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Amount</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3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2022 (remaining nine months)</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4,144</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43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2023</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9,278</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43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2024</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9,269</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43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2025</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9,533</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43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2026</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9,877</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43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2027 and thereafter</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73,553</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433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 undiscounted future minimum lease payments</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115,654</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43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Less imputed interest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(46,114</w:t>
            </w:r>
          </w:p>
        </w:tc>
        <w:tc>
          <w:tcPr>
            <w:tcW w:w="4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3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Less tenant improvement receivable</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(295</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433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 operating lease liabilities</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69,245</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3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lease liabilities:</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411" w:type="dxa"/>
            <w:tcBorders/>
            <w:shd w:fill="auto" w:val="clear"/>
            <w:vAlign w:val="center"/>
          </w:tcPr>
          <w:p>
            <w:pPr>
              <w:pStyle w:val="TableContents"/>
              <w:spacing w:lineRule="auto" w:line="252" w:before="0" w:after="0"/>
              <w:ind w:left="0" w:right="0" w:hanging="0"/>
              <w:jc w:val="right"/>
              <w:rPr/>
            </w:pPr>
            <w:r>
              <w:rPr/>
              <w:t> </w:t>
            </w:r>
          </w:p>
        </w:tc>
      </w:tr>
      <w:tr>
        <w:trPr/>
        <w:tc>
          <w:tcPr>
            <w:tcW w:w="43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Current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2,505</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43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Non-current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66,740</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433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 lease liability</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69,245</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120" w:after="0"/>
        <w:jc w:val="left"/>
        <w:rPr/>
      </w:pPr>
      <w:r>
        <w:rPr/>
        <w:t> </w:t>
      </w:r>
    </w:p>
    <w:p>
      <w:pPr>
        <w:pStyle w:val="TextBody"/>
        <w:spacing w:lineRule="auto" w:line="273" w:before="360" w:after="0"/>
        <w:jc w:val="left"/>
        <w:rPr>
          <w:rFonts w:ascii="Times New Roman" w:hAnsi="Times New Roman"/>
          <w:sz w:val="20"/>
        </w:rPr>
      </w:pPr>
      <w:r>
        <w:rPr>
          <w:rFonts w:ascii="Times New Roman" w:hAnsi="Times New Roman"/>
          <w:b/>
          <w:sz w:val="20"/>
        </w:rPr>
        <w:t>7. Commitments &amp; Contingencies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i/>
          <w:sz w:val="20"/>
        </w:rPr>
        <w:t>Guarantee Agreement</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 has agreements whereby it indemnifies its officers and directors for certain events or occurrences while the officer or director is, or was, serving at the Company’s request in such capacity. The term of the indemnification period is for the officer’s or director’s lifetime. The maximum potential amount of future payments the Company could be required to make under these indemnification agreements is unlimited; however, the Company has a director and officer insurance policy that limits its exposure and enables the Company to recover a portion of any future amounts under certain circumstances and subject to deductibles and exclusions. The Company had no</w:t>
      </w:r>
      <w:r>
        <w:rPr>
          <w:rFonts w:ascii="Times New Roman" w:hAnsi="Times New Roman"/>
          <w:sz w:val="20"/>
        </w:rPr>
        <w:t xml:space="preserve"> </w:t>
      </w:r>
      <w:r>
        <w:rPr>
          <w:rFonts w:ascii="Times New Roman" w:hAnsi="Times New Roman"/>
          <w:b w:val="false"/>
          <w:sz w:val="20"/>
        </w:rPr>
        <w:t>liabilities recorded for these agreements as of March 31, 2022 and December 31, 2021.</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Letters of Credit</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As of March 31, 2022, the Company has $2.1</w:t>
      </w:r>
      <w:r>
        <w:rPr>
          <w:rFonts w:ascii="Times New Roman" w:hAnsi="Times New Roman"/>
          <w:sz w:val="20"/>
        </w:rPr>
        <w:t xml:space="preserve"> </w:t>
      </w:r>
      <w:r>
        <w:rPr>
          <w:rFonts w:ascii="Times New Roman" w:hAnsi="Times New Roman"/>
          <w:b w:val="false"/>
          <w:sz w:val="20"/>
        </w:rPr>
        <w:t>million in letter of credit agreements with a financial institution that are used as collateral for the Company’s corporate headquarters’ operating lease and the additional facility in South San Francisco that the Company plans to use for corporate offices, laboratories and manufacturing. The letters of credit automatically renew annually without amendment unless cancelled by the financial institutions within 30</w:t>
      </w:r>
      <w:r>
        <w:rPr>
          <w:rFonts w:ascii="Times New Roman" w:hAnsi="Times New Roman"/>
          <w:sz w:val="20"/>
        </w:rPr>
        <w:t xml:space="preserve"> </w:t>
      </w:r>
      <w:r>
        <w:rPr>
          <w:rFonts w:ascii="Times New Roman" w:hAnsi="Times New Roman"/>
          <w:b w:val="false"/>
          <w:sz w:val="20"/>
        </w:rPr>
        <w:t>to 60 days</w:t>
      </w:r>
      <w:r>
        <w:rPr>
          <w:rFonts w:ascii="Times New Roman" w:hAnsi="Times New Roman"/>
          <w:sz w:val="20"/>
        </w:rPr>
        <w:t xml:space="preserve"> </w:t>
      </w:r>
      <w:r>
        <w:rPr>
          <w:rFonts w:ascii="Times New Roman" w:hAnsi="Times New Roman"/>
          <w:b w:val="false"/>
          <w:sz w:val="20"/>
        </w:rPr>
        <w:t>of the annual expiration date.</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sz w:val="20"/>
        </w:rPr>
        <w:t>8. CRISPR Collaboration Agreement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On May 5, 2021, the Company entered into a research collaboration agreement (as amended, the “CRISPR Agreement”) with CRISPR Therapeutics AG (“CRISPR”) to co-develop and co-commercialize an engineered CAR-NK product candidate targeting the CD70 tumor antigen and a second novel NK plus T cell (“NK+T”) product candidate. In addition, the Company has received licenses from CRISPR for two</w:t>
      </w:r>
      <w:r>
        <w:rPr>
          <w:rFonts w:ascii="Times New Roman" w:hAnsi="Times New Roman"/>
          <w:sz w:val="20"/>
        </w:rPr>
        <w:t xml:space="preserve"> </w:t>
      </w:r>
      <w:r>
        <w:rPr>
          <w:rFonts w:ascii="Times New Roman" w:hAnsi="Times New Roman"/>
          <w:b w:val="false"/>
          <w:sz w:val="20"/>
        </w:rPr>
        <w:t>CRISPR-Cas9 gene editing targets and will receive a license from CRISPR for up to three</w:t>
      </w:r>
      <w:r>
        <w:rPr>
          <w:rFonts w:ascii="Times New Roman" w:hAnsi="Times New Roman"/>
          <w:sz w:val="20"/>
        </w:rPr>
        <w:t xml:space="preserve"> </w:t>
      </w:r>
      <w:r>
        <w:rPr>
          <w:rFonts w:ascii="Times New Roman" w:hAnsi="Times New Roman"/>
          <w:b w:val="false"/>
          <w:sz w:val="20"/>
        </w:rPr>
        <w:t>more CRISPR-Cas9 gene editing targets that can be engineered into an unlimited number of its own NK cell products. CRISPR also has an option to co-develop and co-commercialize a future CAR-NK program.</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11</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Under the terms of the CRISPR Agreement, the Company and CRISPR share equally in all research and development costs and potential profits worldwide related to the CD70 CAR-NK product candidate, NK+T product candidate, and the potential future CAR-NK program (collectively, “Collaboration Products”). For the NK+T program, CRISPR is responsible for gene-editing activities and T cell related activities, and Nkarta is responsible for NK cell related activities. The related impact of the cost sharing associated with the research and development activities is included in research and development expense on the condensed statements of operations. Expenses related to services performed by the Company are classified as research and development expense. Payments received from CRISPR for partial reimbursement of expenses are recorded as a reduction of research and development expense. As of March 31, 2022, the Company had a $1.0</w:t>
      </w:r>
      <w:r>
        <w:rPr>
          <w:rFonts w:ascii="Times New Roman" w:hAnsi="Times New Roman"/>
          <w:sz w:val="20"/>
        </w:rPr>
        <w:t xml:space="preserve"> </w:t>
      </w:r>
      <w:r>
        <w:rPr>
          <w:rFonts w:ascii="Times New Roman" w:hAnsi="Times New Roman"/>
          <w:b w:val="false"/>
          <w:sz w:val="20"/>
        </w:rPr>
        <w:t>million receivable under the research cost sharing provision, which is included as part of prepaid expenses and other current assets in the condensed balance sheet.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For each non-collaboration product candidate incorporating a gene editing target licensed from CRISPR, the Company would retain worldwide rights and may be required to make potential future payments based on the achievement of development and regulatory approval milestones totaling less than mid-twenty million dollars</w:t>
      </w:r>
      <w:r>
        <w:rPr>
          <w:rFonts w:ascii="Times New Roman" w:hAnsi="Times New Roman"/>
          <w:sz w:val="20"/>
        </w:rPr>
        <w:t xml:space="preserve"> </w:t>
      </w:r>
      <w:r>
        <w:rPr>
          <w:rFonts w:ascii="Times New Roman" w:hAnsi="Times New Roman"/>
          <w:b w:val="false"/>
          <w:sz w:val="20"/>
        </w:rPr>
        <w:t>for each non-collaboration product, as well as tiered royalties up to the mid-single digits on net product sales of such product. As of March 31, 2022, the Company has not paid any amounts nor are any amounts owed by the Company under the CRISPR Agreement, and no milestones have been achieved.</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sz w:val="20"/>
        </w:rPr>
        <w:t>9. Share-Based Compensation</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Equity Incentive Plan</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Company’s 2020 Performance Incentive Plan (the “2020 Plan”), which was adopted by the Company’s board of directors in June 2020 and approved by the Company’s stockholders in July 2020, became effective upon the consummation of the Company’s initial public offering (“IPO”). Upon the effectiveness of the 2020 Plan, no further grants may be made under the Company’s 2015 Equity Incentive Plan (the “2015 Plan”). The Company’s 2020 Plan allows for the grant of incentive stock options, non-qualified stock options, stock appreciation rights, stock bonuses, restricted stock, stock units and other forms of awards including cash awards to its officers, directors, employees, consultants and advisors.</w:t>
      </w:r>
    </w:p>
    <w:p>
      <w:pPr>
        <w:pStyle w:val="TextBody"/>
        <w:spacing w:lineRule="auto" w:line="273" w:before="120" w:after="0"/>
        <w:jc w:val="left"/>
        <w:rPr>
          <w:rFonts w:ascii="Times New Roman" w:hAnsi="Times New Roman"/>
          <w:sz w:val="20"/>
        </w:rPr>
      </w:pPr>
      <w:r>
        <w:rPr>
          <w:rFonts w:ascii="Times New Roman" w:hAnsi="Times New Roman"/>
          <w:b w:val="false"/>
          <w:sz w:val="20"/>
        </w:rPr>
        <w:t>A total of 5,945,002</w:t>
      </w:r>
      <w:r>
        <w:rPr>
          <w:rFonts w:ascii="Times New Roman" w:hAnsi="Times New Roman"/>
          <w:sz w:val="20"/>
        </w:rPr>
        <w:t xml:space="preserve"> </w:t>
      </w:r>
      <w:r>
        <w:rPr>
          <w:rFonts w:ascii="Times New Roman" w:hAnsi="Times New Roman"/>
          <w:b w:val="false"/>
          <w:sz w:val="20"/>
        </w:rPr>
        <w:t>shares of the Company’s common stock is authorized for issuance with respect to awards granted under the 2020 Plan. The share limit will automatically increase on the first trading day in January of each year by an amount equal to the lesser of (1) 5% of the total number of outstanding shares of the Company’s common stock on the last trading day in December in the prior year, or (2) such lesser number as determined by the Company’s board of directors. Any shares subject to awards granted under the 2020 Plan or the 2015 Plan that are not paid, delivered or exercised before they expire or are canceled or terminated, or otherwise fail to vest, as well as shares used to pay the purchase or exercise price of such awards or related tax withholding obligations, will become available for new award grants under the 2020 Plan.</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following table summarizes the option activity under the 2020 Plan and 2015 Plan during the three months ended March 31, 2022:</w:t>
      </w:r>
    </w:p>
    <w:tbl>
      <w:tblPr>
        <w:tblW w:w="8039" w:type="dxa"/>
        <w:jc w:val="left"/>
        <w:tblInd w:w="0" w:type="dxa"/>
        <w:tblCellMar>
          <w:top w:w="28" w:type="dxa"/>
          <w:left w:w="28" w:type="dxa"/>
          <w:bottom w:w="28" w:type="dxa"/>
          <w:right w:w="28" w:type="dxa"/>
        </w:tblCellMar>
      </w:tblPr>
      <w:tblGrid>
        <w:gridCol w:w="3916"/>
        <w:gridCol w:w="146"/>
        <w:gridCol w:w="187"/>
        <w:gridCol w:w="1193"/>
        <w:gridCol w:w="166"/>
        <w:gridCol w:w="146"/>
        <w:gridCol w:w="230"/>
        <w:gridCol w:w="626"/>
        <w:gridCol w:w="146"/>
        <w:gridCol w:w="146"/>
        <w:gridCol w:w="272"/>
        <w:gridCol w:w="674"/>
        <w:gridCol w:w="191"/>
      </w:tblGrid>
      <w:tr>
        <w:trPr/>
        <w:tc>
          <w:tcPr>
            <w:tcW w:w="3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91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8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Number of 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Weighted-</w:t>
              <w:br/>
              <w:t>average</w:t>
              <w:br/>
              <w:t>exercise</w:t>
              <w:br/>
              <w:t>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Weighted-</w:t>
              <w:br/>
              <w:t>average</w:t>
              <w:br/>
              <w:t>remaining</w:t>
              <w:br/>
              <w:t>contractual</w:t>
              <w:br/>
              <w:t>term</w:t>
              <w:br/>
              <w:t>(in years)</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9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Outstanding at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119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4,204,686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19.19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2" w:type="dxa"/>
            <w:tcBorders/>
            <w:shd w:fill="auto" w:val="clear"/>
            <w:vAlign w:val="center"/>
          </w:tcPr>
          <w:p>
            <w:pPr>
              <w:pStyle w:val="TableContents"/>
              <w:spacing w:lineRule="auto" w:line="252" w:before="0" w:after="0"/>
              <w:ind w:left="0" w:right="0" w:hanging="0"/>
              <w:jc w:val="left"/>
              <w:rPr/>
            </w:pPr>
            <w:r>
              <w:rPr/>
              <w:t> </w:t>
            </w:r>
          </w:p>
        </w:tc>
        <w:tc>
          <w:tcPr>
            <w:tcW w:w="67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8.2</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9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Granted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119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1,007,090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12.09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shd w:fill="auto" w:val="clear"/>
            <w:vAlign w:val="center"/>
          </w:tcPr>
          <w:p>
            <w:pPr>
              <w:pStyle w:val="TableContents"/>
              <w:spacing w:lineRule="auto" w:line="252" w:before="0" w:after="0"/>
              <w:ind w:left="0" w:right="0" w:hanging="0"/>
              <w:jc w:val="right"/>
              <w:rPr/>
            </w:pPr>
            <w:r>
              <w:rPr/>
              <w:t> </w:t>
            </w:r>
          </w:p>
        </w:tc>
        <w:tc>
          <w:tcPr>
            <w:tcW w:w="191" w:type="dxa"/>
            <w:tcBorders/>
            <w:shd w:fill="auto" w:val="clear"/>
            <w:vAlign w:val="center"/>
          </w:tcPr>
          <w:p>
            <w:pPr>
              <w:pStyle w:val="TableContents"/>
              <w:spacing w:lineRule="auto" w:line="252" w:before="0" w:after="0"/>
              <w:ind w:left="0" w:right="0" w:hanging="0"/>
              <w:jc w:val="right"/>
              <w:rPr/>
            </w:pPr>
            <w:r>
              <w:rPr/>
              <w:t> </w:t>
            </w:r>
          </w:p>
        </w:tc>
      </w:tr>
      <w:tr>
        <w:trPr/>
        <w:tc>
          <w:tcPr>
            <w:tcW w:w="39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Exercised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119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(21,067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pPr>
            <w:r>
              <w:rPr/>
              <w:t> </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shd w:fill="auto" w:val="clear"/>
            <w:vAlign w:val="center"/>
          </w:tcPr>
          <w:p>
            <w:pPr>
              <w:pStyle w:val="TableContents"/>
              <w:spacing w:lineRule="auto" w:line="252" w:before="0" w:after="0"/>
              <w:ind w:left="0" w:right="0" w:hanging="0"/>
              <w:jc w:val="right"/>
              <w:rPr/>
            </w:pPr>
            <w:r>
              <w:rPr/>
              <w:t> </w:t>
            </w:r>
          </w:p>
        </w:tc>
        <w:tc>
          <w:tcPr>
            <w:tcW w:w="191" w:type="dxa"/>
            <w:tcBorders/>
            <w:shd w:fill="auto" w:val="clear"/>
            <w:vAlign w:val="center"/>
          </w:tcPr>
          <w:p>
            <w:pPr>
              <w:pStyle w:val="TableContents"/>
              <w:spacing w:lineRule="auto" w:line="252" w:before="0" w:after="0"/>
              <w:ind w:left="0" w:right="0" w:hanging="0"/>
              <w:jc w:val="right"/>
              <w:rPr/>
            </w:pPr>
            <w:r>
              <w:rPr/>
              <w:t> </w:t>
            </w:r>
          </w:p>
        </w:tc>
      </w:tr>
      <w:tr>
        <w:trPr/>
        <w:tc>
          <w:tcPr>
            <w:tcW w:w="39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Forfeited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9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(120,342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23.45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r>
      <w:tr>
        <w:trPr/>
        <w:tc>
          <w:tcPr>
            <w:tcW w:w="39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Outstanding at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9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5,070,367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2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17.74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8.2</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9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Exercisable at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9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1,784,571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2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15.17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7.5</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9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Vested and expected to vest at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9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5,070,367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2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17.74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8.2</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40" w:after="0"/>
        <w:jc w:val="left"/>
        <w:rPr>
          <w:rFonts w:ascii="Times New Roman" w:hAnsi="Times New Roman"/>
          <w:sz w:val="20"/>
        </w:rPr>
      </w:pPr>
      <w:r>
        <w:rPr>
          <w:rFonts w:ascii="Times New Roman" w:hAnsi="Times New Roman"/>
          <w:b w:val="false"/>
          <w:sz w:val="20"/>
        </w:rPr>
        <w:t>The weighted-average grant date fair value of stock option grants was $8.12</w:t>
      </w:r>
      <w:r>
        <w:rPr>
          <w:rFonts w:ascii="Times New Roman" w:hAnsi="Times New Roman"/>
          <w:sz w:val="20"/>
        </w:rPr>
        <w:t xml:space="preserve"> </w:t>
      </w:r>
      <w:r>
        <w:rPr>
          <w:rFonts w:ascii="Times New Roman" w:hAnsi="Times New Roman"/>
          <w:b w:val="false"/>
          <w:sz w:val="20"/>
        </w:rPr>
        <w:t>per share for the three months ended March 31, 2022.</w:t>
      </w:r>
    </w:p>
    <w:p>
      <w:pPr>
        <w:pStyle w:val="TextBody"/>
        <w:spacing w:lineRule="auto" w:line="273" w:before="40" w:after="0"/>
        <w:jc w:val="left"/>
        <w:rPr/>
      </w:pPr>
      <w:r>
        <w:rPr/>
        <w:t> </w:t>
      </w:r>
    </w:p>
    <w:p>
      <w:pPr>
        <w:pStyle w:val="TextBody"/>
        <w:spacing w:lineRule="auto" w:line="273" w:before="40" w:after="0"/>
        <w:jc w:val="left"/>
        <w:rPr>
          <w:rFonts w:ascii="Times New Roman" w:hAnsi="Times New Roman"/>
          <w:sz w:val="20"/>
        </w:rPr>
      </w:pPr>
      <w:r>
        <w:rPr>
          <w:rFonts w:ascii="Times New Roman" w:hAnsi="Times New Roman"/>
          <w:b w:val="false"/>
          <w:sz w:val="20"/>
        </w:rPr>
        <w:t>The following table summarizes the restricted stock unit activity under the 2020 Plan during the three months ended March 31, 2022:</w:t>
      </w:r>
      <w:r>
        <w:rPr>
          <w:rFonts w:ascii="Times New Roman" w:hAnsi="Times New Roman"/>
          <w:sz w:val="20"/>
        </w:rPr>
        <w:t xml:space="preserve"> </w:t>
      </w:r>
    </w:p>
    <w:p>
      <w:pPr>
        <w:pStyle w:val="TextBody"/>
        <w:spacing w:lineRule="auto" w:line="273" w:before="4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12</w:t>
      </w:r>
    </w:p>
    <w:p>
      <w:pPr>
        <w:pStyle w:val="HorizontalLine"/>
        <w:rPr/>
      </w:pPr>
      <w:r>
        <w:rPr/>
      </w:r>
    </w:p>
    <w:tbl>
      <w:tblPr>
        <w:tblW w:w="7310" w:type="dxa"/>
        <w:jc w:val="left"/>
        <w:tblInd w:w="0" w:type="dxa"/>
        <w:tblCellMar>
          <w:top w:w="28" w:type="dxa"/>
          <w:left w:w="28" w:type="dxa"/>
          <w:bottom w:w="28" w:type="dxa"/>
          <w:right w:w="28" w:type="dxa"/>
        </w:tblCellMar>
      </w:tblPr>
      <w:tblGrid>
        <w:gridCol w:w="2941"/>
        <w:gridCol w:w="146"/>
        <w:gridCol w:w="217"/>
        <w:gridCol w:w="1163"/>
        <w:gridCol w:w="166"/>
        <w:gridCol w:w="146"/>
        <w:gridCol w:w="630"/>
        <w:gridCol w:w="1710"/>
        <w:gridCol w:w="191"/>
      </w:tblGrid>
      <w:tr>
        <w:trPr/>
        <w:tc>
          <w:tcPr>
            <w:tcW w:w="29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171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94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8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Number of 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4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Weighted-average</w:t>
              <w:br/>
              <w:t>grant date fair value per share</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9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Outstanding at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7" w:type="dxa"/>
            <w:tcBorders/>
            <w:shd w:fill="auto" w:val="clear"/>
            <w:vAlign w:val="center"/>
          </w:tcPr>
          <w:p>
            <w:pPr>
              <w:pStyle w:val="TableContents"/>
              <w:spacing w:lineRule="auto" w:line="252" w:before="0" w:after="0"/>
              <w:ind w:left="0" w:right="0" w:hanging="0"/>
              <w:jc w:val="left"/>
              <w:rPr/>
            </w:pPr>
            <w:r>
              <w:rPr/>
              <w:t> </w:t>
            </w:r>
          </w:p>
        </w:tc>
        <w:tc>
          <w:tcPr>
            <w:tcW w:w="116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710" w:type="dxa"/>
            <w:tcBorders/>
            <w:shd w:fill="auto" w:val="clear"/>
            <w:vAlign w:val="center"/>
          </w:tcPr>
          <w:p>
            <w:pPr>
              <w:pStyle w:val="TableContents"/>
              <w:spacing w:lineRule="auto" w:line="252" w:before="0" w:after="0"/>
              <w:ind w:left="0" w:right="0" w:hanging="0"/>
              <w:jc w:val="right"/>
              <w:rPr/>
            </w:pPr>
            <w:r>
              <w:rPr/>
              <w:t>—</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9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Granted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7" w:type="dxa"/>
            <w:tcBorders/>
            <w:shd w:fill="auto" w:val="clear"/>
            <w:vAlign w:val="center"/>
          </w:tcPr>
          <w:p>
            <w:pPr>
              <w:pStyle w:val="TableContents"/>
              <w:spacing w:lineRule="auto" w:line="252" w:before="0" w:after="0"/>
              <w:ind w:left="0" w:right="0" w:hanging="0"/>
              <w:jc w:val="left"/>
              <w:rPr/>
            </w:pPr>
            <w:r>
              <w:rPr/>
              <w:t> </w:t>
            </w:r>
          </w:p>
        </w:tc>
        <w:tc>
          <w:tcPr>
            <w:tcW w:w="116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240,888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left"/>
              <w:rPr/>
            </w:pPr>
            <w:r>
              <w:rPr/>
              <w:t> </w:t>
            </w:r>
          </w:p>
        </w:tc>
        <w:tc>
          <w:tcPr>
            <w:tcW w:w="171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12.14</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9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Forfeited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7" w:type="dxa"/>
            <w:tcBorders/>
            <w:shd w:fill="auto" w:val="clear"/>
            <w:vAlign w:val="center"/>
          </w:tcPr>
          <w:p>
            <w:pPr>
              <w:pStyle w:val="TableContents"/>
              <w:spacing w:lineRule="auto" w:line="252" w:before="0" w:after="0"/>
              <w:ind w:left="0" w:right="0" w:hanging="0"/>
              <w:jc w:val="left"/>
              <w:rPr/>
            </w:pPr>
            <w:r>
              <w:rPr/>
              <w:t> </w:t>
            </w:r>
          </w:p>
        </w:tc>
        <w:tc>
          <w:tcPr>
            <w:tcW w:w="116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(11,470</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left"/>
              <w:rPr/>
            </w:pPr>
            <w:r>
              <w:rPr/>
              <w:t> </w:t>
            </w:r>
          </w:p>
        </w:tc>
        <w:tc>
          <w:tcPr>
            <w:tcW w:w="171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12.14</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9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Vested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7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9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Outstanding at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6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229,418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71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12.14</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360" w:after="0"/>
        <w:jc w:val="left"/>
        <w:rPr>
          <w:rFonts w:ascii="Times New Roman" w:hAnsi="Times New Roman"/>
          <w:sz w:val="20"/>
        </w:rPr>
      </w:pPr>
      <w:r>
        <w:rPr>
          <w:rFonts w:ascii="Times New Roman" w:hAnsi="Times New Roman"/>
          <w:b/>
          <w:i/>
          <w:sz w:val="20"/>
        </w:rPr>
        <w:t>Employee Stock</w:t>
      </w:r>
      <w:r>
        <w:rPr>
          <w:rFonts w:ascii="Times New Roman" w:hAnsi="Times New Roman"/>
          <w:sz w:val="20"/>
        </w:rPr>
        <w:t xml:space="preserve"> </w:t>
      </w:r>
      <w:r>
        <w:rPr>
          <w:rFonts w:ascii="Times New Roman" w:hAnsi="Times New Roman"/>
          <w:b/>
          <w:i/>
          <w:sz w:val="20"/>
        </w:rPr>
        <w:t>Purchase Plan</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Company’s 2020 Employee Stock Purchase Plan (the “ESPP”), which was adopted by the Company’s board of directors in June 2020 and approved by the Company’s stockholders in July 2020, became effective upon the consummation of the IPO. A total of 952,524</w:t>
      </w:r>
      <w:r>
        <w:rPr>
          <w:rFonts w:ascii="Times New Roman" w:hAnsi="Times New Roman"/>
          <w:sz w:val="20"/>
        </w:rPr>
        <w:t xml:space="preserve"> </w:t>
      </w:r>
      <w:r>
        <w:rPr>
          <w:rFonts w:ascii="Times New Roman" w:hAnsi="Times New Roman"/>
          <w:b w:val="false"/>
          <w:sz w:val="20"/>
        </w:rPr>
        <w:t>shares of the Company’s common stock is available for issuance under the ESPP. The ESPP allows eligible employees to purchase shares of the Company’s common stock at a discount through payroll deductions of up to 15% of their eligible compensation, subject to any plan limitations. The ESPP provides for six-month</w:t>
      </w:r>
      <w:r>
        <w:rPr>
          <w:rFonts w:ascii="Times New Roman" w:hAnsi="Times New Roman"/>
          <w:sz w:val="20"/>
        </w:rPr>
        <w:t xml:space="preserve"> </w:t>
      </w:r>
      <w:r>
        <w:rPr>
          <w:rFonts w:ascii="Times New Roman" w:hAnsi="Times New Roman"/>
          <w:b w:val="false"/>
          <w:sz w:val="20"/>
        </w:rPr>
        <w:t>offering periods, and at the end of each offering period, employees are able to purchase shares at 85% of the lower of the fair market value of the Company’s common stock on the first trading day of the offering period or on the last trading day of the offering period. As of March 31, 2022, no</w:t>
      </w:r>
      <w:r>
        <w:rPr>
          <w:rFonts w:ascii="Times New Roman" w:hAnsi="Times New Roman"/>
          <w:sz w:val="20"/>
        </w:rPr>
        <w:t xml:space="preserve"> </w:t>
      </w:r>
      <w:r>
        <w:rPr>
          <w:rFonts w:ascii="Times New Roman" w:hAnsi="Times New Roman"/>
          <w:b w:val="false"/>
          <w:sz w:val="20"/>
        </w:rPr>
        <w:t>shares had been issued under the ESPP, and the full number of shares authorized under the ESPP Plan was available for issuance purposes.</w:t>
      </w:r>
    </w:p>
    <w:p>
      <w:pPr>
        <w:pStyle w:val="TextBody"/>
        <w:spacing w:lineRule="auto" w:line="273" w:before="360" w:after="0"/>
        <w:jc w:val="left"/>
        <w:rPr>
          <w:rFonts w:ascii="Times New Roman" w:hAnsi="Times New Roman"/>
          <w:sz w:val="20"/>
        </w:rPr>
      </w:pPr>
      <w:r>
        <w:rPr>
          <w:rFonts w:ascii="Times New Roman" w:hAnsi="Times New Roman"/>
          <w:b/>
          <w:i/>
          <w:sz w:val="20"/>
        </w:rPr>
        <w:t>Liability for Early Exercise of Restricted Stock Options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Shares subject to repurchase by the Company were 5,257</w:t>
      </w:r>
      <w:r>
        <w:rPr>
          <w:rFonts w:ascii="Times New Roman" w:hAnsi="Times New Roman"/>
          <w:sz w:val="20"/>
        </w:rPr>
        <w:t xml:space="preserve"> </w:t>
      </w:r>
      <w:r>
        <w:rPr>
          <w:rFonts w:ascii="Times New Roman" w:hAnsi="Times New Roman"/>
          <w:b w:val="false"/>
          <w:sz w:val="20"/>
        </w:rPr>
        <w:t>shares and 16,181</w:t>
      </w:r>
      <w:r>
        <w:rPr>
          <w:rFonts w:ascii="Times New Roman" w:hAnsi="Times New Roman"/>
          <w:sz w:val="20"/>
        </w:rPr>
        <w:t xml:space="preserve"> </w:t>
      </w:r>
      <w:r>
        <w:rPr>
          <w:rFonts w:ascii="Times New Roman" w:hAnsi="Times New Roman"/>
          <w:b w:val="false"/>
          <w:sz w:val="20"/>
        </w:rPr>
        <w:t>shares, and the related liability recorded under other long-term liabilities in the condensed balance sheets was insignificant as of March 31, 2022 and December 31, 2021, respectively.</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Share-Based Compensation Expense</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Share-based compensation expense for the three months ended March 31, 2022 and 2021 was as follows (in thousands):</w:t>
      </w:r>
      <w:r>
        <w:rPr>
          <w:rFonts w:ascii="Times New Roman" w:hAnsi="Times New Roman"/>
          <w:sz w:val="20"/>
        </w:rPr>
        <w:t xml:space="preserve"> </w:t>
      </w:r>
    </w:p>
    <w:p>
      <w:pPr>
        <w:pStyle w:val="TextBody"/>
        <w:spacing w:lineRule="auto" w:line="273" w:before="0" w:after="0"/>
        <w:jc w:val="left"/>
        <w:rPr/>
      </w:pPr>
      <w:r>
        <w:rPr/>
        <w:t> </w:t>
      </w:r>
    </w:p>
    <w:tbl>
      <w:tblPr>
        <w:tblW w:w="5124" w:type="dxa"/>
        <w:jc w:val="left"/>
        <w:tblInd w:w="0" w:type="dxa"/>
        <w:tblCellMar>
          <w:top w:w="28" w:type="dxa"/>
          <w:left w:w="28" w:type="dxa"/>
          <w:bottom w:w="28" w:type="dxa"/>
          <w:right w:w="28" w:type="dxa"/>
        </w:tblCellMar>
      </w:tblPr>
      <w:tblGrid>
        <w:gridCol w:w="2731"/>
        <w:gridCol w:w="146"/>
        <w:gridCol w:w="211"/>
        <w:gridCol w:w="571"/>
        <w:gridCol w:w="146"/>
        <w:gridCol w:w="146"/>
        <w:gridCol w:w="211"/>
        <w:gridCol w:w="571"/>
        <w:gridCol w:w="391"/>
      </w:tblGrid>
      <w:tr>
        <w:trPr/>
        <w:tc>
          <w:tcPr>
            <w:tcW w:w="27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73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Three Months Ended</w:t>
              <w:b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73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7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1,855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1,570</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27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2,242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1,777</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27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 share-based compensation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4,097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3,347</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120" w:after="0"/>
        <w:jc w:val="left"/>
        <w:rPr>
          <w:rFonts w:ascii="Times New Roman" w:hAnsi="Times New Roman"/>
          <w:sz w:val="20"/>
        </w:rPr>
      </w:pPr>
      <w:r>
        <w:rPr>
          <w:rFonts w:ascii="Times New Roman" w:hAnsi="Times New Roman"/>
          <w:b w:val="false"/>
          <w:sz w:val="20"/>
        </w:rPr>
        <w:t>The total unrecognized compensation cost related to unvested stock options was $38.9</w:t>
      </w:r>
      <w:r>
        <w:rPr>
          <w:rFonts w:ascii="Times New Roman" w:hAnsi="Times New Roman"/>
          <w:sz w:val="20"/>
        </w:rPr>
        <w:t xml:space="preserve"> </w:t>
      </w:r>
      <w:r>
        <w:rPr>
          <w:rFonts w:ascii="Times New Roman" w:hAnsi="Times New Roman"/>
          <w:b w:val="false"/>
          <w:sz w:val="20"/>
        </w:rPr>
        <w:t>million, which is expected to be recognized over a weighted-average remaining service period of 2.51</w:t>
      </w:r>
      <w:r>
        <w:rPr>
          <w:rFonts w:ascii="Times New Roman" w:hAnsi="Times New Roman"/>
          <w:sz w:val="20"/>
        </w:rPr>
        <w:t xml:space="preserve"> </w:t>
      </w:r>
      <w:r>
        <w:rPr>
          <w:rFonts w:ascii="Times New Roman" w:hAnsi="Times New Roman"/>
          <w:b w:val="false"/>
          <w:sz w:val="20"/>
        </w:rPr>
        <w:t>years as of March 31, 2022. The total unrecognized compensation cost related to unvested restricted stock awards was $2.6</w:t>
      </w:r>
      <w:r>
        <w:rPr>
          <w:rFonts w:ascii="Times New Roman" w:hAnsi="Times New Roman"/>
          <w:sz w:val="20"/>
        </w:rPr>
        <w:t xml:space="preserve"> </w:t>
      </w:r>
      <w:r>
        <w:rPr>
          <w:rFonts w:ascii="Times New Roman" w:hAnsi="Times New Roman"/>
          <w:b w:val="false"/>
          <w:sz w:val="20"/>
        </w:rPr>
        <w:t>million, which is expected to be recognized over a weighted-average remaining service period of 3.79</w:t>
      </w:r>
      <w:r>
        <w:rPr>
          <w:rFonts w:ascii="Times New Roman" w:hAnsi="Times New Roman"/>
          <w:sz w:val="20"/>
        </w:rPr>
        <w:t xml:space="preserve"> </w:t>
      </w:r>
      <w:r>
        <w:rPr>
          <w:rFonts w:ascii="Times New Roman" w:hAnsi="Times New Roman"/>
          <w:b w:val="false"/>
          <w:sz w:val="20"/>
        </w:rPr>
        <w:t>years as of March 31, 2022.</w:t>
      </w:r>
    </w:p>
    <w:p>
      <w:pPr>
        <w:pStyle w:val="TextBody"/>
        <w:spacing w:lineRule="auto" w:line="273" w:before="0" w:after="0"/>
        <w:jc w:val="left"/>
        <w:rPr/>
      </w:pPr>
      <w:r>
        <w:rPr/>
        <w:t> </w:t>
      </w:r>
    </w:p>
    <w:p>
      <w:pPr>
        <w:pStyle w:val="TextBody"/>
        <w:spacing w:lineRule="auto" w:line="273" w:before="360" w:after="0"/>
        <w:jc w:val="left"/>
        <w:rPr>
          <w:rFonts w:ascii="Times New Roman" w:hAnsi="Times New Roman"/>
          <w:sz w:val="20"/>
        </w:rPr>
      </w:pPr>
      <w:r>
        <w:rPr>
          <w:rFonts w:ascii="Times New Roman" w:hAnsi="Times New Roman"/>
          <w:b/>
          <w:sz w:val="20"/>
        </w:rPr>
        <w:t>10. Income Taxes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There was no</w:t>
      </w:r>
      <w:r>
        <w:rPr>
          <w:rFonts w:ascii="Times New Roman" w:hAnsi="Times New Roman"/>
          <w:sz w:val="20"/>
        </w:rPr>
        <w:t xml:space="preserve"> </w:t>
      </w:r>
      <w:r>
        <w:rPr>
          <w:rFonts w:ascii="Times New Roman" w:hAnsi="Times New Roman"/>
          <w:b w:val="false"/>
          <w:sz w:val="20"/>
        </w:rPr>
        <w:t>provision for income taxes recorded during the three months ended March 31, 2022 and 2021. The Company’s deferred tax assets continue to be fully offset by a valuation allowance.</w:t>
      </w:r>
    </w:p>
    <w:p>
      <w:pPr>
        <w:pStyle w:val="TextBody"/>
        <w:spacing w:lineRule="auto" w:line="273" w:before="360" w:after="0"/>
        <w:jc w:val="left"/>
        <w:rPr>
          <w:rFonts w:ascii="Times New Roman" w:hAnsi="Times New Roman"/>
          <w:sz w:val="20"/>
        </w:rPr>
      </w:pPr>
      <w:r>
        <w:rPr>
          <w:rFonts w:ascii="Times New Roman" w:hAnsi="Times New Roman"/>
          <w:b/>
          <w:sz w:val="20"/>
        </w:rPr>
        <w:t>11. Subsequent Events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On April 28, 2022, the Company issued and sold 15,333,334</w:t>
      </w:r>
      <w:r>
        <w:rPr>
          <w:rFonts w:ascii="Times New Roman" w:hAnsi="Times New Roman"/>
          <w:sz w:val="20"/>
        </w:rPr>
        <w:t xml:space="preserve"> </w:t>
      </w:r>
      <w:r>
        <w:rPr>
          <w:rFonts w:ascii="Times New Roman" w:hAnsi="Times New Roman"/>
          <w:b w:val="false"/>
          <w:sz w:val="20"/>
        </w:rPr>
        <w:t>shares of its common stock, including 2,000,000</w:t>
      </w:r>
      <w:r>
        <w:rPr>
          <w:rFonts w:ascii="Times New Roman" w:hAnsi="Times New Roman"/>
          <w:sz w:val="20"/>
        </w:rPr>
        <w:t xml:space="preserve"> </w:t>
      </w:r>
      <w:r>
        <w:rPr>
          <w:rFonts w:ascii="Times New Roman" w:hAnsi="Times New Roman"/>
          <w:b w:val="false"/>
          <w:sz w:val="20"/>
        </w:rPr>
        <w:t>shares associated with the full exercise of the underwriters’ option to purchase additional shares, at a price to the public of $15.00</w:t>
      </w:r>
      <w:r>
        <w:rPr>
          <w:rFonts w:ascii="Times New Roman" w:hAnsi="Times New Roman"/>
          <w:sz w:val="20"/>
        </w:rPr>
        <w:t xml:space="preserve"> </w:t>
      </w:r>
      <w:r>
        <w:rPr>
          <w:rFonts w:ascii="Times New Roman" w:hAnsi="Times New Roman"/>
          <w:b w:val="false"/>
          <w:sz w:val="20"/>
        </w:rPr>
        <w:t>per share. The total net proceeds to the Company from the offering were approximately $215.5</w:t>
      </w:r>
      <w:r>
        <w:rPr>
          <w:rFonts w:ascii="Times New Roman" w:hAnsi="Times New Roman"/>
          <w:sz w:val="20"/>
        </w:rPr>
        <w:t xml:space="preserve"> </w:t>
      </w:r>
      <w:r>
        <w:rPr>
          <w:rFonts w:ascii="Times New Roman" w:hAnsi="Times New Roman"/>
          <w:b w:val="false"/>
          <w:sz w:val="20"/>
        </w:rPr>
        <w:t>million, after deducting underwriting discounts and commissions and estimated offering expenses. The shares were issued pursuant to the Company’s Shelf Registration Statement.</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13</w:t>
      </w:r>
    </w:p>
    <w:p>
      <w:pPr>
        <w:pStyle w:val="HorizontalLine"/>
        <w:rPr/>
      </w:pPr>
      <w:r>
        <w:rPr/>
      </w:r>
    </w:p>
    <w:p>
      <w:pPr>
        <w:pStyle w:val="TextBody"/>
        <w:spacing w:lineRule="auto" w:line="273" w:before="0" w:after="0"/>
        <w:jc w:val="left"/>
        <w:rPr>
          <w:rFonts w:ascii="Times New Roman" w:hAnsi="Times New Roman"/>
          <w:b/>
          <w:sz w:val="20"/>
        </w:rPr>
      </w:pPr>
      <w:bookmarkStart w:id="9" w:name="item_2_managements_discussion_analysis_f"/>
      <w:bookmarkEnd w:id="9"/>
      <w:r>
        <w:rPr>
          <w:rFonts w:ascii="Times New Roman" w:hAnsi="Times New Roman"/>
          <w:b/>
          <w:sz w:val="20"/>
        </w:rPr>
        <w:t>Item 2. Management’s Discussion and Analysis of Financial Condition and Results of Operations.</w:t>
      </w:r>
    </w:p>
    <w:p>
      <w:pPr>
        <w:pStyle w:val="TextBody"/>
        <w:spacing w:lineRule="auto" w:line="273" w:before="120" w:after="0"/>
        <w:jc w:val="left"/>
        <w:rPr>
          <w:rFonts w:ascii="Times New Roman" w:hAnsi="Times New Roman"/>
          <w:b w:val="false"/>
          <w:i/>
          <w:sz w:val="20"/>
        </w:rPr>
      </w:pPr>
      <w:r>
        <w:rPr>
          <w:rFonts w:ascii="Times New Roman" w:hAnsi="Times New Roman"/>
          <w:b w:val="false"/>
          <w:i/>
          <w:sz w:val="20"/>
        </w:rPr>
        <w:t>You should read the following discussion and analysis of our financial condition and results of operations together with our financial statements and related notes included in Item 1 of Part I of this Quarterly Report on Form 10-Q and with the audited financial statements and the related notes included in our Annual Report on Form 10-K filed with the Securities and Exchange Commission (the “SEC”), on March 17, 2022 for the fiscal year ended December 31, 2021, including information with respect to our plans and strategy for our business and related financing. The discussion and analysis below includes forward-looking statements that involve risks and uncertainties, including those risks and uncertainties set forth in the sections titled “Risk Factors” of this Quarterly Report on Form 10-Q, which may cause our actual results to differ materially from the results described in or implied by the forward-looking statements contained in the following discussion and analysis. See “Cautionary Note Regarding Forward-Looking Statements” above. Unless the context otherwise requires, the terms “Company,” “Nkarta, Inc.,” “we,” “us” or “our” refer to Nkarta, Inc. We do not have any subsidiaries.</w:t>
      </w:r>
    </w:p>
    <w:p>
      <w:pPr>
        <w:pStyle w:val="TextBody"/>
        <w:spacing w:lineRule="auto" w:line="273" w:before="360" w:after="0"/>
        <w:jc w:val="left"/>
        <w:rPr>
          <w:rFonts w:ascii="Times New Roman" w:hAnsi="Times New Roman"/>
          <w:b/>
          <w:sz w:val="20"/>
        </w:rPr>
      </w:pPr>
      <w:r>
        <w:rPr>
          <w:rFonts w:ascii="Times New Roman" w:hAnsi="Times New Roman"/>
          <w:b/>
          <w:sz w:val="20"/>
        </w:rPr>
        <w:t>Overview</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are a biopharmaceutical company focused on the discovery, development and commercialization of allogeneic, off-the-shelf engineered natural killer (“NK”) cell therapies to treat cancer. We currently have co-lead product candidates, NKX101, a CAR-NK product candidate targeting cells that display NKG2D ligands, and NKX019, a CAR-NK product candidate targeting CD19, in ongoing Phase 1 clinical trials. Both product candidates incorporate proprietary technologies that enable us to generate an abundant supply of NK cells, improve the persistence of these cells for sustained activity in the body, engineer enhanced NK cell recognition of tumor targets, enhance cell fitness and tumor microenvironment evasion, and freeze, store and thaw our engineered NK cells for the treatment of cancer. Our product candidates are designed to be allogeneic and off-the-shelf, which means they are produced using cells from a different person than the patient treated, and they are produced in quantity, then frozen and therefore available for treating patients without delay, unlike autologous cell therapies, which are derived from a patient’s own cells. Based on published data from clinical trials of certain NK cell therapies, we believe that engineered NK cells have the potential to be an effective cancer therapy, be well tolerated, and avoid some of the toxicities observed with other cell therapies.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Our modular NK cell engineering platform is designed to address the limitations and challenges of current technologies for engineering T cells and NK cells and is a result of our internal expertise and deep understanding of NK cell biology. Our platform includes proprietary technologies for NK cell expansion, persistence, targeting and cryopreservation. All of our product candidates incorporate each of the four components of our technology platform, which we believe provides the best opportunity for achieving clinically meaningful results in our development program.</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NKX101 is currently being studied in a multi-center Phase 1 clinical trial in the U.S. for the treatment of relapsed/refractory acute myeloid leukemia ("AML") and higher-risk myelodysplastic syndromes ("MDS").This ongoing first-in-human study evaluates the safety, pharmacokinetics, and preliminary anti-tumor activity of NKX101 when administered after lymphodepleting chemotherapy. The clinical trial consists of dose-finding followed by dose-expansion and is designed to identify the recommended Phase 2 dose.</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NKX019 is currently being studied in a multi-center Phase 1 clinical trial in the U.S. and Australia for the treatment of a variety of B-cell malignancies by targeting the CD19 antigen that is found on these types of cancerous cells and where CD19-targeted engineered NK cells, T cells and monoclonal antibodies have demonstrated clinical activity. This ongoing first-in-human study evaluates the safety, pharmacokinetics, and preliminary anti-tumor activity of NKX019 when administered after lymphodepleting chemotherapy. The clinical trial consists of dose-finding followed by dose-expansion and is designed to identify the recommended Phase 2 dose.</w:t>
      </w:r>
    </w:p>
    <w:p>
      <w:pPr>
        <w:pStyle w:val="TextBody"/>
        <w:spacing w:lineRule="auto" w:line="273" w:before="120" w:after="0"/>
        <w:jc w:val="left"/>
        <w:rPr>
          <w:rFonts w:ascii="Times New Roman" w:hAnsi="Times New Roman"/>
          <w:sz w:val="20"/>
        </w:rPr>
      </w:pPr>
      <w:r>
        <w:rPr>
          <w:rFonts w:ascii="Times New Roman" w:hAnsi="Times New Roman"/>
          <w:b w:val="false"/>
          <w:sz w:val="20"/>
        </w:rPr>
        <w:t>Under the Company’s research collaboration agreement with CRISPR Therapeutics AG ("CRISPR") entered into in May 2021 (as amended, the "CRISPR Agreement"), we are collaboratively designing and advancing up to two (2) allogeneic, gene-edited NK cell therapies, one of which is the engineered CAR-NK product candidate targeting the CD70 tumor antigen, and one (1) allogeneic, gene-edited NK+T cell therapy.</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Since the commencement of our operations in 2015, we have devoted substantially all of our resources in support of our product development efforts, hiring personnel, raising capital to support and expand such activities and providing general and administrative support for these operations. We have not generated any revenue from product sales and have funded our operations primarily from our initial public offering (“IPO”) completed in July 2020, the issuance of convertible promissory notes, private placements of our preferred stock, our secondary offering completed in April 2022, and with proceeds from our previous collaboration. We incurred a net loss of $86.1 million and $91.4 million during the years ended December 31, 2021 and 2020, respectively, and $26.0 million and $19.4 million during the three months ended March 31, 2022 and 2021, respectively, and we expect to continue to incur significant losses for the foreseeable future. As of March 31, 2022, we had an accumulated deficit of $230.1 million. At March 31, 2022, we had cash, cash equivalents, restricted cash and short-term investments of $219.1 million.</w:t>
      </w:r>
    </w:p>
    <w:p>
      <w:pPr>
        <w:pStyle w:val="TextBody"/>
        <w:spacing w:lineRule="auto" w:line="273" w:before="120" w:after="0"/>
        <w:jc w:val="left"/>
        <w:rPr>
          <w:rFonts w:ascii="Times New Roman" w:hAnsi="Times New Roman"/>
          <w:sz w:val="20"/>
        </w:rPr>
      </w:pPr>
      <w:r>
        <w:rPr>
          <w:rFonts w:ascii="Times New Roman" w:hAnsi="Times New Roman"/>
          <w:b w:val="false"/>
          <w:sz w:val="20"/>
        </w:rPr>
        <w:t>We expect our operating expenses to significantly increase as we continue to develop and seek regulatory approvals for our product candidates, engage in other research and development activities to expand our pipeline of product candidates, maintain and</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14</w:t>
      </w:r>
    </w:p>
    <w:p>
      <w:pPr>
        <w:pStyle w:val="HorizontalLine"/>
        <w:rPr/>
      </w:pPr>
      <w:r>
        <w:rPr/>
      </w:r>
    </w:p>
    <w:p>
      <w:pPr>
        <w:pStyle w:val="TextBody"/>
        <w:spacing w:lineRule="auto" w:line="273" w:before="120" w:after="0"/>
        <w:jc w:val="left"/>
        <w:rPr>
          <w:rFonts w:ascii="Times New Roman" w:hAnsi="Times New Roman"/>
          <w:sz w:val="20"/>
        </w:rPr>
      </w:pPr>
      <w:r>
        <w:rPr>
          <w:rFonts w:ascii="Times New Roman" w:hAnsi="Times New Roman"/>
          <w:b w:val="false"/>
          <w:sz w:val="20"/>
        </w:rPr>
        <w:t>expand our intellectual property portfolio, and ultimately establish a commercial organization. We have also incurred increased operating expenses since becoming a public company, which we expect will further increase when we are no longer able to rely on certain “emerging growth company” exemptions we are afforded under the Jumpstart Our Business Startups Act (the “JOBS Act”) as further described under “—JOBS Act” below. Our net losses may fluctuate significantly from quarter-to-quarter and year-to-year, depending on the timing of our clinical trials, and our expenditures on other research and development activities.</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On April 28, 2022, we issued and sold 15,333,334 shares of our common stock in an underwritten public offering, including 2,000,000 shares associated with the full exercise of the underwriters’ option to purchase additional shares, at a price to the public of $15.00 per share. The total net proceeds from the offering were approximately $215.5 million, after deducting underwriting discounts and commissions and estimated offering expenses.</w:t>
      </w:r>
    </w:p>
    <w:p>
      <w:pPr>
        <w:pStyle w:val="TextBody"/>
        <w:spacing w:lineRule="auto" w:line="273" w:before="120" w:after="0"/>
        <w:jc w:val="left"/>
        <w:rPr>
          <w:rFonts w:ascii="Times New Roman" w:hAnsi="Times New Roman"/>
          <w:sz w:val="20"/>
        </w:rPr>
      </w:pPr>
      <w:r>
        <w:rPr>
          <w:rFonts w:ascii="Times New Roman" w:hAnsi="Times New Roman"/>
          <w:b w:val="false"/>
          <w:sz w:val="20"/>
        </w:rPr>
        <w:t>The COVID-19 pandemic has affected and may continue to affect our business and operations and those of third parties on which we rely, including by causing disruptions in the supply of our product candidates and the conduct and enrollment of current and future clinical trials. We have taken certain precautionary measures to minimize exposure of our employees to the virus and to comply with directives from public health officials. This includes work from home policies for our employees as well as enhanced safety measures for our employees and other personnel working in our offices, labs and manufacturing facility. We have mandated vaccination for our employees working on site and have encouraged vaccination of our employees working remotely. Some of the third-party vendors that we use, including some of our contract manufacturing sites, and our contract research organizations (“CROs”), have experienced employee turnover/attrition, delays or other disruptions during this pandemic and the accompanying flexible work options and, in some instances, costs have increased. We have incorporated remote monitoring of clinical trial sites, where feasible, for our ongoing NKX101 Phase 1 trial in the U.S. and ongoing NKX019 Phase 1 trial with sites in both the U.S. and Australia. In addition, we have experienced some internal delays due to COVID-19, including some delays in construction of our GMP manufacturing facility and in our internal research efforts. COVID-19 has also caused global supply shortages of certain materials that we and our contract development and manufacturing organization (“CDMO”) partners use for research and current good manufacturing practice manufacturing, such as certain raw materials, cell culture media, disposable plastics, and equipment. Supply chain and operational disruptions due to COVID-19 have contributed to certain enrollment delays in our NKX101 clinical trial. In addition, we have had minor delays in setting up clinical sites in our NKX019 clinical trial due to repurposing of healthcare personnel and facilities to support local pandemic efforts. We will continue to monitor the impact of COVID-19 and any additional waves of the pandemic on the Company’s operations including continued enrollment in the NKX101 and NKX019 clinical trials, as well as on our CROs, CDMOs, and clinical trial sites with respect to COVID-19 related shutdowns, restrictions on travel, and restrictions on hospital visits for clinical trial participants or clinical research staff. Our clinical programs may also be impacted by delays at the FDA or other regulatory authorities due to COVID-19. In response to the pandemic, the Coronavirus Aid, Relief and Economic Security Act (the "CARES Act") was signed into law on March 27, 2020. The CARES Act, among other things, includes provisions relating to refundable payroll tax credits, deferment of employer’s social security payments, net operating loss utilization and carryback periods, modifications to the net interest deduction limitations and technical corrections to tax depreciation methods for qualified improvement property. We continue to evaluate the impact of the CARES Act on our financial position, results of operations and cash flows. We currently do not believe the CARES Act will have a material impact on our financial condition, results of operations, or liquidity.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Financial Operations Overview</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i/>
          <w:sz w:val="20"/>
        </w:rPr>
        <w:t>Operating Expenses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i/>
          <w:sz w:val="20"/>
        </w:rPr>
        <w:t>Research and Development</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Research and development costs consist primarily of costs incurred for the discovery and clinical development of our drug candidates, which include:</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employee-related expenses, including salaries, related benefits, travel and share-based compensation expenses for employees engaged in research and development functions;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expenses incurred in connection with research, laboratory consumables, sponsored research, and preclinical studies;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expenses incurred in connection with conducting clinical trials including investigator grants and site payments for time and pass-through expenses and expenses incurred under agreements with CROs, other vendors or central laboratories and service providers engaged to conduct our trials;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cost of consultants engaged in research and development related services;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cost to manufacture drug products for use in our preclinical studies and clinical trials;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facilities, depreciation and other expenses, which include allocated expenses for rent and maintenance of facilities, insurance and supplies;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costs related to regulatory compliance;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the cost of annual license fees.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15</w:t>
      </w:r>
    </w:p>
    <w:p>
      <w:pPr>
        <w:pStyle w:val="HorizontalLine"/>
        <w:rPr/>
      </w:pPr>
      <w:r>
        <w:rPr/>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typically have various early-stage research and drug discovery projects as well as various product candidates undergoing clinical trials. Our internal resources, employees and infrastructure are not directly tied to any one research or drug discovery project and are typically deployed across multiple projects. As such, we do not maintain information regarding the costs incurred for these early-stage research and drug discovery programs on a project-specific basis.</w:t>
      </w:r>
    </w:p>
    <w:p>
      <w:pPr>
        <w:pStyle w:val="TextBody"/>
        <w:spacing w:lineRule="auto" w:line="273" w:before="240" w:after="0"/>
        <w:jc w:val="left"/>
        <w:rPr>
          <w:rFonts w:ascii="Times New Roman" w:hAnsi="Times New Roman"/>
          <w:sz w:val="20"/>
        </w:rPr>
      </w:pPr>
      <w:r>
        <w:rPr>
          <w:rFonts w:ascii="Times New Roman" w:hAnsi="Times New Roman"/>
          <w:b w:val="false"/>
          <w:sz w:val="20"/>
        </w:rPr>
        <w:t>We expense research and development costs as they are incurred. Nonrefundable advance payments for goods or services to be received in the future for use in research and development activities are recorded as prepaid expenses. The prepaid amounts are expensed as the related goods are delivered or the services are performed.</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following table summarizes our research and development expenses for the three months ended March 31, 2022 and 2021. The direct external development program expenses reflect external costs attributable to our clinical development candidates and preclinical candidates selected for further development. Such expenses include third-party contract costs relating to manufacturing, clinical trial activities, translational medicine and toxicology activities. The partner cost sharing represents reimbursable research and development expenses from the CRISPR Agreement. The unallocated internal research and development costs include personnel, facility costs, laboratory consumables and discovery and research related activities associated with our pipeline.</w:t>
      </w:r>
      <w:r>
        <w:rPr>
          <w:rFonts w:ascii="Times New Roman" w:hAnsi="Times New Roman"/>
          <w:sz w:val="20"/>
        </w:rPr>
        <w:t xml:space="preserve"> </w:t>
      </w:r>
    </w:p>
    <w:p>
      <w:pPr>
        <w:pStyle w:val="TextBody"/>
        <w:spacing w:lineRule="auto" w:line="273" w:before="0" w:after="0"/>
        <w:jc w:val="left"/>
        <w:rPr/>
      </w:pPr>
      <w:r>
        <w:rPr/>
        <w:t> </w:t>
      </w:r>
    </w:p>
    <w:tbl>
      <w:tblPr>
        <w:tblW w:w="7474" w:type="dxa"/>
        <w:jc w:val="left"/>
        <w:tblInd w:w="0" w:type="dxa"/>
        <w:tblCellMar>
          <w:top w:w="28" w:type="dxa"/>
          <w:left w:w="28" w:type="dxa"/>
          <w:bottom w:w="28" w:type="dxa"/>
          <w:right w:w="28" w:type="dxa"/>
        </w:tblCellMar>
      </w:tblPr>
      <w:tblGrid>
        <w:gridCol w:w="4651"/>
        <w:gridCol w:w="146"/>
        <w:gridCol w:w="211"/>
        <w:gridCol w:w="676"/>
        <w:gridCol w:w="166"/>
        <w:gridCol w:w="146"/>
        <w:gridCol w:w="211"/>
        <w:gridCol w:w="676"/>
        <w:gridCol w:w="591"/>
      </w:tblGrid>
      <w:tr>
        <w:trPr/>
        <w:tc>
          <w:tcPr>
            <w:tcW w:w="46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46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8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Three Months Ended</w:t>
              <w:br/>
              <w:t>March 31,</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6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6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86"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591" w:type="dxa"/>
            <w:tcBorders/>
            <w:shd w:fill="auto" w:val="clear"/>
            <w:vAlign w:val="center"/>
          </w:tcPr>
          <w:p>
            <w:pPr>
              <w:pStyle w:val="TableContents"/>
              <w:spacing w:lineRule="auto" w:line="252" w:before="0" w:after="0"/>
              <w:ind w:left="0" w:right="0" w:hanging="0"/>
              <w:jc w:val="center"/>
              <w:rPr/>
            </w:pPr>
            <w:r>
              <w:rPr/>
              <w:t> </w:t>
            </w:r>
          </w:p>
        </w:tc>
      </w:tr>
      <w:tr>
        <w:trPr/>
        <w:tc>
          <w:tcPr>
            <w:tcW w:w="46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Direct external development program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200"/>
              <w:jc w:val="right"/>
              <w:rPr/>
            </w:pPr>
            <w:r>
              <w:rPr/>
              <w:t> </w:t>
            </w:r>
          </w:p>
        </w:tc>
      </w:tr>
      <w:tr>
        <w:trPr/>
        <w:tc>
          <w:tcPr>
            <w:tcW w:w="465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NKX101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3,487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2,008</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465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NKX019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2,320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986</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465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CD70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292</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465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NK+T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465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Program 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591" w:type="dxa"/>
            <w:tcBorders/>
            <w:shd w:fill="auto" w:val="clear"/>
            <w:vAlign w:val="center"/>
          </w:tcPr>
          <w:p>
            <w:pPr>
              <w:pStyle w:val="TableContents"/>
              <w:spacing w:lineRule="auto" w:line="252" w:before="0" w:after="0"/>
              <w:ind w:left="0" w:right="0" w:hanging="0"/>
              <w:jc w:val="left"/>
              <w:rPr/>
            </w:pPr>
            <w:r>
              <w:rPr/>
              <w:t> </w:t>
            </w:r>
          </w:p>
        </w:tc>
      </w:tr>
      <w:tr>
        <w:trPr/>
        <w:tc>
          <w:tcPr>
            <w:tcW w:w="46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Partner cost sharing</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(1,049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591" w:type="dxa"/>
            <w:tcBorders/>
            <w:shd w:fill="auto" w:val="clear"/>
            <w:vAlign w:val="center"/>
          </w:tcPr>
          <w:p>
            <w:pPr>
              <w:pStyle w:val="TableContents"/>
              <w:spacing w:lineRule="auto" w:line="252" w:before="0" w:after="0"/>
              <w:ind w:left="0" w:right="0" w:hanging="0"/>
              <w:jc w:val="left"/>
              <w:rPr/>
            </w:pPr>
            <w:r>
              <w:rPr/>
              <w:t> </w:t>
            </w:r>
          </w:p>
        </w:tc>
      </w:tr>
      <w:tr>
        <w:trPr/>
        <w:tc>
          <w:tcPr>
            <w:tcW w:w="46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Unallocated internal research and development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200"/>
              <w:jc w:val="right"/>
              <w:rPr/>
            </w:pPr>
            <w:r>
              <w:rPr/>
              <w:t> </w:t>
            </w:r>
          </w:p>
        </w:tc>
      </w:tr>
      <w:tr>
        <w:trPr/>
        <w:tc>
          <w:tcPr>
            <w:tcW w:w="465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Personnel related (including share-based compensation)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8,726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6,928</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465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Others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5,742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3,325</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465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research and development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19,568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13,539</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40" w:after="0"/>
        <w:jc w:val="left"/>
        <w:rPr>
          <w:rFonts w:ascii="Times New Roman" w:hAnsi="Times New Roman"/>
          <w:sz w:val="20"/>
        </w:rPr>
      </w:pPr>
      <w:r>
        <w:rPr>
          <w:rFonts w:ascii="Times New Roman" w:hAnsi="Times New Roman"/>
          <w:b w:val="false"/>
          <w:sz w:val="20"/>
        </w:rPr>
        <w:t>Research and development activities are central to our business model.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regulatory factors beyond our control may impact our clinical development programs. Drug candidates in later stages of clinical development generally have higher development costs than those in earlier stages of clinical development, primarily due to the increased size and duration of later-stage clinical trials. At this time, we cannot reasonably estimate or know the nature, timing and costs of the efforts that will be necessary to complete the preclinical and clinical development of any of our drug candidates. However, we expect that our research and development expenses will increase substantially in connection with our planned preclinical and clinical development activities in the near term and in the future.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successful development of our drug candidates is highly uncertain. A change in the outcome of any of a number of variables with respect to the development of our drug candidates may significantly impact the costs and timing associated with the development of our drug candidates. A discussion of the risks and uncertainties that we face in the development and commercialization of our drug candidates can be found under Part II, Item 1A, “Risk Factors” in this Quarterly Report on Form 10-Q. We may never succeed in obtaining regulatory approval for any of our drug candidates.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val="false"/>
          <w:i/>
          <w:sz w:val="20"/>
        </w:rPr>
        <w:t>General and Administrative</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General and administrative expenses consist primarily of salaries and employee-related costs, including share-based compensation, for personnel in executive, finance and other administrative functions. Other significant costs include legal fees relating to intellectual property and corporate matters, professional fees for accounting and consulting services and facility-related costs.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expect our general and administrative expenses will increase for the foreseeable future to support our increased research and development activities and to reflect increased costs associated with operating as a public company. These increased costs will likely include increased expenses related to audit, legal, regulatory and tax-related services associated with maintaining compliance with exchange listing and SEC requirements, director and officer insurance premiums and investor relations costs.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16</w:t>
      </w:r>
    </w:p>
    <w:p>
      <w:pPr>
        <w:pStyle w:val="HorizontalLine"/>
        <w:rPr/>
      </w:pPr>
      <w:r>
        <w:rPr/>
      </w:r>
    </w:p>
    <w:p>
      <w:pPr>
        <w:pStyle w:val="TextBody"/>
        <w:spacing w:lineRule="auto" w:line="273" w:before="360" w:after="0"/>
        <w:jc w:val="left"/>
        <w:rPr>
          <w:rFonts w:ascii="Times New Roman" w:hAnsi="Times New Roman"/>
          <w:sz w:val="20"/>
        </w:rPr>
      </w:pPr>
      <w:r>
        <w:rPr>
          <w:rFonts w:ascii="Times New Roman" w:hAnsi="Times New Roman"/>
          <w:b/>
          <w:i/>
          <w:sz w:val="20"/>
        </w:rPr>
        <w:t>Other Income (Expense)</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i/>
          <w:sz w:val="20"/>
        </w:rPr>
        <w:t>Interest Income</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Interest income consists of interest earned on our cash, cash equivalents and short-term investments and adjustments related to amortization of purchase premiums and accretion of discounts of short-term investments.</w:t>
      </w:r>
      <w:r>
        <w:rPr>
          <w:rFonts w:ascii="Times New Roman" w:hAnsi="Times New Roman"/>
          <w:sz w:val="20"/>
        </w:rPr>
        <w:t xml:space="preserve"> </w:t>
      </w:r>
    </w:p>
    <w:p>
      <w:pPr>
        <w:pStyle w:val="TextBody"/>
        <w:spacing w:lineRule="auto" w:line="273" w:before="360" w:after="0"/>
        <w:jc w:val="left"/>
        <w:rPr>
          <w:rFonts w:ascii="Times New Roman" w:hAnsi="Times New Roman"/>
          <w:b/>
          <w:sz w:val="20"/>
        </w:rPr>
      </w:pPr>
      <w:r>
        <w:rPr>
          <w:rFonts w:ascii="Times New Roman" w:hAnsi="Times New Roman"/>
          <w:b/>
          <w:sz w:val="20"/>
        </w:rPr>
        <w:t>Results of Operations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following table summarizes our results of operations for the periods indicated (in thousands):</w:t>
      </w:r>
    </w:p>
    <w:p>
      <w:pPr>
        <w:pStyle w:val="TextBody"/>
        <w:spacing w:lineRule="auto" w:line="273" w:before="120" w:after="0"/>
        <w:jc w:val="left"/>
        <w:rPr/>
      </w:pPr>
      <w:r>
        <w:rPr/>
        <w:t> </w:t>
      </w:r>
    </w:p>
    <w:tbl>
      <w:tblPr>
        <w:tblW w:w="6343" w:type="dxa"/>
        <w:jc w:val="left"/>
        <w:tblInd w:w="0" w:type="dxa"/>
        <w:tblCellMar>
          <w:top w:w="28" w:type="dxa"/>
          <w:left w:w="28" w:type="dxa"/>
          <w:bottom w:w="28" w:type="dxa"/>
          <w:right w:w="28" w:type="dxa"/>
        </w:tblCellMar>
      </w:tblPr>
      <w:tblGrid>
        <w:gridCol w:w="2446"/>
        <w:gridCol w:w="146"/>
        <w:gridCol w:w="211"/>
        <w:gridCol w:w="736"/>
        <w:gridCol w:w="166"/>
        <w:gridCol w:w="146"/>
        <w:gridCol w:w="211"/>
        <w:gridCol w:w="736"/>
        <w:gridCol w:w="166"/>
        <w:gridCol w:w="146"/>
        <w:gridCol w:w="211"/>
        <w:gridCol w:w="631"/>
        <w:gridCol w:w="391"/>
      </w:tblGrid>
      <w:tr>
        <w:trPr/>
        <w:tc>
          <w:tcPr>
            <w:tcW w:w="24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4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60"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4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Change</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4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2"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244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19,568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13,539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6,029</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244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6,530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5,942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588</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4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26,098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19,481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6,617</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4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Loss from operations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(26,098</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(19,481</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(6,617</w:t>
            </w:r>
          </w:p>
        </w:tc>
        <w:tc>
          <w:tcPr>
            <w:tcW w:w="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4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income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2"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244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Interest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244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Other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4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 xml:space="preserve">Total other income </w:t>
              <w:br/>
              <w:t>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4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(25,987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(19,373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(6,614</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273" w:before="160" w:after="0"/>
        <w:jc w:val="left"/>
        <w:rPr/>
      </w:pPr>
      <w:r>
        <w:rPr/>
        <w:t> </w:t>
      </w:r>
    </w:p>
    <w:p>
      <w:pPr>
        <w:pStyle w:val="TextBody"/>
        <w:spacing w:lineRule="auto" w:line="273" w:before="120" w:after="0"/>
        <w:jc w:val="left"/>
        <w:rPr>
          <w:rFonts w:ascii="Times New Roman" w:hAnsi="Times New Roman"/>
          <w:sz w:val="20"/>
        </w:rPr>
      </w:pPr>
      <w:r>
        <w:rPr>
          <w:rFonts w:ascii="Times New Roman" w:hAnsi="Times New Roman"/>
          <w:b/>
          <w:i/>
          <w:sz w:val="20"/>
        </w:rPr>
        <w:t>Comparison of the Three Months Ended March 31, 2022 and 2021</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Research and development expenses</w:t>
      </w:r>
      <w:r>
        <w:rPr>
          <w:rFonts w:ascii="Times New Roman" w:hAnsi="Times New Roman"/>
          <w:b w:val="false"/>
          <w:sz w:val="20"/>
        </w:rPr>
        <w:t>. Research and development expenses were $19.6 million and $13.5 million for the three months ended March 31, 2022 and 2021, respectively. The increase of $6.0 million was primarily due to an increase in personnel costs of $1.8 million, including an increase in share-based compensation expense of $0.3 million as a result of continued growth in headcount, an increase of $2.9 million in program costs primarily relating to NKX101 and NKX019 and $2.4 million in other internal research costs, primarily consisting of research and laboratory supplies and facilities expenses, partially offset by $1.0 million in partner cost sharing reimbursable expenses from the CRISPR Agreement. The increase in program costs relating to NKX101 and NKX019 is primarily due to additional clinical development activities compared to the prior year period. We expect our research and development expenses will continue to increase in future periods as we progress our product candidates and conduct our clinical trials and development activities.</w:t>
      </w:r>
    </w:p>
    <w:p>
      <w:pPr>
        <w:pStyle w:val="TextBody"/>
        <w:spacing w:lineRule="auto" w:line="273" w:before="240" w:after="0"/>
        <w:jc w:val="left"/>
        <w:rPr>
          <w:rFonts w:ascii="Times New Roman" w:hAnsi="Times New Roman"/>
          <w:sz w:val="20"/>
        </w:rPr>
      </w:pPr>
      <w:r>
        <w:rPr>
          <w:rFonts w:ascii="Times New Roman" w:hAnsi="Times New Roman"/>
          <w:b/>
          <w:sz w:val="20"/>
        </w:rPr>
        <w:t>General and administrative expenses</w:t>
      </w:r>
      <w:r>
        <w:rPr>
          <w:rFonts w:ascii="Times New Roman" w:hAnsi="Times New Roman"/>
          <w:b w:val="false"/>
          <w:sz w:val="20"/>
        </w:rPr>
        <w:t>. General and administrative expenses were $6.5 million and $5.9 million for the three months ended March 31, 2022 and 2021, respectively. The increase of $0.6 million was primarily due to an increase in personnel costs of $0.8 million, including an increase of $0.5 million in share-based compensation expense as a result of continued growth in headcount, and a $0.2 million increase in other general and administrative expenses that included insurance, rent, depreciation expense and other facilities expense, partially offset by a $0.4 million decrease in legal expenses. We have incurred and expect to continue to incur additional expenses as a result of being a public company, which we expect will further increase when we no longer qualify as an “emerging growth company” under the JOBS Act. In addition, we have incurred and expect to continue to incur increased expenses related to additional insurance, investor relations and other increases related to needs for additional human resources and professional services associated with being a public company.</w:t>
      </w:r>
    </w:p>
    <w:p>
      <w:pPr>
        <w:pStyle w:val="TextBody"/>
        <w:spacing w:lineRule="auto" w:line="273" w:before="240" w:after="0"/>
        <w:jc w:val="left"/>
        <w:rPr>
          <w:rFonts w:ascii="Times New Roman" w:hAnsi="Times New Roman"/>
          <w:sz w:val="20"/>
        </w:rPr>
      </w:pPr>
      <w:r>
        <w:rPr>
          <w:rFonts w:ascii="Times New Roman" w:hAnsi="Times New Roman"/>
          <w:b/>
          <w:sz w:val="20"/>
        </w:rPr>
        <w:t>Interest income</w:t>
      </w:r>
      <w:r>
        <w:rPr>
          <w:rFonts w:ascii="Times New Roman" w:hAnsi="Times New Roman"/>
          <w:b w:val="false"/>
          <w:sz w:val="20"/>
        </w:rPr>
        <w:t>. Interest income was $0.1 million for both the three months ended March 31, 2022 and 2021. Interest income was due to interest earned from short-term investments, partially offset by amortization of purchase premiums and accretion of discounts of short-term investments.</w:t>
      </w:r>
    </w:p>
    <w:p>
      <w:pPr>
        <w:pStyle w:val="TextBody"/>
        <w:spacing w:lineRule="auto" w:line="273" w:before="240" w:after="0"/>
        <w:jc w:val="left"/>
        <w:rPr>
          <w:rFonts w:ascii="Times New Roman" w:hAnsi="Times New Roman"/>
          <w:b/>
          <w:sz w:val="20"/>
        </w:rPr>
      </w:pPr>
      <w:r>
        <w:rPr>
          <w:rFonts w:ascii="Times New Roman" w:hAnsi="Times New Roman"/>
          <w:b/>
          <w:sz w:val="20"/>
        </w:rPr>
        <w:t>Liquidity and Capital Resources</w:t>
      </w:r>
    </w:p>
    <w:p>
      <w:pPr>
        <w:pStyle w:val="TextBody"/>
        <w:spacing w:lineRule="auto" w:line="273" w:before="120" w:after="0"/>
        <w:jc w:val="left"/>
        <w:rPr>
          <w:rFonts w:ascii="Times New Roman" w:hAnsi="Times New Roman"/>
          <w:sz w:val="20"/>
        </w:rPr>
      </w:pPr>
      <w:r>
        <w:rPr>
          <w:rFonts w:ascii="Times New Roman" w:hAnsi="Times New Roman"/>
          <w:b/>
          <w:i/>
          <w:sz w:val="20"/>
        </w:rPr>
        <w:t>Sources of Liquidity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As of March 31, 2022, we had cash, cash equivalents, restricted cash and short-term investments of $219.1 million. In connection with our IPO which closed on July 14, 2020, we received $265.1 million in net proceeds, after deducting underwriting discounts and commissions and other offering expenses.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17</w:t>
      </w:r>
    </w:p>
    <w:p>
      <w:pPr>
        <w:pStyle w:val="HorizontalLine"/>
        <w:rPr/>
      </w:pPr>
      <w:r>
        <w:rPr/>
      </w:r>
    </w:p>
    <w:p>
      <w:pPr>
        <w:pStyle w:val="TextBody"/>
        <w:spacing w:lineRule="auto" w:line="273" w:before="240" w:after="0"/>
        <w:jc w:val="left"/>
        <w:rPr>
          <w:rFonts w:ascii="Times New Roman" w:hAnsi="Times New Roman"/>
          <w:sz w:val="20"/>
        </w:rPr>
      </w:pPr>
      <w:r>
        <w:rPr>
          <w:rFonts w:ascii="Times New Roman" w:hAnsi="Times New Roman"/>
          <w:b w:val="false"/>
          <w:sz w:val="20"/>
        </w:rPr>
        <w:t>On August 12, 2021, we filed a Registration Statement on Form S-3 (the “Shelf Registration Statement”), covering the offer and sale from time to time, pursuant to Rule 415 of the Securities Act of 1933, as amended (the “Securities Act”), of up to $500.0 million in aggregate offering price of shares of our common stock, shares of our preferred stock, debt securities, warrants, and rights and units. The Shelf Registration Statement was declared effective by the SEC on September 2, 2021. The Shelf Registration Statement included a prospectus covering the offer and sale from time to time of up to $150.0 million in aggregate offering price of shares of the Company’s common stock through an “at-the-market” equity offering program under the Securities Act (the “ATM Offering Program”) with Cowen and Company, LLC, as sales agent. As of March 31, 2022, no sales of our common stock had been made pursuant to the ATM Offering Program.</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On April 28, 2022, we issued and sold 15,333,334 shares of our common stock in an underwritten public offering, including 2,000,000 shares associated with the full exercise of the underwriters’ option to purchase additional shares, at a price to the public of $15.00 per share. The total net proceeds from the offering were approximately $215.5 million, after deducting underwriting discounts and commissions and estimated offering expenses.</w:t>
      </w:r>
    </w:p>
    <w:p>
      <w:pPr>
        <w:pStyle w:val="TextBody"/>
        <w:spacing w:lineRule="auto" w:line="273" w:before="120" w:after="0"/>
        <w:jc w:val="left"/>
        <w:rPr>
          <w:rFonts w:ascii="Times New Roman" w:hAnsi="Times New Roman"/>
          <w:sz w:val="20"/>
        </w:rPr>
      </w:pPr>
      <w:r>
        <w:rPr>
          <w:rFonts w:ascii="Times New Roman" w:hAnsi="Times New Roman"/>
          <w:b w:val="false"/>
          <w:sz w:val="20"/>
        </w:rPr>
        <w:t>We have incurred net losses and negative cash flows from operations since our inception and anticipate that we will continue to incur net losses for the foreseeable future. We expect to incur substantial expenditures as we develop our product pipeline and advance our drug candidates through clinical development, undergo the regulatory approval process and, if approved, launch commercial activities. Specifically, in the near term we expect to incur substantial expenses relating to initiating and completing our clinical trials, the development and validation of our manufacturing processes, and other development activities. Furthermore, we expect to incur additional costs associated with operating as a public company, including significant legal, accounting, investor relations and other expenses that we did not incur as a private company.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will need substantial additional funding to support our continuing operations and pursue our long-term development strategy. Until such time as we can generate significant revenue from sales of our drug candidates, if ever, we may seek additional funding through the issuance of our common stock, including through our ATM Offering Program, other equity or debt financing or collaborations or partnerships with other companies. The amount and timing of our future funding requirements will depend on many factors, including the pace and results of our clinical development efforts for our product candidates and other research, development and manufacturing activities. We may not be able to raise additional capital on terms acceptable to us, or at all. If we fail to raise capital or enter into such agreements as, and when, needed, we may have to significantly delay, scale back, or discontinue the development and commercialization of our drug candidates or delay our efforts to expand our product pipeline. We may also be required to sell or license to other parties’ rights to develop or commercialize our drug candidates that we would prefer to retain.</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believe that our current cash, cash equivalents, restricted cash and short-term investments as of March 31, 2022 will be sufficient to meet our cash needs for at least 12 months following the issuance date of this Quarterly Report on Form 10-Q.</w:t>
      </w:r>
    </w:p>
    <w:p>
      <w:pPr>
        <w:pStyle w:val="TextBody"/>
        <w:spacing w:lineRule="auto" w:line="273" w:before="360" w:after="0"/>
        <w:jc w:val="left"/>
        <w:rPr>
          <w:rFonts w:ascii="Times New Roman" w:hAnsi="Times New Roman"/>
          <w:sz w:val="20"/>
        </w:rPr>
      </w:pPr>
      <w:r>
        <w:rPr>
          <w:rFonts w:ascii="Times New Roman" w:hAnsi="Times New Roman"/>
          <w:b/>
          <w:i/>
          <w:sz w:val="20"/>
        </w:rPr>
        <w:t>Cash Flows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following table sets forth a summary of our cash flows for the periods indicated (in thousands):</w:t>
      </w:r>
      <w:r>
        <w:rPr>
          <w:rFonts w:ascii="Times New Roman" w:hAnsi="Times New Roman"/>
          <w:sz w:val="20"/>
        </w:rPr>
        <w:t xml:space="preserve"> </w:t>
      </w:r>
    </w:p>
    <w:p>
      <w:pPr>
        <w:pStyle w:val="TextBody"/>
        <w:spacing w:lineRule="auto" w:line="273" w:before="0" w:after="0"/>
        <w:jc w:val="left"/>
        <w:rPr/>
      </w:pPr>
      <w:r>
        <w:rPr/>
        <w:t> </w:t>
      </w:r>
    </w:p>
    <w:tbl>
      <w:tblPr>
        <w:tblW w:w="6239" w:type="dxa"/>
        <w:jc w:val="left"/>
        <w:tblInd w:w="0" w:type="dxa"/>
        <w:tblCellMar>
          <w:top w:w="28" w:type="dxa"/>
          <w:left w:w="28" w:type="dxa"/>
          <w:bottom w:w="28" w:type="dxa"/>
          <w:right w:w="28" w:type="dxa"/>
        </w:tblCellMar>
      </w:tblPr>
      <w:tblGrid>
        <w:gridCol w:w="3496"/>
        <w:gridCol w:w="146"/>
        <w:gridCol w:w="211"/>
        <w:gridCol w:w="736"/>
        <w:gridCol w:w="166"/>
        <w:gridCol w:w="146"/>
        <w:gridCol w:w="211"/>
        <w:gridCol w:w="736"/>
        <w:gridCol w:w="391"/>
      </w:tblGrid>
      <w:tr>
        <w:trPr/>
        <w:tc>
          <w:tcPr>
            <w:tcW w:w="3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4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0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Three Months Ended</w:t>
              <w:b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4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4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cash used in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(18,258</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(14,647</w:t>
            </w:r>
          </w:p>
        </w:tc>
        <w:tc>
          <w:tcPr>
            <w:tcW w:w="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4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cash used in 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(1,026</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(20,194</w:t>
            </w:r>
          </w:p>
        </w:tc>
        <w:tc>
          <w:tcPr>
            <w:tcW w:w="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4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cash provided by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757</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349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Net decrease in 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(19,205</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(34,084</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273" w:before="0" w:after="0"/>
        <w:jc w:val="left"/>
        <w:rPr/>
      </w:pPr>
      <w:r>
        <w:rPr/>
        <w:t> </w:t>
      </w:r>
    </w:p>
    <w:p>
      <w:pPr>
        <w:pStyle w:val="TextBody"/>
        <w:spacing w:lineRule="auto" w:line="273" w:before="160" w:after="0"/>
        <w:jc w:val="left"/>
        <w:rPr>
          <w:rFonts w:ascii="Times New Roman" w:hAnsi="Times New Roman"/>
          <w:sz w:val="20"/>
        </w:rPr>
      </w:pPr>
      <w:r>
        <w:rPr>
          <w:rFonts w:ascii="Times New Roman" w:hAnsi="Times New Roman"/>
          <w:b w:val="false"/>
          <w:i/>
          <w:sz w:val="20"/>
        </w:rPr>
        <w:t>Operating Activities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Net cash used in operating activities was $18.3 million and $14.6 million for the three months ended March 31, 2022 and 2021, respectively. The net cash used in operating activities for the three months ended March 31, 2022 was primarily due to our net loss of $26.0 million, adjusted for $7.7 million of net non-cash charges consisting primarily of share-based compensation of $4.1</w:t>
      </w:r>
      <w:r>
        <w:rPr>
          <w:rFonts w:ascii="Times New Roman" w:hAnsi="Times New Roman"/>
          <w:sz w:val="20"/>
        </w:rPr>
        <w:t xml:space="preserve"> </w:t>
      </w:r>
      <w:r>
        <w:rPr>
          <w:rFonts w:ascii="Times New Roman" w:hAnsi="Times New Roman"/>
          <w:b w:val="false"/>
          <w:sz w:val="20"/>
        </w:rPr>
        <w:t>million, depreciation and amortization of $0.6</w:t>
      </w:r>
      <w:r>
        <w:rPr>
          <w:rFonts w:ascii="Times New Roman" w:hAnsi="Times New Roman"/>
          <w:sz w:val="20"/>
        </w:rPr>
        <w:t xml:space="preserve"> </w:t>
      </w:r>
      <w:r>
        <w:rPr>
          <w:rFonts w:ascii="Times New Roman" w:hAnsi="Times New Roman"/>
          <w:b w:val="false"/>
          <w:sz w:val="20"/>
        </w:rPr>
        <w:t>million, investment accretion and amortization of $0.7 million, non-cash lease expense of $1.4 million and a $0.9 million net change in operating assets and liabilities. The net cash used in operating activities for the three months ended March 31, 2021 was primarily due to our net loss of $19.4 million, adjusted for $4.5 million of net non-cash charges for share-based compensation of $3.3 million, depreciation and amortization of $0.3 million, investment accretion and amortization of $0.8 million, and a $0.2 million net change in operating assets and liabilities.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18</w:t>
      </w:r>
    </w:p>
    <w:p>
      <w:pPr>
        <w:pStyle w:val="HorizontalLine"/>
        <w:rPr/>
      </w:pPr>
      <w:r>
        <w:rPr/>
      </w:r>
    </w:p>
    <w:p>
      <w:pPr>
        <w:pStyle w:val="TextBody"/>
        <w:spacing w:lineRule="auto" w:line="273" w:before="360" w:after="0"/>
        <w:jc w:val="left"/>
        <w:rPr>
          <w:rFonts w:ascii="Times New Roman" w:hAnsi="Times New Roman"/>
          <w:sz w:val="20"/>
        </w:rPr>
      </w:pPr>
      <w:r>
        <w:rPr>
          <w:rFonts w:ascii="Times New Roman" w:hAnsi="Times New Roman"/>
          <w:b w:val="false"/>
          <w:i/>
          <w:sz w:val="20"/>
        </w:rPr>
        <w:t>Investing Activities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Net cash used in investing activities was $1.0 million and $20.2 million for the three months ended March 31, 2022 and 2021, respectively. The net cash used in investing activities for the three months ended March 31, 2022 was primarily due to purchases of short-term investments of $28.5 million and purchases of property and equipment of $1.8 million primarily related to the construction of our manufacturing facility, partially offset by proceeds from maturities of short-term investments of $29.2 million. The net cash used in investing activities for the three months ended March 31, 2021 was primarily due to purchases of short-term investments of $35.2 million, partially offset by proceeds from maturities of short-term investments of $16.0 million and purchases of property and equipment of $1.0 million primarily related to the construction of our manufacturing facility.</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val="false"/>
          <w:i/>
          <w:sz w:val="20"/>
        </w:rPr>
        <w:t>Financing Activities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Net cash provided by financing activities was $0.1 million for the three months ended March 31, 2022, primarily due to proceeds from the exercise of stock options. Net cash provided by financing activities was $0.8 million for the three months ended March 31, 2021, primarily due to proceeds from the exercise of stock options.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Funding Requirements</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Based upon our current operating plans, we believe that our existing cash, cash equivalents, restricted cash and short-term investments will be sufficient to fund our operations for at least the next 12 months from the date of this Quarterly Report on Form 10-Q.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therapeutic product candidates in clinical trials is costly, and the timing of progress and expenses in these trials is uncertain.</w:t>
      </w:r>
    </w:p>
    <w:p>
      <w:pPr>
        <w:pStyle w:val="TextBody"/>
        <w:spacing w:lineRule="auto" w:line="273" w:before="240" w:after="0"/>
        <w:jc w:val="left"/>
        <w:rPr>
          <w:rFonts w:ascii="Times New Roman" w:hAnsi="Times New Roman"/>
          <w:sz w:val="20"/>
        </w:rPr>
      </w:pPr>
      <w:r>
        <w:rPr>
          <w:rFonts w:ascii="Times New Roman" w:hAnsi="Times New Roman"/>
          <w:b w:val="false"/>
          <w:sz w:val="20"/>
        </w:rPr>
        <w:t>Our future capital requirements will depend on many factors, including: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type, number, scope, progress, expansions, results, costs and timing of our clinical trials and preclinical studies for our product candidates or other potential product candidates or indications which we are pursuing or may choose to pursue in the future;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outcome, timing and costs of regulatory review of our product candidates;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costs and timing of manufacturing for our product candidates, including commercial manufacturing and the costs associated with building our manufacturing facilities;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our efforts to enhance operational systems and hire additional personnel to satisfy our obligations as a public company, including enhanced internal controls over financial reporting;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costs associated with hiring additional personnel and consultants as our preclinical and clinical activities increase;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costs and timing of establishing or securing sales and marketing capabilities if any product candidate is approved;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our ability to achieve sufficient market acceptance, coverage and adequate reimbursement from third-party payors and adequate market share and revenue for any approved products;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patients’ willingness or ability to pay out-of-pocket for any approved products in the absence of coverage and/or adequate reimbursement from third-party payors;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terms and timing of establishing and maintaining collaborations, licenses and other similar arrangements, including payments required for meeting regulatory and commercial milestones or sales based royalties;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costs of obtaining, maintaining and enforcing our patent and other intellectual property rights;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costs associated with any product candidates, products or technologies that we may in-license or acquire.</w:t>
      </w:r>
    </w:p>
    <w:p>
      <w:pPr>
        <w:pStyle w:val="TextBody"/>
        <w:spacing w:lineRule="auto" w:line="273" w:before="240" w:after="0"/>
        <w:jc w:val="left"/>
        <w:rPr>
          <w:rFonts w:ascii="Times New Roman" w:hAnsi="Times New Roman"/>
          <w:sz w:val="20"/>
        </w:rPr>
      </w:pPr>
      <w:r>
        <w:rPr>
          <w:rFonts w:ascii="Times New Roman" w:hAnsi="Times New Roman"/>
          <w:b w:val="false"/>
          <w:sz w:val="20"/>
        </w:rPr>
        <w:t>Until such time as we can generate significant revenue from sales of our therapeutic product candidates, if ever, we expect to finance our cash needs through public or private equity, including pursuant to our ATM Offering Program, or debt financings or other capital sources, including potential collaborations, licenses and other similar arrangements. We may be unable to raise additional funds or enter into such other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19</w:t>
      </w:r>
    </w:p>
    <w:p>
      <w:pPr>
        <w:pStyle w:val="HorizontalLine"/>
        <w:rPr/>
      </w:pPr>
      <w:r>
        <w:rPr/>
      </w:r>
    </w:p>
    <w:p>
      <w:pPr>
        <w:pStyle w:val="TextBody"/>
        <w:spacing w:lineRule="auto" w:line="273" w:before="240" w:after="0"/>
        <w:jc w:val="left"/>
        <w:rPr>
          <w:rFonts w:ascii="Times New Roman" w:hAnsi="Times New Roman"/>
          <w:sz w:val="20"/>
        </w:rPr>
      </w:pPr>
      <w:r>
        <w:rPr>
          <w:rFonts w:ascii="Times New Roman" w:hAnsi="Times New Roman"/>
          <w:b w:val="false"/>
          <w:sz w:val="20"/>
        </w:rPr>
        <w:t>collaborations, or other similar arrangements with third parties, we may have to relinquish valuable rights to our product candidates, future revenue streams or research programs or may have to grant licenses on terms that may not be favorable to us and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r>
        <w:rPr>
          <w:rFonts w:ascii="Times New Roman" w:hAnsi="Times New Roman"/>
          <w:sz w:val="20"/>
        </w:rPr>
        <w:t xml:space="preserve"> </w:t>
      </w:r>
    </w:p>
    <w:p>
      <w:pPr>
        <w:pStyle w:val="TextBody"/>
        <w:spacing w:lineRule="auto" w:line="273" w:before="360" w:after="0"/>
        <w:jc w:val="left"/>
        <w:rPr>
          <w:rFonts w:ascii="Times New Roman" w:hAnsi="Times New Roman"/>
          <w:b/>
          <w:sz w:val="20"/>
        </w:rPr>
      </w:pPr>
      <w:r>
        <w:rPr>
          <w:rFonts w:ascii="Times New Roman" w:hAnsi="Times New Roman"/>
          <w:b/>
          <w:sz w:val="20"/>
        </w:rPr>
        <w:t>Material Cash Requirements</w:t>
      </w:r>
    </w:p>
    <w:p>
      <w:pPr>
        <w:pStyle w:val="TextBody"/>
        <w:spacing w:lineRule="auto" w:line="273" w:before="80" w:after="0"/>
        <w:jc w:val="left"/>
        <w:rPr>
          <w:rFonts w:ascii="Times New Roman" w:hAnsi="Times New Roman"/>
          <w:b w:val="false"/>
          <w:sz w:val="20"/>
        </w:rPr>
      </w:pPr>
      <w:r>
        <w:rPr>
          <w:rFonts w:ascii="Times New Roman" w:hAnsi="Times New Roman"/>
          <w:b w:val="false"/>
          <w:sz w:val="20"/>
        </w:rPr>
        <w:t>In May 2018, we entered into a lease agreement for our corporate office and laboratory space located in South San Francisco, California with an expiration date in May 2025 (the “Initial Lease Agreement”). In April 2019, we executed the first amendment to the Initial Lease Agreement for additional corporate space, laboratory space and manufacturing capabilities and an extension to the lease term through April 2026. The terms of the lease amendment contain a rent abatement for the first month and rent escalation provisions. In addition to the base rent payments, we will be obligated to pay certain customary amounts for our share of operating expenses and tax obligations related to the facilities.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 May 2020, we executed the second amendment to the Initial Lease Agreement for an eight-year non-cancelable lease for additional office and laboratory space in the same building. The lease amendment for the additional space provided for abatement of rent during the first three months of the lease and contained rent escalations during the term of the lease. The lease amendment for this additional space commenced in January 2021 and expires in January 2029. The lease amendment also included an extension of the lease term of our existing office and laboratory space through January 2029, with an option to extend the lease for an additional seven-year term.</w:t>
      </w:r>
    </w:p>
    <w:p>
      <w:pPr>
        <w:pStyle w:val="TextBody"/>
        <w:spacing w:lineRule="auto" w:line="273" w:before="120" w:after="0"/>
        <w:jc w:val="left"/>
        <w:rPr>
          <w:rFonts w:ascii="Times New Roman" w:hAnsi="Times New Roman"/>
          <w:sz w:val="20"/>
        </w:rPr>
      </w:pPr>
      <w:r>
        <w:rPr>
          <w:rFonts w:ascii="Times New Roman" w:hAnsi="Times New Roman"/>
          <w:b w:val="false"/>
          <w:sz w:val="20"/>
        </w:rPr>
        <w:t>In January 2021, we executed the third amendment to the Initial Lease Agreement for a three-year non-cancelable lease for additional office space in the same building. The lease amendment for this additional space commenced in the second quarter of 2021 and expires in March 2024.</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 October 2021, we executed the fourth amendment to the Initial Lease Agreement for a seven-year non-cancelable lease for additional office and laboratory space in the same building. The lease amendment for additional space provided for abatement of rent during the first two months of the lease and contained rent escalations during the term of the lease. The lease amendment for this additional space is anticipated to commence in April 2022 and expires in January 2029. The Company expects to pay base rent of approximately $4.6 million over the lease term. The lease amendment also includes this additional space in our option to extend the lease for an additional seven-year term. The other terms of the Initial Lease Agreement, as amended, remain unchanged.</w:t>
      </w:r>
    </w:p>
    <w:p>
      <w:pPr>
        <w:pStyle w:val="TextBody"/>
        <w:spacing w:lineRule="auto" w:line="273" w:before="120" w:after="0"/>
        <w:jc w:val="left"/>
        <w:rPr>
          <w:rFonts w:ascii="Times New Roman" w:hAnsi="Times New Roman"/>
          <w:sz w:val="20"/>
        </w:rPr>
      </w:pPr>
      <w:r>
        <w:rPr>
          <w:rFonts w:ascii="Times New Roman" w:hAnsi="Times New Roman"/>
          <w:b w:val="false"/>
          <w:sz w:val="20"/>
        </w:rPr>
        <w:t>In July 2021, we entered into a lease agreement for corporate office, manufacturing and laboratory space located in South San Francisco, California with an expiration date approximately twelve years after the lease's commencement date (the “Additional Lease Agreement”). The lease for this additional space commenced in January 2022. The Additional Lease Agreement also provides for certain tenant improvement allowances for tenant improvements and certain infrastructure upgrades in connection with the initial buildout of the premises, a portion of which, if utilized, would need to be repaid by us over the lease term.</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In November 2021, we</w:t>
      </w:r>
      <w:r>
        <w:rPr>
          <w:rFonts w:ascii="Times New Roman" w:hAnsi="Times New Roman"/>
          <w:sz w:val="20"/>
        </w:rPr>
        <w:t xml:space="preserve"> </w:t>
      </w:r>
      <w:r>
        <w:rPr>
          <w:rFonts w:ascii="Times New Roman" w:hAnsi="Times New Roman"/>
          <w:b w:val="false"/>
          <w:sz w:val="20"/>
        </w:rPr>
        <w:t>executed an amendment to the Additional Lease Agreement for our corporate office, manufacturing and laboratory space. The amendment expressly includes manufacturing as a permitted use at the facility, clarifies that Silicon Valley Bank is an acceptable bank for purposes of issuing a letter of credit under the lease, revises the letter of credit transferability terms and replaces the form of letter of credit attached to the lease. The other terms of the Additional Lease Agreement remain unchanged.</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See Note 6 to our financial statements included elsewhere in this Quarterly Report on Form 10-Q for additional information regarding our lease liability.</w:t>
      </w:r>
    </w:p>
    <w:p>
      <w:pPr>
        <w:pStyle w:val="TextBody"/>
        <w:spacing w:lineRule="auto" w:line="273" w:before="360" w:after="0"/>
        <w:jc w:val="left"/>
        <w:rPr>
          <w:rFonts w:ascii="Times New Roman" w:hAnsi="Times New Roman"/>
          <w:b/>
          <w:sz w:val="20"/>
        </w:rPr>
      </w:pPr>
      <w:r>
        <w:rPr>
          <w:rFonts w:ascii="Times New Roman" w:hAnsi="Times New Roman"/>
          <w:b/>
          <w:sz w:val="20"/>
        </w:rPr>
        <w:t>Critical Accounting Policies and Significant Judgments and Estimates</w:t>
      </w:r>
    </w:p>
    <w:p>
      <w:pPr>
        <w:pStyle w:val="TextBody"/>
        <w:spacing w:lineRule="auto" w:line="273" w:before="120" w:after="0"/>
        <w:jc w:val="left"/>
        <w:rPr>
          <w:rFonts w:ascii="Times New Roman" w:hAnsi="Times New Roman"/>
          <w:sz w:val="20"/>
        </w:rPr>
      </w:pPr>
      <w:r>
        <w:rPr>
          <w:rFonts w:ascii="Times New Roman" w:hAnsi="Times New Roman"/>
          <w:b w:val="false"/>
          <w:sz w:val="20"/>
        </w:rPr>
        <w:t>Our management’s discussion and analysis of our financial condition and results of operations are based on our financial statements, which have been prepared in accordance with U.S. GAAP. The preparation of these financial statements requires us to make estimates and judgments that affect the reported amounts of assets, liabilities and expenses and the disclosure of contingent assets and liabilities in our financial statements and accompanying notes. On an ongoing basis, we evaluate our estimates and judgments, including those related to preclinical studies and clinical trial accruals, the incremental borrowing rate used in determining the lease liability and right-of-use asset for the Additional Lease Agreement, and share-based compensation. We base our estimates and assumptions on historical experience, known trends and events, and various other factors that are believed to be reasonable and appropriate under the circumstances, the results of which form the basis for making judgments about the carrying values of assets and liabilities that are not readily apparent from other sources. Actual results may differ from these estimates under different assumptions or conditions.</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There have been no significant changes in our critical accounting policies and estimates during the three months ended March 31, 2022, as compared to the critical accounting policies and estimates disclosed in “Management’s Discussion and Analysis of Financial Condition and Results of Operations” included in our Annual Report on Form 10-K.</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20</w:t>
      </w:r>
    </w:p>
    <w:p>
      <w:pPr>
        <w:pStyle w:val="HorizontalLine"/>
        <w:rPr/>
      </w:pPr>
      <w:r>
        <w:rPr/>
      </w:r>
    </w:p>
    <w:p>
      <w:pPr>
        <w:pStyle w:val="TextBody"/>
        <w:spacing w:lineRule="auto" w:line="273" w:before="360" w:after="0"/>
        <w:jc w:val="left"/>
        <w:rPr>
          <w:rFonts w:ascii="Times New Roman" w:hAnsi="Times New Roman"/>
          <w:sz w:val="20"/>
        </w:rPr>
      </w:pPr>
      <w:r>
        <w:rPr>
          <w:rFonts w:ascii="Times New Roman" w:hAnsi="Times New Roman"/>
          <w:b/>
          <w:sz w:val="20"/>
        </w:rPr>
        <w:t>Recently Issued Accounting Pronouncements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See Note 2 to our financial statements included elsewhere in this Quarterly Report on Form 10-Q for recently issued accounting pronouncements.</w:t>
      </w:r>
      <w:r>
        <w:rPr>
          <w:rFonts w:ascii="Times New Roman" w:hAnsi="Times New Roman"/>
          <w:sz w:val="20"/>
        </w:rPr>
        <w:t xml:space="preserve"> </w:t>
      </w:r>
    </w:p>
    <w:p>
      <w:pPr>
        <w:pStyle w:val="TextBody"/>
        <w:spacing w:lineRule="auto" w:line="273" w:before="360" w:after="0"/>
        <w:jc w:val="left"/>
        <w:rPr>
          <w:rFonts w:ascii="Times New Roman" w:hAnsi="Times New Roman"/>
          <w:b/>
          <w:sz w:val="20"/>
        </w:rPr>
      </w:pPr>
      <w:r>
        <w:rPr>
          <w:rFonts w:ascii="Times New Roman" w:hAnsi="Times New Roman"/>
          <w:b/>
          <w:sz w:val="20"/>
        </w:rPr>
        <w:t>Indemnification</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March 31, 2022 and December 31, 2021.</w:t>
      </w:r>
    </w:p>
    <w:p>
      <w:pPr>
        <w:pStyle w:val="TextBody"/>
        <w:spacing w:lineRule="auto" w:line="273" w:before="360" w:after="0"/>
        <w:jc w:val="left"/>
        <w:rPr>
          <w:rFonts w:ascii="Times New Roman" w:hAnsi="Times New Roman"/>
          <w:sz w:val="20"/>
        </w:rPr>
      </w:pPr>
      <w:r>
        <w:rPr>
          <w:rFonts w:ascii="Times New Roman" w:hAnsi="Times New Roman"/>
          <w:b/>
          <w:sz w:val="20"/>
        </w:rPr>
        <w:t>Segment Information</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have one business activity and operate in one reportable segment.</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sz w:val="20"/>
        </w:rPr>
        <w:t>JOBS Act</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are an “emerging growth company” as described under the JOBS Act, and we could have taken advantage of an extended transition period for complying with new or revised accounting standards. This would have allowed us to delay the adoption of certain accounting standards until those standards would otherwise apply to private companies. We have chosen irrevocably to “opt out” of such extended transition period, and as a result, we will comply with new or revised accounting standards on the relevant dates on which adoption of such standards is required for non-emerging growth companies. We intend to rely on other exemptions provided by the JOBS Act, including without limitation, not being required to comply with the auditor attestation requirements of Section 404(b) of The Sarbanes-Oxley Act of 2002 (the “Sarbanes-Oxley Act”).</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will remain an emerging growth company until the earliest of (i) the last day of the fiscal year following the fifth anniversary of the consummation of our IPO, (ii) the last day of the fiscal year in which we have total annual gross revenue of at least $1.07 billion, (iii) the last day of the fiscal year in which we are deemed to be a “large accelerated filer” as defined in Rule 12b-2 under the Securities Exchange Act of 1934, as amended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Even after we no longer qualify as an emerging growth company, we may still qualify as a smaller reporting company or a non-accelerated filer,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prospectuses and in our periodic reports and proxy statements.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21</w:t>
      </w:r>
    </w:p>
    <w:p>
      <w:pPr>
        <w:pStyle w:val="HorizontalLine"/>
        <w:rPr/>
      </w:pPr>
      <w:r>
        <w:rPr/>
      </w:r>
    </w:p>
    <w:p>
      <w:pPr>
        <w:pStyle w:val="TextBody"/>
        <w:spacing w:lineRule="auto" w:line="273" w:before="0" w:after="0"/>
        <w:jc w:val="left"/>
        <w:rPr>
          <w:rFonts w:ascii="Times New Roman" w:hAnsi="Times New Roman"/>
          <w:b/>
          <w:sz w:val="20"/>
        </w:rPr>
      </w:pPr>
      <w:bookmarkStart w:id="10" w:name="item_3_quantitative_qualitative_disclosu"/>
      <w:bookmarkEnd w:id="10"/>
      <w:r>
        <w:rPr>
          <w:rFonts w:ascii="Times New Roman" w:hAnsi="Times New Roman"/>
          <w:b/>
          <w:sz w:val="20"/>
        </w:rPr>
        <w:t>Item 3. Quantitative and Qualitative Disclosures About Market Risk.</w:t>
      </w:r>
    </w:p>
    <w:p>
      <w:pPr>
        <w:pStyle w:val="TextBody"/>
        <w:spacing w:lineRule="auto" w:line="273" w:before="80" w:after="0"/>
        <w:jc w:val="left"/>
        <w:rPr>
          <w:rFonts w:ascii="Times New Roman" w:hAnsi="Times New Roman"/>
          <w:sz w:val="20"/>
        </w:rPr>
      </w:pPr>
      <w:r>
        <w:rPr>
          <w:rFonts w:ascii="Times New Roman" w:hAnsi="Times New Roman"/>
          <w:b w:val="false"/>
          <w:sz w:val="20"/>
        </w:rPr>
        <w:t>We hold certain financial instruments for which a change in prevailing interest rates may cause the principal amount of the marketable securities to fluctuate. Financial instruments that potentially subject us to significant concentrations of credit risk consist primarily of cash, cash equivalents, restricted cash and short-term investments. We invest our excess cash primarily in money market funds,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Additionally, we established guidelines regarding approved investments and maturities of investments, which are designed to maintain safety and liquidity. For marketable investment securities with short-term maturities, we do not believe that an increase or decrease in market rates would have a significant impact on the realized values or the statements of operations and comprehensive loss. As such, we believe that if a 10.0% change in interest rates were to have occurred on March 31, 2022, this change would not have had a material effect on the fair value of our investment portfolio as of that date.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are exposed to market risk related to changes in foreign currency exchange rates. We contract with vendors that are located outside the United States and certain invoices are denominated in foreign currencies. We are subject to fluctuations in foreign currency rates in connection with such arrangements. We do not currently hedge our foreign currency exchange risk.</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Inflation generally affects us by increasing our cost of labor and research and development contract costs. We do not believe inflation has had a material effect on our results of operations during the periods presented.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do not believe that inflation, interest rate changes, or exchange rate fluctuations had a significant impact on our results of operations for any periods presented herein.</w:t>
      </w:r>
      <w:r>
        <w:rPr>
          <w:rFonts w:ascii="Times New Roman" w:hAnsi="Times New Roman"/>
          <w:sz w:val="20"/>
        </w:rPr>
        <w:t xml:space="preserve"> </w:t>
      </w:r>
    </w:p>
    <w:p>
      <w:pPr>
        <w:pStyle w:val="TextBody"/>
        <w:spacing w:lineRule="auto" w:line="273" w:before="360" w:after="0"/>
        <w:jc w:val="left"/>
        <w:rPr>
          <w:rFonts w:ascii="Times New Roman" w:hAnsi="Times New Roman"/>
          <w:b/>
          <w:sz w:val="20"/>
        </w:rPr>
      </w:pPr>
      <w:bookmarkStart w:id="11" w:name="item_4_controls_procedures"/>
      <w:bookmarkEnd w:id="11"/>
      <w:r>
        <w:rPr>
          <w:rFonts w:ascii="Times New Roman" w:hAnsi="Times New Roman"/>
          <w:b/>
          <w:sz w:val="20"/>
        </w:rPr>
        <w:t>Item 4. Controls and Procedures.</w:t>
      </w:r>
    </w:p>
    <w:p>
      <w:pPr>
        <w:pStyle w:val="TextBody"/>
        <w:spacing w:lineRule="auto" w:line="273" w:before="120" w:after="0"/>
        <w:jc w:val="left"/>
        <w:rPr>
          <w:rFonts w:ascii="Times New Roman" w:hAnsi="Times New Roman"/>
          <w:sz w:val="20"/>
        </w:rPr>
      </w:pPr>
      <w:r>
        <w:rPr>
          <w:rFonts w:ascii="Times New Roman" w:hAnsi="Times New Roman"/>
          <w:b/>
          <w:sz w:val="20"/>
        </w:rPr>
        <w:t>Disclosure Controls and Procedures</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Our management, with the participation of our chief executive officer and chief financial and business officer, evaluated the effectiveness of our disclosures controls and procedures, as defined in Rules 13a-15(e) and 15d-15(e) under the Exchange Act, as of March 31,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2022, our chief executive officer and chief financial and business officer concluded that, as of such date, our disclosure controls and procedures were effective at a reasonable assurance level.</w:t>
      </w:r>
    </w:p>
    <w:p>
      <w:pPr>
        <w:pStyle w:val="TextBody"/>
        <w:spacing w:lineRule="auto" w:line="273" w:before="360" w:after="0"/>
        <w:jc w:val="left"/>
        <w:rPr>
          <w:rFonts w:ascii="Times New Roman" w:hAnsi="Times New Roman"/>
          <w:sz w:val="20"/>
        </w:rPr>
      </w:pPr>
      <w:r>
        <w:rPr>
          <w:rFonts w:ascii="Times New Roman" w:hAnsi="Times New Roman"/>
          <w:b/>
          <w:sz w:val="20"/>
        </w:rPr>
        <w:t>Changes in Internal Control over Financial Reporting</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Management determined that, as of March 31, 2022, there were no changes in our internal control over financial reporting that occurred during the fiscal quarter then ended that have materially affected, or are reasonably likely to materially affect, our internal control over financial reporting.</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22</w:t>
      </w:r>
    </w:p>
    <w:p>
      <w:pPr>
        <w:pStyle w:val="HorizontalLine"/>
        <w:rPr/>
      </w:pPr>
      <w:r>
        <w:rPr/>
      </w:r>
    </w:p>
    <w:p>
      <w:pPr>
        <w:pStyle w:val="TextBody"/>
        <w:spacing w:lineRule="auto" w:line="273" w:before="360" w:after="0"/>
        <w:jc w:val="center"/>
        <w:rPr>
          <w:rFonts w:ascii="Times New Roman" w:hAnsi="Times New Roman"/>
          <w:sz w:val="20"/>
        </w:rPr>
      </w:pPr>
      <w:bookmarkStart w:id="12" w:name="part_iior_information"/>
      <w:bookmarkEnd w:id="12"/>
      <w:r>
        <w:rPr>
          <w:rFonts w:ascii="Times New Roman" w:hAnsi="Times New Roman"/>
          <w:b/>
          <w:sz w:val="20"/>
        </w:rPr>
        <w:t>PART II—OTHER</w:t>
      </w:r>
      <w:r>
        <w:rPr>
          <w:rFonts w:ascii="Times New Roman" w:hAnsi="Times New Roman"/>
          <w:sz w:val="20"/>
        </w:rPr>
        <w:t xml:space="preserve"> </w:t>
      </w:r>
      <w:r>
        <w:rPr>
          <w:rFonts w:ascii="Times New Roman" w:hAnsi="Times New Roman"/>
          <w:b/>
          <w:sz w:val="20"/>
        </w:rPr>
        <w:t>INFORMATION</w:t>
      </w:r>
    </w:p>
    <w:p>
      <w:pPr>
        <w:pStyle w:val="TextBody"/>
        <w:spacing w:lineRule="auto" w:line="273" w:before="240" w:after="0"/>
        <w:jc w:val="left"/>
        <w:rPr>
          <w:rFonts w:ascii="Times New Roman" w:hAnsi="Times New Roman"/>
          <w:b/>
          <w:sz w:val="20"/>
        </w:rPr>
      </w:pPr>
      <w:bookmarkStart w:id="13" w:name="item_1_legal_proceedings"/>
      <w:bookmarkEnd w:id="13"/>
      <w:r>
        <w:rPr>
          <w:rFonts w:ascii="Times New Roman" w:hAnsi="Times New Roman"/>
          <w:b/>
          <w:sz w:val="20"/>
        </w:rPr>
        <w:t>Item 1. Legal Proceedings.</w:t>
      </w:r>
    </w:p>
    <w:p>
      <w:pPr>
        <w:pStyle w:val="TextBody"/>
        <w:spacing w:lineRule="auto" w:line="273" w:before="120" w:after="0"/>
        <w:jc w:val="left"/>
        <w:rPr>
          <w:rFonts w:ascii="Times New Roman" w:hAnsi="Times New Roman"/>
          <w:sz w:val="20"/>
        </w:rPr>
      </w:pPr>
      <w:r>
        <w:rPr>
          <w:rFonts w:ascii="Times New Roman" w:hAnsi="Times New Roman"/>
          <w:b w:val="false"/>
          <w:sz w:val="20"/>
        </w:rPr>
        <w:t>From time to time, we may become involved in litigation or other legal proceedings relating to claims arising from the ordinary course of business. There are currently no claims or actions pending against us that, in the opinion of our management, are likely to have a material adverse effect on our business, results of operations, financial condition or growth prospects.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Ex parte reexaminations have been filed by one or more third parties against certain licensed patents in our portfolio. Third party requests for ex parte reexamination of U.S. Patent Nos. 10,774,309 and 10,829,737, which relate to our NKX101 product candidate, were recently filed. Also, two ex parte reexamination of U.S. Patent No. 9,511,092, which does not relate to any of our current product candidates, are pending. Although we plan to vigorously protect our intellectual property rights, as with all legal proceedings, there can be no guarantee as to the outcome, and, regardless of the merits of third-party challenges, such proceedings are time-consuming and costly. As a result of such reexaminations, our rights under the relevant patents could be narrowed or lost, and in the course of such proceedings, we may incur substantial costs and the time and attention of our management may be diverted from the development and commercialization of our product candidates.</w:t>
      </w:r>
    </w:p>
    <w:p>
      <w:pPr>
        <w:pStyle w:val="TextBody"/>
        <w:spacing w:lineRule="auto" w:line="273" w:before="360" w:after="0"/>
        <w:jc w:val="left"/>
        <w:rPr>
          <w:rFonts w:ascii="Times New Roman" w:hAnsi="Times New Roman"/>
          <w:b/>
          <w:sz w:val="20"/>
        </w:rPr>
      </w:pPr>
      <w:bookmarkStart w:id="14" w:name="item_1a_risk_factors"/>
      <w:bookmarkEnd w:id="14"/>
      <w:r>
        <w:rPr>
          <w:rFonts w:ascii="Times New Roman" w:hAnsi="Times New Roman"/>
          <w:b/>
          <w:sz w:val="20"/>
        </w:rPr>
        <w:t>Item 1A. Risk Factors.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An investment in shares of our common stock involves a high degree of risk. You should carefully consider the following risk factors, as well as all of the other information contained in this Quarterly Report on Form 10-Q, before making an investment decision. The risks described below are not the only ones facing us. The occurrence of any of the following risks, or of additional risks and uncertainties not presently known to us or that we currently believe to be immaterial, could significantly harm our business, financial condition, results of operations and growth prospects. In such case, the trading price of shares of our common stock could decline, and you may lose part or all of your investment. This Quarterly Report on Form 10-Q also contains forward-looking statements and estimates that involve risks and uncertainties. Our actual results could differ materially from those anticipated in the forward-looking statements as a result of specific factors, including the risks and uncertainties described below. The risks relating to our business set forth in our Annual Report on Form 10-K for the year ended December 31, 2021 and filed with the SEC on March 17, 2022, are set forth below and are unchanged substantively as of the date of this Quarterly Report on Form 10-Q, except for those risks designated by an asterisk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may disclose further changes to the factors below or disclose additional factors from time to time in our future filings with the SEC.</w:t>
      </w:r>
    </w:p>
    <w:p>
      <w:pPr>
        <w:pStyle w:val="TextBody"/>
        <w:spacing w:lineRule="auto" w:line="273" w:before="360" w:after="0"/>
        <w:jc w:val="left"/>
        <w:rPr>
          <w:rFonts w:ascii="Times New Roman" w:hAnsi="Times New Roman"/>
          <w:sz w:val="20"/>
        </w:rPr>
      </w:pPr>
      <w:r>
        <w:rPr>
          <w:rFonts w:ascii="Times New Roman" w:hAnsi="Times New Roman"/>
          <w:b/>
          <w:sz w:val="20"/>
        </w:rPr>
        <w:t>Risks Related to our Financial Position</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i/>
          <w:sz w:val="20"/>
        </w:rPr>
        <w:t>We have a limited operating history and do not have any products approved for sale.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are a development-stage biopharmaceutical company without any products approved for commercial sale, and have not generated any revenue from product sales. We are focused on developing genetically-engineered human cells as therapeutics and our technologies are new and largely unproven. Since our inception in 2015, we have invested most of our resources in developing our product candidates, building our intellectual property portfolio, developing our supply chain and in-house manufacturing capability, conducting business planning, raising capital and providing general and administrative support for these operations. Consequently, we have no meaningful operations upon which to evaluate our business, and predictions about our future success or viability may not be as accurate as they could be if we had a longer operating history or a history of successfully developing and commercializing drug products. We have not yet demonstrated an ability to overcome many of the risks and uncertainties frequently encountered by companies in the rapidly evolving biotechnology industry. If we do not address these risks, our business, financial condition, results of operations and growth prospects will be materially adversely affected.</w:t>
      </w:r>
      <w:r>
        <w:rPr>
          <w:rFonts w:ascii="Times New Roman" w:hAnsi="Times New Roman"/>
          <w:sz w:val="20"/>
        </w:rPr>
        <w:t xml:space="preserve"> </w:t>
      </w:r>
    </w:p>
    <w:p>
      <w:pPr>
        <w:pStyle w:val="TextBody"/>
        <w:spacing w:lineRule="auto" w:line="273" w:before="360" w:after="0"/>
        <w:jc w:val="left"/>
        <w:rPr>
          <w:rFonts w:ascii="Times New Roman" w:hAnsi="Times New Roman"/>
          <w:b/>
          <w:i/>
          <w:sz w:val="20"/>
        </w:rPr>
      </w:pPr>
      <w:r>
        <w:rPr>
          <w:rFonts w:ascii="Times New Roman" w:hAnsi="Times New Roman"/>
          <w:b/>
          <w:i/>
          <w:sz w:val="20"/>
        </w:rPr>
        <w:t>We have incurred significant losses since our inception, and we expect to continue to incur significant losses for the foreseeable future.*</w:t>
      </w:r>
    </w:p>
    <w:p>
      <w:pPr>
        <w:pStyle w:val="TextBody"/>
        <w:spacing w:lineRule="auto" w:line="273" w:before="240" w:after="0"/>
        <w:jc w:val="left"/>
        <w:rPr>
          <w:rFonts w:ascii="Times New Roman" w:hAnsi="Times New Roman"/>
          <w:sz w:val="20"/>
        </w:rPr>
      </w:pPr>
      <w:r>
        <w:rPr>
          <w:rFonts w:ascii="Times New Roman" w:hAnsi="Times New Roman"/>
          <w:b w:val="false"/>
          <w:sz w:val="20"/>
        </w:rPr>
        <w:t>Since our inception in 2015, we have incurred significant operating losses. Our net losses were $26.0 million, $86.1 million and $91.4 million for the three months ended March 31, 2022 and the years ended December 31, 2021 and 2020, respectively. Our accumulated deficit was $230.1 million as of March 31, 2022. We expect to continue to incur increasing operating losses for the foreseeable future as we continue to develop our product candidates. In addition, we anticipate that our expenses will increase substantially if, and as, we:</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continue the clinical development of NKX101 and NKX019;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23</w:t>
      </w:r>
    </w:p>
    <w:p>
      <w:pPr>
        <w:pStyle w:val="HorizontalLine"/>
        <w:rPr/>
      </w:pPr>
      <w:r>
        <w:rPr/>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advance additional product candidates to clinical trials, including product candidates under the collaboration with CRISPR Therapeutics AG ("CRISPR");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develop our current product candidates for additional disease indications;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seek to discover and develop additional product candidates;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establish and qualify our own clinical- and commercial-scale clinical current good manufacturing practice ("cGMP") facilities;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submit a biologics license application ("BLA"), or marketing authorization application, (“MAA”), for NKX101 and/or NKX019 and/or seek marketing approvals for any of our other product candidates that successfully complete clinical trials;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seek regulatory approval of our product candidates in various jurisdictions for commercial sale;</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maintain, expand and protect our intellectual property portfolio;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acquire or in-license other product candidates and technologies;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incur additional costs associated with operating as a public company;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develop or secure marketing, sales and distribution capabilities, either internally or with third parties, to support commercialization;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increase our employee headcount and related expenses to support the foregoing activities.</w:t>
      </w:r>
    </w:p>
    <w:p>
      <w:pPr>
        <w:pStyle w:val="TextBody"/>
        <w:spacing w:lineRule="auto" w:line="273" w:before="240" w:after="0"/>
        <w:jc w:val="left"/>
        <w:rPr>
          <w:rFonts w:ascii="Times New Roman" w:hAnsi="Times New Roman"/>
          <w:sz w:val="20"/>
        </w:rPr>
      </w:pPr>
      <w:r>
        <w:rPr>
          <w:rFonts w:ascii="Times New Roman" w:hAnsi="Times New Roman"/>
          <w:b w:val="false"/>
          <w:sz w:val="20"/>
        </w:rPr>
        <w:t>We may never succeed in any or all of these activities and, even if we do, we may never generate revenues that are significant or large enough to achieve profitability.</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We have never generated revenue from product sales and may never achieve or maintain profitability.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continue to incur significant research and development and other expenses related to ongoing operations and the development of our co-lead product candidates, NKX101 and NKX019. All of our product candidates will require substantial additional development time and resources before we would be able to apply for or receive regulatory approvals and begin generating revenue from product sales. Neither the United Sates Food and Drug Administration ("FDA") nor any other regulatory authority has approved NKX101, NKX019 or any of our other product candidates, and we do not anticipate generating revenues from product sales unless and until such time as NKX101, NKX019 or another of our product candidates has been approved by the FDA or another regulatory authority, if ever, and we are able to successfully market and sell a product candidate. Our ability to generate revenues from product sales depends on our, or potential future collaborators’, success in:</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completing clinical development of our product candidates;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seeking and obtaining regulatory approvals for product candidates for which we successfully complete positive clinical trials, if any;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launching and commercializing product candidates, by establishing a commercial infrastructure or, alternatively, collaborating with a commercialization partner;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qualifying for adequate coverage and reimbursement by government and third-party payors for our product candidates;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establishing, maintaining and enhancing a sustainable, scalable, reproducible and transferable manufacturing process for each of our cell therapy product candidates;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establishing and maintaining supply and manufacturing relationships with third parties that can provide adequate products and services, in both amount and quality, to support clinical development and the market demand for our product candidates, if approved;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obtaining market acceptance of our product candidates as a viable treatment option;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addressing any competing technological and market developments;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24</w:t>
      </w:r>
    </w:p>
    <w:p>
      <w:pPr>
        <w:pStyle w:val="HorizontalLine"/>
        <w:rPr/>
      </w:pPr>
      <w:r>
        <w:rPr/>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implementing additional internal systems and infrastructure, as needed;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negotiating favorable terms in any collaboration, licensing or other arrangements into which we may enter and performing our obligations in such collaborations;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maintaining, protecting and expanding our portfolio of intellectual property rights, including patents, trade secrets, know-how, and trademarks;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avoiding and defending against third-party interference or infringement claims;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attracting, hiring and retaining qualified personnel. </w:t>
      </w:r>
    </w:p>
    <w:p>
      <w:pPr>
        <w:pStyle w:val="TextBody"/>
        <w:spacing w:lineRule="auto" w:line="273" w:before="240" w:after="0"/>
        <w:jc w:val="left"/>
        <w:rPr>
          <w:rFonts w:ascii="Times New Roman" w:hAnsi="Times New Roman"/>
          <w:sz w:val="20"/>
        </w:rPr>
      </w:pPr>
      <w:r>
        <w:rPr>
          <w:rFonts w:ascii="Times New Roman" w:hAnsi="Times New Roman"/>
          <w:b w:val="false"/>
          <w:sz w:val="20"/>
        </w:rPr>
        <w:t>We anticipate incurring significant costs associated with commercializing any approved product candidate. Our expenses could increase beyond our current expectations if we are required by the FDA or other global regulatory authorities to perform clinical trials and other preclinical studies in addition to those that we currently anticipate.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Even if we are able to generate revenues from the sale of any approved products, we may not become profitable or be able to sustain or increase profitability on a quarterly or annual basis. Our failure to become and remain profitable could decrease the value of our company and impair our ability to raise capital, thereby limiting our research and development programs and efforts to expand our business or continue our operations.</w:t>
      </w:r>
      <w:r>
        <w:rPr>
          <w:rFonts w:ascii="Times New Roman" w:hAnsi="Times New Roman"/>
          <w:sz w:val="20"/>
        </w:rPr>
        <w:t xml:space="preserve"> </w:t>
      </w:r>
    </w:p>
    <w:p>
      <w:pPr>
        <w:pStyle w:val="TextBody"/>
        <w:spacing w:lineRule="auto" w:line="273" w:before="360" w:after="0"/>
        <w:jc w:val="left"/>
        <w:rPr>
          <w:rFonts w:ascii="Times New Roman" w:hAnsi="Times New Roman"/>
          <w:b/>
          <w:i/>
          <w:sz w:val="20"/>
        </w:rPr>
      </w:pPr>
      <w:r>
        <w:rPr>
          <w:rFonts w:ascii="Times New Roman" w:hAnsi="Times New Roman"/>
          <w:b/>
          <w:i/>
          <w:sz w:val="20"/>
        </w:rPr>
        <w:t>We will require additional capital, which, if available, may cause dilution to our stockholders, restrict our operations or require us to relinquish rights to our product candidates.*</w:t>
      </w:r>
    </w:p>
    <w:p>
      <w:pPr>
        <w:pStyle w:val="TextBody"/>
        <w:spacing w:lineRule="auto" w:line="273" w:before="240" w:after="0"/>
        <w:jc w:val="left"/>
        <w:rPr>
          <w:rFonts w:ascii="Times New Roman" w:hAnsi="Times New Roman"/>
          <w:sz w:val="20"/>
        </w:rPr>
      </w:pPr>
      <w:r>
        <w:rPr>
          <w:rFonts w:ascii="Times New Roman" w:hAnsi="Times New Roman"/>
          <w:b w:val="false"/>
          <w:sz w:val="20"/>
        </w:rPr>
        <w:t>We have financed our operations primarily through private placements of our preferred stock, proceeds from our previous collaboration with GlaxoSmithKline, proceeds from our IPO completed in July 2020 and proceeds from our underwritten public offering of our common stock completed in April 2022 (the “Secondary Offering”). We intend to continue to use the proceeds from our IPO and our Secondary Offering to, among other uses, advance NKX101 and NKX019 through clinical development. Developing pharmaceutical products and conducting preclinical studies and clinical trials is expensive. As of March 31, 2022, we had cash, cash equivalents, restricted cash and short-term investments of $219.1 million. Our research and development expenses increased from $36.2 million for the year ended December 31, 2020 to $63.4 million for the year ended December 31, 2021 and increased from $5.9 million for the three months ended March 31, 2021 to $6.5 million for the three months ended March 31, 2022.</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Until and unless we can generate substantial product revenue, we expect to finance our cash needs through the proceeds from our IPO and Secondary Offering, a combination of equity offerings and debt financings, including pursuant to our ATM Offering Program (as defined below), and potentially through additional license and development agreements or strategic partnerships with third parties. Financing may not be available in sufficient amounts or on reasonable terms. In addition, market volatility resulting from the COVID-19 pandemic or other factors could adversely impact our ability to access capital as and when needed. We have no commitments for any additional financing and will likely be required to raise such financing through the sale of additional securities.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 Furthermore, the issuance of additional securities, whether equity or debt, by us, or the possibility of such issuance, may cause the market price of our common stock to decline.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If we raise additional funds through licensing or collaboration arrangements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Attempting to secure additional financing may also divert our management from our day-to-day activities, which may impair or delay our ability to develop our product candidates. In addition, demands on our cash resources may change as a result of many factors currently unknown to us including, but not limited to, any unforeseen costs we may incur as a result of preclinical study or clinical trial delays due to the COVID-19 pandemic or other causes, and we may need to seek additional funds sooner than planned. If we are unable to obtain funding on a timely basis or at all, we may be required to significantly curtail or stop one or more of our research or development programs.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25</w:t>
      </w:r>
    </w:p>
    <w:p>
      <w:pPr>
        <w:pStyle w:val="HorizontalLine"/>
        <w:rPr/>
      </w:pPr>
      <w:r>
        <w:rPr/>
      </w:r>
    </w:p>
    <w:p>
      <w:pPr>
        <w:pStyle w:val="TextBody"/>
        <w:spacing w:lineRule="auto" w:line="273" w:before="360" w:after="0"/>
        <w:jc w:val="left"/>
        <w:rPr>
          <w:rFonts w:ascii="Times New Roman" w:hAnsi="Times New Roman"/>
          <w:b/>
          <w:i/>
          <w:sz w:val="20"/>
        </w:rPr>
      </w:pPr>
      <w:r>
        <w:rPr>
          <w:rFonts w:ascii="Times New Roman" w:hAnsi="Times New Roman"/>
          <w:b/>
          <w:i/>
          <w:sz w:val="20"/>
        </w:rPr>
        <w:t>Our business and the business or operations of our research partners and other third parties with whom we conduct business have been and could continue to be adversely affected by the effects of health epidemics, including the COVID-19 pandemic, in regions where we or third parties on which we rely have business operations.</w:t>
      </w:r>
    </w:p>
    <w:p>
      <w:pPr>
        <w:pStyle w:val="TextBody"/>
        <w:spacing w:lineRule="auto" w:line="273" w:before="240" w:after="200"/>
        <w:jc w:val="left"/>
        <w:rPr>
          <w:rFonts w:ascii="Times New Roman" w:hAnsi="Times New Roman"/>
          <w:b w:val="false"/>
          <w:sz w:val="20"/>
        </w:rPr>
      </w:pPr>
      <w:r>
        <w:rPr>
          <w:rFonts w:ascii="Times New Roman" w:hAnsi="Times New Roman"/>
          <w:b w:val="false"/>
          <w:sz w:val="20"/>
        </w:rPr>
        <w:t>The COVID-19 pandemic has disrupted economic activity and business operations worldwide, including the San Francisco Bay Area, where our primary operations are located. The coronavirus pandemic continues to evolve, and multiple variants of the virus that causes COVID-19 are circulating globally, including the Delta and Omicron variants. To date the pandemic has led to the implementation of various responses, including government-imposed stay-at-home orders and quarantines, travel restrictions and other public health safety measures to mitigate the impact of the pandemic. We continue to monitor these changes and update our operations as necessary to comply with any state, county or local health orders.</w:t>
      </w:r>
    </w:p>
    <w:p>
      <w:pPr>
        <w:pStyle w:val="TextBody"/>
        <w:spacing w:lineRule="auto" w:line="273" w:before="0" w:after="200"/>
        <w:jc w:val="left"/>
        <w:rPr>
          <w:rFonts w:ascii="Times New Roman" w:hAnsi="Times New Roman"/>
          <w:b w:val="false"/>
          <w:sz w:val="20"/>
        </w:rPr>
      </w:pPr>
      <w:r>
        <w:rPr>
          <w:rFonts w:ascii="Times New Roman" w:hAnsi="Times New Roman"/>
          <w:b w:val="false"/>
          <w:sz w:val="20"/>
        </w:rPr>
        <w:t>In response to previous government-imposed stay-at-home orders and quarantines, we implemented work-from-home policies for employees and adjusted our operations to maximize employee safety and to comply with directives from health authorities. The effects of quarantines, stay-at-home, executive and similar government orders, or the perception that such orders, shutdowns or other restrictions on the conduct of business operations could occur, in the United States and other countries, have negatively impacted and could continue to negatively impact our operations and the operations of third parties we rely on, such as our contract manufacturing sites in Colorado, Ohio, and Ontario, and have disrupted and could continue to disrupt or delay the enrollment of patients at our clinical sites. For example, at some of our contract manufacturing sites, COVID-19-related restrictions, including temporary shutdowns, and instances of COVID-19 cases impacting personnel have resulted in some delays. Some of our contract research organizations ("CROs") have also experienced employee turnover/attrition, delays, or disruptions during the pandemic. Some of our clinical trial sites have had to temporarily restrict enrollment into clinical protocols in order to prioritize hospital beds for COVID-19 patients, or because of loss of trial personnel to support research activities (mitigated by having the trial opened in multiple clinical sites simultaneously). In addition, we experienced some delays in construction of our cGMP manufacturing facility and in our internal research efforts. COVID-19 has also caused global supply shortages of certain materials, such as certain raw materials, cell culture media, disposable plastics, and equipment, that we and our contract development and manufacturing organizations ("CDMOs") use for research and GMP manufacturing. If we are not able to obtain sufficient quantities of cell culture media for our purposes due to the shortage, we may need to reduce the number of manufacturing runs we have planned. Supply chain and operational disruptions due to COVID-19 have contributed to certain enrollment delays in our NKX101 clinical trial. In addition, we have had minor delays in setting up clinical sites in our NKX019 clinical trial due to COVID-19 restrictions due to repurposing of healthcare personnel and facilities to support local pandemic efforts. We will continue to monitor the impact of COVID-19 and any additional waves of the pandemic on our operations, including continued enrollment in the NKX101 and NKX019 clinical trials, as well as on our collaboration partners, CROs, CDMOs, and clinical trial sites with respect to COVID-19 related shutdowns, restrictions on travel, and restrictions on hospital visits for clinical trial participants or clinical research staff. Although most COVID-19 restrictions have been lifted in the State of California and the County of San Mateo, restrictions similar to those previously imposed or new restrictions could be imposed again later.</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the COVID-19 pandemic has significantly disrupted global financial markets and could continue to restrict the level of economic activity, and may limit our ability to access capital, which could in the future negatively affect our liquidity now or in the future. A recession or market correction resulting from the spread of COVID-19 could materially affect our business and the value of our common stock.</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COVID-19 pandemic has also impacted, and may impact in the future, the regulatory authorities to which we are subject in our industry, which may, in turn, hamper or delay our clinical development efforts. We periodically interact with health authorities such as the FDA to obtain advice, or reach consensus, on our ongoing clinical trials, product development, and manufacturing activities. As FDA personnel prioritize pandemic related efforts, we may experience delays in obtaining periodic advice which may affect our ability to move our clinical programs forward into the next phase of development.</w:t>
      </w:r>
    </w:p>
    <w:p>
      <w:pPr>
        <w:pStyle w:val="TextBody"/>
        <w:spacing w:lineRule="auto" w:line="273" w:before="240" w:after="0"/>
        <w:jc w:val="left"/>
        <w:rPr>
          <w:rFonts w:ascii="Times New Roman" w:hAnsi="Times New Roman"/>
          <w:sz w:val="20"/>
        </w:rPr>
      </w:pPr>
      <w:r>
        <w:rPr>
          <w:rFonts w:ascii="Times New Roman" w:hAnsi="Times New Roman"/>
          <w:b w:val="false"/>
          <w:sz w:val="20"/>
        </w:rPr>
        <w:t>We cannot predict the potential future impacts of COVID-19, including its variants, on us, our research partners, including CRISPR, and other third parties with whom we conduct business. The extent of the impact of the COVID-19 pandemic on our operational and financial performance will depend on certain developments, including the duration and spread of the outbreak, the development and spread of more contagious and/or vaccine-resistant variants, the effectiveness of actions taken in the U.S. and other countries to contain, vaccinate against, and treat the disease, and its impact on our current and planned preclinical studies and clinical trials, employees and vendors, all of which are uncertain. As a result of the COVID-19 pandemic or other pandemic, epidemic or outbreak of an infectious disease, we have experienced and/or may experience disruptions that could severely impact our business, preclinical studies and clinical trials, including: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delays or difficulties in enrolling patients in our clinical trials, including our ongoing NKX101 and NKX019 clinical trials;</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delays or difficulties in clinical site initiation, including difficulties in recruiting clinical site investigators and clinical site staff and in training medical personnel on how to properly thaw and administer our product candidates;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26</w:t>
      </w:r>
    </w:p>
    <w:p>
      <w:pPr>
        <w:pStyle w:val="HorizontalLine"/>
        <w:rPr/>
      </w:pPr>
      <w:r>
        <w:rPr/>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delays or difficulties in recruitment of key personnel;</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diversion of healthcare resources away from the conduct of clinical trials, including the diversion of hospitals serving as our clinical trial sites and hospital staff supporting the conduct of our clinical trials;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interruption or delays in the operations of the FDA or other regulatory authorities, which may impact review and approval timelines, including the review of Investigational New Drug applications (“IND”) or other regulatory submissions for our product candidates;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interruption of, or delays in receiving, supplies of our product candidates, or materials necessary for production of our product candidates, from our vendors or contract manufacturing organizations due to staffing shortages, production slowdowns or stoppages and disruptions in delivery or supply systems;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interruption of, or delays in manufacture of our product candidates, including at our in-house manufacturing facility and CDMOs, due to staffing shortages, production slowdowns and disruptions or inability to procure critical raw materials or other supplies in a timely fashion;</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delays or disruptions in the planning, construction or qualification of our cGMP facility for commercial-scale manufacture of our product candidates;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interruptions in preclinical studies due to restricted or limited operations at our laboratory facility;</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interruptions, or delays in receiving supplies and materials necessary for our business operations, and research and development activities;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increases in the cost of services or supplies necessary for our research and development activities;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limitations on employee resources that would otherwise be focused on the conduct of our preclinical studies and clinical trials, including because of sickness of employees or their families or the desire of employees to avoid contact with large groups of people;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interruption or delays to our discovery and clinical activities. </w:t>
      </w:r>
    </w:p>
    <w:p>
      <w:pPr>
        <w:pStyle w:val="TextBody"/>
        <w:spacing w:lineRule="auto" w:line="273" w:before="240" w:after="0"/>
        <w:jc w:val="left"/>
        <w:rPr>
          <w:rFonts w:ascii="Times New Roman" w:hAnsi="Times New Roman"/>
          <w:sz w:val="20"/>
        </w:rPr>
      </w:pPr>
      <w:r>
        <w:rPr>
          <w:rFonts w:ascii="Times New Roman" w:hAnsi="Times New Roman"/>
          <w:b w:val="false"/>
          <w:sz w:val="20"/>
        </w:rPr>
        <w:t>The magnitude of these disruptions will depend, in part, on the length and severity of the COVID-19 restrictions and other limitations on our ability and the ability of others to conduct business in the ordinary course.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ultimate impact of the COVID-19 outbreak or a similar health epidemic is highly uncertain. These impacts will depend on future developments that are highly uncertain and cannot be predicted with confidence, such as the duration of the outbreak and the effectiveness of actions taken in the United States and other countries to contain, vaccinate against, and treat the disease. We do not yet know the full extent of potential delays or impacts on our business, our clinical trials, healthcare systems or the global economy as a whole, but these delays could have a material impact on our business, financial condition, and/or results of operations.</w:t>
      </w:r>
      <w:r>
        <w:rPr>
          <w:rFonts w:ascii="Times New Roman" w:hAnsi="Times New Roman"/>
          <w:sz w:val="20"/>
        </w:rPr>
        <w:t xml:space="preserve"> </w:t>
      </w:r>
    </w:p>
    <w:p>
      <w:pPr>
        <w:pStyle w:val="TextBody"/>
        <w:spacing w:lineRule="auto" w:line="247" w:before="360" w:after="0"/>
        <w:jc w:val="left"/>
        <w:rPr>
          <w:rFonts w:ascii="Times New Roman" w:hAnsi="Times New Roman"/>
          <w:sz w:val="20"/>
        </w:rPr>
      </w:pPr>
      <w:r>
        <w:rPr>
          <w:rFonts w:ascii="Times New Roman" w:hAnsi="Times New Roman"/>
          <w:b/>
          <w:sz w:val="20"/>
        </w:rPr>
        <w:t>Risks Related to Our Business and Industry</w:t>
      </w:r>
      <w:r>
        <w:rPr>
          <w:rFonts w:ascii="Times New Roman" w:hAnsi="Times New Roman"/>
          <w:sz w:val="20"/>
        </w:rPr>
        <w:t xml:space="preserve"> </w:t>
      </w:r>
    </w:p>
    <w:p>
      <w:pPr>
        <w:pStyle w:val="TextBody"/>
        <w:spacing w:lineRule="auto" w:line="247" w:before="120" w:after="0"/>
        <w:jc w:val="left"/>
        <w:rPr>
          <w:rFonts w:ascii="Times New Roman" w:hAnsi="Times New Roman"/>
          <w:sz w:val="20"/>
        </w:rPr>
      </w:pPr>
      <w:r>
        <w:rPr>
          <w:rFonts w:ascii="Times New Roman" w:hAnsi="Times New Roman"/>
          <w:b/>
          <w:i/>
          <w:sz w:val="20"/>
        </w:rPr>
        <w:t>Our business depends upon the success of our CAR-NK cell technology platform.</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Our success depends on our ability to utilize our chimeric antigen receptor-natural killer cell ("CAR-NK") technology platform to generate product candidates, to obtain regulatory approval for product candidates derived from it, and to then commercialize our product candidates addressing one or more indications. Phase 1 clinical trials to evaluate our first two CAR NK product candidates in humans is ongoing. All of our product candidates developed from our technology platform will require significant additional clinical and non-clinical development, review and approval by the FDA or other regulatory authorities in one or more jurisdictions, substantial investment, access to sufficient commercial manufacturing capacity and significant marketing efforts before they can be successfully commercialized. If any of our product candidates encounter safety or efficacy problems, developmental delays or regulatory issues or other problems, such problems could impact the development plans for our other product candidates because all of our product candidates are based on the same core CAR-NK engineering technology.</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27</w:t>
      </w:r>
    </w:p>
    <w:p>
      <w:pPr>
        <w:pStyle w:val="HorizontalLine"/>
        <w:rPr/>
      </w:pPr>
      <w:r>
        <w:rPr/>
      </w:r>
    </w:p>
    <w:p>
      <w:pPr>
        <w:pStyle w:val="TextBody"/>
        <w:spacing w:lineRule="auto" w:line="247" w:before="360" w:after="0"/>
        <w:jc w:val="left"/>
        <w:rPr>
          <w:rFonts w:ascii="Times New Roman" w:hAnsi="Times New Roman"/>
          <w:b/>
          <w:i/>
          <w:sz w:val="20"/>
        </w:rPr>
      </w:pPr>
      <w:r>
        <w:rPr>
          <w:rFonts w:ascii="Times New Roman" w:hAnsi="Times New Roman"/>
          <w:b/>
          <w:i/>
          <w:sz w:val="20"/>
        </w:rPr>
        <w:t>Utilizing CAR-NK cells represents a novel approach to the treatment of cancer, and we must overcome significant challenges in order to develop, commercialize and manufacture our product candidates.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have concentrated our research and development efforts on utilizing CAR-NK cells as an immuno-oncology therapy. To date, the FDA has approved only a few cell-based therapies for commercialization and no natural killer (“NK”)-based cell therapy has been approved for commercial use by any regulatory authority. The processes and requirements imposed by the FDA or other applicable regulatory authorities may cause delays and additional costs in obtaining approvals for marketing authorization for our product candidates. Because our CAR-NK platform product candidates are novel, and cell-based therapies are relatively new, regulatory agencies may lack precedents for evaluating product candidates like our CAR-NK product candidates. This novelty may lengthen the regulatory review process, including the time it takes for the FDA to review our IND applications if and when submitted, increase our development costs and delay or prevent approval and commercialization of our CAR-NK platform product candidates. Additionally, advancing novel immuno-oncology therapies creates significant challenges for us, including:</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enrolling sufficient numbers of patients in clinical trials;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training a sufficient number of medical personnel on how to properly thaw and administer our cells, especially in our planned solid tumor trial wherein the cells are given through a procedure by trained medical doctors;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training a sufficient number of medical and clinical laboratory personnel in the proper collection and handling of clinical samples in our clinical trials to enable a sufficient understanding of CAR NK pharmacokinetics and pharmacodynamics for the design of an optimal dosing regimen;</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educating medical personnel regarding the potential side-effect profile of our cells and, as the clinical program progresses, on observed side effects with the therapy;</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developing a reliable and safe and an effective means of genetically modifying our cells;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manufacturing and cryopreservation our cells on a large scale and in a cost-effective manner;</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sourcing starting material suitable for clinical and commercial manufacturing;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establishing sales and marketing capabilities, as well as developing a manufacturing process and distribution network to support the commercialization of any approved products. </w:t>
      </w:r>
    </w:p>
    <w:p>
      <w:pPr>
        <w:pStyle w:val="TextBody"/>
        <w:spacing w:lineRule="auto" w:line="273" w:before="240" w:after="0"/>
        <w:jc w:val="left"/>
        <w:rPr>
          <w:rFonts w:ascii="Times New Roman" w:hAnsi="Times New Roman"/>
          <w:sz w:val="20"/>
        </w:rPr>
      </w:pPr>
      <w:r>
        <w:rPr>
          <w:rFonts w:ascii="Times New Roman" w:hAnsi="Times New Roman"/>
          <w:b w:val="false"/>
          <w:sz w:val="20"/>
        </w:rPr>
        <w:t>We must be able to overcome these challenges in order for us to develop, commercialize and manufacture our product candidates utilizing CAR-NK cells.</w:t>
      </w:r>
      <w:r>
        <w:rPr>
          <w:rFonts w:ascii="Times New Roman" w:hAnsi="Times New Roman"/>
          <w:sz w:val="20"/>
        </w:rPr>
        <w:t xml:space="preserve"> </w:t>
      </w:r>
    </w:p>
    <w:p>
      <w:pPr>
        <w:pStyle w:val="TextBody"/>
        <w:spacing w:lineRule="auto" w:line="273" w:before="360" w:after="0"/>
        <w:jc w:val="left"/>
        <w:rPr>
          <w:rFonts w:ascii="Times New Roman" w:hAnsi="Times New Roman"/>
          <w:b/>
          <w:i/>
          <w:sz w:val="20"/>
        </w:rPr>
      </w:pPr>
      <w:r>
        <w:rPr>
          <w:rFonts w:ascii="Times New Roman" w:hAnsi="Times New Roman"/>
          <w:b/>
          <w:i/>
          <w:sz w:val="20"/>
        </w:rPr>
        <w:t>Certain aspects of the function and production of CAR-NK cells are currently unknown or poorly understood, and may only become known through further preclinical testing and clinical trials. Any potential re-engineering required may result in delays and additional expenses.</w:t>
      </w:r>
    </w:p>
    <w:p>
      <w:pPr>
        <w:pStyle w:val="TextBody"/>
        <w:spacing w:lineRule="auto" w:line="273" w:before="240" w:after="0"/>
        <w:jc w:val="left"/>
        <w:rPr>
          <w:rFonts w:ascii="Times New Roman" w:hAnsi="Times New Roman"/>
          <w:sz w:val="20"/>
        </w:rPr>
      </w:pPr>
      <w:r>
        <w:rPr>
          <w:rFonts w:ascii="Times New Roman" w:hAnsi="Times New Roman"/>
          <w:b w:val="false"/>
          <w:sz w:val="20"/>
        </w:rPr>
        <w:t>Current clinical experience with NK cell therapy is predominantly based on cells from haplomatched donors, i.e., at least half of the major Human Leukocyte Antigen (“HLA”), types matched between donor and recipient. Our ongoing NKX101 Phase 1 clinical trial evaluated product manufactured from patient specific haplo-related donors and completely unrelated donors (used off the shelf). Based on preliminary clinical results, we have moved forward into expansion cohorts and further development of NKX101 using off the shelf product only. There is a risk that the early clinical results may not be reflective of future clinical trial results which may require us to re-evaluate HLA matching. If it becomes apparent through future preclinical testing or clinical trials that such matching is required, the production of NKX101, NKX019, and our other product candidates as standardized, off-the-shelf products for all patients will not be achievable. Instead, we would need to establish a bank of engineered CAR-NK cells for each of our product candidates where dozens of different donors will be required to achieve coverage of a large fraction of the addressable patient population.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Furthermore, the killer immunoglobulin-like receptor (“KIR”), is found on the surface of NK cells and recognizes certain HLA types. If there is a match between KIR and the HLA type, KIR acts as a natural inhibitor of NK activity, thereby serving to prevent immune reactions against an individual’s own cells. In both NKX101 and NKX019 Phase 1 clinical trials, product is administered regardless of specific KIR phenotype. As we continue our clinical trials, we may discover that retaining a KIR mismatch is required to achieve clinically meaningful activity, and we may need to factor KIR mismatch into the donor and product selection process for patients enrolled in our clinical trials. We also continue to analyze for donor characteristics that correlate with clinical activity and we may decide to select for donors to enhance activity of our products in the clinic.</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tumors are sometimes able to evade detection by naturally occurring NK cells by shedding the NKG2D ligands found on malignant cells. While NKX101 has been engineered to resist this shedding mechanism, there can be no guarantee that tumor cells will not retain or regain the ability to shed NKG2D ligand completely despite the presence of NKX101, which would give such</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28</w:t>
      </w:r>
    </w:p>
    <w:p>
      <w:pPr>
        <w:pStyle w:val="HorizontalLine"/>
        <w:rPr/>
      </w:pPr>
      <w:r>
        <w:rPr/>
      </w:r>
    </w:p>
    <w:p>
      <w:pPr>
        <w:pStyle w:val="TextBody"/>
        <w:spacing w:lineRule="auto" w:line="273" w:before="240" w:after="0"/>
        <w:jc w:val="left"/>
        <w:rPr>
          <w:rFonts w:ascii="Times New Roman" w:hAnsi="Times New Roman"/>
          <w:sz w:val="20"/>
        </w:rPr>
      </w:pPr>
      <w:r>
        <w:rPr>
          <w:rFonts w:ascii="Times New Roman" w:hAnsi="Times New Roman"/>
          <w:b w:val="false"/>
          <w:sz w:val="20"/>
        </w:rPr>
        <w:t>tumors a degree of resistance against NKX101. If we discover that tumors develop a resistance to NKX101 as a result of such NKG2D ligand shedding, we will need to reengineer NKX101 to counteract this effect, or we may need to change or abandon our development efforts for NKX101.</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Finally, there is limited history of CAR-NK cells manufacturing for clinical use, and our understanding of NK cell biology is continuously expanding. If we find that our current manufacturing processes are inadequate, or should we identify opportunities for material improvement, adaptation of process improvements may require significant periods of time. Process improvements might also necessitate new pre-clinical studies and clinical protocols to establish product comparability. If we are unable to show comparability after a process change, further changes to our manufacturing process and/or clinical trials will be required.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foregoing processes would require us to redesign the clinical protocols and clinical trials for our product candidates and could require significant additional time and resources to complete and the participation of a significant number of additional clinical trial participants and donors, any of which would delay the clinical development of our product candidates and their eventual commercialization.</w:t>
      </w:r>
      <w:r>
        <w:rPr>
          <w:rFonts w:ascii="Times New Roman" w:hAnsi="Times New Roman"/>
          <w:sz w:val="20"/>
        </w:rPr>
        <w:t xml:space="preserve"> </w:t>
      </w:r>
    </w:p>
    <w:p>
      <w:pPr>
        <w:pStyle w:val="TextBody"/>
        <w:spacing w:lineRule="auto" w:line="273" w:before="360" w:after="0"/>
        <w:jc w:val="left"/>
        <w:rPr>
          <w:rFonts w:ascii="Times New Roman" w:hAnsi="Times New Roman"/>
          <w:b/>
          <w:i/>
          <w:sz w:val="20"/>
        </w:rPr>
      </w:pPr>
      <w:r>
        <w:rPr>
          <w:rFonts w:ascii="Times New Roman" w:hAnsi="Times New Roman"/>
          <w:b/>
          <w:i/>
          <w:sz w:val="20"/>
        </w:rPr>
        <w:t>Clinical development involves a lengthy and expensive process with an uncertain outcome, and we may encounter substantial delays due to a variety of reasons outside our control.</w:t>
      </w:r>
    </w:p>
    <w:p>
      <w:pPr>
        <w:pStyle w:val="TextBody"/>
        <w:spacing w:lineRule="auto" w:line="273" w:before="240" w:after="0"/>
        <w:jc w:val="left"/>
        <w:rPr>
          <w:rFonts w:ascii="Times New Roman" w:hAnsi="Times New Roman"/>
          <w:sz w:val="20"/>
        </w:rPr>
      </w:pPr>
      <w:r>
        <w:rPr>
          <w:rFonts w:ascii="Times New Roman" w:hAnsi="Times New Roman"/>
          <w:b w:val="false"/>
          <w:sz w:val="20"/>
        </w:rPr>
        <w:t>Clinical trials are expensive, time consuming and subject to substantial uncertainty. Failure can occur at any time during the clinical trial process,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We, the FDA, or other applicable regulatory authorities may suspend or terminate clinical trials of a product candidate at any time for various reasons, including, but not limited to, a belief that subjects participating in such trials are being exposed to unacceptable health risks or adverse side effects, or other adverse initial experiences or findings. The FDA, or other applicable regulatory authorities may also require us to conduct additional preclinical studies or clinical trials due to negative or inconclusive results or other reasons, fail to approve the raw materials, manufacturing processes or facilities of third-party manufacturers upon which we rely, find deficiencies in the manufacturing processes or facilities upon which we rely, and change their approval policies or regulations or their prior guidance to us during clinical development in a manner rendering our clinical data insufficient for approval. In addition, data collected from clinical trials may not be sufficient to support the submission of a BLA, MAA or other applicable regulatory filings. We cannot guarantee that any clinical trials that we may plan or initiate will be conducted as planned or completed on schedule, if at all.</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 failure of one or more of our clinical trials could occur at any stage,</w:t>
      </w:r>
      <w:r>
        <w:rPr>
          <w:rFonts w:ascii="Times New Roman" w:hAnsi="Times New Roman"/>
          <w:sz w:val="20"/>
        </w:rPr>
        <w:t xml:space="preserve"> </w:t>
      </w:r>
      <w:r>
        <w:rPr>
          <w:rFonts w:ascii="Times New Roman" w:hAnsi="Times New Roman"/>
          <w:b w:val="false"/>
          <w:sz w:val="20"/>
        </w:rPr>
        <w:t>and any failure could prevent us from obtaining the FDA and other regulatory approvals necessary to commercialize our product candidates. Events that may prevent successful initiation, timely completion, or positive outcomes of our clinical development include, but are not limited to:</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delays in obtaining regulatory approval to commence a clinical trial;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delays in reaching agreement on acceptable terms with prospective clinical trial sites or CROs, the terms of which can be subject to extensive negotiation and may vary significantly among different trial sites and CROs;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our inability to recruit sufficient patients for our clinical trials in a timely manner or at all;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delays in achieving a sufficient number of clinical trial sites or obtaining the required institutional review board ("IRB"), approval at each clinical trial site;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imposition of a temporary or permanent clinical hold by us or by the FDA or other regulatory agencies based on emerging data;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clinical sites deviating from trial protocol or dropping out of a trial;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our inability to obtain long-term follow-up data due to patient drop out or in cases where patients elect to receive post-protocol treatment for their disease before it progresses;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suspension or termination of a clinical trial by the IRB of the institutions in which such trials are being conducted or by the Data Safety Monitoring Board ("DSMB") (where applicable);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delays in sufficiently developing, characterizing or controlling a manufacturing process suitable for clinical trials, or production delays, shutdowns or setbacks at any of our contract manufacturers;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delays due to additional regulatory, site and clinical trial participant approvals required if a product candidate, especially a product candidate custom manufactured for a specific patient, does not meet the required specifications;</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delays in reaching a consensus with regulatory agencies on the design or implementation of our clinical trials;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29</w:t>
      </w:r>
    </w:p>
    <w:p>
      <w:pPr>
        <w:pStyle w:val="HorizontalLine"/>
        <w:rPr/>
      </w:pPr>
      <w:r>
        <w:rPr/>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changes in regulatory requirements or guidance that may require us to amend or submit new clinical protocols, or such requirements may not be as we anticipate;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changes in the standard of care on which a clinical development plan was based, which may require new or additional trials;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insufficient quantities or inadequate quality of our product candidates or other materials necessary to conduct preclinical studies or clinical trials of our product candidates;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clinical trials of our product candidates producing negative or inconclusive results, which may result in our deciding, or regulators requiring us, to conduct additional clinical trials or abandon product development programs;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failure of enrolled patients in foreign countries to adhere to clinical protocol as a result of differences in healthcare services or cultural customs, or additional administrative burdens associated with foreign regulatory schemes; or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failure of ourselves or any third-party manufacturers, contractors or suppliers to comply with regulatory requirements, maintain adequate quality controls, or be able to provide sufficient product supply to conduct and complete preclinical studies or clinical trials of our product candidates.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disruptions caused by the COVID-19 pandemic may increase the likelihood that we encounter such difficulties or delays in initiating, enrolling, conducting or completing our planned and ongoing preclinical studies and clinical trials, as applicable. For example, we periodically interact with health authorities such as the FDA to obtain advice, or reach consensus, on our ongoing clinical trials, product development, and manufacturing activities. As FDA personnel prioritize pandemic related efforts, we may experience delays in obtaining periodic advice which may affect our ability to move our clinical programs forward into the next phase of development. Also, the FDA temporarily postponed routine surveillance inspections of domestic manufacturing facilities in response to the COVID-19 pandemic, and in July 2020, it began to work toward resuming prioritized domestic inspections of mission-critical inspections on a case-by-case basis. The FDA has developed a rating system to assist in determining when and where it is safest to conduct prioritized domestic inspections. Should the FDA determine that an inspection is necessary for approval and an inspection cannot be completed during the review cycle due to restrictions on travel, the FDA has stated that it generally intends to issue a complete response letter. Further, if there is inadequate information to make a determination on the acceptability of a facility, the FDA may defer action on the application until an inspection can be completed. In 2020, several companies announced receipt of complete response letters due to the FDA's inability to complete required inspections for their applications. Over the past year, FDA has periodically announced temporary changes to its inspection activities to ensure the safety of its employees and those of the firms it regulates as the FDA adapts to the evolving COVID-19 pandemic. As of February 7, 2022, the FDA resumed conducting domestic surveillance inspections. Regulatory authorities outside the U.S. may adopt similar restrictions or other policy measures in response to the COVID-19 pandemic and may experience delays in their regulatory activities. If global health concerns continue to prevent the FDA or other regulatory authorities from conducting their regular inspections, reviews or other regulatory activities, it could significantly impact the ability of the FDA to timely review and process our regulatory submissions.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As regulatory expectations regarding the gene editing of cellular therapies continue to evolve with data emerging on chromosomal abnormalities from CAR-T therapies or other sources, our pipeline programs that involve gene-edited cells, including an allogeneic, off-the-shelf CAR-NK product candidate targeting the CD70 tumor antigen ("CD70 CAR-NK") and an allogeneic, off-the-shelf product candidate that comprises both engineered NK cells and engineered T cells ("NK+T") programs on which we are collaborating with CRISPR, may be delayed or we may be forced to incur additional costs for those programs. For example, the FDA may require additional or new release assays for manufactured lots of any product candidates that have been gene edited, which could slow development of our gene-edited product candidates and increase expenses.</w:t>
      </w:r>
    </w:p>
    <w:p>
      <w:pPr>
        <w:pStyle w:val="TextBody"/>
        <w:spacing w:lineRule="auto" w:line="273" w:before="240" w:after="0"/>
        <w:jc w:val="left"/>
        <w:rPr>
          <w:rFonts w:ascii="Times New Roman" w:hAnsi="Times New Roman"/>
          <w:sz w:val="20"/>
        </w:rPr>
      </w:pPr>
      <w:r>
        <w:rPr>
          <w:rFonts w:ascii="Times New Roman" w:hAnsi="Times New Roman"/>
          <w:b w:val="false"/>
          <w:sz w:val="20"/>
        </w:rPr>
        <w:t>If we experience further delays in the initiation, enrollment or completion of any preclinical study or clinical trial of our product candidates, or if any preclinical studies or clinical trials of our product candidates are canceled, the commercial prospects of our product candidates may be materially adversely affected, and our ability to generate product revenues from any of these product candidates will be delayed or not realized at all. In addition, any delays in completing our clinical trials may increase our costs and slow down our product candidate development and approval process.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30</w:t>
      </w:r>
    </w:p>
    <w:p>
      <w:pPr>
        <w:pStyle w:val="HorizontalLine"/>
        <w:rPr/>
      </w:pPr>
      <w:r>
        <w:rPr/>
      </w:r>
    </w:p>
    <w:p>
      <w:pPr>
        <w:pStyle w:val="TextBody"/>
        <w:spacing w:lineRule="auto" w:line="273" w:before="360" w:after="0"/>
        <w:jc w:val="left"/>
        <w:rPr>
          <w:rFonts w:ascii="Times New Roman" w:hAnsi="Times New Roman"/>
          <w:b/>
          <w:i/>
          <w:sz w:val="20"/>
        </w:rPr>
      </w:pPr>
      <w:r>
        <w:rPr>
          <w:rFonts w:ascii="Times New Roman" w:hAnsi="Times New Roman"/>
          <w:b/>
          <w:i/>
          <w:sz w:val="20"/>
        </w:rPr>
        <w:t>Our business is highly dependent on the success of our product candidates, and on the success of NKX101 and NKX019 in particular, and we may fail to develop NKX101, NKX019 and/or our other product candidates successfully or be unable to obtain regulatory approval for them.</w:t>
      </w:r>
    </w:p>
    <w:p>
      <w:pPr>
        <w:pStyle w:val="TextBody"/>
        <w:spacing w:lineRule="auto" w:line="273" w:before="240" w:after="0"/>
        <w:jc w:val="left"/>
        <w:rPr>
          <w:rFonts w:ascii="Times New Roman" w:hAnsi="Times New Roman"/>
          <w:sz w:val="20"/>
        </w:rPr>
      </w:pPr>
      <w:r>
        <w:rPr>
          <w:rFonts w:ascii="Times New Roman" w:hAnsi="Times New Roman"/>
          <w:b w:val="false"/>
          <w:sz w:val="20"/>
        </w:rPr>
        <w:t>We cannot guarantee that NKX101 and NKX019, or any of our other product candidates, will be safe and effective, or will be approved for commercialization, on a timely basis or at all. Although certain of our employees have prior experience with clinical trials, regulatory approvals, and cGMP manufacturing, we have not previously completed any clinical trials or submitted a BLA to the FDA, or similar regulatory approval filings to comparable foreign authorities, for any product candidate, and we cannot be certain that NKX101 and NKX019 will be successful in clinical trials or receive regulatory approval. The FDA, and other comparable global regulatory authorities can delay, limit or deny approval of a product candidate for many reasons. For further details about such reasons, see “—Clinical development involves a lengthy and expensive process with an uncertain outcome, and we may encounter substantial delays due to a variety of reasons outside our control.” Any delay in obtaining, or inability to obtain, applicable regulatory approval will delay or harm our ability to successfully commercialize NKX101 and NKX019 and materially adversely affect our business, financial condition, results of operations and growth prospects.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NKX101 is in an early-stage clinical trial and is subject to the risks inherent in drug development. In April 2022, we announced preliminary data from our Phase 1 clinical trial of NKX101 for the treatment of relapsed/refractory acute myeloid leukemia (“AML”) or higher risk myelodysplastic syndromes (“MDS”). If the ongoing Phase 1 or our later clinical trials of NKX101 encounter safety, efficacy, manufacturing problems, enrollment issues, development delays, regulatory issues, or other problems, our development plans for NKX101 could be significantly impaired, which could materially adversely affect our business, financial condition, results of operations and growth prospects. Furthermore, because NKX101 and NKX019 are our most advanced product candidates, and because our other product candidates are based on similar technology, if our clinical trials of NKX101 or NKX019 experience any of the foregoing issues, our development plans for our other product candidates in our pipeline could also be significantly impaired, which could materially adversely affect our business, financial condition, results of operations and growth prospects.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also plan to develop NKX101 for additional indications, including solid tumor indications, if we are able to obtain clinical proof-of-concept from our NKX101 Phase 1 trials for blood cancers including AML and MDS. We may not be able to advance any of these indications through the development process. Even if we receive regulatory approval to market NKX101 for the treatment of any of these additional indications, any such additional indications may not be successfully commercialized, widely accepted in the marketplace or more effective than other commercially available alternatives. If we are unable to successfully develop and commercialize NKX101 for these additional indications, our commercial opportunity will be limited.</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Furthermore, the development of NKX101 for treating solid tumors is subject to a number of risks related to use of cell therapies in general including a hostile tumor micro-environment and trafficking to tumor site. Additional risks from direct liver delivery using a catheter through the hepatic artery generally include potential damage to arteries from the catheter placement itself, from use of imaging contrast, radiation exposure, and differences between catheter models potentially introducing variability into the observed clinical effects. The development of treatments to treat solid tumors often requires larger and more expensive clinical trials than for treating blood cancers.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In April 2022, we announced preliminary data from the multi-center Phase 1 clinical trial of NKX019 for the treatment of B-cell malignancies. Due to the availability of multiple commercially available agents that target CD19, we may have difficulty enrolling subjects into trials with NKX019 who have not previously been exposed to a CD19 directed agent. This could impact the ability to obtain data about NKX019 activity and slow enrollment. If our ongoing Phase 1 or later clinical trials of NKX019 encounter safety, efficacy, manufacturing problems, enrollment issues, development delays, regulatory issues, or other problems, our development plans for NKX019 could be significantly impaired, which could materially adversely affect our business, financial condition, results of operations and growth prospects.</w:t>
      </w:r>
    </w:p>
    <w:p>
      <w:pPr>
        <w:pStyle w:val="TextBody"/>
        <w:spacing w:lineRule="auto" w:line="273" w:before="240" w:after="0"/>
        <w:jc w:val="left"/>
        <w:rPr>
          <w:rFonts w:ascii="Times New Roman" w:hAnsi="Times New Roman"/>
          <w:sz w:val="20"/>
        </w:rPr>
      </w:pPr>
      <w:r>
        <w:rPr>
          <w:rFonts w:ascii="Times New Roman" w:hAnsi="Times New Roman"/>
          <w:b w:val="false"/>
          <w:sz w:val="20"/>
        </w:rPr>
        <w:t>We intend to develop our product candidates both as monotherapy and potentially as combination therapy, a common form of cancer treatment, with one or more currently approved cancer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combination therapy used with our product candidate or that safety, efficacy, manufacturing or supply issues could arise with these existing therapies. This could result in our own products being removed from the market or being less successful commercially.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may also evaluate our product candidates in combination with one or more other cancer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or combination therapy, we may be unable to obtain approval of or market our product candidates.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31</w:t>
      </w:r>
    </w:p>
    <w:p>
      <w:pPr>
        <w:pStyle w:val="HorizontalLine"/>
        <w:rPr/>
      </w:pPr>
      <w:r>
        <w:rPr/>
      </w:r>
    </w:p>
    <w:p>
      <w:pPr>
        <w:pStyle w:val="TextBody"/>
        <w:spacing w:lineRule="auto" w:line="273" w:before="360" w:after="0"/>
        <w:jc w:val="left"/>
        <w:rPr>
          <w:rFonts w:ascii="Times New Roman" w:hAnsi="Times New Roman"/>
          <w:sz w:val="20"/>
        </w:rPr>
      </w:pPr>
      <w:r>
        <w:rPr>
          <w:rFonts w:ascii="Times New Roman" w:hAnsi="Times New Roman"/>
          <w:b/>
          <w:i/>
          <w:sz w:val="20"/>
        </w:rPr>
        <w:t>Enrollment and retention of patients in clinical trials is an expensive and time-consuming process and could be delayed, made more difficult or rendered impossible by multiple factors outside our control.</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Identifying and qualifying patients to participate in our clinical trials is critical to our success. Clinical trials of a new product candidate require the enrollment of a sufficient number of patients, including patients who are suffering from the disease that the product candidate is intended to treat and who meet other eligibility criteria. The rates of patient enrollment, a significant component in the timing of clinical trials, are affected by many factors, including: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our ability to open clinical trial sites;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size and nature of the patient population;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design and eligibility criteria of the clinical trial;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proximity of subjects to clinical sites;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patient referral practices of physicians;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changing medical practice patterns or guidelines related to the indications we are investigating;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competing clinical trials or approved therapies which present an attractive alternative to patients and their physicians;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perceived risks and benefits of the product candidate under study, including as a result of adverse effects observed in similar or competing therapies;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our ability to obtain and maintain patient consents due to various reasons, including but not limited to, patients’ unwillingness to participate due to the ongoing COVID-19 pandemic;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risk that enrolled subjects will drop out or die before completion of the trial;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patients failing to complete a clinical trial or returning for post-treatment follow-up;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our ability to manufacture the requisite materials for a patient and clinical trial.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we need to compete with many ongoing clinical trials to recruit patients into our expected clinical trials. Our clinical trials may also compete with other clinical trials of product candidates that are in a similar cellular immunotherapy area as our product candidates, and this competition could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for our clinical trials at such clinical trial site. If we are unable to enroll a sufficient number of patients in our clinical trials in a timely manner, our completion of clinical trials may be delayed or may not be achieved, which would prevent us from commercializing our product candidates.</w:t>
      </w:r>
      <w:r>
        <w:rPr>
          <w:rFonts w:ascii="Times New Roman" w:hAnsi="Times New Roman"/>
          <w:sz w:val="20"/>
        </w:rPr>
        <w:t xml:space="preserve"> </w:t>
      </w:r>
    </w:p>
    <w:p>
      <w:pPr>
        <w:pStyle w:val="TextBody"/>
        <w:spacing w:lineRule="auto" w:line="247" w:before="360" w:after="0"/>
        <w:jc w:val="left"/>
        <w:rPr>
          <w:rFonts w:ascii="Times New Roman" w:hAnsi="Times New Roman"/>
          <w:b/>
          <w:i/>
          <w:sz w:val="20"/>
        </w:rPr>
      </w:pPr>
      <w:r>
        <w:rPr>
          <w:rFonts w:ascii="Times New Roman" w:hAnsi="Times New Roman"/>
          <w:b/>
          <w:i/>
          <w:sz w:val="20"/>
        </w:rPr>
        <w:t>Our preclinical pipeline programs may experience delays or may never advance to clinical trials, which would adversely affect our ability to obtain regulatory approvals or commercialize these programs on a timely basis or at all.*</w:t>
      </w:r>
    </w:p>
    <w:p>
      <w:pPr>
        <w:pStyle w:val="TextBody"/>
        <w:spacing w:lineRule="auto" w:line="273" w:before="240" w:after="0"/>
        <w:jc w:val="left"/>
        <w:rPr>
          <w:rFonts w:ascii="Times New Roman" w:hAnsi="Times New Roman"/>
          <w:sz w:val="20"/>
        </w:rPr>
      </w:pPr>
      <w:r>
        <w:rPr>
          <w:rFonts w:ascii="Times New Roman" w:hAnsi="Times New Roman"/>
          <w:b w:val="false"/>
          <w:sz w:val="20"/>
        </w:rPr>
        <w:t>In order to obtain FDA or other regulatory authority approval to market a new biological product we must demonstrate proof of safety, purity, potency and efficacy in humans. To meet these requirements, we will have to conduct adequate and well-controlled clinical trials. Before we can commence clinical trials for a product candidate, we must complete extensive preclinical testing and studies that support our planned INDs in the United States. We began clinical development for our first product candidate, NKX101, in 2020 and our second product candidate, NKX019, in 2021, and the rest of our programs are in preclinical development.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Conducting preclinical testing is a lengthy, time-consuming and expensive process. The length of time may vary substantially according to the type, complexity and novelty of the program, and often can be several years or more per program. Any delays in preclinical testing and studies conducted by us or potential future partners may cause us to incur additional operating expenses. The commencement and rate of completion of preclinical studies and clinical trials for a product candidate may be delayed by many factors, including, for example:</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32</w:t>
      </w:r>
    </w:p>
    <w:p>
      <w:pPr>
        <w:pStyle w:val="HorizontalLine"/>
        <w:rPr/>
      </w:pPr>
      <w:r>
        <w:rPr/>
      </w:r>
    </w:p>
    <w:p>
      <w:pPr>
        <w:pStyle w:val="TextBody"/>
        <w:spacing w:lineRule="auto" w:line="247" w:before="120" w:after="0"/>
        <w:jc w:val="left"/>
        <w:rPr/>
      </w:pPr>
      <w:r>
        <w:rPr/>
        <w:t>•</w:t>
      </w:r>
    </w:p>
    <w:p>
      <w:pPr>
        <w:pStyle w:val="TextBody"/>
        <w:spacing w:lineRule="auto" w:line="247" w:before="120" w:after="0"/>
        <w:jc w:val="left"/>
        <w:rPr>
          <w:rFonts w:ascii="Times New Roman" w:hAnsi="Times New Roman"/>
          <w:b w:val="false"/>
          <w:sz w:val="20"/>
        </w:rPr>
      </w:pPr>
      <w:r>
        <w:rPr>
          <w:rFonts w:ascii="Times New Roman" w:hAnsi="Times New Roman"/>
          <w:b w:val="false"/>
          <w:sz w:val="20"/>
        </w:rPr>
        <w:t xml:space="preserve">inability to generate sufficient preclinical or other in vivo or in vitro data to support the initiation of clinical trials; </w:t>
      </w:r>
    </w:p>
    <w:p>
      <w:pPr>
        <w:pStyle w:val="TextBody"/>
        <w:spacing w:lineRule="auto" w:line="247" w:before="120" w:after="0"/>
        <w:jc w:val="left"/>
        <w:rPr/>
      </w:pPr>
      <w:r>
        <w:rPr/>
        <w:t>•</w:t>
      </w:r>
    </w:p>
    <w:p>
      <w:pPr>
        <w:pStyle w:val="TextBody"/>
        <w:spacing w:lineRule="auto" w:line="247" w:before="120" w:after="0"/>
        <w:jc w:val="left"/>
        <w:rPr>
          <w:rFonts w:ascii="Times New Roman" w:hAnsi="Times New Roman"/>
          <w:b w:val="false"/>
          <w:sz w:val="20"/>
        </w:rPr>
      </w:pPr>
      <w:r>
        <w:rPr>
          <w:rFonts w:ascii="Times New Roman" w:hAnsi="Times New Roman"/>
          <w:b w:val="false"/>
          <w:sz w:val="20"/>
        </w:rPr>
        <w:t xml:space="preserve">delays in reaching a consensus with regulatory agencies on acceptable clinical trial design or manufacturing process; and </w:t>
      </w:r>
    </w:p>
    <w:p>
      <w:pPr>
        <w:pStyle w:val="TextBody"/>
        <w:spacing w:lineRule="auto" w:line="247" w:before="120" w:after="0"/>
        <w:jc w:val="left"/>
        <w:rPr/>
      </w:pPr>
      <w:r>
        <w:rPr/>
        <w:t>•</w:t>
      </w:r>
    </w:p>
    <w:p>
      <w:pPr>
        <w:pStyle w:val="TextBody"/>
        <w:spacing w:lineRule="auto" w:line="247" w:before="120" w:after="283"/>
        <w:jc w:val="left"/>
        <w:rPr>
          <w:rFonts w:ascii="Times New Roman" w:hAnsi="Times New Roman"/>
          <w:b w:val="false"/>
          <w:sz w:val="20"/>
        </w:rPr>
      </w:pPr>
      <w:r>
        <w:rPr>
          <w:rFonts w:ascii="Times New Roman" w:hAnsi="Times New Roman"/>
          <w:b w:val="false"/>
          <w:sz w:val="20"/>
        </w:rPr>
        <w:t xml:space="preserve">the FDA not allowing us to rely on previous findings of safety and efficacy for other similar but approved products and published scientific literature. </w:t>
      </w:r>
    </w:p>
    <w:p>
      <w:pPr>
        <w:pStyle w:val="TextBody"/>
        <w:spacing w:lineRule="auto" w:line="273" w:before="240" w:after="0"/>
        <w:jc w:val="left"/>
        <w:rPr>
          <w:rFonts w:ascii="Times New Roman" w:hAnsi="Times New Roman"/>
          <w:sz w:val="20"/>
        </w:rPr>
      </w:pPr>
      <w:r>
        <w:rPr>
          <w:rFonts w:ascii="Times New Roman" w:hAnsi="Times New Roman"/>
          <w:b w:val="false"/>
          <w:sz w:val="20"/>
        </w:rPr>
        <w:t>Moreover, because standards for pre-clinical assessment are evolving and may change rapidly, even if we reach an agreement with the FDA on a pre-IND proposal, the FDA may not accept the IND submission as presented, in which case patient enrollment would be placed on partial or complete hold and treatment of enrolled patients could be discontinued while the product candidate is re-evaluated. Even if clinical trials do begin for our preclinical programs, our clinical trials or development efforts may not be successful.</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results of preclinical studies may not be predictive of the results of clinical trials, and the results of any early-stage clinical trials we commence may not be predictive of the results of the later-stage clinical trials. For example, preclinical models as applied to cell therapy in oncology do not adequately represent the clinical setting, and thus cannot predict clinical activity nor all potential risks, and may not provide adequate guidance as to appropriate dose or administration regimen of a given therapy.</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trial, including as patient enrollment continues and more data on existing patients becomes available. We also make assumptions, estimations, calculations and conclusions as part of our analyses of data, and we may not have received or had the opportunity to fully and carefully evaluate all data. As a result, the topline results that we report, including the preliminary Phase 1 clinical data for NKX101 and NKX019 reported in April 2022, may differ from, and may not be indicative of,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and negative differences between preliminary or interim data and final data could materially adversely affect the prospects of any product candidate that is impacted by such data updates.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w:t>
      </w:r>
    </w:p>
    <w:p>
      <w:pPr>
        <w:pStyle w:val="TextBody"/>
        <w:spacing w:lineRule="auto" w:line="273" w:before="360" w:after="0"/>
        <w:jc w:val="left"/>
        <w:rPr>
          <w:rFonts w:ascii="Times New Roman" w:hAnsi="Times New Roman"/>
          <w:b/>
          <w:i/>
          <w:sz w:val="20"/>
        </w:rPr>
      </w:pPr>
      <w:r>
        <w:rPr>
          <w:rFonts w:ascii="Times New Roman" w:hAnsi="Times New Roman"/>
          <w:b/>
          <w:i/>
          <w:sz w:val="20"/>
        </w:rPr>
        <w:t>If any of our product candidates, or any competing product candidates, demonstrate relevant, serious adverse events, we may be required to halt or delay further clinical development.*</w:t>
      </w:r>
    </w:p>
    <w:p>
      <w:pPr>
        <w:pStyle w:val="TextBody"/>
        <w:spacing w:lineRule="auto" w:line="273" w:before="240" w:after="0"/>
        <w:jc w:val="left"/>
        <w:rPr>
          <w:rFonts w:ascii="Times New Roman" w:hAnsi="Times New Roman"/>
          <w:sz w:val="20"/>
        </w:rPr>
      </w:pPr>
      <w:r>
        <w:rPr>
          <w:rFonts w:ascii="Times New Roman" w:hAnsi="Times New Roman"/>
          <w:b w:val="false"/>
          <w:sz w:val="20"/>
        </w:rPr>
        <w:t>Undesirable side effects that may be caused by our product candidates could cause us or regulatory authorities to interrupt, delay or halt clinical trials and could result in a more restrictive label than anticipated or the delay or denial of regulatory approval by the FDA or comparable foreign regulatory authorities. Results of our clinical trials could reveal a high and unacceptable severity and prevalence of side effects or unexpected characteristics.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33</w:t>
      </w:r>
    </w:p>
    <w:p>
      <w:pPr>
        <w:pStyle w:val="HorizontalLine"/>
        <w:rPr/>
      </w:pPr>
      <w:r>
        <w:rPr/>
      </w:r>
    </w:p>
    <w:p>
      <w:pPr>
        <w:pStyle w:val="TextBody"/>
        <w:spacing w:lineRule="auto" w:line="273" w:before="240" w:after="0"/>
        <w:jc w:val="left"/>
        <w:rPr>
          <w:rFonts w:ascii="Times New Roman" w:hAnsi="Times New Roman"/>
          <w:sz w:val="20"/>
        </w:rPr>
      </w:pPr>
      <w:r>
        <w:rPr>
          <w:rFonts w:ascii="Times New Roman" w:hAnsi="Times New Roman"/>
          <w:b w:val="false"/>
          <w:sz w:val="20"/>
        </w:rPr>
        <w:t>While our preliminary data from NKX101 and NKX019 Phase 1 clinical trials indicate that NK cell-based therapies may be better-tolerated as compared to T cell-based therapies due to biologic differences between these cell types, there can be no assurance that patients will not experience cytokine release syndrome ("CRS"), neurotoxicity, graft-versus-host disease ("GVHD"), or other serious adverse events. Severe adverse events associated with our product candidates NKX101 or NKX019 or lymphodepleting chemotherapy may also develop. NKX101 targets NKG2D ligands, which is not yet a well-characterized modality. NKG2D targets multiple ligands, and the landscape of ligand expression is currently not fully understood. For example, there are risks that ligands may be expressed on either known or an as-yet-underappreciated population of healthy cells. Therefore, such cells may also be targeted by NKX101 and lead to adverse events of unknown frequency and severity. Such adverse events may cause delays in completion of our clinical programs. If unacceptable side effects arise in the development of our product candidates such that there is no longer a positive benefit-risk profile, we, the FDA, the IRBs at the institutions in which our trials are conducted, or the DSMB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We may seek special designations by the regulatory authorities to expedite regulatory approvals, but may not be successful in receiving such designations, and even if received, they may not benefit the development and regulatory approval process.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may seek various expedited programs available through regulatory authority such as Regenerative Medicine Advanced Therapy ("RMAT") designation, Breakthrough Therapy designation, Fast Track designation, or PRIority MEdicine ("PRIME"), from regulatory authorities, for any product candidate that we develop. A product candidate may receive RMAT designation from the FDA if it is a regenerative medicine therapy that is intended to treat, modify, reverse or cure a serious or life-threatening condition, and preliminary clinical evidence on a clinically meaningful endpoint, indicates that the product candidate has the potential to address an unmet medical need for such condition. A breakthrough therapy is defined by the FDA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If a product is intended for the treatment of a serious or life-threatening condition and preclinical or clinical data demonstrate the potential to address an unmet medical need for this condition, the product sponsor may apply for Fast Track Designation by the FDA. PRIME is a voluntary scheme launched by the European Medicines Agency ("EMA"), to strengthen support for the development of medicines that target an unmet medical need through enhanced interaction and early dialogue with developers of promising medicines in order to optimize development plans and speed up evaluation to help such medicines reach patients earlier.</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Seeking and obtaining these designations is dependent upon results of our clinical program, and we cannot guarantee whether and when we may have the data from our clinical programs to support an application to obtain any such designation. The FDA and the EMA, as applicable, have broad discretion whether or not to grant any of these designations, so even if we believe a particular product candidate is eligible for one or more of these designations, we cannot assure you that the applicable regulatory authority would decide to grant it. Even if we do receive the designations we may apply for, we may not experience a faster development process, review or approval compared to conventional FDA or EMA procedures, as applicable. The FDA or EMA, as applicable, may rescind any granted designations if it believes that the designation is no longer supported by data from our clinical development program.</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We may seek and obtain orphan drug designation for our product candidates, and we may be unsuccessful or may be unable to maintain the benefits associated with orphan drug designation, including the potential for market exclusivity.</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Regulatory authorities in some jurisdictions, including the United States and Europe, may designate drugs for relatively low prevalence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On December 16, 2021, we announced that the FDA granted orphan drug designation to NKX101 for the treatment of AML.</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34</w:t>
      </w:r>
    </w:p>
    <w:p>
      <w:pPr>
        <w:pStyle w:val="HorizontalLine"/>
        <w:rPr/>
      </w:pPr>
      <w:r>
        <w:rPr/>
      </w:r>
    </w:p>
    <w:p>
      <w:pPr>
        <w:pStyle w:val="TextBody"/>
        <w:spacing w:lineRule="auto" w:line="273" w:before="240" w:after="0"/>
        <w:jc w:val="left"/>
        <w:rPr>
          <w:rFonts w:ascii="Times New Roman" w:hAnsi="Times New Roman"/>
          <w:sz w:val="20"/>
        </w:rPr>
      </w:pPr>
      <w:r>
        <w:rPr>
          <w:rFonts w:ascii="Times New Roman" w:hAnsi="Times New Roman"/>
          <w:b w:val="false"/>
          <w:sz w:val="20"/>
        </w:rPr>
        <w:t>Similarly, in Europe,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(“sameness”). The applicable period is seven years in the United States and ten years in Europe. The European exclusivity period can be reduced to six years if a drug no longer meets the criteria for orphan drug designation or if the drug is sufficiently profitable such that market exclusivity is no longer justified.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Even if we obtain orphan drug exclusivity for our product candidates, that exclusivity may not effectively protect those product candidates from competition because different therapies can be approved for the same condition and the same therapies can be approved for different conditions but used off-label. Even after an orphan drug is approved, the FDA can subsequently approve another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product candidates, we may never receive such designations. Even if we do receive such designations, there is no guarantee that we will enjoy the benefits of those designations.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Public opinion and scrutiny of cell-based immuno-oncology therapies for treating cancer may impact public perception of our company and product candidates, or impair our ability to conduct our business.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Our platform utilizes a relatively novel technology involving the genetic modification of human NK cells and utilization of those modified cells in other individuals, and no NK cell-based immunotherapy has been approved to date. Public perception may be influenced by claims, such as claims that cell-based immunotherapy is unsafe, unethical, or immoral and, consequently, our approach may not gain the acceptance of the public or the medical community. Negative public reaction to cell-based immunotherapy in general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pStyle w:val="TextBody"/>
        <w:spacing w:lineRule="auto" w:line="273" w:before="360" w:after="0"/>
        <w:jc w:val="left"/>
        <w:rPr>
          <w:rFonts w:ascii="Times New Roman" w:hAnsi="Times New Roman"/>
          <w:sz w:val="20"/>
        </w:rPr>
      </w:pPr>
      <w:r>
        <w:rPr>
          <w:rFonts w:ascii="Times New Roman" w:hAnsi="Times New Roman"/>
          <w:b/>
          <w:i/>
          <w:sz w:val="20"/>
        </w:rPr>
        <w:t>We may not identify or discover other product candidates and may fail to capitalize on programs or product candidates that may present a greater commercial opportunity or for which there is a greater likelihood of success.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business depends upon our ability to identify, develop and commercialize product candidates. A key element of our strategy is to discover and develop additional product candidates based upon our NK cell engineering platform. We are seeking to do so through our internal research programs and may also explore strategic collaborations for the discovery of new product candidates. Research programs to identify product candidates require substantial technical, financial and human resources, whether or not any product candidates are ultimately identified. In addition, targets for different cancers may require changes to our NK manufacturing platform, which may slow down development or make it impossible to manufacture our product candidates. Our research programs may initially show promise in identifying potential product candidates, yet fail to yield product candidates for clinical development for many reasons, including the following: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research methodology or technology platform used may not be successful in identifying potential product candidates;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competitors may develop alternatives that render our product candidates obsolete or less attractive;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we may choose to cease development if we determine that clinical results do not show promise;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35</w:t>
      </w:r>
    </w:p>
    <w:p>
      <w:pPr>
        <w:pStyle w:val="HorizontalLine"/>
        <w:rPr/>
      </w:pPr>
      <w:r>
        <w:rPr/>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product candidates we develop may nevertheless be covered by third parties’ patents or other exclusive rights;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 product candidate may be shown to have harmful side effects or other characteristics that indicate it is unlikely to be effective or otherwise does not meet applicable regulatory criteria;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a product candidate may not be accepted as safe and effective by patients, the medical community or third-party payors. </w:t>
      </w:r>
    </w:p>
    <w:p>
      <w:pPr>
        <w:pStyle w:val="TextBody"/>
        <w:spacing w:lineRule="auto" w:line="273" w:before="240" w:after="0"/>
        <w:jc w:val="left"/>
        <w:rPr>
          <w:rFonts w:ascii="Times New Roman" w:hAnsi="Times New Roman"/>
          <w:sz w:val="20"/>
        </w:rPr>
      </w:pPr>
      <w:r>
        <w:rPr>
          <w:rFonts w:ascii="Times New Roman" w:hAnsi="Times New Roman"/>
          <w:b w:val="false"/>
          <w:sz w:val="20"/>
        </w:rPr>
        <w:t>Because we have limited resources, we must choose to pursue and fund the development of specific types of treatment, or treatment for a specific type of cancer, and we may forego or delay pursuit of opportunities with certain programs or product candidates or for indications that later prove to have greater commercial potential. Our estimates regarding the potential market for our product candidates could be inaccurate, and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If any of these events occur, we may be forced to abandon or delay our development efforts with respect to a particular product candidate or fail to develop a potentially successful product candidate.</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If third parties that we rely on to conduct clinical trials do not successfully carry out their contractual duties, comply with regulatory requirements or meet expected deadlines, we may not be able to obtain marketing approval for or commercialize our product candidates.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do not have the ability to independently conduct clinical trials. We rely on medical institutions, clinical investigators, contract laboratories, and other third parties, such as contract research organizations (“CROs”) to conduct or otherwise support clinical trials for our product candidates. We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and other third parties will not relieve us of our regulatory responsibilities. For any violations of laws and regulations during the conduct of our clinical trials, we could be subject to untitled letters, warning letters or enforcement action that may include civil penalties up to and including criminal prosecution.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and the third parties on which we rely for clinical trials are required to comply with regulations and requirements,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European Union member states, and comparable foreign regulatory authorities for any drugs in clinical development. The FDA enforces GCP requirements through periodic inspections of clinical trial sponsors, principal investigators and trial sites. If we or these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not deviate from GCP. In addition, our clinical trials must be conducted with product candidates produced under cGMP regulations. Our failure or the failure of these third parties to comply with these regulations may require us to repeat clinical trials, which would delay the marketing approval process and could also subject us to enforcement action. The COVID-19 pandemic and government measures taken in response have also had a significant impact on our CROs, and we expect that they will face further disruption, which may affect our ability to initiate and complete our preclinical studies and clinical trials.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Although we intend to design the clinical trials for our product candidates, we plan to rely on third parties to conduct our clinical trials. As a result, many important aspects of our clinical development, including their conduct and timing, will be outside of our direct control. Our reliance on third parties to conduct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have staffing difficulties;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36</w:t>
      </w:r>
    </w:p>
    <w:p>
      <w:pPr>
        <w:pStyle w:val="HorizontalLine"/>
        <w:rPr/>
      </w:pPr>
      <w:r>
        <w:rPr/>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fail to comply with contractual obligations;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experience regulatory compliance issues;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undergo changes in priorities or become financially distressed; or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form relationships with other entities, some of which may be our competitors. </w:t>
      </w:r>
    </w:p>
    <w:p>
      <w:pPr>
        <w:pStyle w:val="TextBody"/>
        <w:spacing w:lineRule="auto" w:line="273" w:before="240" w:after="0"/>
        <w:jc w:val="left"/>
        <w:rPr>
          <w:rFonts w:ascii="Times New Roman" w:hAnsi="Times New Roman"/>
          <w:sz w:val="20"/>
        </w:rPr>
      </w:pPr>
      <w:r>
        <w:rPr>
          <w:rFonts w:ascii="Times New Roman" w:hAnsi="Times New Roman"/>
          <w:b w:val="false"/>
          <w:sz w:val="20"/>
        </w:rPr>
        <w:t>If third parties do not perform our clinical trials in a satisfactory manner, breach their obligations to us or fail to comply with regulatory requirements, we would be unable to rely on clinical data collected by these third parties and may be required to repeat, extend the duration of, or increase the size of any clinical trials we conduct, which could significantly delay commercialization and require significantly greater expenditures.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If any of our relationships with these third parties terminate, we may not be able to enter into arrangements with alternative third parties on commercially reasonable terms, or at all. If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third parties are associated with may be extended, delayed or terminated, and we may not be able to obtain marketing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r>
        <w:rPr>
          <w:rFonts w:ascii="Times New Roman" w:hAnsi="Times New Roman"/>
          <w:sz w:val="20"/>
        </w:rPr>
        <w:t xml:space="preserve"> </w:t>
      </w:r>
    </w:p>
    <w:p>
      <w:pPr>
        <w:pStyle w:val="TextBody"/>
        <w:spacing w:lineRule="auto" w:line="273" w:before="360" w:after="0"/>
        <w:jc w:val="left"/>
        <w:rPr>
          <w:rFonts w:ascii="Times New Roman" w:hAnsi="Times New Roman"/>
          <w:b/>
          <w:i/>
          <w:sz w:val="20"/>
        </w:rPr>
      </w:pPr>
      <w:r>
        <w:rPr>
          <w:rFonts w:ascii="Times New Roman" w:hAnsi="Times New Roman"/>
          <w:b/>
          <w:i/>
          <w:sz w:val="20"/>
        </w:rPr>
        <w:t>If we are not able to establish pharmaceutical or biotechnology collaborations on commercially reasonable terms, or at all, we may have to alter our development and commercialization plans.</w:t>
      </w:r>
    </w:p>
    <w:p>
      <w:pPr>
        <w:pStyle w:val="TextBody"/>
        <w:spacing w:lineRule="auto" w:line="273" w:before="240" w:after="0"/>
        <w:jc w:val="left"/>
        <w:rPr>
          <w:rFonts w:ascii="Times New Roman" w:hAnsi="Times New Roman"/>
          <w:sz w:val="20"/>
        </w:rPr>
      </w:pPr>
      <w:r>
        <w:rPr>
          <w:rFonts w:ascii="Times New Roman" w:hAnsi="Times New Roman"/>
          <w:b w:val="false"/>
          <w:sz w:val="20"/>
        </w:rPr>
        <w:t>The advancement of our product candidates and development programs and the potential commercialization of our current and future product candidates will require substantial additional cash to fund expenses. For some of our programs, we may seek to collaborate with pharmaceutical and biotechnology companies to develop and commercialize such product candidates, such as our recent collaboration with CRISPR. Any of these relationships, including our relationship with CRISPR, may require us to incur non-recurring and other charges, increase our near and long-term expenditures, issue securities that dilute our existing stockholders, relinquish valuable rights to our product candidates, or disrupt our management and business.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face significant competition in seeking appropriate strategic partners and the negotiation process is time-consuming and complex. Whether we reach a definitive agreement for new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a strategic partnership or other alternative arrangements for future product candidates because they may be deemed to be at too early of a stage of development for collaborative effort or third parties may not view them as having the requisite potential to demonstrate safety and efficacy.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w:t>
      </w:r>
      <w:r>
        <w:rPr>
          <w:rFonts w:ascii="Times New Roman" w:hAnsi="Times New Roman"/>
          <w:sz w:val="20"/>
        </w:rPr>
        <w:t xml:space="preserve"> </w:t>
      </w:r>
    </w:p>
    <w:p>
      <w:pPr>
        <w:pStyle w:val="TextBody"/>
        <w:spacing w:lineRule="auto" w:line="273" w:before="360" w:after="0"/>
        <w:jc w:val="left"/>
        <w:rPr>
          <w:rFonts w:ascii="Times New Roman" w:hAnsi="Times New Roman"/>
          <w:b/>
          <w:i/>
          <w:sz w:val="20"/>
        </w:rPr>
      </w:pPr>
      <w:r>
        <w:rPr>
          <w:rFonts w:ascii="Times New Roman" w:hAnsi="Times New Roman"/>
          <w:b/>
          <w:i/>
          <w:sz w:val="20"/>
        </w:rPr>
        <w:t>We have entered into a research collaboration with CRISPR Therapeutics regarding certain product candidates, and we may enter into additional collaborations with third parties to develop or commercialize other product candidates. Our prospects with respect to those product candidates will depend in significant part on the success of those collaborations, and we may not realize the benefits of such collaborations.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may form strategic alliances or create joint ventures or collaborations with respect to our product candidates that we believe will complement or augment our existing business. We routinely engage, and are engaged, in partnering discussions with a range of pharmaceutical and biotechnology companies and could enter into new collaborations at any time. If we enter into a collaboration, strategic alliance or license arrangement, there is no guarantee that the collaboration will be successful, or that any future partner will commit sufficient resources to the development, regulatory approval, and commercialization effort for such products, or that such alliances will result in us achieving revenues that justify such transactions.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37</w:t>
      </w:r>
    </w:p>
    <w:p>
      <w:pPr>
        <w:pStyle w:val="HorizontalLine"/>
        <w:rPr/>
      </w:pPr>
      <w:r>
        <w:rPr/>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In May 2021, we entered into a Research Collaboration Agreement (as amended, the “CRISPR Agreement”) with CRISPR to establish research plans for the purpose of collaboratively designing and advancing allogeneic, gene-edited NK cell therapies and an allogeneic, gene-edited NK+T cell therapy for use in the treatment of oncology, autoimmune disease, or infectious disease up to the filing of an application to a regulatory authority to request the ability to start a clinical trial. See Item 1, Business for additional information. If CRISPR, or any potential future collaboration partner, does not perform in the manner that we expect or fulfill their responsibilities in a timely manner or at all, the research, clinical development, regulatory approval and commercialization efforts related to the product candidates that are the subject of the collaboration with CRISPR, or that potential future collaboration partner, could be delayed or terminated.</w:t>
      </w:r>
    </w:p>
    <w:p>
      <w:pPr>
        <w:pStyle w:val="TextBody"/>
        <w:spacing w:lineRule="auto" w:line="273" w:before="240" w:after="0"/>
        <w:jc w:val="left"/>
        <w:rPr>
          <w:rFonts w:ascii="Times New Roman" w:hAnsi="Times New Roman"/>
          <w:sz w:val="20"/>
        </w:rPr>
      </w:pPr>
      <w:r>
        <w:rPr>
          <w:rFonts w:ascii="Times New Roman" w:hAnsi="Times New Roman"/>
          <w:b w:val="false"/>
          <w:sz w:val="20"/>
        </w:rPr>
        <w:t>If we terminate the CRISPR Agreement in its entirety or with respect to a particular product candidate under the research collaboration with CRISPR, due to a material breach by CRISPR or CRISPR’s insolvency, then we have the right to negotiate a license from CRISPR to continue research, development, and commercialization of the terminated product candidate(s) on our own at our sole expense. We would need to pay CRISPR milestones and royalties for the terminated product candidate(s), and we may not be able to negotiate terms to the license that are favorable to us. Furthermore, assumption of sole responsibility for further development would greatly increase our expenditures and may mean we would need to limit the size and scope of one or more of our programs, seek additional funding and/or choose to stop work altogether on one or more of the affected product candidates. This could result in a limited potential to generate future revenue from such product candidates, and our business could be materially and adversely affected.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Whenever we enter into collaborations with third parties, we could face the following risks:</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collaborators have significant discretion in determining the efforts and resources that they will apply to these collaborations;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collaborators could independently develop, or develop with third parties, products and processes that compete directly or indirectly with our products or product candidates;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collaborators may not properly enforce, maintain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disputes may arise between a collaborator and us that cause the delay or termination of the research, development or commercialization of the product candidate, or that result in costly litigation or arbitration that diverts management attention and resources;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if a present or future collaborator of ours were to be involved in a business combination, the continued pursuit and emphasis on our product development or commercialization program under such collaboration could be delayed, diminished or terminated;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collaboration agreements may restrict our right to independently pursue new product candidates. </w:t>
      </w:r>
    </w:p>
    <w:p>
      <w:pPr>
        <w:pStyle w:val="TextBody"/>
        <w:spacing w:lineRule="auto" w:line="273" w:before="240" w:after="0"/>
        <w:jc w:val="left"/>
        <w:rPr>
          <w:rFonts w:ascii="Times New Roman" w:hAnsi="Times New Roman"/>
          <w:sz w:val="20"/>
        </w:rPr>
      </w:pPr>
      <w:r>
        <w:rPr>
          <w:rFonts w:ascii="Times New Roman" w:hAnsi="Times New Roman"/>
          <w:b w:val="false"/>
          <w:sz w:val="20"/>
        </w:rPr>
        <w:t>If conflicts arise between our collaborators and us, including CRISPR, our collaborators may act in a manner adverse to us and could limit our ability to implement our strategies. CRISPR or future collaborators may develop, either alone or with others, products in related fields that are competitive with the products or potential products that are the subject of these collaborations. Competing products, either developed by the collaborators or to which the collaborators have rights, may result in the withdrawal of support for our product candidates. Our collaborators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As a result, we may not be able to realize the benefit of new or existing</w:t>
      </w:r>
      <w:r>
        <w:rPr>
          <w:rFonts w:ascii="Times New Roman" w:hAnsi="Times New Roman"/>
          <w:sz w:val="20"/>
        </w:rPr>
        <w:t xml:space="preserve"> </w:t>
      </w:r>
      <w:r>
        <w:rPr>
          <w:rFonts w:ascii="Times New Roman" w:hAnsi="Times New Roman"/>
          <w:b w:val="false"/>
          <w:sz w:val="20"/>
        </w:rPr>
        <w:t>collaboration agreements and strategic partnerships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38</w:t>
      </w:r>
    </w:p>
    <w:p>
      <w:pPr>
        <w:pStyle w:val="HorizontalLine"/>
        <w:rPr/>
      </w:pPr>
      <w:r>
        <w:rPr/>
      </w:r>
    </w:p>
    <w:p>
      <w:pPr>
        <w:pStyle w:val="TextBody"/>
        <w:spacing w:lineRule="auto" w:line="273" w:before="360" w:after="0"/>
        <w:jc w:val="left"/>
        <w:rPr>
          <w:rFonts w:ascii="Times New Roman" w:hAnsi="Times New Roman"/>
          <w:b/>
          <w:i/>
          <w:sz w:val="20"/>
        </w:rPr>
      </w:pPr>
      <w:r>
        <w:rPr>
          <w:rFonts w:ascii="Times New Roman" w:hAnsi="Times New Roman"/>
          <w:b/>
          <w:i/>
          <w:sz w:val="20"/>
        </w:rPr>
        <w:t>If we fail to compete effectively with academic institutions and other biopharmaceutical companies that develop similar or alternatives to cellular immunotherapy product candidates, our business will be materially adversely affected.</w:t>
      </w:r>
    </w:p>
    <w:p>
      <w:pPr>
        <w:pStyle w:val="TextBody"/>
        <w:spacing w:lineRule="auto" w:line="273" w:before="240" w:after="0"/>
        <w:jc w:val="left"/>
        <w:rPr>
          <w:rFonts w:ascii="Times New Roman" w:hAnsi="Times New Roman"/>
          <w:sz w:val="20"/>
        </w:rPr>
      </w:pPr>
      <w:r>
        <w:rPr>
          <w:rFonts w:ascii="Times New Roman" w:hAnsi="Times New Roman"/>
          <w:b w:val="false"/>
          <w:sz w:val="20"/>
        </w:rPr>
        <w:t>The development and commercialization of new cellular immunotherapy products is highly competitive. We face competition from existing and future competitors with respect to each of our product candidates currently in development, and will face competition with respect to other product candidates that we may seek to develop or commercialize in the future. For example, the autologous cell therapies Kymriah</w:t>
      </w:r>
      <w:r>
        <w:rPr>
          <w:rFonts w:ascii="Times New Roman" w:hAnsi="Times New Roman"/>
          <w:b w:val="false"/>
          <w:sz w:val="13"/>
        </w:rPr>
        <w:t>®</w:t>
      </w:r>
      <w:r>
        <w:rPr>
          <w:rFonts w:ascii="Times New Roman" w:hAnsi="Times New Roman"/>
          <w:b w:val="false"/>
          <w:sz w:val="20"/>
        </w:rPr>
        <w:t>, Yescarta</w:t>
      </w:r>
      <w:r>
        <w:rPr>
          <w:rFonts w:ascii="Times New Roman" w:hAnsi="Times New Roman"/>
          <w:b w:val="false"/>
          <w:sz w:val="13"/>
        </w:rPr>
        <w:t>®</w:t>
      </w:r>
      <w:r>
        <w:rPr>
          <w:rFonts w:ascii="Times New Roman" w:hAnsi="Times New Roman"/>
          <w:b w:val="false"/>
          <w:sz w:val="20"/>
        </w:rPr>
        <w:t>, Tecartus and Breyanzi</w:t>
      </w:r>
      <w:r>
        <w:rPr>
          <w:rFonts w:ascii="Times New Roman" w:hAnsi="Times New Roman"/>
          <w:b w:val="false"/>
          <w:sz w:val="13"/>
        </w:rPr>
        <w:t>®</w:t>
      </w:r>
      <w:r>
        <w:rPr>
          <w:rFonts w:ascii="Times New Roman" w:hAnsi="Times New Roman"/>
          <w:b w:val="false"/>
          <w:sz w:val="20"/>
        </w:rPr>
        <w:t>, which have been commercially approved, are direct competitors to our product candidate NKX019. In addition, other competitors, including biopharmaceutical companies, have clinical-stage or earlier stage allogenic programs, and a number of other companies are seeking to harness NK biology through engagers that seek to direct a patient’s own NK cells to the site of a tumor or are investigating other types of immune cells. Numerous academic institutions are also conducting preclinical and clinical research in these areas, as well as with other white blood cell types including NKT cells and gamma-delta T cells. It is also possible that new competitors, including those developing similar or alternatives to cellular immunotherapy product candidates, may emerge and acquire significant market share. Such competitors may have an advantage over us due to their greater size, resources or institutional experience, or may develop product candidates that are safer, more effective, more widely accepted, more cost-effective or enable higher patient quality of life than ours. More established biopharmaceutical companies may also develop and commercialize their product candidates at a faster rate, which could render our product candidates obsolete or non-competitive before they are fully developed or commercialized. If we are not able to compete effectively against our existing and potential competitors, our business, financial condition, results of operations and growth prospects may be materially adversely affected.</w:t>
      </w:r>
      <w:r>
        <w:rPr>
          <w:rFonts w:ascii="Times New Roman" w:hAnsi="Times New Roman"/>
          <w:sz w:val="20"/>
        </w:rPr>
        <w:t xml:space="preserve"> </w:t>
      </w:r>
    </w:p>
    <w:p>
      <w:pPr>
        <w:pStyle w:val="TextBody"/>
        <w:spacing w:lineRule="auto" w:line="273" w:before="360" w:after="0"/>
        <w:jc w:val="left"/>
        <w:rPr>
          <w:rFonts w:ascii="Times New Roman" w:hAnsi="Times New Roman"/>
          <w:b/>
          <w:i/>
          <w:sz w:val="20"/>
        </w:rPr>
      </w:pPr>
      <w:r>
        <w:rPr>
          <w:rFonts w:ascii="Times New Roman" w:hAnsi="Times New Roman"/>
          <w:b/>
          <w:i/>
          <w:sz w:val="20"/>
        </w:rPr>
        <w:t>We will need to increase the size of our organization, and we may experience difficulties in managing growth.*</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As of March 31, 2022, we had 135 full-time employees. We will need to continue to expand our managerial, operational, clinical, quality, human resources, legal, manufacturing, finance, commercial and other resources in order to manage our operations and clinical trials, continue our development activities and eventually commercialize our product candidates. Our management and personnel, systems and facilities currently in place may not be adequate to support this future growth. Our need to effectively execute our growth strategy requires that we:</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discover new product candidates, develop the process and analytical methods for IND-enabling studies and FDA submissions, complete the required IND-enabling studies for each, and receive approval from the FDA and other regulatory authorities to initiate clinical trials for such product candidates;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manage our clinical trials effectively;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identify, recruit, retain, incentivize and integrate additional employees;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expand into additional office and laboratory space as we grow our employee base;</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complete the qualification of our in-house clinical GMP manufacturing facility and establish and validate a commercial GMP manufacturing facility;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continue to improve our operational, financial and management controls, reports systems and procedures. </w:t>
      </w:r>
    </w:p>
    <w:p>
      <w:pPr>
        <w:pStyle w:val="TextBody"/>
        <w:spacing w:lineRule="auto" w:line="273" w:before="240" w:after="0"/>
        <w:jc w:val="left"/>
        <w:rPr>
          <w:rFonts w:ascii="Times New Roman" w:hAnsi="Times New Roman"/>
          <w:sz w:val="20"/>
        </w:rPr>
      </w:pPr>
      <w:r>
        <w:rPr>
          <w:rFonts w:ascii="Times New Roman" w:hAnsi="Times New Roman"/>
          <w:b w:val="false"/>
          <w:sz w:val="20"/>
        </w:rPr>
        <w:t>If we are unable to attract skilled employees, increase the size of our organization or manage our future growth effectively, it will impair our ability to execute our business strategy and our business, financial condition, results of operations and growth prospects will be materially adversely affected.</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If we fail to attract and retain senior management, clinical, and key scientific personnel, we may be unable to successfully develop our product candidates, conduct our clinical trials and commercialize our product candidates.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Our success depends in part on our continued ability to attract, retain and motivate highly qualified management, clinical and scientific personnel. We are highly dependent upon our senior management, particularly our chief executive officer, as well as other members of our senior management team. The loss of services of any of these individuals could delay or prevent the successful development of our product pipeline, initiation or completion of our planned clinical trials or the commercialization of our future product candidates. We do not have employment agreements with our senior management team.</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39</w:t>
      </w:r>
    </w:p>
    <w:p>
      <w:pPr>
        <w:pStyle w:val="HorizontalLine"/>
        <w:rPr/>
      </w:pPr>
      <w:r>
        <w:rPr/>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manufacturing activities, or if we initiate commercial activities. We may not be able to attract and retain quality personnel on acceptable terms, or at all. If we are unable to hire and retain the qualified personnel we need to operate our business, our business, financial condition, results of operations and growth prospects would be materially adversely affected.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pStyle w:val="TextBody"/>
        <w:spacing w:lineRule="auto" w:line="273" w:before="360" w:after="0"/>
        <w:jc w:val="left"/>
        <w:rPr>
          <w:rFonts w:ascii="Times New Roman" w:hAnsi="Times New Roman"/>
          <w:sz w:val="20"/>
        </w:rPr>
      </w:pPr>
      <w:r>
        <w:rPr>
          <w:rFonts w:ascii="Times New Roman" w:hAnsi="Times New Roman"/>
          <w:b/>
          <w:i/>
          <w:sz w:val="20"/>
        </w:rPr>
        <w:t>Product liability lawsuits against us could cause us to incur substantial liabilities and could limit commercialization of any product candidate that we may develop.</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face an inherent risk of product liability exposure related to the testing of our product candidates in clinical trials and may face an even greater risk if we commercialize any product candidate that we may develop. If we cannot successfully defend ourselves against claims that any such product candidates caused injuries, we could incur substantial liabilities. Regardless of merit or eventual outcome, liability claims may result in:</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decreased demand for any product candidate that we may develop;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loss of revenue;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substantial monetary awards to trial participants or patients;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significant time and costs to defend the related litigation;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withdrawal of clinical trial participants;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increased insurance costs;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inability to commercialize any product candidate that we may develop;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injury to our reputation and significant negative media attention. </w:t>
      </w:r>
    </w:p>
    <w:p>
      <w:pPr>
        <w:pStyle w:val="TextBody"/>
        <w:spacing w:lineRule="auto" w:line="273" w:before="240" w:after="0"/>
        <w:jc w:val="left"/>
        <w:rPr>
          <w:rFonts w:ascii="Times New Roman" w:hAnsi="Times New Roman"/>
          <w:sz w:val="20"/>
        </w:rPr>
      </w:pPr>
      <w:r>
        <w:rPr>
          <w:rFonts w:ascii="Times New Roman" w:hAnsi="Times New Roman"/>
          <w:b w:val="false"/>
          <w:sz w:val="20"/>
        </w:rPr>
        <w:t>Any such outcomes could materially adversely affect our business, financial condition, results of operations and growth prospects.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Our insurance policies may be inadequate, may not cover all of our potential liabilities and may potentially expose us to unrecoverable risks.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do not carry insurance for all categories of risk that our business may encounter. Although we maintain product liability insurance coverage that also covers our clinical trials, such insurance may not be adequate to cover all liabilities that we may incur, and we may be required to increase our product liability insurance coverage. We anticipate that we will need to increase our insurance coverage each time we commence a clinical trial and if we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although we are dependent on certain key personnel, we do not have any key man life insurance policies on any such individuals. Therefore, if any of our chief executive officer or other executive officers die or become disabled, we will not receive any compensation to assist with such individual’s absence. The loss of such person could materially adversely affect our business, financial condition, results of operations and growth prospects.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Our business involves the use of hazardous materials and we and our third-party manufacturers and suppliers must comply with environmental laws and regulations, which can be expensive and restrict how we do business.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research and development activities and our third-party manufacturers’ and suppliers’ activities involve the controlled storage, use and disposal of hazardous materials owned by us. We and our manufacturers and suppliers are subject to laws and regulations governing the use, manufacture, storage, handling and disposal of these hazardous materials. In some cases, these hazardous materials and various wastes resulting from their use are stored at our manufacturers’ facilities pending their use and disposal.</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40</w:t>
      </w:r>
    </w:p>
    <w:p>
      <w:pPr>
        <w:pStyle w:val="HorizontalLine"/>
        <w:rPr/>
      </w:pPr>
      <w:r>
        <w:rPr/>
      </w:r>
    </w:p>
    <w:p>
      <w:pPr>
        <w:pStyle w:val="TextBody"/>
        <w:spacing w:lineRule="auto" w:line="273" w:before="240" w:after="0"/>
        <w:jc w:val="left"/>
        <w:rPr>
          <w:rFonts w:ascii="Times New Roman" w:hAnsi="Times New Roman"/>
          <w:sz w:val="20"/>
        </w:rPr>
      </w:pPr>
      <w:r>
        <w:rPr>
          <w:rFonts w:ascii="Times New Roman" w:hAnsi="Times New Roman"/>
          <w:b w:val="false"/>
          <w:sz w:val="20"/>
        </w:rPr>
        <w:t>We cannot eliminate the risk of contamination, which could cause an interruption of our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over time. We cannot predict the impact of such changes and cannot be certain of our future compliance. We do not currently carry biological or hazardous waste insurance coverage. Any contamination by such hazardous materials could therefore materially adversely affect our business, financial condition, results of operations and growth prospects.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sz w:val="20"/>
        </w:rPr>
        <w:t>Risks Related to Manufacturing</w:t>
      </w:r>
      <w:r>
        <w:rPr>
          <w:rFonts w:ascii="Times New Roman" w:hAnsi="Times New Roman"/>
          <w:sz w:val="20"/>
        </w:rPr>
        <w:t xml:space="preserve"> </w:t>
      </w:r>
    </w:p>
    <w:p>
      <w:pPr>
        <w:pStyle w:val="TextBody"/>
        <w:spacing w:lineRule="auto" w:line="273" w:before="120" w:after="0"/>
        <w:jc w:val="left"/>
        <w:rPr>
          <w:rFonts w:ascii="Times New Roman" w:hAnsi="Times New Roman"/>
          <w:b/>
          <w:i/>
          <w:sz w:val="20"/>
        </w:rPr>
      </w:pPr>
      <w:r>
        <w:rPr>
          <w:rFonts w:ascii="Times New Roman" w:hAnsi="Times New Roman"/>
          <w:b/>
          <w:i/>
          <w:sz w:val="20"/>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pStyle w:val="TextBody"/>
        <w:spacing w:lineRule="auto" w:line="273" w:before="240" w:after="0"/>
        <w:jc w:val="left"/>
        <w:rPr>
          <w:rFonts w:ascii="Times New Roman" w:hAnsi="Times New Roman"/>
          <w:sz w:val="20"/>
        </w:rPr>
      </w:pPr>
      <w:r>
        <w:rPr>
          <w:rFonts w:ascii="Times New Roman" w:hAnsi="Times New Roman"/>
          <w:b w:val="false"/>
          <w:sz w:val="20"/>
        </w:rPr>
        <w:t>Our product candidates are genetically engineered human cells, and the process of manufacturing such product candidates, as well as engineered K562 cells and viral vectors, is complex, highly regulated and subject to numerous risks. Manufacturing our product candidates involves harvesting white blood cells from a donor, isolating the NK cells, activating and expanding the NK cells, introducing a gamma-retrovirus with genes encoding the proteins we wish to express, cryopreservation, storage and eventually shipment. As a result of these complexities, the cost to manufacture our cellular product candidates, engineered K562 cells and viral vector is generally higher than traditional small-molecule chemical compounds or biologics, and the manufacturing process is presently less reliable and more difficult to reproduce. Furthermore, for certain patients in the early portion of our Phase 1 study of NKX101, we dosed patients with haplomatched NKX101.</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manufacturing process will be susceptible to product loss or failure, or product variation that may negatively impact patient outcomes, due to logistical issues associated with the collection of starting material from the donor, shipping such material to the manufacturing site, shipping the final product to the clinical trial recipient, preparing the product for administration, manufacturing issues or different product characteristics resulting from the differences in donor starting materials, variations between reagent lots, interruptions in the manufacturing process, contamination, equipment or reagent failure, improper installation or operation of equipment, vendor or operator error, inconsistency in cell growth and variability in product characteristics.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Even minor deviations from normal manufacturing processes could result in reduced production yields, product defects and other supply disruptions. If microbial, viral or other contaminations are discovered in our product candidates or in any of the manufacturing facilities in which products or other materials are made, such manufacturing facilities may need to be closed for an extended period of time to investigate and remedy the contamination. We will be required to maintain a chain of identity with respect to materials as they move from the donor to the manufacturing facility, through the manufacturing process and to the clinical trial recipient. Maintaining a chain of identity is difficult and complex, and failure to do so could result in adverse patient outcomes, loss of product or regulatory action, including withdrawal of our products from the market, if licensed. Any failure in the foregoing processes could render a batch of product unusable, could affect the regulatory approval of such product candidate, could cause us to incur fines or penalties or could harm our reputation and that of our product candidates.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Our manufactured product candidates may fail to meet the required specifications for any of a variety of reasons, including variability in starting material, deviations from normal manufacturing process, or insufficient optimization of specific process steps. This failure to meet specifications could result in delays related to obtaining additional regulatory, site and patient approvals to continue dosing the patient in the clinical trial. If the required additional approvals cannot be obtained, additional delays may occur as manufacturing would need to be restarted and/or the patient may be unable to remain in the study. We may lose the starting material for a manufactured product for one of our clinical trial patients at any point in the process, the manufacturing process for that patient would need to be restarted and the resulting delay could require restarting the manufacturing process or could result in such patient no longer participating in our clinical trial. Any delay in the clinical development or commercialization of NKX101, NKX019, or our other product candidates could materially adversely affect our business, financial condition, results of operations and growth prospects.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41</w:t>
      </w:r>
    </w:p>
    <w:p>
      <w:pPr>
        <w:pStyle w:val="HorizontalLine"/>
        <w:rPr/>
      </w:pPr>
      <w:r>
        <w:rPr/>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may make changes to our manufacturing process at various points during development, and even after commercialization, for various reasons, such as to control costs, achieve scale, decrease processing time, increase manufacturing success rate or for other reasons. Changes to our manufacturing process carry the risk that they will not achieve their intended objectives, and any of these changes could cause our product candidates to perform differently and affect the results of our ongoing clinical trials, or the performance of the product once commercialized. Changes to our process made during the course of clinical development could require us to show the comparability of the product candidate used in earlier clinical phases or at earlier portions of a trial to the product candidate used in later clinical phases or later portions of the trial. It is difficult to establish comparability of cell therapy products, and this may complicate efforts to verify process changes during scale up. Other changes to our manufacturing process made before or after commercialization could require us to show the comparability of the resulting product to the product candidate used in the clinical trials using earlier processes. Such showings could require us to collect additional nonclinical or clinical data from any modified process prior to obtaining marketing approval for the product candidate produced with such modified process. If such data are not ultimately comparable to that seen in the earlier trials or earlier in the same trial in terms of safety or efficacy, or if regulatory authorities do not agree that comparability has been established, we may be required to make further changes to our process and/or undertake additional clinical testing, either of which could significantly delay the clinical development or commercialization of the associated product candidate, which would materially adversely affect our business, financial condition, results of operations and growth prospects.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Although we are manufacturing NKX019 in our own internal manufacturing facility for the NKX019 Phase 1 clinical trial, and plan to manufacture other product candidates in our internal manufacturing facilities in the future, we may encounter problems with the internal production of our product candidates. We believe this clinical cGMP facility will supply our anticipated non-pivotal clinical trial needs, but if the dose and number of cycles needed increases, our current manufacturing process may not be able to support the enrollment of trials which could lead to delays until we scale up the manufacturing. We have completed the construction of a cGMP facility for the production of certain of our product candidates for our early-stage clinical trials, but we do not yet have a cGMP facility for the commercial-scale manufacture of our product candidates. Our manufacturing facilities will be subject to compliance with regulatory requirements, which we may struggle to meet. Building a commercial-scale facility and manufacturing product candidates in our own facilities will require an increase in staff and significant internal resources. We may encounter problems with properly staffing our internal manufacturing facilities due to hiring challenges or other issues. For example, factors such as the COVID-19 pandemic and COVID-19-related restrictions could impact our ability to properly staff production of our product candidates. We may also encounter problems with training the staff we have to effectively manage and control the complex manufacturing process required to produce our product candidates and comply with all necessary regulations. In addition, we may find it difficult to properly manage supply chain issues critical to the manufacturing process. If we are unable to build, maintain, and properly staff our manufacturing facilities, manage and control the manufacturing process, and comply with regulations, the clinical development or commercialization of our product candidates could be significantly delayed, which would materially adversely affect our business, financial condition, results of operations and growth prospects.</w:t>
      </w:r>
    </w:p>
    <w:p>
      <w:pPr>
        <w:pStyle w:val="TextBody"/>
        <w:spacing w:lineRule="auto" w:line="247" w:before="360" w:after="0"/>
        <w:jc w:val="left"/>
        <w:rPr>
          <w:rFonts w:ascii="Times New Roman" w:hAnsi="Times New Roman"/>
          <w:b/>
          <w:i/>
          <w:sz w:val="20"/>
        </w:rPr>
      </w:pPr>
      <w:r>
        <w:rPr>
          <w:rFonts w:ascii="Times New Roman" w:hAnsi="Times New Roman"/>
          <w:b/>
          <w:i/>
          <w:sz w:val="20"/>
        </w:rPr>
        <w:t>We rely on third parties to manufacture certain of our product candidates, and certain materials for use in the production of our product candidates, which increases the risk that we will not have sufficient quantities of such product candidates or materials, or such quantities at an acceptable cost, which could delay, prevent or impair our development or commercialization efforts.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Although we are building a commercial-scale manufacturing facility, we do not yet operate our own cGMP facility for the production of commercial supplies of the product candidates that we are developing or evaluating in our development programs or supplies of such product candidates for pivotal clinical trials. We have limited personnel with experience in drug manufacturing and currently lack the resources and the capabilities to manufacture any of our product candidates on a commercial scale. If we are unable to successfully build, maintain and staff our own commercial-scale cGMP facility, we will need to rely on third parties for commercial-scale manufacture of our product candidates. We also currently rely on a third-party manufacturer for our clinical supply of NKX101. We expect to continue to outsource NKX101 manufacturing even though we have an internal cGMP facility for clinical supply, at least for a certain amount of time. We compete with other companies for access to third party cGMP facilities and cannot assure continued access.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In addition, we currently outsource manufacturing of certain critical materials necessary for production of our product candidates, including K562 cells and viral vectors. Even though we have established our own internal cGMP facility for clinical supply of certain product candidates, and even if we successfully establish our own cGMP manufacturing facility for manufacture of our product candidates on a commercial scale, we will continue to outsource manufacturing of certain materials necessary for production of our product candidates, at least for a certain amount of time.</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42</w:t>
      </w:r>
    </w:p>
    <w:p>
      <w:pPr>
        <w:pStyle w:val="HorizontalLine"/>
        <w:rPr/>
      </w:pPr>
      <w:r>
        <w:rPr/>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In order to conduct clinical trials of product candidates, we will need to have them manufactured in potentially large quantities. Our third-party manufacturers may be unable to increase the manufacturing capacity for any of our product candidates or other necessary materials in a timely or cost-effective manner, or at all. In addition, quality issues may arise during scale-up activities and at any other time. If these third-party manufacturers are unable to, or do not, scale up the manufacture of our product candidates or other necessary materials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do not currently have any agreements with third-party manufacturers for long-term commercial supply. We may be unable to enter into agreements with third-party manufacturers for commercial supplies of any product candidate or any material necessary for production of a product candidate that we develop, or may be unable to do so on acceptable terms. Even if we establish and maintain arrangements with third-party manufacturers, reliance on third-party manufacturers for either clinical or commercial supply entails risks, including:</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reliance on the third-party for regulatory compliance and quality assurance;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possible breach of the manufacturing agreement by the third-party;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possible misappropriation of our proprietary information, including our trade secrets and know-how;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the possible termination or nonrenewal of the agreement by the third-party at a time that is costly or inconvenient for us. </w:t>
      </w:r>
    </w:p>
    <w:p>
      <w:pPr>
        <w:pStyle w:val="TextBody"/>
        <w:spacing w:lineRule="auto" w:line="273" w:before="240" w:after="0"/>
        <w:jc w:val="left"/>
        <w:rPr>
          <w:rFonts w:ascii="Times New Roman" w:hAnsi="Times New Roman"/>
          <w:sz w:val="20"/>
        </w:rPr>
      </w:pPr>
      <w:r>
        <w:rPr>
          <w:rFonts w:ascii="Times New Roman" w:hAnsi="Times New Roman"/>
          <w:b w:val="false"/>
          <w:sz w:val="20"/>
        </w:rPr>
        <w:t>Third-party manufacturers may not be able to comply with cGMP requirements or similar regulatory requirements outside the United States.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If the third parties that we engage to supply any materials or to manufacture any products for our preclinical tests and clinical trials should cease to continue to do so for any reason, including due to the effects of the COVID-19 pandemic and the actions undertaken by governments and private enterprises to contain COVID-19,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 At some of our contract manufacturing sites, COVID-19-related restrictions, including temporary shutdowns, and instances of COVID-19 cases impacting personnel have resulted in some delays.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current and anticipated dependence upon others for the manufacture of our product candidates and materials necessary for production of our product candidates may adversely affect our profit margins and our ability to develop product candidates and commercialize any products that receive marketing approval on a timely and competitive basis.</w:t>
      </w:r>
      <w:r>
        <w:rPr>
          <w:rFonts w:ascii="Times New Roman" w:hAnsi="Times New Roman"/>
          <w:sz w:val="20"/>
        </w:rPr>
        <w:t xml:space="preserve"> </w:t>
      </w:r>
    </w:p>
    <w:p>
      <w:pPr>
        <w:pStyle w:val="TextBody"/>
        <w:spacing w:lineRule="auto" w:line="247" w:before="360" w:after="0"/>
        <w:jc w:val="left"/>
        <w:rPr>
          <w:rFonts w:ascii="Times New Roman" w:hAnsi="Times New Roman"/>
          <w:sz w:val="20"/>
        </w:rPr>
      </w:pPr>
      <w:r>
        <w:rPr>
          <w:rFonts w:ascii="Times New Roman" w:hAnsi="Times New Roman"/>
          <w:b/>
          <w:i/>
          <w:sz w:val="20"/>
        </w:rPr>
        <w:t>We are reliant on a sole supplier for certain steps of our manufacturing process.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manufacturing process for NKX101 and for NKX019 depends on the use of the Miltenyi CliniMACS Plus system, and related reagents, all of which are only available from Miltenyi as the sole supplier. In addition, some of these reagents, at the time of procurement, typically expire after approximately four to six months. This short expiration period means that stocking the reagents in large quantities for future needs would not be an effective strategy to mitigate against the risk of shortage due to disruption of the supply chain.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Furthermore, while many of the reagents and consumables used in our manufacturing process are available from more than one commercial supplier, we have not confirmed the suitability of the use of all such reagents and consumables in our manufacturing process. Even if we are able to replace any raw materials or consumables with an alternative, such alternatives may cost more, result in lower yields or not be as suitable for our purposes. In addition, some of the raw materials that we use are complex materials, which may be more difficult to substitute. Therefore, supply disruptions could result in delays and additional regulatory submissions and prevent us from being able to manufacture our product candidates due to the unsuitability of the substituted reagent or consumable that we are able to procure.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Any disruption in supply of these instruments and reagents could result in delays in our clinical trials, which would materially adversely affect our business, financial condition, results of operations and growth prospects.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43</w:t>
      </w:r>
    </w:p>
    <w:p>
      <w:pPr>
        <w:pStyle w:val="HorizontalLine"/>
        <w:rPr/>
      </w:pPr>
      <w:r>
        <w:rPr/>
      </w:r>
    </w:p>
    <w:p>
      <w:pPr>
        <w:pStyle w:val="TextBody"/>
        <w:spacing w:lineRule="auto" w:line="247" w:before="360" w:after="0"/>
        <w:jc w:val="left"/>
        <w:rPr>
          <w:rFonts w:ascii="Times New Roman" w:hAnsi="Times New Roman"/>
          <w:b/>
          <w:i/>
          <w:sz w:val="20"/>
        </w:rPr>
      </w:pPr>
      <w:r>
        <w:rPr>
          <w:rFonts w:ascii="Times New Roman" w:hAnsi="Times New Roman"/>
          <w:b/>
          <w:i/>
          <w:sz w:val="20"/>
        </w:rPr>
        <w:t>Delays in commissioning and receiving regulatory approvals for our manufacturing facilities could delay our development plans and thereby limit our ability to develop our product candidates and generate revenues.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believe that internal cGMP manufacturing is important to facilitate clinical product supply, lower the risk of manufacturing disruptions and enable more cost-effective manufacturing. We have a cGMP facility in South San Francisco, California that allows us to supply the product candidates needed for our early-stage clinical trials. We have also leased a property where we are building a facility for the commercial-scale manufacture of our product candidates. The design, construction, qualification, regulatory approvals and maintenance for such facilities require substantial capital and technical expertise and any delay would limit our development activities and our opportunities for growth.</w:t>
      </w:r>
    </w:p>
    <w:p>
      <w:pPr>
        <w:pStyle w:val="TextBody"/>
        <w:spacing w:lineRule="auto" w:line="273" w:before="240" w:after="0"/>
        <w:jc w:val="left"/>
        <w:rPr>
          <w:rFonts w:ascii="Times New Roman" w:hAnsi="Times New Roman"/>
          <w:sz w:val="20"/>
        </w:rPr>
      </w:pPr>
      <w:r>
        <w:rPr>
          <w:rFonts w:ascii="Times New Roman" w:hAnsi="Times New Roman"/>
          <w:b w:val="false"/>
          <w:sz w:val="20"/>
        </w:rPr>
        <w:t>Furthermore, our manufacturing facilities will be subject to ongoing, periodic inspection by the FDA and other comparable regulatory agencies to ensure compliance with cGMP. Our failure to follow and document our adherence to these regulations or other regulatory requirements may lead to significant delays in the availability of product candidates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drug candidates, delays, suspension or withdrawal of approvals, license revocation, seizures or recalls of drug candidates, operating restrictions and criminal prosecutions, any of which could materially adversely affect our business, financial condition, results of operations and growth prospects.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also may encounter problems with the following: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complying with regulations regarding evolving donor infectious disease testing, traceability, manufacturing, release of product candidates and other requirements from regulatory authorities outside the United States;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achieving adequate or clinical-grade materials that meet regulatory agency standards or specifications with consistent and acceptable production yield and costs;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bacterial, fungal or viral contamination in our manufacturing facilities;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disruptions due to natural disasters or supply chain interruptions;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shortages of qualified personnel, raw materials or key contractors.</w:t>
      </w:r>
    </w:p>
    <w:p>
      <w:pPr>
        <w:pStyle w:val="TextBody"/>
        <w:spacing w:lineRule="auto" w:line="273" w:before="240" w:after="0"/>
        <w:jc w:val="left"/>
        <w:rPr>
          <w:rFonts w:ascii="Times New Roman" w:hAnsi="Times New Roman"/>
          <w:sz w:val="20"/>
        </w:rPr>
      </w:pPr>
      <w:r>
        <w:rPr>
          <w:rFonts w:ascii="Times New Roman" w:hAnsi="Times New Roman"/>
          <w:b w:val="false"/>
          <w:sz w:val="20"/>
        </w:rPr>
        <w:t>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 capacity and experience, whether internally or with a third party, are delayed in doing so, or fail to 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The optimal donor and manufacturing parameters for our product candidates have not been definitively established, which may hinder our ability to optimize our product candidates or to address any safety or efficacy issues that may arise.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If any of our clinical trials reveal issues with the safety or efficacy of any of our product candidates, modification of the donor selection criteria or the manufacturing process may be necessary to address such issues. Alternatively, we may choose to modify the manufacturing process in an effort to improve the efficiency of the process or efficacy of the product candidates. However, we have not, at present, fully characterized or identified how donor characteristics and manufacturing process parameters affect the optimal cancer cell killing ability for our engineered NK cell product candidates for in vitro and animal efficacy studies or how such potency differences may translate into efficacy to be seen in human clinical trials, including both the proportion of patients who achieve a meaningful clinical response, and the duration of any such clinical responses. As a result, our ability to improve our manufacturing process or product potency, safety, or efficacy according to such parameters is limited and may require significant trial and error, which may cause us to incur significant costs or could result in significant delays to the clinical development and eventual commercialization of our product candidates.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44</w:t>
      </w:r>
    </w:p>
    <w:p>
      <w:pPr>
        <w:pStyle w:val="HorizontalLine"/>
        <w:rPr/>
      </w:pPr>
      <w:r>
        <w:rPr/>
      </w:r>
    </w:p>
    <w:p>
      <w:pPr>
        <w:pStyle w:val="TextBody"/>
        <w:spacing w:lineRule="auto" w:line="273" w:before="360" w:after="0"/>
        <w:jc w:val="left"/>
        <w:rPr>
          <w:rFonts w:ascii="Times New Roman" w:hAnsi="Times New Roman"/>
          <w:sz w:val="20"/>
        </w:rPr>
      </w:pPr>
      <w:r>
        <w:rPr>
          <w:rFonts w:ascii="Times New Roman" w:hAnsi="Times New Roman"/>
          <w:b/>
          <w:i/>
          <w:sz w:val="20"/>
        </w:rPr>
        <w:t>We are dependent on third parties to store our CAR-NK cells, viral vector, master and working cell banks of the engineered K562 cells, and any damage or loss would cause delays in replacement, and our business could suffer.</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CAR-NK cells, the viral vector, and the master and working cell banks of the engineered K562 cells are stored in freezers at third-party biorepositories and will also be stored in our freezers at our production facility. If these materials are damaged at these facilities, including by the loss or malfunction of these freezers or our back-up power systems, as well as by damage from fire, power loss or other natural disasters, we would need to establish replacement CAR-NK cells, viral vector, and master and working cell banks of the engineered K562 cells, which would impact clinical supply and delay our patients’ treatments. If we are unable to establish replacement materials, we could incur significant additional expenses and liability to patients whose treatment is delayed, and our business could suffer.</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We have not yet developed a validated methodology for freezing and thawing commercial-scale quantities of CAR-NK cells, which we believe will be required for the storage and distribution of our CAR-NK product candidates.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have not yet demonstrated that CAR-NK cells, which can be frozen and thawed in smaller quantities, can also be frozen and thawed in commercial scale quantities without damage, in a cost-efficient manner and without degradation over time. We may encounter difficulties not only in developing freezing and thawing methodologies for large scale use, but also in obtaining the necessary regulatory approvals for using such methodologies in treatment. If we are unable to freeze CAR-NK cells for shipping purposes, our ability to promote adoption and standardization of our product candidates, as well as achieve economies of scale by centralizing our production facility, will be limited. Even if we are able to successfully freeze and thaw CAR-NK cells in large quantities, we will still need to develop a cost-effective and reliable distribution and logistics network, which we may be unable to accomplish.</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Furthermore, we have not yet demonstrated long-term stability of cryopreserved CAR-NK cells and therefore do not know if we will be able to store the cryopreserved cells for extended periods of time. If we are unable to demonstrate long-term stability, we will need to reduce the manufacturing batch size to ensure that the material we produce will be used before it expires. In that case, the scaling of our production processes will not deliver the efficiencies we expect, and the cost per dose of our product candidates will be substantially higher.</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For these and other reasons, we have not yet established the long-term stability of our cryopreserved CAR-NK cells and we may not be able to commercialize CAR-NK cells on a large scale or in a cost-effective manner. If such product candidate is found to be instable, we would be required to conduct more frequent manufacturing runs, which could cause us to incur significant additional expenses.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sz w:val="20"/>
        </w:rPr>
        <w:t>Risks Related to Our Intellectual Property</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i/>
          <w:sz w:val="20"/>
        </w:rPr>
        <w:t>If our license agreement with National University of Singapore and St. Jude’s Children’s Research Hospital, Inc. is terminated, we could lose our rights to key components enabling our NK cell engineering platform.</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August 2016, we entered into a license agreement with the National University of Singapore and St. Jude Children’s Research Hospital, Inc., (the “Licensors”). Pursuant to this license, the Licensors granted to us an exclusive, worldwide, royalty-bearing, sublicensable license under specified patents and patent applications related to NK cell technology in the field of therapeutics. We make single-digit royalty payments, patent expenses, license maintenance fees and milestone payments to the Licensors. The term of the license agreement extends until expiration of the last of the patent rights licensed to us by the Licensors, which is currently expected to occur in approximately 2039. The Licensors may terminate the license agreement upon the occurrence of certain events, such as an uncured material breach by us, the cessation of our business or our insolvency, liquidation or receivership. If the Licensors terminate or narrow the license agreement, we could lose the use of intellectual property rights that may be material or necessary to the development or production of our product candidates, which could impede or prevent our successful commercialization of such product candidates and materially adversely affect our business, financial condition, results of operations and growth prospects.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Furthermore, our patent license agreement with the Licensors is field-specific and has been granted to us in the field of therapeutics. This license agreement permits to Licensors to practice the licensed rights, and to allow non-profit academic third parties to practice the licensed rights for certain academic purposes. As such, certain patents in a patent family that is licensed to us by the Licensors have been licensed to at least one other third party. Although these patents should not be overlapping with our licensed patents, there is a risk that inadvertent overlap may occur, and thus resources may have to be expended to resolve any such overlap and to prevent other licensees from practicing under our licensed patents rights. If any of the foregoing were to occur, it could delay our development and commercialization of our product candidates, which in turn could materially adversely affect our business, financial condition, results of operations and growth prospects.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45</w:t>
      </w:r>
    </w:p>
    <w:p>
      <w:pPr>
        <w:pStyle w:val="HorizontalLine"/>
        <w:rPr/>
      </w:pPr>
      <w:r>
        <w:rPr/>
      </w:r>
    </w:p>
    <w:p>
      <w:pPr>
        <w:pStyle w:val="TextBody"/>
        <w:spacing w:lineRule="auto" w:line="273" w:before="360" w:after="0"/>
        <w:jc w:val="left"/>
        <w:rPr>
          <w:rFonts w:ascii="Times New Roman" w:hAnsi="Times New Roman"/>
          <w:sz w:val="20"/>
        </w:rPr>
      </w:pPr>
      <w:r>
        <w:rPr>
          <w:rFonts w:ascii="Times New Roman" w:hAnsi="Times New Roman"/>
          <w:b/>
          <w:i/>
          <w:sz w:val="20"/>
        </w:rPr>
        <w:t>Our development and commercialization rights to our current and future product candidates and technology are subject, in part, to the terms and conditions of licenses granted to us by others.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patent portfolio consists of a combination of issued patents and pending patent applications licensed from third parties, jointly owned with third parties and assigned solely to us based on our ongoing development activities. We are reliant upon certain of these rights and proprietary technology from third parties for the engineering and development of our current and future product candidates. However, these and other licenses may not provide exclusive rights to use such intellectual property and technology in all relevant fields of use and in all territories in which we choose to develop or commercialize our technology and products in the future. As a result, we may not be able to prevent competitors from developing and commercializing competitive products in territories included in all of our licenses.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also engage in collaborations with scientists at academic and non-profit institutions to access technologies and materials that are not otherwise available to us. Although the agreements that govern these collaborations may include an option to negotiate an exclusive license to the institution’s rights in any inventions that are created in the course of these collaborations, we may not be able to come to a final agreement for an exclusive license with an institution.</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also may in some instances enter into collaboration or license agreements with commercial entities to access technologies and materials that are not otherwise available to us. Our agreements with such entities may provide licenses to technology useful for the discovery, development, or commercialization of our product candidates. These licenses may in some instances, be non-exclusive. For example, we have entered into an agreement with CRISPR, which grants us a non-exclusive license on up to five gene-editing targets to enable us to independently research, develop and commercialize NK cell therapies that have been gene-edited using CRISPR’s gene-editing technology.</w:t>
      </w:r>
    </w:p>
    <w:p>
      <w:pPr>
        <w:pStyle w:val="TextBody"/>
        <w:spacing w:lineRule="auto" w:line="273" w:before="240" w:after="0"/>
        <w:jc w:val="left"/>
        <w:rPr>
          <w:rFonts w:ascii="Times New Roman" w:hAnsi="Times New Roman"/>
          <w:sz w:val="20"/>
        </w:rPr>
      </w:pPr>
      <w:r>
        <w:rPr>
          <w:rFonts w:ascii="Times New Roman" w:hAnsi="Times New Roman"/>
          <w:b w:val="false"/>
          <w:sz w:val="20"/>
        </w:rPr>
        <w:t>Such licenses and other contracts may be the subject of disagreements with the grantors and/or various third parties regarding the interpretation of such licenses and contracts. The resolution of any such disagreements that may arise could affect the scope of our rights to the relevant technology, or affect financial or other obligations under the relevant agreement, either of which could inhibit our ability to utilize the underlying technology in a cost-effective manner to develop and commercialize our product candidates, which in turn could have materially adversely affect our business, financial condition, results of operations and growth prospects.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Under certain circumstances such as a material breach of terms, our licensors could terminate our license agreements.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we may not have the right to control the preparation, filing, prosecution, maintenance, enforcement and defense of patents and patent applications directed to the technology that we license from third parties. Therefore, we cannot be certain that these patents and patent applications will be prepared, filed, prosecuted, maintained, enforced and defended in a manner consistent with our best interests. If our licensors fail to prosecute, maintain, enforce and defend such patents, or lose rights to those patents or patent applications, the rights we have licensed may be reduced or eliminated, and our right to develop and commercialize any of our products that are the subject of such licensed rights could be impaired. Additionally, we may be required to reimburse our licensors for all of their expenses related to the prosecution, maintenance, enforcement and defense of patents and patent applications that we in-license from them.</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Furthermore, 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harm our competitive position, and our business.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46</w:t>
      </w:r>
    </w:p>
    <w:p>
      <w:pPr>
        <w:pStyle w:val="HorizontalLine"/>
        <w:rPr/>
      </w:pPr>
      <w:r>
        <w:rPr/>
      </w:r>
    </w:p>
    <w:p>
      <w:pPr>
        <w:pStyle w:val="TextBody"/>
        <w:spacing w:lineRule="auto" w:line="273" w:before="360" w:after="0"/>
        <w:jc w:val="left"/>
        <w:rPr>
          <w:rFonts w:ascii="Times New Roman" w:hAnsi="Times New Roman"/>
          <w:b/>
          <w:i/>
          <w:sz w:val="20"/>
        </w:rPr>
      </w:pPr>
      <w:r>
        <w:rPr>
          <w:rFonts w:ascii="Times New Roman" w:hAnsi="Times New Roman"/>
          <w:b/>
          <w:i/>
          <w:sz w:val="20"/>
        </w:rPr>
        <w:t>Duration of patent terms may be inadequate to protect our competitive position on our product candidates for an adequate amount of time, and the expiration of our patents may subject us to increased competition.*</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As of March 31, 2022, the patent portfolio that is assigned to us, jointly owned with others or licensed to us includes issued patents in the United States, Europe, Japan, and other jurisdictions outside the United States, and pending patent applications in the United States, Europe, Japan, and other jurisdictions outside the United States across our platform, NKX101, NKX019, and CD70 CAR-NK patent families. Our portfolio of issued patents, excluding pending patent applications, has expiration dates between 2024 and 2040. Our portfolio, including issued patents, and including pending applications if they issue, has expiration dates between 2024 and 2043. We plan to file additional patent applications that could potentially allow for further increase of the exclusive market protection for use of NKX101, NKX019, and the product candidate from our CD70 CAR-NK program. However, we can provide no assurance that we will be able to file or receive additional patent protection for these or other product candidates.</w:t>
      </w:r>
    </w:p>
    <w:p>
      <w:pPr>
        <w:pStyle w:val="TextBody"/>
        <w:spacing w:lineRule="auto" w:line="273" w:before="240" w:after="0"/>
        <w:jc w:val="left"/>
        <w:rPr>
          <w:rFonts w:ascii="Times New Roman" w:hAnsi="Times New Roman"/>
          <w:sz w:val="20"/>
        </w:rPr>
      </w:pPr>
      <w:r>
        <w:rPr>
          <w:rFonts w:ascii="Times New Roman" w:hAnsi="Times New Roman"/>
          <w:b w:val="false"/>
          <w:sz w:val="20"/>
        </w:rPr>
        <w:t>Patent expiration dates may be shortened or lengthened by a number of factors, including terminal disclaimers, patent term adjustments, supplemental protection certificates and patent term extensions. Patent term extensions and supplemental protection certificates, and the like, may be impacted by the regulatory process and may not significantly lengthen patent term. Our patent protection could also be reduced or eliminated for noncompliance with various procedural, document submission, fee payment and other requirements imposed by government patent agencies. In addition, if we fail to apply for applicable patent term extensions or adjustments, we will have a more limited time during which we can enforce our granted patent rights.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Given the amount of time required for the development, testing and regulatory review of product candidates, patents protecting such candidates might expire before or shortly after such product candidates are commercialized. We expect to seek extensions of patent terms in the United States and, if available, in other countries where we have or will obtain patent rights. In the United States, the Drug Price Competition and Patent Term Restoration Act of 1984 permits a patent term extension of up to five years beyond the normal expiration of the patent; provided that the patent is not enforceable for more than 14 years from the date of drug approval, which is limited to the approved indication (or any additional indications approved during the period of extension). Furthermore, only one patent per approved product can be extended and only those claims directed to the approved product, a method for using it or a method for manufacturing it may be extended. However, the applicable authorities, including the FDA and the United States Patent and Trademark Office, or USPTO in the United States, and any equivalent regulatory authority in other countries, may not agree with our assessment of whether such extensions are available, and may refuse to grant extensions to our patents, or may grant more limited extensions than we request. If we are responsible for patent prosecution and maintenance of patent rights in-licensed to us, we could be exposed to liability to the applicable patent owner. If we or our licensors fail to maintain the patents and patent applications covering our product candidates and technologies, we may not be able to prevent a competitor from marketing products that are the same as or similar to our product candidates. Further, others commercializing products similar or identical to ours, and our competitors may be able to take advantage of our investment in development and clinical trials by referencing our clinical and preclinical data and launch their product earlier than might otherwise be the case, which could increase competition for our product candidates and materially adversely affect our business, financial condition, results of operations and growth prospects.</w:t>
      </w:r>
      <w:r>
        <w:rPr>
          <w:rFonts w:ascii="Times New Roman" w:hAnsi="Times New Roman"/>
          <w:sz w:val="20"/>
        </w:rPr>
        <w:t xml:space="preserve"> </w:t>
      </w:r>
    </w:p>
    <w:p>
      <w:pPr>
        <w:pStyle w:val="TextBody"/>
        <w:spacing w:lineRule="auto" w:line="247" w:before="360" w:after="0"/>
        <w:jc w:val="left"/>
        <w:rPr>
          <w:rFonts w:ascii="Times New Roman" w:hAnsi="Times New Roman"/>
          <w:sz w:val="20"/>
        </w:rPr>
      </w:pPr>
      <w:r>
        <w:rPr>
          <w:rFonts w:ascii="Times New Roman" w:hAnsi="Times New Roman"/>
          <w:b/>
          <w:i/>
          <w:sz w:val="20"/>
        </w:rPr>
        <w:t>If any patent protection we obtain is not sufficiently robust, our competitors could develop and commercialize products and technology similar or identical to ours.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market for cell therapy is highly competitive and subject to rapid technological change. Our success depends, in large part, on our ability to maintain a competitive position in the development and protection of technologies and products for use in these fields and to obtain and maintain patent protection in the United States and other countries with respect to our product candidates and our technology. We have sought, and intend to seek, to protect our proprietary position by filing patent applications in the United States and abroad related to our product candidates and our technology that are important to our business. If we are unable to protect our intellectual property, our competitive position could be materially adversely affected, as third parties may be able to make, use or sell products and technologies that are substantially the same as ours without incurring the sizeable development and licensing costs that we have incurred. This, in turn, would materially adversely affect our ability to compete in the market.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patent position of biotechnology and pharmaceutical companies generally is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that protect our technology or product candidates or effectively prevent others from commercializing competitive technologies and product candidates.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patent prosecution process is expensive, time-consuming and complex, and we may not be able to file, prosecute, maintain, enforce or license all necessary or desirable patent applications at a reasonable cost or in a timely manner. We may also fail to identify patentable aspects of our research and development output before it is too late to obtain patent protection.</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47</w:t>
      </w:r>
    </w:p>
    <w:p>
      <w:pPr>
        <w:pStyle w:val="HorizontalLine"/>
        <w:rPr/>
      </w:pPr>
      <w:r>
        <w:rPr/>
      </w:r>
    </w:p>
    <w:p>
      <w:pPr>
        <w:pStyle w:val="TextBody"/>
        <w:spacing w:lineRule="auto" w:line="273" w:before="240" w:after="0"/>
        <w:jc w:val="left"/>
        <w:rPr>
          <w:rFonts w:ascii="Times New Roman" w:hAnsi="Times New Roman"/>
          <w:sz w:val="20"/>
        </w:rPr>
      </w:pPr>
      <w:r>
        <w:rPr>
          <w:rFonts w:ascii="Times New Roman" w:hAnsi="Times New Roman"/>
          <w:b w:val="false"/>
          <w:sz w:val="20"/>
        </w:rPr>
        <w:t>Claim scope in a patent application can be significantly reduced before the patent is issued, and its scope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Even after issuance, our owned and in-licensed patents may be subject to challenge, which if successful could require us to obtain licenses from third parties, which may not be available on commercially reasonable terms or at all, or to cease the use of the underlying technology, which could materially adversely affect our business.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issuance of a patent is not conclusive as to its inventorship, scope, validity or enforceability, and our patents, even after issuance, may be challenged in the courts or patent offices in the United States and abroad. Third-party challenges may result in a loss of exclusivity or in our patent claims being narrowed, invalidated or held unenforceable, which could limit our ability to prevent others from using or commercializing similar or identical technology and products, or could limit the duration of the patent protection of our technology and product candidates.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Even if our patents are determined to be valid and enforceable, they may not be interpreted sufficiently broadly to prevent others from marketing products similar to ours or designing around our patents.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Ex parte reexaminations have been filed by one or more third parties against certain licensed patents in our portfolio. Third party requests for ex parte reexamination of U.S. Patent Nos. 10,774,309 and 10,829,737, which relate to our NKX101 product candidate, were recently filed. Also, two ex parte reexamination of U.S. Patent No. 9,511,092, which does not relate to any of our current product candidates, are pending. Although we plan to vigorously protect our intellectual property rights, as with all legal proceedings, there can be no guarantee as to the outcome, and, regardless of the merits of third-party challenges, such proceedings are time-consuming and costly. As a result of such reexaminations, our rights under the relevant patents could be narrowed or lost, and in the course of such proceedings, we may incur substantial costs, and the time and attention of our management may be diverted from the development and commercialization of our product candidates.</w:t>
      </w:r>
      <w:r>
        <w:rPr>
          <w:rFonts w:ascii="Times New Roman" w:hAnsi="Times New Roman"/>
          <w:sz w:val="20"/>
        </w:rPr>
        <w:t xml:space="preserve"> </w:t>
      </w:r>
    </w:p>
    <w:p>
      <w:pPr>
        <w:pStyle w:val="TextBody"/>
        <w:spacing w:lineRule="auto" w:line="247" w:before="360" w:after="0"/>
        <w:jc w:val="left"/>
        <w:rPr>
          <w:rFonts w:ascii="Times New Roman" w:hAnsi="Times New Roman"/>
          <w:sz w:val="20"/>
        </w:rPr>
      </w:pPr>
      <w:r>
        <w:rPr>
          <w:rFonts w:ascii="Times New Roman" w:hAnsi="Times New Roman"/>
          <w:b/>
          <w:i/>
          <w:sz w:val="20"/>
        </w:rPr>
        <w:t>We may not identify relevant third-party patents or may incorrectly interpret the relevance, scope or expiration of a third-party patent, which could materially adversely affect our ability to develop, manufacture and market our product candidates.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There are many patents issued or applied for in the biotechnology industry, and we may not be aware of patents or patent applications held by others that relate to our business.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For example, patent applications in the United States and many international jurisdictions are typically not published until 18 months after the filing of certain priority documents (or, in some cases, are not published until they issue as patents) and publications in the scientific literature often lag behind actual discoveries. Thus, we cannot be certain that others have not filed patent applications or made public disclosures relating to our technology or our contemplated technology. A third party may have filed, and may in the future file, patent applications directed to our products or technology similar to ours. Any such patent application may have priority over our patent applications or patents, which could further require us to obtain rights to patents directed to such technologies. If third parties have filed such patent applications, an interference proceeding in the United States can be initiated by such third party, or by the USPTO itself, to determine who was the first to invent any of the subject matter recited by the patent claims of our applications.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Furthermore,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and we may incorrectly determine that our product candidates are not covered by a third party patent or may incorrectly predict whether a third party’s pending application will issue with claims of relevant scope. Our determination of the expiration date of any patent in the United States or elsewhere that we consider relevant may also be incorrect. If we fail to correctly identify or interpret relevant patents, we may be subject to infringement claims. We cannot guarantee that we will be able to successfully settle or otherwise resolve such infringement claims. If we fail in any such dispute, in addition to being forced to pay monetary damages, we may be temporarily or permanently prohibited from commercializing our product candidates. We may also be forced to attempt to redesign our product candidates in a manner that no longer infringes third-party intellectual property rights. Any of these events, even if we were ultimately to prevail, could require us to divert substantial financial and management resources that we would otherwise be able to devote to the development and commercialization of our product candidates.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48</w:t>
      </w:r>
    </w:p>
    <w:p>
      <w:pPr>
        <w:pStyle w:val="HorizontalLine"/>
        <w:rPr/>
      </w:pPr>
      <w:r>
        <w:rPr/>
      </w:r>
    </w:p>
    <w:p>
      <w:pPr>
        <w:pStyle w:val="TextBody"/>
        <w:spacing w:lineRule="auto" w:line="273" w:before="360" w:after="0"/>
        <w:jc w:val="left"/>
        <w:rPr>
          <w:rFonts w:ascii="Times New Roman" w:hAnsi="Times New Roman"/>
          <w:sz w:val="20"/>
        </w:rPr>
      </w:pPr>
      <w:r>
        <w:rPr>
          <w:rFonts w:ascii="Times New Roman" w:hAnsi="Times New Roman"/>
          <w:b/>
          <w:i/>
          <w:sz w:val="20"/>
        </w:rPr>
        <w:t>Claims brought against us for infringing, misappropriating or otherwise violating intellectual property rights of third parties or engaging in unfair competition, would be costly and time-consuming and could prevent or delay us from successfully developing or commercializing our product candidates.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success depends in part on our ability to develop, manufacture and market our technology and use our technology without infringing the proprietary rights of third parties. As the relevant product industries expand and more patents are issued, the risk increases that there may be patents issued to third parties that relate to our products and technology of which we are not aware or that we may need to challenge to continue our operations as currently contemplated. As a result, our technology and any future products that we commercialize could be alleged to infringe patent rights and other proprietary rights of third parties, which may require costly litigation and, if we are not successful, could cause us to pay substantial damages and/or limit our ability to commercialize our product candidates.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may face allegations that we have infringed the trademarks, copyrights, patents and other intellectual property rights of third parties. We employ individuals who were previously employed at other biotechnology or pharmaceutical companies, including our competitors or potential competitors. Accordingly, we may be subject to claims that these employees, or we, have used or disclosed trade secrets or other proprietary information of their former employers. Litigation may make it necessary to defend ourselves by determining the scope, enforceability and validity of third-party proprietary rights, or to establish our proprietary rights. Regardless of whether any such claims that we are infringing patents or other intellectual property rights have merit, such claims can be time consuming, divert management attention and financial resources and are costly to evaluate and defend.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Results of any such litigation are difficult to predict and may require us to stop treating certain conditions, obtain licenses or modify our product candidates while we develop non-infringing substitutes, or may result in significant settlement costs. Litigation can involve substantial damages for infringement (and if the court finds that the infringement was willful, we could be ordered to pay treble damages and the patent owner’s attorneys’ fees), and the court could prohibit us from selling or require us to take a license from a third party, which the third party is not required to do at a commercially reasonable price or at all. If a license is available from a third party, we may have to pay substantial royalties, upfront fees, milestone fees, or grant cross-licenses to intellectual property rights for our products. We may also have to redesign our products so they do not infringe third-party intellectual property rights, which may not be possible or may require substantial monetary expenditures and time, during which our products may not be available for manufacture, use, or sale.</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We may not be able to effectively monitor unauthorized use of our intellectual property and enforce our intellectual property rights against infringement, and may incur substantial costs as a result of bringing litigation or other proceedings relating to our intellectual property rights.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Monitoring unauthorized use of our intellectual property is difficult and costly. From time to time, we review our competitors’ products for potential infringement of our rights. We may not be able to detect unauthorized use of, or take appropriate steps to enforce, our intellectual property rights. Any inability to meaningfully monitor unauthorized use of our intellectual property could result in competitors offering products that incorporate our product or service features, which could in turn reduce demand for our products.</w:t>
      </w:r>
    </w:p>
    <w:p>
      <w:pPr>
        <w:pStyle w:val="TextBody"/>
        <w:spacing w:lineRule="auto" w:line="273" w:before="240" w:after="0"/>
        <w:jc w:val="left"/>
        <w:rPr>
          <w:rFonts w:ascii="Times New Roman" w:hAnsi="Times New Roman"/>
          <w:sz w:val="20"/>
        </w:rPr>
      </w:pPr>
      <w:r>
        <w:rPr>
          <w:rFonts w:ascii="Times New Roman" w:hAnsi="Times New Roman"/>
          <w:b w:val="false"/>
          <w:sz w:val="20"/>
        </w:rPr>
        <w:t>We may also, from time to time, seek to enforce our intellectual property rights against infringers when we determine that a successful outcome is probable and may lead to an increase in the value of the intellectual property.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If we choose to enforce our patent rights against a party, that party could counterclaim that our patent is invalid and/or unenforceable. The defendant may challenge our patents through proceedings before the Patent Trial and Appeal Board (“PTAB”), including inter partes and post-grant review. Proceedings to challenge patents are also available internationally, including, for example, opposition proceedings and nullity actions. In patent litigation in the United States, counterclaims alleging invalidity and/or unenforceability and PTAB challenges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the PTAB,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may lose at least part, and perhaps all, of the patent protection on our product candidates.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49</w:t>
      </w:r>
    </w:p>
    <w:p>
      <w:pPr>
        <w:pStyle w:val="HorizontalLine"/>
        <w:rPr/>
      </w:pPr>
      <w:r>
        <w:rPr/>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such lawsuits and proceedings are expensive and would consume time and resources and divert the attention of managerial and scientific personnel even if we were successful in stopping the infringement of such patents. Litigation is inherently unpredictable, and there is a risk that the court will decide that such patents are not valid and that we do not have the right to stop the other party from using the inventions. Furthermore, some of our competitors may be able to sustain the costs of complex patent litigation more effectively than we can because they have substantially greater resources. There is also the risk that, even if the validity of such patents is upheld, the court will refuse to stop the other party on the ground that such other party’s activities do not infringe our intellectual property rights.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There could also be public announcements of the results of hearings, motions or other interim proceedings or developments, and if securities analysts or investors perceive these results to be negative, it could materially adversely affect the price of our common stock. Finally, any uncertainties resulting from the initiation and continuation of any litigation could materially adversely affect our ability to raise the funds necessary to continue our operations.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We will not seek to protect our intellectual property rights in all jurisdictions throughout the world and we may not be able to adequately enforce our intellectual property rights even in the jurisdictions where we seek protection.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have a number of international patents and patent applications and expect to continue to pursue patent protection in many of the significant markets in which we intend to do business. However, filing, prosecuting and defending patents relating to our product candidates, including all of our in-licensed patent rights, in all countries throughout the world would be prohibitively expensive. We must ultimately seek patent protection on a country-by-country basis, which is an expensive and time-consuming process with uncertain outcomes. Accordingly, we may choose not to seek patent protection in certain countries, and we will not have the benefit of patent protection in such countries.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Furthermore, the protection offered by intellectual property rights in certain countries outside of the United States may be less extensive than those in the United States. Consequently, we may not be able to prevent third parties from utilizing proprietary technology in all countries outside of the United States, even if we pursue and obtain issued patents in particular foreign jurisdictions, or from selling or importing products made using our proprietary technology in and into the United States or other jurisdictions. Such products may compete with our products, and our patent rights or other intellectual property rights may not be effective or sufficient to prevent them from competing. If such competing products arise in jurisdictions where we are unable to exercise intellectual property rights to combat them, our business, financial condition, results of operations and growth prospects could be materially adversely affected.</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Changes in U.S. patent law or the patent law of other jurisdictions could decrease the certainty of our ability to obtain patents and diminish the value of patents in general, thereby impairing our ability to protect our current and any future product candidates.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U.S. Supreme Court and the Court of Appeals for the Federal Circuit have made, and will likely continue to make, changes in how the patent laws of the United States are interpreted. For example, in recent years the U.S. Supreme Court modified some tests used by the USPTO in granting patents over the past 20 years, which may decrease the likelihood that we will be able to obtain patents and increase the likelihood of a challenge of any patents we obtain or license. Similarly, international courts have made, and will likely continue to make, changes in how the patent laws in their respective jurisdictions are interpreted. Those changes may materially adversely affect our patent rights and our ability to obtain issued patents.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Changes in either the patent laws or interpretation of the patent laws in the United States could increase the uncertainties and costs surrounding the prosecution of patent applications and the enforcement or defense of issued patents. Under the Leahy-Smith America Invents Act, or the America Invents Act,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of a patent by USPTO-administered post-grant proceedings, including post-grant review, inter partes review and derivation proceedings. However, the America Invents Act and its implementation could increase the uncertainties and costs surrounding the prosecution of our patent applications and the enforcement or defense of our issued patents, all of which could materially adversely affect our business, financial condition, results of operations and growth prospects.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50</w:t>
      </w:r>
    </w:p>
    <w:p>
      <w:pPr>
        <w:pStyle w:val="HorizontalLine"/>
        <w:rPr/>
      </w:pPr>
      <w:r>
        <w:rPr/>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 which in turn could materially adversely affect our business, financial condition, results of operations and growth prospects.</w:t>
      </w:r>
      <w:r>
        <w:rPr>
          <w:rFonts w:ascii="Times New Roman" w:hAnsi="Times New Roman"/>
          <w:sz w:val="20"/>
        </w:rPr>
        <w:t xml:space="preserve"> </w:t>
      </w:r>
    </w:p>
    <w:p>
      <w:pPr>
        <w:pStyle w:val="TextBody"/>
        <w:spacing w:lineRule="auto" w:line="247" w:before="360" w:after="0"/>
        <w:jc w:val="left"/>
        <w:rPr>
          <w:rFonts w:ascii="Times New Roman" w:hAnsi="Times New Roman"/>
          <w:sz w:val="20"/>
        </w:rPr>
      </w:pPr>
      <w:r>
        <w:rPr>
          <w:rFonts w:ascii="Times New Roman" w:hAnsi="Times New Roman"/>
          <w:b/>
          <w:i/>
          <w:sz w:val="20"/>
        </w:rPr>
        <w:t>We may fail to obtain or enforce assignments of intellectual property rights from our employees and contractors.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Furthermore, our assignment agreements may not be self-executing or may be breached, and we may be forced to bring or defend claims to determine the ownership of what we regard as our intellectual property, and we may not be successful in such claims. If we fail in bringing or defending any such claims, in addition to paying monetary damages, we may lose valuable intellectual property rights. Such an outcome could materially adversely affect our business, financial condition, results of operations and growth prospects. Even if we are successful in defending against such claims, litigation could result in substantial costs and distraction to management and other employees.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If we are not able to adequately prevent disclosure of trade secrets and other proprietary information, the value of our technology and product candidates could be materially diminished.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Trade secrets are difficult to protect. We rely on trade secrets to protect our proprietary information and technologies, especially where we do not believe patent protection is appropriate or obtainable, or where such patents would be difficult to enforce. We rely in part on confidentiality agreements with our employees, consultants, contractors, collaboration partners, scientific collaborators, and other advisors to protect our trade secrets and other proprietary information. We cannot guarantee that we have entered into such agreements with each party that may have had access to our proprietary information or technologies, or that such agreements, even if in place, will not be circumvented. These agreements may not effectively prevent disclosure of proprietary information or technology and may not provide an adequate remedy in the event of unauthorized disclosure of such information or technology. In addition, others may independently discover our trade secrets and proprietary information, in which case we may have no right to prevent them from using such trade secrets or proprietary information to compete with us. Costly and time-consuming litigation could be necessary to enforce and determine the scope of our proprietary rights, and failure to obtain or maintain trade secret protection could materially adversely affect our business, financial condition, results of operations and growth prospects.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The U.S. government could choose to exercise certain rights in technology developed under government-funded research, which could eliminate our exclusive use of such technology or require us to commercialize our product candidates in a way we consider sub-optimal.</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U.S. government has certain rights in some of our licensed patents (including U.S. Patent Nos. 7,435,596, 8,026,097 and certain related U.S. patent applications) in accordance with the Bayh-Dole Act of 1980. These rights in certain technology developed under government-funded research include, for example, a nonexclusive, nontransferable, irrevocable, paid-up license to use those inventions for governmental purposes. In addition, the U.S. government has the right to require us to grant exclusive licenses to such inventions to a third party if the U.S. government determines that: (i) adequate steps have not been taken to commercialize the invention; (ii) government action is necessary to meet public health or safety needs; or (iii) government action is necessary to meet requirements for public use under federal regulations.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U.S. government also has the right to take title to such technology if we fail to disclose the invention of such technology to the government and fail to file an application to register the intellectual property within specified time limits. In addition, the U.S. government may acquire title to patent rights in any country in which a patent application is not filed within specified time limits. To the extent any of our owned or future in-licensed intellectual property is generated through the use of U.S. government funding, these provisions of the Bayh-Dole Act may apply.</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51</w:t>
      </w:r>
    </w:p>
    <w:p>
      <w:pPr>
        <w:pStyle w:val="HorizontalLine"/>
        <w:rPr/>
      </w:pPr>
      <w:r>
        <w:rPr/>
      </w:r>
    </w:p>
    <w:p>
      <w:pPr>
        <w:pStyle w:val="TextBody"/>
        <w:spacing w:lineRule="auto" w:line="273" w:before="240" w:after="0"/>
        <w:jc w:val="left"/>
        <w:rPr>
          <w:rFonts w:ascii="Times New Roman" w:hAnsi="Times New Roman"/>
          <w:sz w:val="20"/>
        </w:rPr>
      </w:pPr>
      <w:r>
        <w:rPr>
          <w:rFonts w:ascii="Times New Roman" w:hAnsi="Times New Roman"/>
          <w:b w:val="false"/>
          <w:sz w:val="20"/>
        </w:rPr>
        <w:t>Intellectual property generated under a government-funded program is also subject to certain reporting requirements. In addition, the U.S. government requires that any products embodying any of these inventions or produced through the use of any of these inventions be manufactured substantially in the United States. If we are unable to obtain a waiver from the government agency that provided the underlying research funding, we may be limited in our ability to contract with non-U.S. product manufacturers for products related to such intellectual property.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exercise of any of the foregoing rights of the U.S. government over technology that we own or use in the development and commercialization of our product candidates could prevent us from enjoying the exclusive use of such technology, or could cause us to incur additional expenses in the commercialization of our product candidates. Any of the foregoing could materially adversely affect our business, financial condition, results of operations and growth prospects.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sz w:val="20"/>
        </w:rPr>
        <w:t>Risks Related to Commercialization</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i/>
          <w:sz w:val="20"/>
        </w:rPr>
        <w:t>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currently have no sales, marketing or distribution organizational infrastructure. We will need to develop internal sales, marketing and distribution capabilities to commercialize any product candidate that gains FDA or other regulatory authority approval, which would be expensive and time-consuming, or enter into partnerships with third parties to perform these services. If we decide to market any approved products directly, we will need to commit significant financial and managerial resources to develop a marketing and sales force with technical expertise and supporting distribution, administration and compliance capabilities. If we rely on third parties to market products or decide to co-promote products with partners,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product revenue we receive will depend upon the efforts of the third parties and we cannot assure you that such third parties will establish adequate sales and distribution capabilities or be successful in gaining market acceptance for any approved product. If we are not successful in commercializing any product approved in the future, if any, either on our own or through third parties, our business, financial condition, results of operations and growth prospects could be materially adversely affected.</w:t>
      </w:r>
      <w:r>
        <w:rPr>
          <w:rFonts w:ascii="Times New Roman" w:hAnsi="Times New Roman"/>
          <w:sz w:val="20"/>
        </w:rPr>
        <w:t xml:space="preserve"> </w:t>
      </w:r>
    </w:p>
    <w:p>
      <w:pPr>
        <w:pStyle w:val="TextBody"/>
        <w:spacing w:lineRule="auto" w:line="273" w:before="360" w:after="0"/>
        <w:jc w:val="left"/>
        <w:rPr>
          <w:rFonts w:ascii="Times New Roman" w:hAnsi="Times New Roman"/>
          <w:b/>
          <w:i/>
          <w:sz w:val="20"/>
        </w:rPr>
      </w:pPr>
      <w:r>
        <w:rPr>
          <w:rFonts w:ascii="Times New Roman" w:hAnsi="Times New Roman"/>
          <w:b/>
          <w:i/>
          <w:sz w:val="20"/>
        </w:rPr>
        <w:t>Our product candidates, including NKX101 and NKX019, could be subject to regulatory limitations following approval, if and when such approval is granted.</w:t>
      </w:r>
    </w:p>
    <w:p>
      <w:pPr>
        <w:pStyle w:val="TextBody"/>
        <w:spacing w:lineRule="auto" w:line="273" w:before="240" w:after="0"/>
        <w:jc w:val="left"/>
        <w:rPr>
          <w:rFonts w:ascii="Times New Roman" w:hAnsi="Times New Roman"/>
          <w:sz w:val="20"/>
        </w:rPr>
      </w:pPr>
      <w:r>
        <w:rPr>
          <w:rFonts w:ascii="Times New Roman" w:hAnsi="Times New Roman"/>
          <w:b w:val="false"/>
          <w:sz w:val="20"/>
        </w:rPr>
        <w:t>Following approval of a product candidate, if any, we must comply with comprehensive government regulations regarding the manufacture, labeling, marketing, distribution and promotion of biologic products. We must comply with the FDA’s labeling protocols, which prohibits promoting “off-label uses.” We may not be able to obtain the labeling claims necessary or desirable to successfully commercialize our products, including NKX101 and NKX019 or other product candidates in development.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FDA and foreign regulatory authorities could impose significant restrictions on use of an approved product including potentially restricting its use to limited clinical centers as well as through the product label, as well as on advertising, promotional and distribution activities associated with such approved product. The FDA or a foreign regulatory authority could also condition their approval on the performance of post-approval clinical trials, patient monitoring or testing, which could be time-consuming and expensive. If the results of such post-marketing trials are not satisfactory, the FDA or such foreign regulatory authority could withdraw marketing authorization or may condition continued marketing on commitments from us or our partners that may be expensive and/or time-consuming to fulfill.</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if we or others identify side-effects after any of our products are on the market, if our products fail to maintain a continued acceptable safety profile after approval, if manufacturing problems occur subsequent to regulatory approval, or if we, our manufacturers or our partners fail to comply with regulatory requirements, including those mentioned above, we or our partners could be subject to the following: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restrictions on our ability to conduct clinical trials, including full or partial clinical holds on ongoing or planned clinical trials;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restrictions on such products’ manufacturing processes;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52</w:t>
      </w:r>
    </w:p>
    <w:p>
      <w:pPr>
        <w:pStyle w:val="HorizontalLine"/>
        <w:rPr/>
      </w:pPr>
      <w:r>
        <w:rPr/>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changes to the product label;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restrictions on the marketing of a product;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restrictions on product distribution;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requirements to conduct post-marketing clinical trials;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Untitled or Warning Letters from the FDA;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withdrawal of the product from the market;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refusal to approve pending applications or supplements to approved applications that we submit;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recall of products;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fines, restitution or disgorgement of profits or revenue;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suspension or withdrawal of regulatory approvals;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refusal to permit the import or export of our products;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product seizure;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injunctions; or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imposition of civil or criminal penalties. </w:t>
      </w:r>
    </w:p>
    <w:p>
      <w:pPr>
        <w:pStyle w:val="TextBody"/>
        <w:spacing w:lineRule="auto" w:line="273" w:before="240" w:after="0"/>
        <w:jc w:val="left"/>
        <w:rPr>
          <w:rFonts w:ascii="Times New Roman" w:hAnsi="Times New Roman"/>
          <w:sz w:val="20"/>
        </w:rPr>
      </w:pPr>
      <w:r>
        <w:rPr>
          <w:rFonts w:ascii="Times New Roman" w:hAnsi="Times New Roman"/>
          <w:b w:val="false"/>
          <w:sz w:val="20"/>
        </w:rPr>
        <w:t>Any one or a combination of these penalties could prevent us from achieving or maintaining market acceptance of the affected product, or could substantially increase the costs and expenses of commercializing such product, which in turn could delay or prevent us from generating any revenue or profit from the sale of such product and could materially adversely affect our business, financial condition, results of operations and growth prospects. In addition, third-party payors may impose limitations on centers and personnel that may administer our products, including but not limited to requiring third-party accreditation to be obtained before the use of our products is reimbursed in such a center, which could materially adversely affect our potential commercial success and lead to slower market acceptance.</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The market opportunities for our product candidates, if and when approved, may be limited, and if such market opportunities are smaller than we expect, our revenues could be materially adversely affected and our business could suffer.</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initial clinical trials evaluate NKX101 and NKX019 in relapsed/refractory patients who have been previously treated with other anti-cancer therapies. We do not know at this time whether either NKX101 or NKX019 or any of our product candidates will be safe for use in humans or whether they will demonstrate any anti-cancer activity. If the activity is sufficient, we may initially seek approval of any product candidates we develop as a therapy for patients who have received one or more prior treatments. Depending on the activity we note in the initial clinical trials, we plan to conduct additional clinical trials in less heavily pretreated populations in order to expand use of our product candidates in a broader group of patients and increase market opportunities. However, there is no guarantee that product candidates we develop, even if approved for later lines of therapy, would be approved for earlier lines of therapy, and, prior to any such approvals, we will have to conduct additional clinical trials.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number of patients who have the cancers we are targeting may turn out to be lower than expected. Additionally, the potentially addressable patient population for our current programs or future product candidates may be limited. Potentially addressable patient populations for of our product candidates are only estimates. These estimates could prove to be incorrect, and the estimated number of potential patients in the United States and elsewhere could be lower than expected. It may also be that such patients may not be otherwise amenable to treatment with our product candidates, or patients could become increasingly difficult to identify and access for a variety of reasons including other drugs being approved, any of which could materially adversely affect our business, financial condition, results of operations and growth prospects.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53</w:t>
      </w:r>
    </w:p>
    <w:p>
      <w:pPr>
        <w:pStyle w:val="HorizontalLine"/>
        <w:rPr/>
      </w:pPr>
      <w:r>
        <w:rPr/>
      </w:r>
    </w:p>
    <w:p>
      <w:pPr>
        <w:pStyle w:val="TextBody"/>
        <w:spacing w:lineRule="auto" w:line="273" w:before="360" w:after="0"/>
        <w:jc w:val="left"/>
        <w:rPr>
          <w:rFonts w:ascii="Times New Roman" w:hAnsi="Times New Roman"/>
          <w:sz w:val="20"/>
        </w:rPr>
      </w:pPr>
      <w:r>
        <w:rPr>
          <w:rFonts w:ascii="Times New Roman" w:hAnsi="Times New Roman"/>
          <w:b/>
          <w:i/>
          <w:sz w:val="20"/>
        </w:rPr>
        <w:t>The commercial success of any of our product candidates will depend upon such product candidate’s degree of market acceptance by physicians, patients, third-party payors and others in the medical community.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product candidates may not be commercially successful. Even if requisite approvals are obtained from the FDA in the United States and other regulatory authorities internationally, the commercial success of our product candidates will depend, in part, on the acceptance by physicians, patients and healthcare payors of cell therapy products in general, and our product candidates in particular, as medically necessary, cost-effective and safe. Physicians, patients, healthcare payors and others in the medical community may not accept any product that we commercialize. If these products do not achieve an adequate level of acceptance, we may not generate significant product revenue and may not become profitable. The degree of market acceptance of cell therapy products and, in particular, our product candidates, if approved for commercial sale, will depend on several factors, including: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efficacy and safety of such product candidates as demonstrated in clinical trials;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potential and perceived advantages of product candidates over alternative treatments;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cost of treatment relative to alternative treatments;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clinical indications for which the product candidate is approved by the FDA;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willingness of physicians to refer patients and prescribe new therapies;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willingness of the target patient population to try new therapies;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nature, prevalence and severity of any side effects;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product labeling or product insert requirements imposed by the FDA or other regulatory authorities, including any limitations or warnings contained in a product’s approved labeling;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relative convenience and ease of administration;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timing of market introduction of competitive products;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adverse publicity concerning our product candidates or favorable publicity about competing products and treatments;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sufficient third-party payor coverage, any limitations in terms of center or personnel training requirement imposed by third parties and adequate reimbursement;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limitations or warnings contained in the FDA-approved labeling for our product candidates;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any FDA requirement to undertake a REMS;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effectiveness of our sales, marketing and distribution efforts;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potential product liability claims. </w:t>
      </w:r>
    </w:p>
    <w:p>
      <w:pPr>
        <w:pStyle w:val="TextBody"/>
        <w:spacing w:lineRule="auto" w:line="273" w:before="240" w:after="0"/>
        <w:jc w:val="left"/>
        <w:rPr>
          <w:rFonts w:ascii="Times New Roman" w:hAnsi="Times New Roman"/>
          <w:sz w:val="20"/>
        </w:rPr>
      </w:pPr>
      <w:r>
        <w:rPr>
          <w:rFonts w:ascii="Times New Roman" w:hAnsi="Times New Roman"/>
          <w:b w:val="false"/>
          <w:sz w:val="20"/>
        </w:rPr>
        <w:t>Even if a product candidate displays a favorable efficacy and safety profile in preclinical studies and clinical trials, market acceptance of the product will not be fully known until after such product is launched. Our product candidates may not achieve broad market acceptance.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Furthermore, 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54</w:t>
      </w:r>
    </w:p>
    <w:p>
      <w:pPr>
        <w:pStyle w:val="HorizontalLine"/>
        <w:rPr/>
      </w:pPr>
      <w:r>
        <w:rPr/>
      </w:r>
    </w:p>
    <w:p>
      <w:pPr>
        <w:pStyle w:val="TextBody"/>
        <w:spacing w:lineRule="auto" w:line="273" w:before="360" w:after="0"/>
        <w:jc w:val="left"/>
        <w:rPr>
          <w:rFonts w:ascii="Times New Roman" w:hAnsi="Times New Roman"/>
          <w:sz w:val="20"/>
        </w:rPr>
      </w:pPr>
      <w:r>
        <w:rPr>
          <w:rFonts w:ascii="Times New Roman" w:hAnsi="Times New Roman"/>
          <w:b/>
          <w:i/>
          <w:sz w:val="20"/>
        </w:rPr>
        <w:t>The insurance coverage and reimbursement status of newly approved products is uncertain. Failure to obtain or maintain adequate coverage and reimbursement for our product candidates, if approved, could limit our ability to market such products and to generate product revenue.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expect the cost of a single administration of one of our cell therapy product candidates to be substantial, when and if they achieve regulatory approval. We expect that coverage and reimbursement by government and private payors will be essential for most patients to be able to afford these treatments. Accordingly, sales of our products, if approved, will depend substantially, both domestically and internationally, on the extent to which the costs of our product candidates will be reimbursed by government authorities, private health coverage insurers and other third- party payors. Coverage and reimbursement by a third-party payor could depend upon several factors, including the third-party payor’s determination that use of a product is (i) a covered benefit under its health plan, (ii) safe, effective and medically necessary, (iii) appropriate for the specific patient, (iv) cost-effective and (v) neither experimental nor investigational.</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Obtaining coverage and reimbursement for a product from third-party payors is a time-consuming and costly process that could require us to provide to the payor supporting scientific, clinical and cost-effectiveness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There is significant uncertainty related to third-party coverage and reimbursement of newly approved drug products. In the United States, third-party payors, including government payors such as Medicare and Medicaid, play an important role in determining the extent to which new drugs and biologics will be covered and reimbursed. Medicare and Medicaid are increasingly used as models for the development of private payors’ and government payors’ coverage and reimbursement policies. Currently, few cell therapy products have been approved for coverage and reimbursement by the CMS the agency responsible for administering Medicare. It is difficult to predict what third payors, including CMS, will decide with respect to coverage and reimbursement for fundamentally novel products such as ours, since there is no body of established protocols and precedents for these types of drug products. Moreover, reimbursement agencies in other countries, such as those in Europe, may be more conservative than CMS.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Outside the United States, international operations vary significantly by country and are subject to extensive government price controls and other market regulations, and increasing emphasis on cost-containment initiatives in the European countries, Canada and other countries could place pricing pressure on us. In many countries, the prices of medical products are subject to varying price control mechanisms as part of national health systems. It can also take a significant amount of time after approval of a product to secure pricing and reimbursement for such product in many counties outside the United States.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Moreover, increasing efforts by government and third-party payors in the United States and abroad to cap or reduce healthcare costs could limit coverage and the level of reimbursement for our product candidates. Payors are increasingly considering new metrics as the basis for reimbursement rates, such as average sales price, or ASP, average manufacturer price, or AMP,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Therefore, it may be difficult to project the impact of these evolving reimbursement metrics on the willingness of payors to cover candidate products that we or our partners are able to commercialize. Furthermore, most third-party payors currently require additional accreditation for approved cell therapy drugs, which limits the centers that can administer the drugs, and similar limitations may also be imposed on the product candidates that we are developing. We expect to experience pricing pressures in connection with the sale of our product candidates, if any, due to the trend toward managed healthcare, the increasing influence of health maintenance organizations and additional legislative changes. The downward pressure on healthcare costs in general, and on prescription drugs and surgical procedures in particular, has become intense. As a result, increasingly high barriers to entry are developing for new drug products such as ours.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55</w:t>
      </w:r>
    </w:p>
    <w:p>
      <w:pPr>
        <w:pStyle w:val="HorizontalLine"/>
        <w:rPr/>
      </w:pPr>
      <w:r>
        <w:rPr/>
      </w:r>
    </w:p>
    <w:p>
      <w:pPr>
        <w:pStyle w:val="TextBody"/>
        <w:spacing w:lineRule="auto" w:line="273" w:before="360" w:after="0"/>
        <w:jc w:val="left"/>
        <w:rPr>
          <w:rFonts w:ascii="Times New Roman" w:hAnsi="Times New Roman"/>
          <w:b/>
          <w:i/>
          <w:sz w:val="20"/>
        </w:rPr>
      </w:pPr>
      <w:r>
        <w:rPr>
          <w:rFonts w:ascii="Times New Roman" w:hAnsi="Times New Roman"/>
          <w:b/>
          <w:i/>
          <w:sz w:val="20"/>
        </w:rPr>
        <w:t>Healthcare reform initiatives and other administrative and legislative proposals may harm our business.</w:t>
      </w:r>
    </w:p>
    <w:p>
      <w:pPr>
        <w:pStyle w:val="TextBody"/>
        <w:spacing w:lineRule="auto" w:line="273" w:before="240" w:after="0"/>
        <w:jc w:val="left"/>
        <w:rPr>
          <w:rFonts w:ascii="Times New Roman" w:hAnsi="Times New Roman"/>
          <w:sz w:val="20"/>
        </w:rPr>
      </w:pPr>
      <w:r>
        <w:rPr>
          <w:rFonts w:ascii="Times New Roman" w:hAnsi="Times New Roman"/>
          <w:b w:val="false"/>
          <w:sz w:val="20"/>
        </w:rPr>
        <w:t>In the United States, the European Union and other jurisdictions, there have been, and we expect there will continue to be, a number of legislative and regulatory changes and proposed changes to the healthcare system that could affect our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(“the ACA”), was enacted, which substantially changed the way healthcare is financed by both governmental and private payors. Among the provisions of the ACA, those of greatest importance to the pharmaceutical and biotechnology industries include the following: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new requirements to report certain financial arrangements with physicians and teaching hospitals, including reporting “transfers of value” made or distributed to prescribers and other healthcare providers and reporting investment interests held by physicians and their immediate family members;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 new methodology by which rebates owed by manufacturers under the Medicaid Drug Rebate Program are calculated for drugs that are inhaled, infused, instilled, implanted or injected;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expansion of eligibility criteria for Medicaid programs by, among other things, allowing states to offer Medicaid coverage to certain individuals with income at or below 133% of the federal poverty level, thereby potentially increasing a manufacturer’s Medicaid rebate liability;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 licensure framework for follow-on biologic products;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 new Patient-Centered Outcomes Research Institute to oversee, identify priorities in, and conduct comparative clinical effectiveness research, along with funding for such research;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establishment of the CMS to test innovative payment and service delivery models to lower Medicare and Medicaid spending, potentially including prescription drug spending.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Since its enactment, there have been judicial and Congressional challenges to certain aspects of the ACA, and we expect there will be additional challenges and amendments to the ACA. For example, the Tax Cuts and Jobs Act of 2017 (the “Tax Act”) was enacted, which includes a provision repealing, effective January 1, 2019, the tax-based shared responsibility payment imposed by the ACA on certain individuals who fail to maintain qualifying health coverage for all or part of a year that is commonly referred to as the “individual mandate”. Further, the 2020 federal spending package eliminated, effective January 1, 2020, the ACA-mandated “Cadillac” tax on high-cost employer-sponsored health coverage and medical device tax and, effective January 1, 2021, also eliminated the health insurer. On December 14, 2018, a U.S. District Court Judge in the Northern District of Texas ruled that the individual mandate is an inseverable feature of the ACA, and therefore, because it was repealed as part of the Tax Act, the remaining provisions of the ACA are invalid as well. The case was appealed to the U.S. Court of Appeals for the Fifth Circuit. On December 18, 2019, a three-judge panel of the U.S. Court of Appeals for the Fifth Circuit declared the ACA’s individual mandate unconstitutional and remanded the case back to the Texas Federal District Court to determine whether the remainder of the ACA also is unconstitutional. On March 2, 2020, the U.S. Supreme Court agreed to hear two consolidated cases, filed by the State of California and the United States House of Representatives, asking the U.S. Supreme Court to review the severability issue. On June 17, 2021, the U.S. Supreme Court dismissed the case, finding that the plaintiffs lacked standing. Additionally,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There can be no assurances that opponents to the ACA and other healthcare reform measures will not continue attempts to repeal and/or replace the ACA.</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56</w:t>
      </w:r>
    </w:p>
    <w:p>
      <w:pPr>
        <w:pStyle w:val="HorizontalLine"/>
        <w:rPr/>
      </w:pPr>
      <w:r>
        <w:rPr/>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other legislative changes have been proposed and adopted in the United States since the ACA was enacted. In August 2011, the Budget Control Act of 2011, among other things, led to aggregate reductions of Medicare payments to providers of 2% per fiscal year. These reductions went into effect in April 2013 and, due to subsequent legislative amendments to the statute, will remain in effect through 2030 unless additional action is taken by Congress. However, the Medicare sequester reductions under the Budget Control Act of 2011 have been suspended from May 1, 2020 through March 31, 2021 due to the COVID-19 pandemic. Proposed legislation, if passed, would extend this suspension until the end of the COVID-19 pandemic; however, the reductions are expected to continue through 2030.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customers and accordingly, our financial operations.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There have also been a number of proposals in the United States to control the escalating cost of healthcare, including the cost of drug treatments, patient reimbursement constraints, discounts, restrictions on certain product access and marketing cost disclosure and transparency measures, and we expect that coverage and reimbursement for new therapies will be increasingly restricted. Recent U.S.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drugs. Congress and the administration have each indicated that it will continue to seek new legislative and/or administrative measures to control drug costs.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Furthermore, future price controls or other changes in pricing regulation or negative publicity related to the pricing of pharmaceutical drugs could restrict the amount that we are able to charge for our drug products, which could render our product candidates, if approved, commercially unviable and materially adversely affect our ability to raise additional capital on acceptable terms. On July 24, 2020 and September 13, 2020, former President Trump signed several executive orders aimed at lowering drug prices. As a result, the FDA released a final rule on September 24, 2020, effective November 30, 2020, providing guidance for states to build and submit importation plans for drugs from Canada. Further, on November 20, 2020, the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Congress and the Biden administration have indicated that they will continue to pursue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cannot predict what initiatives may be adopted in the future. Further federal, state, and regional developments are likely, and we expect ongoing initiatives to increase pressure on drug pricing. These changes may adversely impact the prices we or our future collaborators may charge for our products candidates, if commercialized.</w:t>
      </w:r>
    </w:p>
    <w:p>
      <w:pPr>
        <w:pStyle w:val="TextBody"/>
        <w:spacing w:lineRule="auto" w:line="273" w:before="360" w:after="0"/>
        <w:jc w:val="left"/>
        <w:rPr>
          <w:rFonts w:ascii="Times New Roman" w:hAnsi="Times New Roman"/>
          <w:sz w:val="20"/>
        </w:rPr>
      </w:pPr>
      <w:r>
        <w:rPr>
          <w:rFonts w:ascii="Times New Roman" w:hAnsi="Times New Roman"/>
          <w:b/>
          <w:i/>
          <w:sz w:val="20"/>
        </w:rPr>
        <w:t>Obtaining and maintaining marketing approval or commercialization of our product candidates in one jurisdiction does not mean that we will be successful in obtaining marketing approval of our product candidates in other jurisdictions.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57</w:t>
      </w:r>
    </w:p>
    <w:p>
      <w:pPr>
        <w:pStyle w:val="HorizontalLine"/>
        <w:rPr/>
      </w:pPr>
      <w:r>
        <w:rPr/>
      </w:r>
    </w:p>
    <w:p>
      <w:pPr>
        <w:pStyle w:val="TextBody"/>
        <w:spacing w:lineRule="auto" w:line="273" w:before="240" w:after="0"/>
        <w:jc w:val="left"/>
        <w:rPr>
          <w:rFonts w:ascii="Times New Roman" w:hAnsi="Times New Roman"/>
          <w:sz w:val="20"/>
        </w:rPr>
      </w:pPr>
      <w:r>
        <w:rPr>
          <w:rFonts w:ascii="Times New Roman" w:hAnsi="Times New Roman"/>
          <w:b w:val="false"/>
          <w:sz w:val="20"/>
        </w:rPr>
        <w:t>If we market approved products outside the United States, we expect that we will be subject to additional risks in commercialization, including: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different regulatory requirements for approval of therapies in foreign countries;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reduced protection for intellectual property rights;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unexpected changes in tariffs, trade barriers and regulatory requirements;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economic weakness, including inflation, or political instability in particular foreign economies and markets;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compliance with tax, employment, immigration and labor laws for employees living or traveling abroad;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foreign currency fluctuations, which could result in increased operating expenses and reduced revenues, and other obligations incident to doing business in another country;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foreign reimbursement, pricing and insurance regimes;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workforce uncertainty in countries where labor unrest is more common than in the United States;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production shortages resulting from any events affecting raw material supply or manufacturing capabilities abroad;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business interruptions resulting from geopolitical actions, including war and terrorism, natural disasters including earthquakes, typhoons, floods and fires, and other public health crises, illnesses, epidemics or pandemics, such as the potential impact of the COVID-19 outbreak. </w:t>
      </w:r>
    </w:p>
    <w:p>
      <w:pPr>
        <w:pStyle w:val="TextBody"/>
        <w:spacing w:lineRule="auto" w:line="273" w:before="240" w:after="0"/>
        <w:jc w:val="left"/>
        <w:rPr>
          <w:rFonts w:ascii="Times New Roman" w:hAnsi="Times New Roman"/>
          <w:sz w:val="20"/>
        </w:rPr>
      </w:pPr>
      <w:r>
        <w:rPr>
          <w:rFonts w:ascii="Times New Roman" w:hAnsi="Times New Roman"/>
          <w:b w:val="false"/>
          <w:sz w:val="20"/>
        </w:rPr>
        <w:t>We have no prior experience in these areas. In addition, there are complex regulatory, tax, labor and other legal requirements imposed by many of the individual countries in which we may operate, with which we will need to comply. Any of the foregoing difficulties, if encountered, could materially adversely affect our business, financial condition, results of operations and growth prospects.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Our business operations and relationships with investigators, healthcare professionals, consultants, third-party payors, patient organizations and customers will be subject to applicable fraud and abuse and other healthcare laws and regulations, which could expose us to penalties.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These laws may constrain the business or financial arrangements and relationships through which we conduct our operations, including how we research, market, sell and distribute our product candidates, if approved. Such laws include, the U.S. federal Anti-Kickback Statute, the U.S. federal civil and criminal false claims and civil monetary penalties laws, including the civil False Claims Act, the Health Information Technology for Economic and Clinical Health Act, the U.S. Physician Payments Sunshine Act and its implementing regulations, U.S. state laws and regulations, including, state anti-kickback and false claims laws,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laws and regulations that require drug manufacturers to file reports relating to pricing and marketing information, laws requiring the registration of pharmaceutical sales representatives, laws governing the privacy and security of health information in certain circumstances, and similar healthcare laws and regulations in other jurisdictions, including reporting requirements detailing interactions with and payments to healthcare providers.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It is not always possible to identify and deter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Ensuring that our internal operations and future business arrangements with third parties comply with applicable healthcare laws and regulations will also involve substantial costs.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Any of the foregoing could significantly harm our business, financial condition, results of operations and growth prospects.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58</w:t>
      </w:r>
    </w:p>
    <w:p>
      <w:pPr>
        <w:pStyle w:val="HorizontalLine"/>
        <w:rPr/>
      </w:pPr>
      <w:r>
        <w:rPr/>
      </w:r>
    </w:p>
    <w:p>
      <w:pPr>
        <w:pStyle w:val="TextBody"/>
        <w:spacing w:lineRule="auto" w:line="273" w:before="360" w:after="0"/>
        <w:jc w:val="left"/>
        <w:rPr>
          <w:rFonts w:ascii="Times New Roman" w:hAnsi="Times New Roman"/>
          <w:sz w:val="20"/>
        </w:rPr>
      </w:pPr>
      <w:r>
        <w:rPr>
          <w:rFonts w:ascii="Times New Roman" w:hAnsi="Times New Roman"/>
          <w:b/>
          <w:i/>
          <w:sz w:val="20"/>
        </w:rPr>
        <w:t>We may fail to comply with evolving global privacy laws.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If we conduct clinical trials in the European Economic Area, (“EEA”), we may be subject to additional privacy laws. The General Data Protection Regulation, (EU) 2016/679,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privacy and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Given the limited enforcement of the GDPR to date, we face uncertainty as to the exact interpretation of the new requirements on our trials and we may be unsuccessful in implementing all measures required by data protection authorities or courts in interpretation of the new law.</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particular, national laws of member states of the European Union are in the process of being adapted to the requirements under the GDPR, thereby implementing national laws which may partially deviate from the GDPR and impose different obligations from country to country, so we do not expect to operate in a uniform legal landscape in the EU.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the event we conduct clinical trials in the EEA, we must also ensure that we implement and maintain adequate safeguards to enable the transfer of personal data outside of the EEA, in particular to the United States, in compliance with European data protection laws. We expect that we will continue to face uncertainty as to whether our efforts to comply with our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Similar actions are either in place or under way in the United States.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the California Consumer Privacy Act (the “CCPA”), which went into effect on January 1, 2020, is creating similar risks and obligations as those created by the GDPR, though the California Consumer Privacy Act does exempt certain clinical trial data.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sz w:val="20"/>
        </w:rPr>
        <w:t>Risks Related to Our Common Stock</w:t>
      </w:r>
      <w:r>
        <w:rPr>
          <w:rFonts w:ascii="Times New Roman" w:hAnsi="Times New Roman"/>
          <w:sz w:val="20"/>
        </w:rPr>
        <w:t xml:space="preserve"> </w:t>
      </w:r>
    </w:p>
    <w:p>
      <w:pPr>
        <w:pStyle w:val="TextBody"/>
        <w:spacing w:lineRule="auto" w:line="273" w:before="120" w:after="0"/>
        <w:jc w:val="left"/>
        <w:rPr>
          <w:rFonts w:ascii="Times New Roman" w:hAnsi="Times New Roman"/>
          <w:b/>
          <w:i/>
          <w:sz w:val="20"/>
        </w:rPr>
      </w:pPr>
      <w:r>
        <w:rPr>
          <w:rFonts w:ascii="Times New Roman" w:hAnsi="Times New Roman"/>
          <w:b/>
          <w:i/>
          <w:sz w:val="20"/>
        </w:rPr>
        <w:t>The market price for our common stock may be volatile, which could contribute to the loss of all or part of your investment.</w:t>
      </w:r>
    </w:p>
    <w:p>
      <w:pPr>
        <w:pStyle w:val="TextBody"/>
        <w:spacing w:lineRule="auto" w:line="273" w:before="240" w:after="0"/>
        <w:jc w:val="left"/>
        <w:rPr>
          <w:rFonts w:ascii="Times New Roman" w:hAnsi="Times New Roman"/>
          <w:sz w:val="20"/>
        </w:rPr>
      </w:pPr>
      <w:r>
        <w:rPr>
          <w:rFonts w:ascii="Times New Roman" w:hAnsi="Times New Roman"/>
          <w:b w:val="false"/>
          <w:sz w:val="20"/>
        </w:rPr>
        <w:t>The trading price of our common stock is likely to be highly volatile and subject to wide fluctuations in response to various factors, some of which are beyond our control.</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Factors affecting the trading price of our common stock may include, but are not limited to:</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our decision to initiate a clinical study, not to initiate a clinical study or to terminate an existing clinical study;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delays in the announcement of initial data or clinical results from our clinical trials or expectations that such delays may occur;</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adverse regulatory decisions, including failure to receive regulatory approval for our products;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59</w:t>
      </w:r>
    </w:p>
    <w:p>
      <w:pPr>
        <w:pStyle w:val="HorizontalLine"/>
        <w:rPr/>
      </w:pPr>
      <w:r>
        <w:rPr/>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success or failure of competitive products, immunotherapy drugs or cellular therapies more generally;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adverse developments concerning our manufacturers or our strategic partnerships;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adverse safety or other clinical results, such as those that have occurred in the past or that may occur in the future, related to cellular therapies being developed by other companies that are or may be perceived to be similar to our cellular therapies;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operating and stock price performance of other companies that investors deem comparable to us;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sales of substantial amounts of common stock by our directors, executive officers or significant stockholders or the perception that such sales could occur;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general economic and political conditions such as recessions, interest rates, fuel prices, elections, drug pricing policies, international currency fluctuations, acts of war or terrorism, and other public health crises, illnesses, epidemics or pandemics, such as the potential impact of the COVID-19 outbreak;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other factors discussed in these risk factors.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Any of the factors listed above could materially adversely affect your investment in our common stock, and our common stock may trade at prices significantly below the initial public offering price or the price at which you purchased the stock, which could contribute to a loss of all or part of your investment. In such circumstances the trading price of our common stock may not recover and may experience a further decline.</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In addition, broad market and industry factors could materially adversely affect the market price of our common stock, irrespective of our operating performance. The stock market in general, and Nasdaq and the market for biotechnology companies in particular, have experienced extreme price and volume fluctuations that have often been unrelated or disproportionate to the operating performance of the particular companies affected. The trading prices and valuations of these stocks, and of ours, may not be predictable. For instance, technical factors in the public trading market for our common stock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 In addition, the trading prices for common stock of other biopharmaceutical and biotechnology companies have been highly volatile as a result of the COVID-19 pandemic. The COVID-19 outbreak continues to rapidly evolve. The full extent to which the outbreak may impact our business, preclinical studies and clinical trials will depend on future developments, which are highly uncertain and cannot be predicted with confidence. A loss of investor confidence in the market for biotechnology or pharmaceutical stocks or the stocks of other companies which investors perceive to be similar to us, the opportunities in the biotechnology and pharmaceutical market or the stock market in general, could depress our stock price regardless of our business, financial condition, results of operations or growth prospects.</w:t>
      </w:r>
    </w:p>
    <w:p>
      <w:pPr>
        <w:pStyle w:val="TextBody"/>
        <w:spacing w:lineRule="auto" w:line="273" w:before="360" w:after="0"/>
        <w:jc w:val="left"/>
        <w:rPr>
          <w:rFonts w:ascii="Times New Roman" w:hAnsi="Times New Roman"/>
          <w:b/>
          <w:i/>
          <w:sz w:val="20"/>
        </w:rPr>
      </w:pPr>
      <w:r>
        <w:rPr>
          <w:rFonts w:ascii="Times New Roman" w:hAnsi="Times New Roman"/>
          <w:b/>
          <w:i/>
          <w:sz w:val="20"/>
        </w:rPr>
        <w:t>Concentration of ownership of our shares of common stock among our existing executive officers, directors and principal stockholders may prevent new investors from influencing significant corporate decisions.*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As of May 9, 2022, our directors and executive officers, and entities affiliated with them, as well as holders of more than 5% of our outstanding shares of common stock, in the aggregate beneficially own 42% of our common stock. These stockholders, acting together, are able to control or significantly influence all matters requiring stockholder approval, including the election and removal of directors and approval of any merger, consolidation or sale of all or substantially all of our assets.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Some of these persons or entities may have interests different from yours. For example, because many of these stockholders purchased their shares at prices substantially below the price at which shares were sold in the IPO and have held their shares for a longer period, they may be more interested in selling our company to an acquirer than other investors, or they may want us to pursue strategies that deviate from the interests of other stockholders.</w:t>
      </w:r>
    </w:p>
    <w:p>
      <w:pPr>
        <w:pStyle w:val="TextBody"/>
        <w:spacing w:lineRule="auto" w:line="273" w:before="360" w:after="0"/>
        <w:jc w:val="left"/>
        <w:rPr>
          <w:rFonts w:ascii="Times New Roman" w:hAnsi="Times New Roman"/>
          <w:b/>
          <w:i/>
          <w:sz w:val="20"/>
        </w:rPr>
      </w:pPr>
      <w:r>
        <w:rPr>
          <w:rFonts w:ascii="Times New Roman" w:hAnsi="Times New Roman"/>
          <w:b/>
          <w:i/>
          <w:sz w:val="20"/>
        </w:rPr>
        <w:t>A significant portion of our total outstanding shares are eligible to be sold into the market, which could cause the market price of our common stock to drop significantly.*</w:t>
      </w:r>
    </w:p>
    <w:p>
      <w:pPr>
        <w:pStyle w:val="TextBody"/>
        <w:spacing w:lineRule="auto" w:line="273" w:before="240" w:after="0"/>
        <w:jc w:val="left"/>
        <w:rPr>
          <w:rFonts w:ascii="Times New Roman" w:hAnsi="Times New Roman"/>
          <w:sz w:val="20"/>
        </w:rPr>
      </w:pPr>
      <w:r>
        <w:rPr>
          <w:rFonts w:ascii="Times New Roman" w:hAnsi="Times New Roman"/>
          <w:b w:val="false"/>
          <w:sz w:val="20"/>
        </w:rPr>
        <w:t>Sales of a substantial number of shares of our common stock in the public market, or the perception in the market that the holders of a large number of stockholders intend to sell shares of our common stock, could reduce the market price of our common stock. As of May 9, 2022, we had 48,404,331 shares of common stock outstanding.</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60</w:t>
      </w:r>
    </w:p>
    <w:p>
      <w:pPr>
        <w:pStyle w:val="HorizontalLine"/>
        <w:rPr/>
      </w:pPr>
      <w:r>
        <w:rPr/>
      </w:r>
    </w:p>
    <w:p>
      <w:pPr>
        <w:pStyle w:val="TextBody"/>
        <w:spacing w:lineRule="auto" w:line="273" w:before="240" w:after="0"/>
        <w:jc w:val="left"/>
        <w:rPr>
          <w:rFonts w:ascii="Times New Roman" w:hAnsi="Times New Roman"/>
          <w:sz w:val="20"/>
        </w:rPr>
      </w:pPr>
      <w:r>
        <w:rPr>
          <w:rFonts w:ascii="Times New Roman" w:hAnsi="Times New Roman"/>
          <w:b w:val="false"/>
          <w:sz w:val="20"/>
        </w:rPr>
        <w:t>Holders of an aggregate of 13,200,076 shares of common stock, including with respect to shares of our convertible preferred stock that converted into shares of our common stock upon the completion of the IPO,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under the Securities Act, or until the rights terminate pursuant to the terms of the stockholders agreement between us and such holders. We have also registered all shares of common stock subject to equity awards issued or reserved for future issuance under our equity compensation plans on registration statements on Form S-8, and these shares can be freely sold in the public market upon issuance, subject to volume limitations applicable to affiliates under Rule 144 under the Securities Act. Any sales of securities by these stockholders could have a negative impact on the trading price of our common stock.</w:t>
      </w:r>
      <w:r>
        <w:rPr>
          <w:rFonts w:ascii="Times New Roman" w:hAnsi="Times New Roman"/>
          <w:sz w:val="20"/>
        </w:rPr>
        <w:t xml:space="preserve"> </w:t>
      </w:r>
    </w:p>
    <w:p>
      <w:pPr>
        <w:pStyle w:val="TextBody"/>
        <w:spacing w:lineRule="auto" w:line="247" w:before="360" w:after="0"/>
        <w:jc w:val="left"/>
        <w:rPr>
          <w:rFonts w:ascii="Times New Roman" w:hAnsi="Times New Roman"/>
          <w:b/>
          <w:i/>
          <w:sz w:val="20"/>
        </w:rPr>
      </w:pPr>
      <w:r>
        <w:rPr>
          <w:rFonts w:ascii="Times New Roman" w:hAnsi="Times New Roman"/>
          <w:b/>
          <w:i/>
          <w:sz w:val="20"/>
        </w:rPr>
        <w:t>We are an “emerging growth company” under the JOBS Act and a “smaller reporting company” and we rely on exemptions from certain disclosure and governance requirements applicable to emerging growth companies and smaller reporting companies, as a result of which our common stock may be less attractive to investors.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take advantage and may continue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w:t>
      </w:r>
    </w:p>
    <w:p>
      <w:pPr>
        <w:pStyle w:val="TextBody"/>
        <w:spacing w:lineRule="auto" w:line="273" w:before="240" w:after="0"/>
        <w:jc w:val="left"/>
        <w:rPr>
          <w:rFonts w:ascii="Times New Roman" w:hAnsi="Times New Roman"/>
          <w:sz w:val="20"/>
        </w:rPr>
      </w:pPr>
      <w:r>
        <w:rPr>
          <w:rFonts w:ascii="Times New Roman" w:hAnsi="Times New Roman"/>
          <w:b w:val="false"/>
          <w:sz w:val="20"/>
        </w:rPr>
        <w:t>We may take advantage of these reporting exemptions until we are no longer an emerging growth company. We will remain an emerging growth company until the earlier to occur of (1) the last day of the fiscal year (a) following the fifth anniversary of our IPO, (b) in which we have total annual gross revenue of at least $1.07 billion or (c) in which we are deemed to be a “large accelerated filer” under the rules of the SEC, which means the market value of our common stock that is held by non-affiliates exceeds $700 million as of the prior June 30; and (2) the date on which we have issued more than $1.0 billion in non-convertible debt during the prior three-year period.</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are also a “smaller reporting company” as defined by applicable rules of the SEC. Even after we no longer qualify as an emerging growth company, we may still qualify as a smaller reporting company and would be permitted to continue to take advantage of many of the same reporting exemptions, including exemption from compliance with the auditor attestation requirements of Section 404(b) of the Sarbanes-Oxley Act as long as we do not otherwise also qualify as an “accelerated filer” or “large accelerated filer” for SEC reporting purposes and reduced disclosure obligations regarding executive compensation in our periodic reports and proxy statements. We cannot predict if investors will find our common stock less attractive if we rely on emerging growth company or smaller reporting company exemptions. If some investors find our common stock less attractive as a result, there may be a less active trading market for our common stock and our stock price may be more volatile.</w:t>
      </w:r>
    </w:p>
    <w:p>
      <w:pPr>
        <w:pStyle w:val="TextBody"/>
        <w:spacing w:lineRule="auto" w:line="247" w:before="360" w:after="0"/>
        <w:jc w:val="left"/>
        <w:rPr>
          <w:rFonts w:ascii="Times New Roman" w:hAnsi="Times New Roman"/>
          <w:sz w:val="20"/>
        </w:rPr>
      </w:pPr>
      <w:r>
        <w:rPr>
          <w:rFonts w:ascii="Times New Roman" w:hAnsi="Times New Roman"/>
          <w:b/>
          <w:i/>
          <w:sz w:val="20"/>
        </w:rPr>
        <w:t>Our severance and change in control agreements with our executive officers may require us to pay severance benefits to any of those persons who are terminated, which could materially adversely affect our financial condition or results of operations.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executive officers are parties to agreements that contain certain change in control and severance provisions. The agreements provide for cash payments for severance and other benefits in the event of a termination of employment that is not in connection with a change in control of us. They also provide for cash payments for severance and other benefits and acceleration of stock options vesting in the event of a termination of employment in connection with a change in control of us. The accelerated vesting of options could result in dilution to our existing stockholders and could materially adversely affect the market price of our common stock. The payment of these severance benefits could materially adversely affect our financial condition and results of operations. In addition, these potential severance payments may discourage or prevent third parties from seeking a business combination with us.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61</w:t>
      </w:r>
    </w:p>
    <w:p>
      <w:pPr>
        <w:pStyle w:val="HorizontalLine"/>
        <w:rPr/>
      </w:pPr>
      <w:r>
        <w:rPr/>
      </w:r>
    </w:p>
    <w:p>
      <w:pPr>
        <w:pStyle w:val="TextBody"/>
        <w:spacing w:lineRule="auto" w:line="273" w:before="360" w:after="0"/>
        <w:jc w:val="left"/>
        <w:rPr>
          <w:rFonts w:ascii="Times New Roman" w:hAnsi="Times New Roman"/>
          <w:sz w:val="20"/>
        </w:rPr>
      </w:pPr>
      <w:r>
        <w:rPr>
          <w:rFonts w:ascii="Times New Roman" w:hAnsi="Times New Roman"/>
          <w:b/>
          <w:i/>
          <w:sz w:val="20"/>
        </w:rPr>
        <w:t>Our ability to use our net operating loss carryovers and certain other tax attributes may be limited.</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As described above under “We have incurred significant losses since our inception, and we expect to continue to incur significant losses for the foreseeable future,” we have incurred net losses since our inception and anticipate that we will continue to incur significant losses for the foreseeable future. Under the Internal Revenue Code of 1986 (“the Code”), a corporation is generally allowed a deduction for net operating losses (“NOLs”) carried over from a prior taxable year. Under that provision, we can carry forward our NOLs to offset our future taxable income, if any, until such NOLs are used or expire, in the case of NOLs generated prior to 2018. The same is true of other unused tax attributes, such as tax credits. The amounts of our unused carryovers of NOLs and tax credits as of December 31, 2017, and a description of the valuation allowance we have recorded with respect to those items, are set forth below under “Management’s Discussion and Analysis of Financial Condition and Results of Operations.” In addition, under the Tax Act, the amount of post-2017 NOLs that we are permitted to deduct in any taxable year is limited to 80% of our taxable income in such year, where taxable income is determined without regard to the NOL deduction itself. The Tax Act generally eliminates the ability to carry back any NOL to prior taxable years, while allowing post-2017 unused NOLs to be carried forward indefinitely. Recently enacted legislation, the Coronavirus Aid, Relief and Economic Security Act (the "CARES Act") temporarily reverses the limitations imposed by the Tax Act by suspending the 80% taxable income limitation to permit a corporation to offset without limitation its taxable income in 2019 or 2020 with NOL carryforwards generated in prior years. The CARES Act also allows NOLs generated in tax years 2018-2020 to be carried back up to five years.</w:t>
      </w:r>
    </w:p>
    <w:p>
      <w:pPr>
        <w:pStyle w:val="TextBody"/>
        <w:spacing w:lineRule="auto" w:line="273" w:before="240" w:after="0"/>
        <w:jc w:val="left"/>
        <w:rPr>
          <w:rFonts w:ascii="Times New Roman" w:hAnsi="Times New Roman"/>
          <w:sz w:val="20"/>
        </w:rPr>
      </w:pPr>
      <w:r>
        <w:rPr>
          <w:rFonts w:ascii="Times New Roman" w:hAnsi="Times New Roman"/>
          <w:b w:val="false"/>
          <w:sz w:val="20"/>
        </w:rPr>
        <w:t>Furthermore, if a corporation undergoes an “ownership change,” generally defined as a greater than 50% change (by value) in its equity ownership over a three-year period, Sections 382 and 383 of the Code limit the corporation’s ability to use carryovers of its pre-change NOLs, credits and certain other tax attributes to reduce its tax liability for periods after the ownership change. Our issuance of common stock pursuant to our IPO may result in a limitation under Sections 382 and 383 of the Code, either separately or in combination with certain prior or subsequent shifts in the ownership of our common stock. As a result, our ability to use carryovers of our pre-change NOLs and credits to reduce our future U.S. federal income tax liability may be subject to limitations. This could result in increased U.S. federal income tax liability for us if we generate taxable income in a future period. Limitations on the use of NOLs and other tax attributes could also increase our state tax liability. The use of our tax attributes will also be limited to the extent that we do not generate positive taxable income in future tax periods. To the extent our ability to utilize our NOLs and other tax assets going forward is limited, in part or altogether, our tax liability for future periods may be greater than expected, and our business, financial condition, results of operations and growth prospects may be materially adversely affected.</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We do not expect to pay any cash dividends to the holders of our common stock for the foreseeable future.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currently intend to invest our future earnings, if any, to fund our growth. In addition, the terms of any future debt agreements may preclude us from paying dividends. As a result, capital appreciation, if any, of our common stock will be your sole source of gain for the foreseeable future. There is no guarantee that our common stock will appreciate in value or even maintain the price at which our stockholders have purchased our common stock. Investors seeking cash dividends should not purchase our common stock.</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Provisions in our certificate of incorporation, our bylaws and Delaware law may have anti-takeover effects that could discourage an acquisition of us by others, even if an acquisition would be beneficial to our stockholders, and may prevent attempts by our stockholders to replace or remove our current management.</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Our certificate of incorporation, bylaws and Delaware law contain provisions that may have the effect of delaying or preventing a change in control of us or changes in our management. Our certificate of incorporation and bylaws include provisions that:</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authorize “blank check” preferred stock, which could be issued by our board of directors without stockholder approval and may contain voting, liquidation, dividend and other rights superior to our common stock; </w:t>
      </w:r>
    </w:p>
    <w:p>
      <w:pPr>
        <w:pStyle w:val="TextBody"/>
        <w:spacing w:lineRule="auto" w:line="273" w:before="120" w:after="0"/>
        <w:jc w:val="left"/>
        <w:rPr/>
      </w:pPr>
      <w:r>
        <w:rPr/>
        <w:t>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establish a classified board of directors such that not all members of the board are elected at one time, which may delay the ability of our stockholders to change the membership of a majority of our board of directors; </w:t>
      </w:r>
    </w:p>
    <w:p>
      <w:pPr>
        <w:pStyle w:val="TextBody"/>
        <w:spacing w:lineRule="auto" w:line="273" w:before="120" w:after="0"/>
        <w:jc w:val="left"/>
        <w:rPr/>
      </w:pPr>
      <w:r>
        <w:rPr/>
        <w:t>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specify that only our board of directors, the Chairperson of our board of directors, our Chief Executive Officer or the President, or holders of greater than 10% of our common stock can call special meetings of our stockholders;</w:t>
      </w:r>
    </w:p>
    <w:p>
      <w:pPr>
        <w:pStyle w:val="TextBody"/>
        <w:spacing w:lineRule="auto" w:line="273" w:before="0" w:after="0"/>
        <w:jc w:val="left"/>
        <w:rPr/>
      </w:pPr>
      <w:r>
        <w:rPr/>
        <w:t>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establish an advance notice procedure for stockholder approvals to be brought before an annual meeting of our stockholders, including proposed nominations of persons for election to our board of directors;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62</w:t>
      </w:r>
    </w:p>
    <w:p>
      <w:pPr>
        <w:pStyle w:val="HorizontalLine"/>
        <w:rPr/>
      </w:pPr>
      <w:r>
        <w:rPr/>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provide that a majority of directors then in office, even though less than a quorum, may fill vacancies on our board of directors;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specify that no stockholder is permitted to cumulate votes at any election of directors;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expressly authorize our board of directors to modify, alter or repeal our bylaws;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require supermajority votes of the holders of our common stock to amend specified provisions of our Certificate of Incorporation and bylaws. </w:t>
      </w:r>
    </w:p>
    <w:p>
      <w:pPr>
        <w:pStyle w:val="TextBody"/>
        <w:spacing w:lineRule="auto" w:line="273" w:before="240" w:after="0"/>
        <w:jc w:val="left"/>
        <w:rPr>
          <w:rFonts w:ascii="Times New Roman" w:hAnsi="Times New Roman"/>
          <w:sz w:val="20"/>
        </w:rPr>
      </w:pPr>
      <w:r>
        <w:rPr>
          <w:rFonts w:ascii="Times New Roman" w:hAnsi="Times New Roman"/>
          <w:b w:val="false"/>
          <w:sz w:val="20"/>
        </w:rPr>
        <w:t>These provisions, alone or together, could delay or prevent hostile takeovers and changes in control or changes in our management.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because we are incorporated in the State of Delaware, we are governed by the provisions of Section 203 of the Delaware General Corporation Law, which limits the ability of stockholders owning in excess of 15% of our outstanding voting stock to merge or combine with us.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Any provision of our certificate of incorporation or bylaws or Delaware law that has the effect of delaying or deterring a change in control could limit your opportunity to receive a premium for your shares of our common stock, and could also affect the price that some investors are willing to pay for our common stock.</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Our certificate of incorporation includes a forum selection clause, which could limit our stockholders’ ability to obtain a favorable judicial forum for disputes with us.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Certificate of Incorporation provides that, subject to limited exceptions, the Court of Chancery of the State of Delaware (or, if no state court located within the State of Delaware has jurisdiction, the federal district court for the District of Delaware) will be the exclusive forum for any:</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derivative action or proceeding brought on our behalf;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action asserting a claim of breach of a fiduciary duty owed by any of our directors, officers or other employees to us or our stockholders;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action asserting a claim against us arising pursuant to any provision of the Delaware General Corporation Law, our certificate of incorporation or our bylaws; or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other action asserting a claim against us that is governed by the internal affairs doctrine. </w:t>
      </w:r>
    </w:p>
    <w:p>
      <w:pPr>
        <w:pStyle w:val="TextBody"/>
        <w:spacing w:lineRule="auto" w:line="273" w:before="240" w:after="0"/>
        <w:jc w:val="left"/>
        <w:rPr>
          <w:rFonts w:ascii="Times New Roman" w:hAnsi="Times New Roman"/>
          <w:sz w:val="20"/>
        </w:rPr>
      </w:pPr>
      <w:r>
        <w:rPr>
          <w:rFonts w:ascii="Times New Roman" w:hAnsi="Times New Roman"/>
          <w:b w:val="false"/>
          <w:sz w:val="20"/>
        </w:rPr>
        <w:t>This exclusive forum provision is intended to apply to claims arising under Delaware state law and is not intended to apply to claims brought pursuant to the Exchange Act or the Securities Act, or any other claim for which the federal courts have exclusive jurisdiction. This exclusive forum provision will not relieve us of our duties to comply with the federal securities laws and the rules and regulations thereunder, and our stockholders will not be deemed to have waived our compliance with these laws, rules and regulations.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certificate of incorporation further provides that the federal district courts of the United States of America will be the exclusive forum for resolving any complaint asserting a cause of action arising under the Securities Act. Section 22 of the Securities Act creates concurrent jurisdiction for federal and state courts over all suits brought to enforce any duty or liability created by the Securities Act or the rules and regulations thereunder. The Delaware Supreme Court recently determined that the exclusive forum provision of federal district courts of the United States of America for resolving any complaint asserting a cause of action arising under the Securities Act is permissible and enforceable under Delaware law, reversing an earlier decision from the Court of Chancery of the State of Delaware that had ruled that such provisions were not enforceable. Nevertheless, there is uncertainty as to whether a federal district court would enforce any exclusive forum provision with respect to claims under the Securities Act.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Any person or entity purchasing or otherwise acquiring any interest in shares of our capital stock shall be deemed to have notice of and to have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materially adversely affect our business, financial condition, results of operation and growth prospects.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63</w:t>
      </w:r>
    </w:p>
    <w:p>
      <w:pPr>
        <w:pStyle w:val="HorizontalLine"/>
        <w:rPr/>
      </w:pPr>
      <w:r>
        <w:rPr/>
      </w:r>
    </w:p>
    <w:p>
      <w:pPr>
        <w:pStyle w:val="TextBody"/>
        <w:spacing w:lineRule="auto" w:line="273" w:before="360" w:after="0"/>
        <w:jc w:val="left"/>
        <w:rPr>
          <w:rFonts w:ascii="Times New Roman" w:hAnsi="Times New Roman"/>
          <w:b/>
          <w:sz w:val="20"/>
        </w:rPr>
      </w:pPr>
      <w:r>
        <w:rPr>
          <w:rFonts w:ascii="Times New Roman" w:hAnsi="Times New Roman"/>
          <w:b/>
          <w:sz w:val="20"/>
        </w:rPr>
        <w:t>General Risk Factors</w:t>
      </w:r>
    </w:p>
    <w:p>
      <w:pPr>
        <w:pStyle w:val="TextBody"/>
        <w:spacing w:lineRule="auto" w:line="273" w:before="360" w:after="0"/>
        <w:jc w:val="left"/>
        <w:rPr>
          <w:rFonts w:ascii="Times New Roman" w:hAnsi="Times New Roman"/>
          <w:b/>
          <w:i/>
          <w:sz w:val="20"/>
        </w:rPr>
      </w:pPr>
      <w:r>
        <w:rPr>
          <w:rFonts w:ascii="Times New Roman" w:hAnsi="Times New Roman"/>
          <w:b/>
          <w:i/>
          <w:sz w:val="20"/>
        </w:rPr>
        <w:t>Any acquisitions or strategic collaborations may increase our capital requirements, dilute our stockholders, cause us to incur debt or assume contingent liabilities or subject us to other risks.</w:t>
      </w:r>
    </w:p>
    <w:p>
      <w:pPr>
        <w:pStyle w:val="TextBody"/>
        <w:spacing w:lineRule="auto" w:line="273" w:before="240" w:after="0"/>
        <w:jc w:val="left"/>
        <w:rPr>
          <w:rFonts w:ascii="Times New Roman" w:hAnsi="Times New Roman"/>
          <w:sz w:val="20"/>
        </w:rPr>
      </w:pPr>
      <w:r>
        <w:rPr>
          <w:rFonts w:ascii="Times New Roman" w:hAnsi="Times New Roman"/>
          <w:b w:val="false"/>
          <w:sz w:val="20"/>
        </w:rPr>
        <w:t>From time to time, we may evaluate various acquisitions and strategic collaborations, including licensing or acquiring complementary drugs, intellectual property rights, technologies or businesses. Any potential acquisition or strategic partnership may entail numerous risks, including, but not limited to:</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increased operating expenses and cash requirements;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assumption of indebtedness or contingent or unknown liabilities;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assimilation of operations, intellectual property and drugs of an acquired company, including difficulties associated with integrating new personnel;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adequately prosecuting and maintaining protection of any acquired intellectual property rights;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diversion of our management’s attention from our existing drug programs and initiatives in pursuing such a strategic partnership, merger or acquisition;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retention of key employees, the loss of key personnel, and uncertainties about our ability to maintain key business relationships;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risks and uncertainties associated with the other party to such a transaction, including the prospects of that party and their existing drugs or product candidates and regulatory approvals;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our inability to generate revenue from acquired drugs, intellectual property rights, technologies, and/or businesses sufficient to meet our objectives in undertaking the acquisition or even to offset the associated acquisition and maintenance costs.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if we engage in acquisitions or strategic partnerships, we may issue dilutive securities, assume or incur debt obligations, incur large one-time expenses or acquire intangible assets that could result in significant future amortization expense. Moreover, we may not be able to locate suitable acquisition opportunities, and this inability could impair our growth or limit access to technology or drugs that may be important to the development of our business.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We could be subject to securities class action litigation.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the past, securities class action litigation has often been brought against a company following a period of volatility or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materially adversely affect our business, financial condition, results of operation and growth prospects.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If securities analysts do not publish research or reports about our business or if they publish negative reports or downgrade our stock, the price of our common stock could decline.</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trading market for our common stock relies in part on the research and reports that industry or financial analysts publish about us, our business, our markets and our competitors. We do not control these analysts. If securities analysts do not cover our common stock, the lack of research coverage may materially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64</w:t>
      </w:r>
    </w:p>
    <w:p>
      <w:pPr>
        <w:pStyle w:val="HorizontalLine"/>
        <w:rPr/>
      </w:pPr>
      <w:r>
        <w:rPr/>
      </w:r>
    </w:p>
    <w:p>
      <w:pPr>
        <w:pStyle w:val="TextBody"/>
        <w:spacing w:lineRule="auto" w:line="273" w:before="360" w:after="0"/>
        <w:jc w:val="left"/>
        <w:rPr>
          <w:rFonts w:ascii="Times New Roman" w:hAnsi="Times New Roman"/>
          <w:sz w:val="20"/>
        </w:rPr>
      </w:pPr>
      <w:r>
        <w:rPr>
          <w:rFonts w:ascii="Times New Roman" w:hAnsi="Times New Roman"/>
          <w:b/>
          <w:i/>
          <w:sz w:val="20"/>
        </w:rPr>
        <w:t>We incur significant increased costs as a result of operating as a public company, and our management is required to devote substantial time to new compliance initiatives.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As a public company, we incur significant legal, accounting and other expenses that we did not incur as a private company. In addition, the Sarbanes-Oxley Act and rules of the SEC and those of Nasdaq have imposed various requirements on public companies including that we establish and maintain effective disclosure and financial controls. Our management and other personnel have devoted and will continue to devote a substantial amount of time to these compliance initiatives. Moreover, these rules and regulations have increased and will continue to increase our legal and financial compliance costs and will make some activities more time-consuming and costly.</w:t>
      </w:r>
    </w:p>
    <w:p>
      <w:pPr>
        <w:pStyle w:val="TextBody"/>
        <w:spacing w:lineRule="auto" w:line="273" w:before="240" w:after="0"/>
        <w:jc w:val="left"/>
        <w:rPr>
          <w:rFonts w:ascii="Times New Roman" w:hAnsi="Times New Roman"/>
          <w:sz w:val="20"/>
        </w:rPr>
      </w:pPr>
      <w:r>
        <w:rPr>
          <w:rFonts w:ascii="Times New Roman" w:hAnsi="Times New Roman"/>
          <w:b w:val="false"/>
          <w:sz w:val="20"/>
        </w:rPr>
        <w:t>The Sarbanes-Oxley Act requires, among other things, that we maintain effective internal control over financial reporting and disclosure controls and procedures following an initial transition period available to public companies. In particular, we must evaluate our systems and procedures, and test our internal control over financial reporting to allow management to report on the effectiveness of our internal control over financial reporting, as required by Section 404 of the Sarbanes-Oxley Act. In addition, we will be required to have our independent registered public accounting firm attest to the effectiveness of our internal control over financial reporting in the later of our second Annual Report on Form 10-K or the first Annual Report on Form 10-K following the date on which we are no longer an emerging growth company unless we are a smaller reporting company and do not otherwise also qualify as an “accelerated filer” or “large accelerated filer” for SEC reporting purposes. Our compliance with Section 404 of the Sarbanes-Oxley Act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If we do not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To successfully implement our business plan and comply with Section 404, we must prepare timely and accurate financial statements. We expect that we will need to continue to improve existing procedures and controls, and implement new operational and financial systems,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of the Sarbanes-Oxley Act. This, in turn, could materially adversely affect the trading prices for our common stock and our ability to access the capital markets.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Effective internal controls over financial reporting are necessary for us to provide reliable financial reports and are designed to prevent fraud. Any failure to implement required new or improved controls, or difficulties encountered in their implementation could cause us to fail to meet our reporting obligations. Pursuant to Section 404 of the Sarbanes-Oxley Act, our management is required to report upon the effectiveness of our internal control over financial reporting. When we lose our status both as an emerging growth company and a smaller reporting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materially adversely affect the trading price of our common stock.</w:t>
      </w:r>
      <w:r>
        <w:rPr>
          <w:rFonts w:ascii="Times New Roman" w:hAnsi="Times New Roman"/>
          <w:sz w:val="20"/>
        </w:rPr>
        <w:t xml:space="preserve"> </w:t>
      </w:r>
    </w:p>
    <w:p>
      <w:pPr>
        <w:pStyle w:val="TextBody"/>
        <w:spacing w:lineRule="auto" w:line="247" w:before="360" w:after="0"/>
        <w:jc w:val="left"/>
        <w:rPr>
          <w:rFonts w:ascii="Times New Roman" w:hAnsi="Times New Roman"/>
          <w:sz w:val="20"/>
        </w:rPr>
      </w:pPr>
      <w:r>
        <w:rPr>
          <w:rFonts w:ascii="Times New Roman" w:hAnsi="Times New Roman"/>
          <w:b/>
          <w:i/>
          <w:sz w:val="20"/>
        </w:rPr>
        <w:t>Our disclosure controls and procedures may not prevent or detect all errors or acts of fraud.</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65</w:t>
      </w:r>
    </w:p>
    <w:p>
      <w:pPr>
        <w:pStyle w:val="HorizontalLine"/>
        <w:rPr/>
      </w:pPr>
      <w:r>
        <w:rPr/>
      </w:r>
    </w:p>
    <w:p>
      <w:pPr>
        <w:pStyle w:val="TextBody"/>
        <w:spacing w:lineRule="auto" w:line="273" w:before="240" w:after="0"/>
        <w:jc w:val="left"/>
        <w:rPr>
          <w:rFonts w:ascii="Times New Roman" w:hAnsi="Times New Roman"/>
          <w:sz w:val="20"/>
        </w:rPr>
      </w:pPr>
      <w:r>
        <w:rPr>
          <w:rFonts w:ascii="Times New Roman" w:hAnsi="Times New Roman"/>
          <w:b w:val="false"/>
          <w:sz w:val="20"/>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r>
        <w:rPr>
          <w:rFonts w:ascii="Times New Roman" w:hAnsi="Times New Roman"/>
          <w:sz w:val="20"/>
        </w:rPr>
        <w:t xml:space="preserve"> </w:t>
      </w:r>
    </w:p>
    <w:p>
      <w:pPr>
        <w:pStyle w:val="TextBody"/>
        <w:spacing w:lineRule="auto" w:line="247" w:before="360" w:after="0"/>
        <w:jc w:val="left"/>
        <w:rPr>
          <w:rFonts w:ascii="Times New Roman" w:hAnsi="Times New Roman"/>
          <w:sz w:val="20"/>
        </w:rPr>
      </w:pPr>
      <w:r>
        <w:rPr>
          <w:rFonts w:ascii="Times New Roman" w:hAnsi="Times New Roman"/>
          <w:b/>
          <w:i/>
          <w:sz w:val="20"/>
        </w:rPr>
        <w:t>Changes to, or interpretations of, financial accounting standards may affect our results of operations and could cause us to change our business practices.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prepare our financial statements in accordance with U.S. GAAP. These accounting principles are subject to interpretation by the Financial Accounting Standards Board, the SEC and various bodies formed to interpret and create accounting rules and regulations. Changes in accounting rules can have a significant effect on our reported financial results and may affect our reporting of transactions completed before a change is announced. Changes to those rules or the questioning of current practices may materially adversely affect our financial results, including those contained in this filing, or the way we conduct our business.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Computer system interruptions or security breaches could significantly disrupt our product development programs and our ability to operate our business.</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Our internal computer systems, cloud-based computing services and those of our current and any future collaborators and other contractors or consultants are vulnerable to damage or interruption from computer viruses, ransomware, malware, data corruption, cyber-based attacks, phishing attacks, unauthorized access, natural disasters, terrorism, war and telecommunication and electrical failures. While we have taken steps to protect the security of our information systems and the data maintained in those systems, we have, from time to time, experienced cyber incidents of varying degrees, although none of these cyber incidents have had a material adverse impact on our business, financial condition or results of operations. It is possible that in the future our safety and security measures will not prevent the improper functioning or damaging of our systems, or the improper access or disclosure of personally identifiable information, and any such event could materially and adversely impact our business, financial condition or results of operations. In addition, if a significant system failure, accident, security breach or other cyber incident were to occur and cause interruptions in our operations, it could result in a disruption of our development programs and our business operations, whether due to a loss of our trade secrets or other proprietary information, the disclosure of protected personally identifiable patient information or other similar disruptions. For example, the loss of clinical trial data from completed or future clinical trials could result in delays in our regulatory approval efforts and significantly increase our costs to recover or reproduce the data. Furthermore, federal, state and international laws and regulations, such as the GDPR, which took effect in May 2018, and the CCPA which took effect on January 1, 2020, as well as the California Consumer Privacy Act, which was passed in November 2020 and makes a number of significant amendments to the CCPA, can expose us to enforcement actions and investigations by regulatory authorities, and potentially result in regulatory penalties and significant legal liability, if our information technology security efforts fail or if our privacy practices do not meet the requirements of such laws. Other states are considering similar laws that could impact our use of research data with respect to individuals in those states. There are extensive documentation obligations and transparency requirements, which may impose significant costs on us. In addition, our software systems include cloud-based applications that are hosted by third-party service providers with security and information technology systems subject to similar risks. To the extent that any disruption, security breach or other cyber incident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any of which could materially adversely affect our business, financial condition, results of operations and growth prospects.</w:t>
      </w:r>
    </w:p>
    <w:p>
      <w:pPr>
        <w:pStyle w:val="TextBody"/>
        <w:spacing w:lineRule="auto" w:line="273" w:before="360" w:after="0"/>
        <w:jc w:val="left"/>
        <w:rPr>
          <w:rFonts w:ascii="Times New Roman" w:hAnsi="Times New Roman"/>
          <w:b/>
          <w:sz w:val="20"/>
        </w:rPr>
      </w:pPr>
      <w:bookmarkStart w:id="15" w:name="item_2_unregistered_sales_equity_securit"/>
      <w:bookmarkEnd w:id="15"/>
      <w:r>
        <w:rPr>
          <w:rFonts w:ascii="Times New Roman" w:hAnsi="Times New Roman"/>
          <w:b/>
          <w:sz w:val="20"/>
        </w:rPr>
        <w:t>Item 2. Unregistered Sales of Equity Securities and Use of Proceeds.</w:t>
      </w:r>
    </w:p>
    <w:p>
      <w:pPr>
        <w:pStyle w:val="TextBody"/>
        <w:spacing w:lineRule="auto" w:line="273" w:before="120" w:after="0"/>
        <w:jc w:val="left"/>
        <w:rPr>
          <w:rFonts w:ascii="Times New Roman" w:hAnsi="Times New Roman"/>
          <w:b/>
          <w:sz w:val="20"/>
        </w:rPr>
      </w:pPr>
      <w:r>
        <w:rPr>
          <w:rFonts w:ascii="Times New Roman" w:hAnsi="Times New Roman"/>
          <w:b/>
          <w:sz w:val="20"/>
        </w:rPr>
        <w:t>Recent Sales of Unregistered Securities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There were no unregistered sales of equity securities during the period covered by this report.</w:t>
      </w:r>
    </w:p>
    <w:p>
      <w:pPr>
        <w:pStyle w:val="TextBody"/>
        <w:spacing w:lineRule="auto" w:line="273" w:before="360" w:after="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On July 14, 2020, we completed our IPO. Our registration statement on Form S-1 (File No. 333-239301) relating to the IPO was declared effective by the SEC on July 9, 2020.</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There has been no material change in the planned use of proceeds from our IPO as described in our final prospectus filed with the SEC on July 13, 2020 pursuant to Rule 424(b)(4) under the Securities Act. As of March 31, 2022, we estimate that we have used $50.8 million from the net proceeds from the IPO primarily to advance our product candidates through preclinical studies and clinical</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66</w:t>
      </w:r>
    </w:p>
    <w:p>
      <w:pPr>
        <w:pStyle w:val="HorizontalLine"/>
        <w:rPr/>
      </w:pPr>
      <w:r>
        <w:rPr/>
      </w:r>
    </w:p>
    <w:p>
      <w:pPr>
        <w:pStyle w:val="TextBody"/>
        <w:spacing w:lineRule="auto" w:line="273" w:before="240" w:after="0"/>
        <w:jc w:val="left"/>
        <w:rPr>
          <w:rFonts w:ascii="Times New Roman" w:hAnsi="Times New Roman"/>
          <w:sz w:val="20"/>
        </w:rPr>
      </w:pPr>
      <w:r>
        <w:rPr>
          <w:rFonts w:ascii="Times New Roman" w:hAnsi="Times New Roman"/>
          <w:b w:val="false"/>
          <w:sz w:val="20"/>
        </w:rPr>
        <w:t>trial programs, the construction of our manufacturing facility, and for working capital and general corporate purposes. We invested the remaining funds received in cash equivalents and other marketable securities in accordance with our investment policy.</w:t>
      </w:r>
      <w:r>
        <w:rPr>
          <w:rFonts w:ascii="Times New Roman" w:hAnsi="Times New Roman"/>
          <w:sz w:val="20"/>
        </w:rPr>
        <w:t xml:space="preserve"> </w:t>
      </w:r>
    </w:p>
    <w:p>
      <w:pPr>
        <w:pStyle w:val="TextBody"/>
        <w:spacing w:lineRule="auto" w:line="273" w:before="360" w:after="0"/>
        <w:jc w:val="left"/>
        <w:rPr>
          <w:rFonts w:ascii="Times New Roman" w:hAnsi="Times New Roman"/>
          <w:b/>
          <w:sz w:val="20"/>
        </w:rPr>
      </w:pPr>
      <w:r>
        <w:rPr>
          <w:rFonts w:ascii="Times New Roman" w:hAnsi="Times New Roman"/>
          <w:b/>
          <w:sz w:val="20"/>
        </w:rPr>
        <w:t>Repurchase of Shares of Company Equity Securities</w:t>
      </w:r>
    </w:p>
    <w:p>
      <w:pPr>
        <w:pStyle w:val="TextBody"/>
        <w:spacing w:lineRule="auto" w:line="273" w:before="120" w:after="0"/>
        <w:jc w:val="left"/>
        <w:rPr>
          <w:rFonts w:ascii="Times New Roman" w:hAnsi="Times New Roman"/>
          <w:sz w:val="20"/>
        </w:rPr>
      </w:pPr>
      <w:r>
        <w:rPr>
          <w:rFonts w:ascii="Times New Roman" w:hAnsi="Times New Roman"/>
          <w:b w:val="false"/>
          <w:sz w:val="20"/>
        </w:rPr>
        <w:t>None.</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bookmarkStart w:id="16" w:name="item_3_defaults_upon_senior_securities"/>
      <w:bookmarkEnd w:id="16"/>
      <w:r>
        <w:rPr>
          <w:rFonts w:ascii="Times New Roman" w:hAnsi="Times New Roman"/>
          <w:b/>
          <w:sz w:val="20"/>
        </w:rPr>
        <w:t>Item 3. Defaults Upon</w:t>
      </w:r>
      <w:r>
        <w:rPr>
          <w:rFonts w:ascii="Times New Roman" w:hAnsi="Times New Roman"/>
          <w:sz w:val="20"/>
        </w:rPr>
        <w:t xml:space="preserve"> </w:t>
      </w:r>
      <w:r>
        <w:rPr>
          <w:rFonts w:ascii="Times New Roman" w:hAnsi="Times New Roman"/>
          <w:b/>
          <w:sz w:val="20"/>
        </w:rPr>
        <w:t>Senior Securities.</w:t>
      </w:r>
    </w:p>
    <w:p>
      <w:pPr>
        <w:pStyle w:val="TextBody"/>
        <w:spacing w:lineRule="auto" w:line="273" w:before="120" w:after="0"/>
        <w:jc w:val="left"/>
        <w:rPr>
          <w:rFonts w:ascii="Times New Roman" w:hAnsi="Times New Roman"/>
          <w:sz w:val="20"/>
        </w:rPr>
      </w:pPr>
      <w:r>
        <w:rPr>
          <w:rFonts w:ascii="Times New Roman" w:hAnsi="Times New Roman"/>
          <w:b w:val="false"/>
          <w:sz w:val="20"/>
        </w:rPr>
        <w:t>None.</w:t>
      </w:r>
      <w:r>
        <w:rPr>
          <w:rFonts w:ascii="Times New Roman" w:hAnsi="Times New Roman"/>
          <w:sz w:val="20"/>
        </w:rPr>
        <w:t xml:space="preserve"> </w:t>
      </w:r>
    </w:p>
    <w:p>
      <w:pPr>
        <w:pStyle w:val="TextBody"/>
        <w:spacing w:lineRule="auto" w:line="273" w:before="360" w:after="0"/>
        <w:jc w:val="left"/>
        <w:rPr>
          <w:rFonts w:ascii="Times New Roman" w:hAnsi="Times New Roman"/>
          <w:b/>
          <w:sz w:val="20"/>
        </w:rPr>
      </w:pPr>
      <w:bookmarkStart w:id="17" w:name="item_4_mine_safety_disclosures"/>
      <w:bookmarkEnd w:id="17"/>
      <w:r>
        <w:rPr>
          <w:rFonts w:ascii="Times New Roman" w:hAnsi="Times New Roman"/>
          <w:b/>
          <w:sz w:val="20"/>
        </w:rPr>
        <w:t>Item 4. Mine Safety Disclosures.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Not applicable.</w:t>
      </w:r>
    </w:p>
    <w:p>
      <w:pPr>
        <w:pStyle w:val="TextBody"/>
        <w:spacing w:lineRule="auto" w:line="273" w:before="360" w:after="0"/>
        <w:jc w:val="left"/>
        <w:rPr>
          <w:rFonts w:ascii="Times New Roman" w:hAnsi="Times New Roman"/>
          <w:b/>
          <w:sz w:val="20"/>
        </w:rPr>
      </w:pPr>
      <w:bookmarkStart w:id="18" w:name="item_5_or_information"/>
      <w:bookmarkEnd w:id="18"/>
      <w:r>
        <w:rPr>
          <w:rFonts w:ascii="Times New Roman" w:hAnsi="Times New Roman"/>
          <w:b/>
          <w:sz w:val="20"/>
        </w:rPr>
        <w:t>Item 5. Other Information.</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None.</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67</w:t>
      </w:r>
    </w:p>
    <w:p>
      <w:pPr>
        <w:pStyle w:val="HorizontalLine"/>
        <w:rPr/>
      </w:pPr>
      <w:r>
        <w:rPr/>
      </w:r>
    </w:p>
    <w:p>
      <w:pPr>
        <w:pStyle w:val="TextBody"/>
        <w:spacing w:lineRule="auto" w:line="273" w:before="0" w:after="0"/>
        <w:jc w:val="left"/>
        <w:rPr>
          <w:rFonts w:ascii="Times New Roman" w:hAnsi="Times New Roman"/>
          <w:sz w:val="20"/>
        </w:rPr>
      </w:pPr>
      <w:bookmarkStart w:id="19" w:name="item_6_exhibits"/>
      <w:bookmarkEnd w:id="19"/>
      <w:r>
        <w:rPr>
          <w:rFonts w:ascii="Times New Roman" w:hAnsi="Times New Roman"/>
          <w:b/>
          <w:sz w:val="20"/>
        </w:rPr>
        <w:t>Item 6. Exhibits.</w:t>
      </w:r>
      <w:r>
        <w:rPr>
          <w:rFonts w:ascii="Times New Roman" w:hAnsi="Times New Roman"/>
          <w:sz w:val="20"/>
        </w:rPr>
        <w:t xml:space="preserve"> </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800"/>
        <w:gridCol w:w="146"/>
        <w:gridCol w:w="6632"/>
        <w:gridCol w:w="511"/>
        <w:gridCol w:w="761"/>
        <w:gridCol w:w="631"/>
        <w:gridCol w:w="724"/>
      </w:tblGrid>
      <w:tr>
        <w:trPr/>
        <w:tc>
          <w:tcPr>
            <w:tcW w:w="80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632"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r>
      <w:tr>
        <w:trPr/>
        <w:tc>
          <w:tcPr>
            <w:tcW w:w="8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3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2627" w:type="dxa"/>
            <w:gridSpan w:val="4"/>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Incorporated by Reference</w:t>
            </w:r>
          </w:p>
        </w:tc>
      </w:tr>
      <w:tr>
        <w:trPr/>
        <w:tc>
          <w:tcPr>
            <w:tcW w:w="800"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Exhibit</w:t>
            </w:r>
          </w:p>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Number</w:t>
            </w:r>
          </w:p>
        </w:tc>
        <w:tc>
          <w:tcPr>
            <w:tcW w:w="146"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32"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Description</w:t>
            </w:r>
          </w:p>
        </w:tc>
        <w:tc>
          <w:tcPr>
            <w:tcW w:w="51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Form</w:t>
            </w:r>
          </w:p>
        </w:tc>
        <w:tc>
          <w:tcPr>
            <w:tcW w:w="76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File No.</w:t>
            </w:r>
          </w:p>
        </w:tc>
        <w:tc>
          <w:tcPr>
            <w:tcW w:w="63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Exhibit</w:t>
            </w:r>
          </w:p>
        </w:tc>
        <w:tc>
          <w:tcPr>
            <w:tcW w:w="724"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Filing Date</w:t>
            </w:r>
          </w:p>
        </w:tc>
      </w:tr>
      <w:tr>
        <w:trPr/>
        <w:tc>
          <w:tcPr>
            <w:tcW w:w="8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3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2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8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3.1</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32"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pPr>
            <w:hyperlink r:id="rId2">
              <w:r>
                <w:rPr>
                  <w:rStyle w:val="InternetLink"/>
                  <w:rFonts w:ascii="Times New Roman" w:hAnsi="Times New Roman"/>
                  <w:b w:val="false"/>
                  <w:sz w:val="20"/>
                  <w:u w:val="single"/>
                </w:rPr>
                <w:t>Amended and Restated Certificate of Incorporation of Nkarta, Inc.</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8-K</w:t>
            </w:r>
          </w:p>
        </w:tc>
        <w:tc>
          <w:tcPr>
            <w:tcW w:w="7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001-39370</w:t>
            </w:r>
          </w:p>
        </w:tc>
        <w:tc>
          <w:tcPr>
            <w:tcW w:w="6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3.1</w:t>
            </w:r>
          </w:p>
        </w:tc>
        <w:tc>
          <w:tcPr>
            <w:tcW w:w="72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7/14/2020</w:t>
            </w:r>
          </w:p>
        </w:tc>
      </w:tr>
      <w:tr>
        <w:trPr/>
        <w:tc>
          <w:tcPr>
            <w:tcW w:w="8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3.2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32"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pPr>
            <w:hyperlink r:id="rId3">
              <w:r>
                <w:rPr>
                  <w:rStyle w:val="InternetLink"/>
                  <w:rFonts w:ascii="Times New Roman" w:hAnsi="Times New Roman"/>
                  <w:b w:val="false"/>
                  <w:sz w:val="20"/>
                  <w:u w:val="single"/>
                </w:rPr>
                <w:t>Amended and Restated Bylaws of Nkarta, Inc.</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8-K</w:t>
            </w:r>
          </w:p>
        </w:tc>
        <w:tc>
          <w:tcPr>
            <w:tcW w:w="7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001-39370</w:t>
            </w:r>
          </w:p>
        </w:tc>
        <w:tc>
          <w:tcPr>
            <w:tcW w:w="6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3.2</w:t>
            </w:r>
          </w:p>
        </w:tc>
        <w:tc>
          <w:tcPr>
            <w:tcW w:w="72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7/14/2020</w:t>
            </w:r>
          </w:p>
        </w:tc>
      </w:tr>
      <w:tr>
        <w:trPr/>
        <w:tc>
          <w:tcPr>
            <w:tcW w:w="8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3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nktx-ex10_1.htm">
              <w:r>
                <w:rPr>
                  <w:rStyle w:val="InternetLink"/>
                  <w:rFonts w:ascii="Times New Roman" w:hAnsi="Times New Roman"/>
                  <w:b w:val="false"/>
                  <w:sz w:val="20"/>
                  <w:u w:val="single"/>
                </w:rPr>
                <w:t>Amendment No. 1 to the Research Collaboration Agreement, dated May 4, 2022, by and between Nkarta, Inc. and CRISPR Therapeutics AG.</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7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72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r>
      <w:tr>
        <w:trPr/>
        <w:tc>
          <w:tcPr>
            <w:tcW w:w="8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31.1*</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32"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pPr>
            <w:hyperlink w:anchor="nktx-ex31_1.htm">
              <w:r>
                <w:rPr>
                  <w:rStyle w:val="InternetLink"/>
                  <w:rFonts w:ascii="Times New Roman" w:hAnsi="Times New Roman"/>
                  <w:b w:val="false"/>
                  <w:sz w:val="20"/>
                  <w:u w:val="single"/>
                </w:rPr>
                <w:t>Certification of Principal Executive Officer Pursuant to Rules 13a-14(a) and 15d-14(a) under the Securities Exchange Act of 1934, as Adopted Pursuant to Section 302 of the Sarbanes-Oxley Act of 2002.</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7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72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r>
      <w:tr>
        <w:trPr/>
        <w:tc>
          <w:tcPr>
            <w:tcW w:w="8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31.2*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32"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pPr>
            <w:hyperlink w:anchor="nktx-ex31_2.htm">
              <w:r>
                <w:rPr>
                  <w:rStyle w:val="InternetLink"/>
                  <w:rFonts w:ascii="Times New Roman" w:hAnsi="Times New Roman"/>
                  <w:b w:val="false"/>
                  <w:sz w:val="20"/>
                  <w:u w:val="single"/>
                </w:rPr>
                <w:t>Certification of Principal Financial Officer Pursuant to Rules 13a-14(a) and 15d-14(a) under the Securities Exchange Act of 1934, as Adopted Pursuant to Section 302 of the Sarbanes-Oxley Act of 2002.</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7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72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r>
      <w:tr>
        <w:trPr/>
        <w:tc>
          <w:tcPr>
            <w:tcW w:w="8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32</w:t>
            </w:r>
            <w:r>
              <w:rPr>
                <w:rFonts w:ascii="Times New Roman" w:hAnsi="Times New Roman"/>
                <w:b w:val="false"/>
                <w:sz w:val="13"/>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32"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pPr>
            <w:hyperlink w:anchor="nktx-ex32.htm">
              <w:r>
                <w:rPr>
                  <w:rStyle w:val="InternetLink"/>
                  <w:rFonts w:ascii="Times New Roman" w:hAnsi="Times New Roman"/>
                  <w:b w:val="false"/>
                  <w:sz w:val="20"/>
                  <w:u w:val="single"/>
                </w:rPr>
                <w:t>Certification of Principal Executive Officer and Principal Financial Officer Pursuant to 18 U.S.C. Section 1350, as Adopted Pursuant to Section 906 of the Sarbanes-Oxley Act of 2002.</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7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72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r>
      <w:tr>
        <w:trPr/>
        <w:tc>
          <w:tcPr>
            <w:tcW w:w="8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3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7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72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r>
      <w:tr>
        <w:trPr/>
        <w:tc>
          <w:tcPr>
            <w:tcW w:w="8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101.INS*</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3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Instance Document</w:t>
            </w:r>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7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72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r>
      <w:tr>
        <w:trPr/>
        <w:tc>
          <w:tcPr>
            <w:tcW w:w="8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101.SCH*</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3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Taxonomy Extension Schema Document</w:t>
            </w:r>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2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8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101.CAL*</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3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Taxonomy Extension Calculation Linkbase Document</w:t>
            </w:r>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2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8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101.DEF*</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3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Taxonomy Extension Definition Linkbase Document</w:t>
            </w:r>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2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8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101.LAB*</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3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Taxonomy Extension Label Linkbase Document</w:t>
            </w:r>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2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8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101.PRE*</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3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Taxonomy Extension Presentation Linkbase Document</w:t>
            </w:r>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2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8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104*</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63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Cover Page Interactive Data File (formatted as Inline XBRL and contained in Exhibit 101)</w:t>
            </w:r>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2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bl>
    <w:p>
      <w:pPr>
        <w:pStyle w:val="TextBody"/>
        <w:pBdr>
          <w:bottom w:val="single" w:sz="4" w:space="1" w:color="000000"/>
        </w:pBdr>
        <w:spacing w:lineRule="auto" w:line="273" w:before="0" w:after="0"/>
        <w:jc w:val="left"/>
        <w:rPr/>
      </w:pPr>
      <w:r>
        <w:rPr/>
        <w:t> </w:t>
      </w:r>
    </w:p>
    <w:p>
      <w:pPr>
        <w:pStyle w:val="TextBody"/>
        <w:spacing w:lineRule="auto" w:line="273" w:before="40" w:after="0"/>
        <w:jc w:val="left"/>
        <w:rPr>
          <w:rFonts w:ascii="Times New Roman" w:hAnsi="Times New Roman"/>
          <w:b w:val="false"/>
          <w:sz w:val="20"/>
        </w:rPr>
      </w:pPr>
      <w:r>
        <w:rPr>
          <w:rFonts w:ascii="Times New Roman" w:hAnsi="Times New Roman"/>
          <w:b w:val="false"/>
          <w:sz w:val="20"/>
        </w:rPr>
        <w:t>* Filed herewith.</w:t>
      </w:r>
    </w:p>
    <w:p>
      <w:pPr>
        <w:pStyle w:val="TextBody"/>
        <w:spacing w:lineRule="auto" w:line="273" w:before="0" w:after="0"/>
        <w:jc w:val="left"/>
        <w:rPr>
          <w:rFonts w:ascii="Times New Roman" w:hAnsi="Times New Roman"/>
          <w:sz w:val="20"/>
        </w:rPr>
      </w:pPr>
      <w:r>
        <w:rPr>
          <w:rFonts w:ascii="Times New Roman" w:hAnsi="Times New Roman"/>
          <w:b w:val="false"/>
          <w:sz w:val="20"/>
        </w:rPr>
        <w:t># Portions of this exhibit have been omitted in accordance with Item 601(b)(10)(iv) of Regulation S-K. The Company undertakes to provide to the Securities and Exchange Commission or its staff, if requested and on a supplemental basis, an unredacted copy of this exhibit.</w:t>
      </w:r>
      <w:r>
        <w:rPr>
          <w:rFonts w:ascii="Times New Roman" w:hAnsi="Times New Roman"/>
          <w:sz w:val="20"/>
        </w:rPr>
        <w:t xml:space="preserve"> </w:t>
      </w:r>
    </w:p>
    <w:p>
      <w:pPr>
        <w:pStyle w:val="TextBody"/>
        <w:spacing w:lineRule="auto" w:line="273" w:before="40" w:after="0"/>
        <w:jc w:val="left"/>
        <w:rPr>
          <w:rFonts w:ascii="Times New Roman" w:hAnsi="Times New Roman"/>
          <w:sz w:val="20"/>
        </w:rPr>
      </w:pPr>
      <w:r>
        <w:rPr>
          <w:rFonts w:ascii="Times New Roman" w:hAnsi="Times New Roman"/>
          <w:b w:val="false"/>
          <w:sz w:val="13"/>
        </w:rPr>
        <w:t xml:space="preserve">+ </w:t>
      </w:r>
      <w:r>
        <w:rPr>
          <w:rFonts w:ascii="Times New Roman" w:hAnsi="Times New Roman"/>
          <w:b w:val="false"/>
          <w:sz w:val="20"/>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68</w:t>
      </w:r>
    </w:p>
    <w:p>
      <w:pPr>
        <w:pStyle w:val="HorizontalLine"/>
        <w:rPr/>
      </w:pPr>
      <w:r>
        <w:rPr/>
      </w:r>
    </w:p>
    <w:p>
      <w:pPr>
        <w:pStyle w:val="TextBody"/>
        <w:spacing w:lineRule="auto" w:line="273" w:before="0" w:after="0"/>
        <w:jc w:val="center"/>
        <w:rPr>
          <w:rFonts w:ascii="Times New Roman" w:hAnsi="Times New Roman"/>
          <w:b/>
          <w:sz w:val="20"/>
        </w:rPr>
      </w:pPr>
      <w:bookmarkStart w:id="20" w:name="signatures"/>
      <w:bookmarkEnd w:id="20"/>
      <w:r>
        <w:rPr>
          <w:rFonts w:ascii="Times New Roman" w:hAnsi="Times New Roman"/>
          <w:b/>
          <w:sz w:val="20"/>
        </w:rPr>
        <w:t>SIGNATURES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Pursuant to the requirements of the Securities Exchange Act of 1934, the registrant has duly caused this report to be signed on its behalf by the undersigned thereunto duly authorized.</w:t>
      </w:r>
    </w:p>
    <w:p>
      <w:pPr>
        <w:pStyle w:val="TextBody"/>
        <w:spacing w:lineRule="auto" w:line="273" w:before="0" w:after="0"/>
        <w:jc w:val="left"/>
        <w:rPr/>
      </w:pPr>
      <w:r>
        <w:rPr/>
        <w:t> </w:t>
      </w:r>
    </w:p>
    <w:tbl>
      <w:tblPr>
        <w:tblW w:w="7439" w:type="dxa"/>
        <w:jc w:val="left"/>
        <w:tblInd w:w="0" w:type="dxa"/>
        <w:tblCellMar>
          <w:top w:w="28" w:type="dxa"/>
          <w:left w:w="28" w:type="dxa"/>
          <w:bottom w:w="28" w:type="dxa"/>
          <w:right w:w="28" w:type="dxa"/>
        </w:tblCellMar>
      </w:tblPr>
      <w:tblGrid>
        <w:gridCol w:w="1741"/>
        <w:gridCol w:w="146"/>
        <w:gridCol w:w="406"/>
        <w:gridCol w:w="5146"/>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5146"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552"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Nkarta, Inc.</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May 12,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5146"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Paul J. Hastings</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Paul J. Hastings</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Chief Executive Officer</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(Principal Executive Officer)</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May 12,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5146"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Nadir Mahmood</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Nadir Mahmood</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Chief Financial and Business Officer</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(Principal Financial Officer and Principal Accounting Officer)</w:t>
            </w:r>
          </w:p>
        </w:tc>
      </w:tr>
    </w:tbl>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69</w:t>
      </w:r>
    </w:p>
    <w:p>
      <w:pPr>
        <w:pStyle w:val="HorizontalLine"/>
        <w:rPr/>
      </w:pPr>
      <w:r>
        <w:rPr/>
      </w:r>
      <w:r>
        <w:br w:type="page"/>
      </w:r>
    </w:p>
    <w:p>
      <w:pPr>
        <w:pStyle w:val="TextBody"/>
        <w:spacing w:lineRule="auto" w:line="273" w:before="0" w:after="0"/>
        <w:jc w:val="right"/>
        <w:rPr/>
      </w:pPr>
      <w:bookmarkStart w:id="21" w:name="nktx-ex10_1.htm"/>
      <w:bookmarkStart w:id="22" w:name="ksnktxex10_1"/>
      <w:bookmarkEnd w:id="21"/>
      <w:bookmarkEnd w:id="22"/>
      <w:r>
        <w:rPr/>
        <w:t> </w:t>
      </w:r>
    </w:p>
    <w:p>
      <w:pPr>
        <w:pStyle w:val="TextBody"/>
        <w:spacing w:lineRule="auto" w:line="273" w:before="0" w:after="0"/>
        <w:jc w:val="right"/>
        <w:rPr>
          <w:rFonts w:ascii="Times New Roman" w:hAnsi="Times New Roman"/>
          <w:b/>
          <w:sz w:val="20"/>
        </w:rPr>
      </w:pPr>
      <w:r>
        <w:rPr>
          <w:rFonts w:ascii="Times New Roman" w:hAnsi="Times New Roman"/>
          <w:b/>
          <w:sz w:val="20"/>
        </w:rPr>
        <w:t>Exhibit 10.1</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CERTAIN CONFIDENTIAL PORTIONS HAVE BEEN REDACTED FROM THIS EXHIBIT BECAUSE THEY ARE BOTH (i) NOT MATERIAL AND (ii) OF THE TYPE THAT THE COMPANY TREATS AS PRIVATE OR CONFIDENTIAL. INFORMATION THAT HAS BEEN OMITTED HAS BEEN IDENTIFIED IN THIS DOCUMENT WITH A PLACEHOLDER IDENTIFIED BY THE MARK "[***]".</w:t>
      </w:r>
    </w:p>
    <w:p>
      <w:pPr>
        <w:pStyle w:val="TextBody"/>
        <w:spacing w:lineRule="auto" w:line="273" w:before="0" w:after="0"/>
        <w:jc w:val="right"/>
        <w:rPr/>
      </w:pPr>
      <w:r>
        <w:rPr/>
        <w:t> </w:t>
      </w:r>
    </w:p>
    <w:p>
      <w:pPr>
        <w:pStyle w:val="TextBody"/>
        <w:spacing w:lineRule="auto" w:line="273" w:before="0" w:after="0"/>
        <w:jc w:val="right"/>
        <w:rPr>
          <w:rFonts w:ascii="Times New Roman" w:hAnsi="Times New Roman"/>
          <w:b w:val="false"/>
          <w:sz w:val="24"/>
        </w:rPr>
      </w:pPr>
      <w:r>
        <w:rPr>
          <w:rFonts w:ascii="Times New Roman" w:hAnsi="Times New Roman"/>
          <w:b w:val="false"/>
          <w:sz w:val="24"/>
        </w:rPr>
        <w:t>EXECUTION VERSION</w:t>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b/>
          <w:caps/>
          <w:sz w:val="22"/>
        </w:rPr>
      </w:pPr>
      <w:r>
        <w:rPr>
          <w:rFonts w:ascii="Times New Roman" w:hAnsi="Times New Roman"/>
          <w:b/>
          <w:caps/>
          <w:sz w:val="22"/>
        </w:rPr>
        <w:t>Amendment No. 1</w:t>
      </w:r>
    </w:p>
    <w:p>
      <w:pPr>
        <w:pStyle w:val="TextBody"/>
        <w:spacing w:lineRule="auto" w:line="273" w:before="0" w:after="0"/>
        <w:jc w:val="center"/>
        <w:rPr>
          <w:rFonts w:ascii="Times New Roman" w:hAnsi="Times New Roman"/>
          <w:b/>
          <w:caps/>
          <w:sz w:val="22"/>
        </w:rPr>
      </w:pPr>
      <w:r>
        <w:rPr>
          <w:rFonts w:ascii="Times New Roman" w:hAnsi="Times New Roman"/>
          <w:b/>
          <w:caps/>
          <w:sz w:val="22"/>
        </w:rPr>
        <w:t>to the</w:t>
      </w:r>
    </w:p>
    <w:p>
      <w:pPr>
        <w:pStyle w:val="TextBody"/>
        <w:spacing w:lineRule="auto" w:line="273" w:before="0" w:after="0"/>
        <w:jc w:val="center"/>
        <w:rPr>
          <w:rFonts w:ascii="Times New Roman" w:hAnsi="Times New Roman"/>
          <w:b/>
          <w:caps/>
          <w:sz w:val="22"/>
        </w:rPr>
      </w:pPr>
      <w:r>
        <w:rPr>
          <w:rFonts w:ascii="Times New Roman" w:hAnsi="Times New Roman"/>
          <w:b/>
          <w:caps/>
          <w:sz w:val="22"/>
        </w:rPr>
        <w:t>RESEARCH Collaboration Agreement</w:t>
      </w:r>
    </w:p>
    <w:p>
      <w:pPr>
        <w:pStyle w:val="TextBody"/>
        <w:spacing w:lineRule="auto" w:line="273" w:before="0" w:after="0"/>
        <w:jc w:val="lef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2"/>
        </w:rPr>
        <w:t>This Amendment No. 1 to the Research Collaboration Agreement (the “</w:t>
      </w:r>
      <w:r>
        <w:rPr>
          <w:rFonts w:ascii="Times New Roman" w:hAnsi="Times New Roman"/>
          <w:b/>
          <w:sz w:val="22"/>
        </w:rPr>
        <w:t>Amendment</w:t>
      </w:r>
      <w:r>
        <w:rPr>
          <w:rFonts w:ascii="Times New Roman" w:hAnsi="Times New Roman"/>
          <w:sz w:val="20"/>
        </w:rPr>
        <w:t>”</w:t>
      </w:r>
      <w:r>
        <w:rPr>
          <w:rFonts w:ascii="Times New Roman" w:hAnsi="Times New Roman"/>
          <w:b w:val="false"/>
          <w:sz w:val="22"/>
        </w:rPr>
        <w:t>) is entered into as of May 4, 2022 (“</w:t>
      </w:r>
      <w:r>
        <w:rPr>
          <w:rFonts w:ascii="Times New Roman" w:hAnsi="Times New Roman"/>
          <w:b/>
          <w:sz w:val="22"/>
        </w:rPr>
        <w:t>Amendment Effective Date</w:t>
      </w:r>
      <w:r>
        <w:rPr>
          <w:rFonts w:ascii="Times New Roman" w:hAnsi="Times New Roman"/>
          <w:sz w:val="20"/>
        </w:rPr>
        <w:t>”</w:t>
      </w:r>
      <w:r>
        <w:rPr>
          <w:rFonts w:ascii="Times New Roman" w:hAnsi="Times New Roman"/>
          <w:b w:val="false"/>
          <w:sz w:val="22"/>
        </w:rPr>
        <w:t>) by and between Nkarta, Inc. (“</w:t>
      </w:r>
      <w:r>
        <w:rPr>
          <w:rFonts w:ascii="Times New Roman" w:hAnsi="Times New Roman"/>
          <w:b/>
          <w:sz w:val="22"/>
        </w:rPr>
        <w:t>Nkarta</w:t>
      </w:r>
      <w:r>
        <w:rPr>
          <w:rFonts w:ascii="Times New Roman" w:hAnsi="Times New Roman"/>
          <w:sz w:val="20"/>
        </w:rPr>
        <w:t>”</w:t>
      </w:r>
      <w:r>
        <w:rPr>
          <w:rFonts w:ascii="Times New Roman" w:hAnsi="Times New Roman"/>
          <w:b w:val="false"/>
          <w:sz w:val="22"/>
        </w:rPr>
        <w:t>) and CRISPR Therapeutics AG (“</w:t>
      </w:r>
      <w:r>
        <w:rPr>
          <w:rFonts w:ascii="Times New Roman" w:hAnsi="Times New Roman"/>
          <w:b/>
          <w:sz w:val="22"/>
        </w:rPr>
        <w:t>CRISPR</w:t>
      </w:r>
      <w:r>
        <w:rPr>
          <w:rFonts w:ascii="Times New Roman" w:hAnsi="Times New Roman"/>
          <w:sz w:val="20"/>
        </w:rPr>
        <w:t>”</w:t>
      </w:r>
      <w:r>
        <w:rPr>
          <w:rFonts w:ascii="Times New Roman" w:hAnsi="Times New Roman"/>
          <w:b w:val="false"/>
          <w:sz w:val="22"/>
        </w:rPr>
        <w:t>). Nkarta and CRISPR each may be referred to herein individually as a “</w:t>
      </w:r>
      <w:r>
        <w:rPr>
          <w:rFonts w:ascii="Times New Roman" w:hAnsi="Times New Roman"/>
          <w:b/>
          <w:sz w:val="22"/>
        </w:rPr>
        <w:t>Party</w:t>
      </w:r>
      <w:r>
        <w:rPr>
          <w:rFonts w:ascii="Times New Roman" w:hAnsi="Times New Roman"/>
          <w:sz w:val="20"/>
        </w:rPr>
        <w:t xml:space="preserve">” </w:t>
      </w:r>
      <w:r>
        <w:rPr>
          <w:rFonts w:ascii="Times New Roman" w:hAnsi="Times New Roman"/>
          <w:b w:val="false"/>
          <w:sz w:val="22"/>
        </w:rPr>
        <w:t>or collectively as the “</w:t>
      </w:r>
      <w:r>
        <w:rPr>
          <w:rFonts w:ascii="Times New Roman" w:hAnsi="Times New Roman"/>
          <w:b/>
          <w:sz w:val="22"/>
        </w:rPr>
        <w:t>Parties</w:t>
      </w:r>
      <w:r>
        <w:rPr>
          <w:rFonts w:ascii="Times New Roman" w:hAnsi="Times New Roman"/>
          <w:b w:val="false"/>
          <w:sz w:val="22"/>
        </w:rPr>
        <w:t>.” This Amendment amends the Research Collaboration Agreement, entered into as of May 5, 2021, between Nkarta and CRISPR, as supplemented (the “</w:t>
      </w:r>
      <w:r>
        <w:rPr>
          <w:rFonts w:ascii="Times New Roman" w:hAnsi="Times New Roman"/>
          <w:b/>
          <w:sz w:val="22"/>
        </w:rPr>
        <w:t>Agreement</w:t>
      </w:r>
      <w:r>
        <w:rPr>
          <w:rFonts w:ascii="Times New Roman" w:hAnsi="Times New Roman"/>
          <w:sz w:val="20"/>
        </w:rPr>
        <w:t>”</w:t>
      </w:r>
      <w:r>
        <w:rPr>
          <w:rFonts w:ascii="Times New Roman" w:hAnsi="Times New Roman"/>
          <w:b w:val="false"/>
          <w:sz w:val="22"/>
        </w:rPr>
        <w:t>). Capitalized terms used but not defined in this Amendment shall have the meanings ascribed to such terms in the Agreement.</w:t>
      </w:r>
    </w:p>
    <w:p>
      <w:pPr>
        <w:pStyle w:val="TextBody"/>
        <w:spacing w:lineRule="auto" w:line="273" w:before="0" w:after="0"/>
        <w:jc w:val="center"/>
        <w:rPr>
          <w:rFonts w:ascii="Times New Roman" w:hAnsi="Times New Roman"/>
          <w:b/>
          <w:sz w:val="22"/>
        </w:rPr>
      </w:pPr>
      <w:r>
        <w:rPr>
          <w:rFonts w:ascii="Times New Roman" w:hAnsi="Times New Roman"/>
          <w:b/>
          <w:sz w:val="22"/>
        </w:rPr>
        <w:t>RECITALS</w:t>
      </w:r>
    </w:p>
    <w:p>
      <w:pPr>
        <w:pStyle w:val="TextBody"/>
        <w:spacing w:lineRule="auto" w:line="273" w:before="0" w:after="0"/>
        <w:jc w:val="center"/>
        <w:rPr/>
      </w:pPr>
      <w:r>
        <w:rPr/>
        <w:t> </w:t>
      </w:r>
    </w:p>
    <w:p>
      <w:pPr>
        <w:pStyle w:val="TextBody"/>
        <w:spacing w:lineRule="auto" w:line="273" w:before="0" w:after="0"/>
        <w:jc w:val="both"/>
        <w:rPr>
          <w:rFonts w:ascii="Times New Roman" w:hAnsi="Times New Roman"/>
          <w:sz w:val="20"/>
        </w:rPr>
      </w:pPr>
      <w:r>
        <w:rPr>
          <w:rFonts w:ascii="Times New Roman" w:hAnsi="Times New Roman"/>
          <w:b/>
          <w:sz w:val="22"/>
        </w:rPr>
        <w:t>WHEREAS,</w:t>
      </w:r>
      <w:r>
        <w:rPr>
          <w:rFonts w:ascii="Times New Roman" w:hAnsi="Times New Roman"/>
          <w:sz w:val="20"/>
        </w:rPr>
        <w:t xml:space="preserve"> </w:t>
      </w:r>
      <w:r>
        <w:rPr>
          <w:rFonts w:ascii="Times New Roman" w:hAnsi="Times New Roman"/>
          <w:b w:val="false"/>
          <w:sz w:val="22"/>
        </w:rPr>
        <w:t>the Parties desire to amend and restate Section 2.10 – Transfer of Materials and Section 4.3.1 – Nomination;</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sz w:val="22"/>
        </w:rPr>
        <w:t>NOW, THEREFORE,</w:t>
      </w:r>
      <w:r>
        <w:rPr>
          <w:rFonts w:ascii="Times New Roman" w:hAnsi="Times New Roman"/>
          <w:sz w:val="20"/>
        </w:rPr>
        <w:t xml:space="preserve"> </w:t>
      </w:r>
      <w:r>
        <w:rPr>
          <w:rFonts w:ascii="Times New Roman" w:hAnsi="Times New Roman"/>
          <w:b w:val="false"/>
          <w:sz w:val="22"/>
        </w:rPr>
        <w:t>in consideration of the respective covenants and agreements set forth herein, the Parties hereto agree as follows:</w:t>
      </w:r>
    </w:p>
    <w:p>
      <w:pPr>
        <w:pStyle w:val="TextBody"/>
        <w:spacing w:lineRule="auto" w:line="273" w:before="0" w:after="240"/>
        <w:jc w:val="left"/>
        <w:rPr/>
      </w:pPr>
      <w:r>
        <w:rPr/>
        <w:t> </w:t>
      </w:r>
    </w:p>
    <w:p>
      <w:pPr>
        <w:pStyle w:val="TextBody"/>
        <w:spacing w:lineRule="auto" w:line="273"/>
        <w:jc w:val="center"/>
        <w:rPr>
          <w:rFonts w:ascii="Times New Roman" w:hAnsi="Times New Roman"/>
          <w:b/>
          <w:caps/>
          <w:sz w:val="22"/>
        </w:rPr>
      </w:pPr>
      <w:r>
        <w:rPr>
          <w:rFonts w:ascii="Times New Roman" w:hAnsi="Times New Roman"/>
          <w:b/>
          <w:caps/>
          <w:sz w:val="22"/>
        </w:rPr>
        <w:t>1.</w:t>
      </w:r>
    </w:p>
    <w:p>
      <w:pPr>
        <w:pStyle w:val="TextBody"/>
        <w:spacing w:lineRule="auto" w:line="273" w:before="0" w:after="240"/>
        <w:jc w:val="center"/>
        <w:rPr>
          <w:rFonts w:ascii="Times New Roman" w:hAnsi="Times New Roman"/>
          <w:b/>
          <w:caps/>
          <w:sz w:val="22"/>
        </w:rPr>
      </w:pPr>
      <w:r>
        <w:rPr>
          <w:rFonts w:ascii="Times New Roman" w:hAnsi="Times New Roman"/>
          <w:b/>
          <w:caps/>
          <w:sz w:val="22"/>
        </w:rPr>
        <w:t>Amendments</w:t>
      </w:r>
    </w:p>
    <w:p>
      <w:pPr>
        <w:pStyle w:val="TextBody"/>
        <w:spacing w:lineRule="auto" w:line="273" w:before="0" w:after="240"/>
        <w:jc w:val="both"/>
        <w:rPr>
          <w:rFonts w:ascii="Times New Roman" w:hAnsi="Times New Roman"/>
          <w:b w:val="false"/>
          <w:sz w:val="22"/>
        </w:rPr>
      </w:pPr>
      <w:r>
        <w:rPr>
          <w:rFonts w:ascii="Times New Roman" w:hAnsi="Times New Roman"/>
          <w:b w:val="false"/>
          <w:sz w:val="22"/>
        </w:rPr>
        <w:t>a.</w:t>
      </w:r>
    </w:p>
    <w:p>
      <w:pPr>
        <w:pStyle w:val="TextBody"/>
        <w:spacing w:lineRule="auto" w:line="273" w:before="0" w:after="240"/>
        <w:jc w:val="both"/>
        <w:rPr/>
      </w:pPr>
      <w:r>
        <w:rPr>
          <w:rFonts w:ascii="Times New Roman" w:hAnsi="Times New Roman"/>
          <w:b/>
          <w:sz w:val="22"/>
          <w:u w:val="single"/>
        </w:rPr>
        <w:t>Transfer of Materials</w:t>
      </w:r>
      <w:r>
        <w:rPr>
          <w:rFonts w:ascii="Times New Roman" w:hAnsi="Times New Roman"/>
          <w:b w:val="false"/>
          <w:sz w:val="22"/>
        </w:rPr>
        <w:t xml:space="preserve">. Section 2.10 in the Agreement is hereby amended and restated as set forth below. </w:t>
      </w:r>
    </w:p>
    <w:p>
      <w:pPr>
        <w:pStyle w:val="TextBody"/>
        <w:spacing w:lineRule="auto" w:line="273" w:before="0" w:after="240"/>
        <w:jc w:val="both"/>
        <w:rPr/>
      </w:pPr>
      <w:r>
        <w:rPr/>
        <w:t>“</w:t>
      </w:r>
      <w:r>
        <w:rPr>
          <w:rFonts w:ascii="Times New Roman" w:hAnsi="Times New Roman"/>
          <w:b w:val="false"/>
          <w:sz w:val="22"/>
          <w:u w:val="single"/>
        </w:rPr>
        <w:t>Transfer of Materials</w:t>
      </w:r>
      <w:r>
        <w:rPr>
          <w:rFonts w:ascii="Times New Roman" w:hAnsi="Times New Roman"/>
          <w:b w:val="false"/>
          <w:sz w:val="22"/>
        </w:rPr>
        <w:t>.</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2"/>
        </w:rPr>
        <w:t>2.10.1</w:t>
      </w:r>
      <w:r>
        <w:rPr>
          <w:rFonts w:ascii="Times New Roman" w:hAnsi="Times New Roman"/>
          <w:sz w:val="20"/>
        </w:rPr>
        <w:t xml:space="preserve"> </w:t>
      </w:r>
      <w:r>
        <w:rPr>
          <w:rFonts w:ascii="Times New Roman" w:hAnsi="Times New Roman"/>
          <w:b w:val="false"/>
          <w:i/>
          <w:sz w:val="22"/>
        </w:rPr>
        <w:t>Collaboration Products</w:t>
      </w:r>
      <w:r>
        <w:rPr>
          <w:rFonts w:ascii="Times New Roman" w:hAnsi="Times New Roman"/>
          <w:b w:val="false"/>
          <w:sz w:val="22"/>
        </w:rPr>
        <w:t>. To facilitate the conduct of Research Activities with respect to Collaboration Products, each Party will provide any Materials required by the applicable Research Plan to be transferred to the other Party, and each Party may provide to the other Party certain other Materials. Except as otherwise expressly set forth herein, all Materials (including any progeny, unmodified derivatives and modifications thereof, other than any such progeny, unmodified derivatives and modifications that become Collaboration Products) (i) will remain the sole property of the supplying Party, (ii) will be used only in the fulfillment of the receiving Party’s obligations or exercise of rights under this Agreement for such Research Activities with respect to Collaboration Products, (iii) will</w:t>
      </w:r>
      <w:r>
        <w:rPr>
          <w:rFonts w:ascii="Times New Roman" w:hAnsi="Times New Roman"/>
          <w:sz w:val="20"/>
        </w:rPr>
        <w:t xml:space="preserve"> </w:t>
      </w:r>
    </w:p>
    <w:p>
      <w:pPr>
        <w:pStyle w:val="TextBody"/>
        <w:spacing w:lineRule="auto" w:line="273" w:before="0" w:after="0"/>
        <w:jc w:val="left"/>
        <w:rPr>
          <w:rFonts w:ascii="Times New Roman" w:hAnsi="Times New Roman"/>
          <w:sz w:val="20"/>
        </w:rPr>
      </w:pPr>
      <w:r>
        <w:rPr>
          <w:rFonts w:ascii="Times New Roman" w:hAnsi="Times New Roman"/>
          <w:b w:val="false"/>
          <w:sz w:val="16"/>
        </w:rPr>
        <w:t>{00010861 - 9}</w:t>
      </w:r>
      <w:r>
        <w:rPr>
          <w:rFonts w:ascii="Times New Roman" w:hAnsi="Times New Roman"/>
          <w:sz w:val="20"/>
        </w:rPr>
        <w:t xml:space="preserve"> </w:t>
      </w:r>
      <w:r>
        <w:rPr>
          <w:rFonts w:ascii="Times New Roman" w:hAnsi="Times New Roman"/>
          <w:b w:val="false"/>
          <w:sz w:val="16"/>
        </w:rPr>
        <w:t>1</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b w:val="false"/>
          <w:sz w:val="22"/>
        </w:rPr>
      </w:pPr>
      <w:r>
        <w:rPr>
          <w:rFonts w:ascii="Times New Roman" w:hAnsi="Times New Roman"/>
          <w:b w:val="false"/>
          <w:sz w:val="22"/>
        </w:rPr>
        <w:t>remain solely under the control of the receiving Party, (iv) will not be used or delivered by the receiving Party to or for the benefit of any Third Party (other than a Subcontractor as provided in Section 2.8) without the prior written consent of the supplying Party, and, (v) will not be used in research or testing involving human subjects, unless expressly agreed in writing. For the avoidance of doubt, all costs and expenses incurred pursuant to this subsection (a) with respect to transfer of Materials including the cost of Materials shall be [***].</w:t>
      </w:r>
    </w:p>
    <w:p>
      <w:pPr>
        <w:pStyle w:val="TextBody"/>
        <w:spacing w:lineRule="auto" w:line="273" w:before="0" w:after="240"/>
        <w:jc w:val="both"/>
        <w:rPr>
          <w:rFonts w:ascii="Times New Roman" w:hAnsi="Times New Roman"/>
          <w:sz w:val="20"/>
        </w:rPr>
      </w:pPr>
      <w:r>
        <w:rPr>
          <w:rFonts w:ascii="Times New Roman" w:hAnsi="Times New Roman"/>
          <w:b w:val="false"/>
          <w:sz w:val="22"/>
        </w:rPr>
        <w:t>2.10.2</w:t>
      </w:r>
      <w:r>
        <w:rPr>
          <w:rFonts w:ascii="Times New Roman" w:hAnsi="Times New Roman"/>
          <w:sz w:val="20"/>
        </w:rPr>
        <w:t xml:space="preserve"> </w:t>
      </w:r>
      <w:r>
        <w:rPr>
          <w:rFonts w:ascii="Times New Roman" w:hAnsi="Times New Roman"/>
          <w:b w:val="false"/>
          <w:i/>
          <w:sz w:val="22"/>
        </w:rPr>
        <w:t>Nkarta Products</w:t>
      </w:r>
      <w:r>
        <w:rPr>
          <w:rFonts w:ascii="Times New Roman" w:hAnsi="Times New Roman"/>
          <w:b w:val="false"/>
          <w:sz w:val="22"/>
        </w:rPr>
        <w:t>. From time to time, to facilitate the conduct of Research Activities with respect to Nkarta Products and as set forth in the applicable Research Plan, CRISPR will provide Materials to Nkarta at Nkarta’s request. Except as otherwise expressly set forth herein, all Materials (including any progeny, unmodified derivatives and modifications thereof, other than any such progeny, unmodified derivatives and modifications that become Collaboration Products) provided under this subsection (b) (a) will remain the sole property of CRISPR, (ii) will be used only in the fulfillment of Nkarta’s obligations or exercise of rights under this Agreement for such Research Activities (for clarity, including non-clinical IND-enabling studies), with respect to Nkarta Products, (c) will remain solely under the control of Nkarta (or, as applicable, an Nkarta Product Sublicensee in accordance with Section 8.1.3), (d) will not be used or delivered by Nkarta to or for the benefit of any Third Party (other than a Subcontractor as provided in Section 2.8 or Nkarta Product Sublicensee as provided in Section 8.1.3) without the prior written consent of CRISPR, and, (e) will not be used in research or testing involving human subjects, unless expressly agreed in writing. For the avoidance of doubt, all costs and expenses incurred by CRISPR pursuant to this subsection (b) with respect to transfer of Materials, including the cost of Materials, shall be [***].”</w:t>
      </w:r>
    </w:p>
    <w:p>
      <w:pPr>
        <w:pStyle w:val="TextBody"/>
        <w:spacing w:lineRule="auto" w:line="273" w:before="0" w:after="240"/>
        <w:jc w:val="both"/>
        <w:rPr>
          <w:rFonts w:ascii="Times New Roman" w:hAnsi="Times New Roman"/>
          <w:sz w:val="20"/>
        </w:rPr>
      </w:pPr>
      <w:r>
        <w:rPr>
          <w:rFonts w:ascii="Times New Roman" w:hAnsi="Times New Roman"/>
          <w:b w:val="false"/>
          <w:sz w:val="22"/>
        </w:rPr>
        <w:t>2.10.3 “</w:t>
      </w:r>
      <w:r>
        <w:rPr>
          <w:rFonts w:ascii="Times New Roman" w:hAnsi="Times New Roman"/>
          <w:b w:val="false"/>
          <w:i/>
          <w:sz w:val="22"/>
        </w:rPr>
        <w:t>As Is” Status</w:t>
      </w:r>
      <w:r>
        <w:rPr>
          <w:rFonts w:ascii="Times New Roman" w:hAnsi="Times New Roman"/>
          <w:b w:val="false"/>
          <w:sz w:val="22"/>
        </w:rPr>
        <w:t>. Subject to Sections 11.1 and 11.2, as applicable, all Materials supplied under this Section 2.10 are supplied “as is”, with no warranties of fitness for a particular purpose and must be used with prudence and appropriate caution in any experimental work, since not all of their characteristics may be known.”</w:t>
      </w:r>
    </w:p>
    <w:p>
      <w:pPr>
        <w:pStyle w:val="TextBody"/>
        <w:spacing w:lineRule="auto" w:line="273" w:before="0" w:after="240"/>
        <w:jc w:val="both"/>
        <w:rPr>
          <w:rFonts w:ascii="Times New Roman" w:hAnsi="Times New Roman"/>
          <w:b w:val="false"/>
          <w:sz w:val="22"/>
        </w:rPr>
      </w:pPr>
      <w:r>
        <w:rPr>
          <w:rFonts w:ascii="Times New Roman" w:hAnsi="Times New Roman"/>
          <w:b w:val="false"/>
          <w:sz w:val="22"/>
        </w:rPr>
        <w:t>b.</w:t>
      </w:r>
    </w:p>
    <w:p>
      <w:pPr>
        <w:pStyle w:val="TextBody"/>
        <w:spacing w:lineRule="auto" w:line="273" w:before="0" w:after="240"/>
        <w:jc w:val="both"/>
        <w:rPr/>
      </w:pPr>
      <w:r>
        <w:rPr>
          <w:rFonts w:ascii="Times New Roman" w:hAnsi="Times New Roman"/>
          <w:b/>
          <w:sz w:val="22"/>
          <w:u w:val="single"/>
        </w:rPr>
        <w:t>Nomination</w:t>
      </w:r>
      <w:r>
        <w:rPr>
          <w:rFonts w:ascii="Times New Roman" w:hAnsi="Times New Roman"/>
          <w:b w:val="false"/>
          <w:sz w:val="22"/>
        </w:rPr>
        <w:t xml:space="preserve">. Section 4.3.1 in the Agreement is hereby amended and restated as set forth below. </w:t>
      </w:r>
    </w:p>
    <w:p>
      <w:pPr>
        <w:pStyle w:val="TextBody"/>
        <w:spacing w:lineRule="auto" w:line="273" w:before="0" w:after="240"/>
        <w:jc w:val="both"/>
        <w:rPr/>
      </w:pPr>
      <w:r>
        <w:rPr/>
        <w:t>“</w:t>
      </w:r>
      <w:r>
        <w:rPr>
          <w:rFonts w:ascii="Times New Roman" w:hAnsi="Times New Roman"/>
          <w:b w:val="false"/>
          <w:sz w:val="22"/>
        </w:rPr>
        <w:t xml:space="preserve">4.3.1 </w:t>
      </w:r>
      <w:r>
        <w:rPr>
          <w:rFonts w:ascii="Times New Roman" w:hAnsi="Times New Roman"/>
          <w:b w:val="false"/>
          <w:sz w:val="22"/>
          <w:u w:val="single"/>
        </w:rPr>
        <w:t>Nomination</w:t>
      </w:r>
      <w:r>
        <w:rPr>
          <w:rFonts w:ascii="Times New Roman" w:hAnsi="Times New Roman"/>
          <w:b w:val="false"/>
          <w:sz w:val="22"/>
        </w:rPr>
        <w:t>. Nkarta may provide written notice to CRISPR, nominating a gene editing target to be an Additional Gene-Edited Target (each, a “Nominated Target”), pursuant to the following schedule: [***]. If the Nominated Target is [***], then such Nominated Target shall be designated as an Additional Gene-Editing Target Verified by the Third Party Gatekeeper in accordance with Section 4.3.2.”</w:t>
      </w:r>
    </w:p>
    <w:p>
      <w:pPr>
        <w:pStyle w:val="TextBody"/>
        <w:spacing w:lineRule="auto" w:line="273"/>
        <w:jc w:val="center"/>
        <w:rPr>
          <w:rFonts w:ascii="Times New Roman" w:hAnsi="Times New Roman"/>
          <w:b/>
          <w:caps/>
          <w:sz w:val="22"/>
        </w:rPr>
      </w:pPr>
      <w:r>
        <w:rPr>
          <w:rFonts w:ascii="Times New Roman" w:hAnsi="Times New Roman"/>
          <w:b/>
          <w:caps/>
          <w:sz w:val="22"/>
        </w:rPr>
        <w:t>2.</w:t>
      </w:r>
    </w:p>
    <w:p>
      <w:pPr>
        <w:pStyle w:val="TextBody"/>
        <w:spacing w:lineRule="auto" w:line="273" w:before="0" w:after="240"/>
        <w:jc w:val="center"/>
        <w:rPr>
          <w:rFonts w:ascii="Times New Roman" w:hAnsi="Times New Roman"/>
          <w:b/>
          <w:caps/>
          <w:sz w:val="22"/>
        </w:rPr>
      </w:pPr>
      <w:r>
        <w:rPr>
          <w:rFonts w:ascii="Times New Roman" w:hAnsi="Times New Roman"/>
          <w:b/>
          <w:caps/>
          <w:sz w:val="22"/>
        </w:rPr>
        <w:t>MISCELLANEOUS</w:t>
      </w:r>
    </w:p>
    <w:p>
      <w:pPr>
        <w:pStyle w:val="TextBody"/>
        <w:spacing w:lineRule="auto" w:line="273" w:before="0" w:after="240"/>
        <w:jc w:val="both"/>
        <w:rPr>
          <w:rFonts w:ascii="Times New Roman" w:hAnsi="Times New Roman"/>
          <w:b w:val="false"/>
          <w:sz w:val="22"/>
        </w:rPr>
      </w:pPr>
      <w:r>
        <w:rPr>
          <w:rFonts w:ascii="Times New Roman" w:hAnsi="Times New Roman"/>
          <w:b w:val="false"/>
          <w:sz w:val="22"/>
        </w:rPr>
        <w:t>1.1</w:t>
      </w:r>
    </w:p>
    <w:p>
      <w:pPr>
        <w:pStyle w:val="TextBody"/>
        <w:spacing w:lineRule="auto" w:line="273" w:before="0" w:after="240"/>
        <w:jc w:val="both"/>
        <w:rPr/>
      </w:pPr>
      <w:r>
        <w:rPr>
          <w:rFonts w:ascii="Times New Roman" w:hAnsi="Times New Roman"/>
          <w:b/>
          <w:sz w:val="22"/>
          <w:u w:val="single"/>
        </w:rPr>
        <w:t>Effect of Amendment</w:t>
      </w:r>
      <w:r>
        <w:rPr>
          <w:rFonts w:ascii="Times New Roman" w:hAnsi="Times New Roman"/>
          <w:b w:val="false"/>
          <w:sz w:val="22"/>
        </w:rPr>
        <w:t xml:space="preserve">. This Amendment shall not be deemed to be an amendment to any other terms and conditions of the Agreement. Except as expressly amended by this Amendment, the Agreement remains unchanged and in full force and effect. </w:t>
      </w:r>
    </w:p>
    <w:p>
      <w:pPr>
        <w:pStyle w:val="TextBody"/>
        <w:spacing w:lineRule="auto" w:line="273" w:before="0" w:after="0"/>
        <w:jc w:val="left"/>
        <w:rPr>
          <w:rFonts w:ascii="Times New Roman" w:hAnsi="Times New Roman"/>
          <w:sz w:val="20"/>
        </w:rPr>
      </w:pPr>
      <w:r>
        <w:rPr>
          <w:rFonts w:ascii="Times New Roman" w:hAnsi="Times New Roman"/>
          <w:b w:val="false"/>
          <w:sz w:val="16"/>
        </w:rPr>
        <w:t>{00010861 - 9}</w:t>
      </w:r>
      <w:r>
        <w:rPr>
          <w:rFonts w:ascii="Times New Roman" w:hAnsi="Times New Roman"/>
          <w:sz w:val="20"/>
        </w:rPr>
        <w:t xml:space="preserve"> </w:t>
      </w:r>
      <w:r>
        <w:rPr>
          <w:rFonts w:ascii="Times New Roman" w:hAnsi="Times New Roman"/>
          <w:b w:val="false"/>
          <w:sz w:val="16"/>
        </w:rPr>
        <w:t>2</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b w:val="false"/>
          <w:sz w:val="22"/>
        </w:rPr>
      </w:pPr>
      <w:r>
        <w:rPr>
          <w:rFonts w:ascii="Times New Roman" w:hAnsi="Times New Roman"/>
          <w:b w:val="false"/>
          <w:sz w:val="22"/>
        </w:rPr>
        <w:t>1.2</w:t>
      </w:r>
    </w:p>
    <w:p>
      <w:pPr>
        <w:pStyle w:val="TextBody"/>
        <w:spacing w:lineRule="auto" w:line="273" w:before="0" w:after="240"/>
        <w:jc w:val="both"/>
        <w:rPr/>
      </w:pPr>
      <w:r>
        <w:rPr>
          <w:rFonts w:ascii="Times New Roman" w:hAnsi="Times New Roman"/>
          <w:b/>
          <w:sz w:val="22"/>
          <w:u w:val="single"/>
        </w:rPr>
        <w:t>Counterparts</w:t>
      </w:r>
      <w:r>
        <w:rPr>
          <w:rFonts w:ascii="Times New Roman" w:hAnsi="Times New Roman"/>
          <w:b w:val="false"/>
          <w:sz w:val="22"/>
        </w:rPr>
        <w:t>. This Amendment may be executed in one or more counterparts, each of which will be an original and all of which will constitute together the same document. Counterparts may be signed and delivered by facsimile or digital transmission (.pdf), each of which will be binding when received by the applicable Party.</w:t>
      </w:r>
    </w:p>
    <w:p>
      <w:pPr>
        <w:pStyle w:val="TextBody"/>
        <w:spacing w:lineRule="auto" w:line="273" w:before="0" w:after="0"/>
        <w:jc w:val="center"/>
        <w:rPr>
          <w:rFonts w:ascii="Times New Roman" w:hAnsi="Times New Roman"/>
          <w:b w:val="false"/>
          <w:i/>
          <w:sz w:val="22"/>
        </w:rPr>
      </w:pPr>
      <w:r>
        <w:rPr>
          <w:rFonts w:ascii="Times New Roman" w:hAnsi="Times New Roman"/>
          <w:b w:val="false"/>
          <w:i/>
          <w:sz w:val="22"/>
        </w:rPr>
        <w:t>[SIGNATURE PAGE FOLLOWS]</w:t>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b w:val="false"/>
          <w:sz w:val="22"/>
        </w:rPr>
      </w:pPr>
      <w:r>
        <w:rPr>
          <w:rFonts w:ascii="Times New Roman" w:hAnsi="Times New Roman"/>
          <w:b w:val="false"/>
          <w:sz w:val="22"/>
        </w:rPr>
        <w:t>* - * - * - *</w:t>
      </w:r>
    </w:p>
    <w:p>
      <w:pPr>
        <w:pStyle w:val="TextBody"/>
        <w:spacing w:lineRule="auto" w:line="273" w:before="0" w:after="0"/>
        <w:jc w:val="center"/>
        <w:rPr/>
      </w:pPr>
      <w:r>
        <w:rPr/>
        <w:t> </w:t>
      </w:r>
    </w:p>
    <w:p>
      <w:pPr>
        <w:pStyle w:val="TextBody"/>
        <w:spacing w:lineRule="auto" w:line="273" w:before="0" w:after="0"/>
        <w:jc w:val="both"/>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6"/>
        </w:rPr>
        <w:t>{00010861 - 9}</w:t>
      </w:r>
      <w:r>
        <w:rPr>
          <w:rFonts w:ascii="Times New Roman" w:hAnsi="Times New Roman"/>
          <w:sz w:val="20"/>
        </w:rPr>
        <w:t xml:space="preserve"> </w:t>
      </w:r>
      <w:r>
        <w:rPr>
          <w:rFonts w:ascii="Times New Roman" w:hAnsi="Times New Roman"/>
          <w:b w:val="false"/>
          <w:sz w:val="16"/>
        </w:rPr>
        <w:t>3</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0"/>
        <w:jc w:val="both"/>
        <w:rPr>
          <w:rFonts w:ascii="Times New Roman" w:hAnsi="Times New Roman"/>
          <w:sz w:val="20"/>
        </w:rPr>
      </w:pPr>
      <w:r>
        <w:rPr>
          <w:rFonts w:ascii="Times New Roman" w:hAnsi="Times New Roman"/>
          <w:b/>
          <w:sz w:val="22"/>
        </w:rPr>
        <w:t>IN WITNESS WHEREOF</w:t>
      </w:r>
      <w:r>
        <w:rPr>
          <w:rFonts w:ascii="Times New Roman" w:hAnsi="Times New Roman"/>
          <w:b w:val="false"/>
          <w:sz w:val="22"/>
        </w:rPr>
        <w:t>, the Parties have caused this Amendment to be executed by their representatives thereunto duly authorized as of the Amendment Effective Date.</w:t>
      </w:r>
    </w:p>
    <w:p>
      <w:pPr>
        <w:pStyle w:val="TextBody"/>
        <w:spacing w:lineRule="auto" w:line="273" w:before="0" w:after="0"/>
        <w:jc w:val="left"/>
        <w:rPr/>
      </w:pPr>
      <w:r>
        <w:rPr/>
        <w:t> </w:t>
      </w:r>
    </w:p>
    <w:tbl>
      <w:tblPr>
        <w:tblW w:w="7337" w:type="dxa"/>
        <w:jc w:val="left"/>
        <w:tblInd w:w="0" w:type="dxa"/>
        <w:tblCellMar>
          <w:top w:w="28" w:type="dxa"/>
          <w:left w:w="28" w:type="dxa"/>
          <w:bottom w:w="28" w:type="dxa"/>
          <w:right w:w="28" w:type="dxa"/>
        </w:tblCellMar>
      </w:tblPr>
      <w:tblGrid>
        <w:gridCol w:w="4096"/>
        <w:gridCol w:w="3241"/>
      </w:tblGrid>
      <w:tr>
        <w:trPr/>
        <w:tc>
          <w:tcPr>
            <w:tcW w:w="4096" w:type="dxa"/>
            <w:tcBorders/>
            <w:shd w:fill="auto" w:val="clear"/>
            <w:vAlign w:val="center"/>
          </w:tcPr>
          <w:p>
            <w:pPr>
              <w:pStyle w:val="TableContents"/>
              <w:spacing w:before="0" w:after="283"/>
              <w:rPr>
                <w:sz w:val="4"/>
                <w:szCs w:val="4"/>
              </w:rPr>
            </w:pPr>
            <w:r>
              <w:rPr>
                <w:sz w:val="4"/>
                <w:szCs w:val="4"/>
              </w:rPr>
            </w:r>
          </w:p>
        </w:tc>
        <w:tc>
          <w:tcPr>
            <w:tcW w:w="3241" w:type="dxa"/>
            <w:tcBorders/>
            <w:shd w:fill="auto" w:val="clear"/>
            <w:vAlign w:val="center"/>
          </w:tcPr>
          <w:p>
            <w:pPr>
              <w:pStyle w:val="TableContents"/>
              <w:spacing w:before="0" w:after="283"/>
              <w:rPr>
                <w:sz w:val="4"/>
                <w:szCs w:val="4"/>
              </w:rPr>
            </w:pPr>
            <w:r>
              <w:rPr>
                <w:sz w:val="4"/>
                <w:szCs w:val="4"/>
              </w:rPr>
            </w:r>
          </w:p>
        </w:tc>
      </w:tr>
      <w:tr>
        <w:trPr/>
        <w:tc>
          <w:tcPr>
            <w:tcW w:w="409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sz w:val="22"/>
              </w:rPr>
            </w:pPr>
            <w:r>
              <w:rPr>
                <w:rFonts w:ascii="Times New Roman" w:hAnsi="Times New Roman"/>
                <w:b/>
                <w:sz w:val="22"/>
              </w:rPr>
              <w:t>NKARTA, INC.</w:t>
            </w:r>
          </w:p>
          <w:p>
            <w:pPr>
              <w:pStyle w:val="TableContents"/>
              <w:spacing w:lineRule="auto" w:line="252" w:before="0" w:after="0"/>
              <w:ind w:left="0" w:right="0" w:hanging="0"/>
              <w:jc w:val="both"/>
              <w:rPr/>
            </w:pPr>
            <w:r>
              <w:rPr/>
              <w:t> </w:t>
            </w:r>
          </w:p>
          <w:p>
            <w:pPr>
              <w:pStyle w:val="TableContents"/>
              <w:spacing w:lineRule="auto" w:line="252" w:before="0" w:after="240"/>
              <w:ind w:left="0" w:right="0" w:hanging="0"/>
              <w:jc w:val="both"/>
              <w:rPr/>
            </w:pPr>
            <w:r>
              <w:rPr/>
              <w:t> </w:t>
            </w:r>
          </w:p>
        </w:tc>
        <w:tc>
          <w:tcPr>
            <w:tcW w:w="3241" w:type="dxa"/>
            <w:tcBorders/>
            <w:shd w:fill="auto" w:val="clear"/>
            <w:tcMar>
              <w:top w:w="0" w:type="dxa"/>
              <w:left w:w="0" w:type="dxa"/>
              <w:bottom w:w="0" w:type="dxa"/>
              <w:right w:w="0" w:type="dxa"/>
            </w:tcMar>
            <w:vAlign w:val="center"/>
          </w:tcPr>
          <w:p>
            <w:pPr>
              <w:pStyle w:val="TableContents"/>
              <w:spacing w:lineRule="auto" w:line="252" w:before="0" w:after="240"/>
              <w:ind w:left="0" w:right="0" w:hanging="0"/>
              <w:jc w:val="both"/>
              <w:rPr>
                <w:rFonts w:ascii="Times New Roman" w:hAnsi="Times New Roman"/>
                <w:b/>
                <w:caps/>
                <w:sz w:val="22"/>
              </w:rPr>
            </w:pPr>
            <w:r>
              <w:rPr>
                <w:rFonts w:ascii="Times New Roman" w:hAnsi="Times New Roman"/>
                <w:b/>
                <w:caps/>
                <w:sz w:val="22"/>
              </w:rPr>
              <w:t>CRISPR THERAPEUTICS AG</w:t>
            </w:r>
          </w:p>
        </w:tc>
      </w:tr>
      <w:tr>
        <w:trPr/>
        <w:tc>
          <w:tcPr>
            <w:tcW w:w="4096" w:type="dxa"/>
            <w:tcBorders/>
            <w:shd w:fill="auto" w:val="clear"/>
            <w:tcMar>
              <w:top w:w="0" w:type="dxa"/>
              <w:left w:w="0" w:type="dxa"/>
              <w:bottom w:w="0" w:type="dxa"/>
              <w:right w:w="0" w:type="dxa"/>
            </w:tcMar>
            <w:vAlign w:val="center"/>
          </w:tcPr>
          <w:p>
            <w:pPr>
              <w:pStyle w:val="TableContents"/>
              <w:spacing w:lineRule="auto" w:line="252" w:before="0" w:after="240"/>
              <w:ind w:left="0" w:right="0" w:hanging="0"/>
              <w:jc w:val="both"/>
              <w:rPr/>
            </w:pPr>
            <w:r>
              <w:rPr/>
              <w:t> </w:t>
            </w:r>
          </w:p>
          <w:p>
            <w:pPr>
              <w:pStyle w:val="TableContents"/>
              <w:spacing w:lineRule="auto" w:line="252" w:before="0" w:after="240"/>
              <w:ind w:left="0" w:right="0" w:hanging="0"/>
              <w:jc w:val="both"/>
              <w:rPr/>
            </w:pPr>
            <w:r>
              <w:rPr/>
              <w:t> </w:t>
            </w:r>
          </w:p>
          <w:p>
            <w:pPr>
              <w:pStyle w:val="TableContents"/>
              <w:spacing w:lineRule="auto" w:line="252" w:before="0" w:after="240"/>
              <w:ind w:left="0" w:right="0" w:hanging="0"/>
              <w:jc w:val="both"/>
              <w:rPr>
                <w:rFonts w:ascii="Times New Roman" w:hAnsi="Times New Roman"/>
                <w:sz w:val="22"/>
              </w:rPr>
            </w:pPr>
            <w:r>
              <w:rPr>
                <w:rFonts w:ascii="Times New Roman" w:hAnsi="Times New Roman"/>
                <w:b w:val="false"/>
                <w:sz w:val="22"/>
              </w:rPr>
              <w:t xml:space="preserve">By: </w:t>
            </w:r>
            <w:r>
              <w:rPr>
                <w:rFonts w:ascii="Times New Roman" w:hAnsi="Times New Roman"/>
                <w:b w:val="false"/>
                <w:sz w:val="22"/>
                <w:u w:val="single"/>
              </w:rPr>
              <w:t>/s/ Nadir Mahmood</w:t>
            </w:r>
          </w:p>
        </w:tc>
        <w:tc>
          <w:tcPr>
            <w:tcW w:w="3241" w:type="dxa"/>
            <w:tcBorders/>
            <w:shd w:fill="auto" w:val="clear"/>
            <w:tcMar>
              <w:top w:w="0" w:type="dxa"/>
              <w:left w:w="0" w:type="dxa"/>
              <w:bottom w:w="0" w:type="dxa"/>
              <w:right w:w="0" w:type="dxa"/>
            </w:tcMar>
            <w:vAlign w:val="center"/>
          </w:tcPr>
          <w:p>
            <w:pPr>
              <w:pStyle w:val="TableContents"/>
              <w:spacing w:lineRule="auto" w:line="252" w:before="0" w:after="240"/>
              <w:ind w:left="0" w:right="0" w:hanging="0"/>
              <w:jc w:val="both"/>
              <w:rPr/>
            </w:pPr>
            <w:r>
              <w:rPr/>
              <w:t> </w:t>
            </w:r>
          </w:p>
          <w:p>
            <w:pPr>
              <w:pStyle w:val="TableContents"/>
              <w:spacing w:lineRule="auto" w:line="252" w:before="0" w:after="240"/>
              <w:ind w:left="0" w:right="0" w:hanging="0"/>
              <w:jc w:val="both"/>
              <w:rPr/>
            </w:pPr>
            <w:r>
              <w:rPr/>
              <w:t> </w:t>
            </w:r>
          </w:p>
          <w:p>
            <w:pPr>
              <w:pStyle w:val="TableContents"/>
              <w:spacing w:lineRule="auto" w:line="252" w:before="0" w:after="240"/>
              <w:ind w:left="0" w:right="0" w:hanging="0"/>
              <w:jc w:val="both"/>
              <w:rPr>
                <w:rFonts w:ascii="Times New Roman" w:hAnsi="Times New Roman"/>
                <w:sz w:val="22"/>
              </w:rPr>
            </w:pPr>
            <w:r>
              <w:rPr>
                <w:rFonts w:ascii="Times New Roman" w:hAnsi="Times New Roman"/>
                <w:b w:val="false"/>
                <w:sz w:val="22"/>
              </w:rPr>
              <w:t xml:space="preserve">By: </w:t>
            </w:r>
            <w:r>
              <w:rPr>
                <w:rFonts w:ascii="Times New Roman" w:hAnsi="Times New Roman"/>
                <w:b w:val="false"/>
                <w:sz w:val="22"/>
                <w:u w:val="single"/>
              </w:rPr>
              <w:t>/s/ Rodger Novak</w:t>
            </w:r>
          </w:p>
        </w:tc>
      </w:tr>
      <w:tr>
        <w:trPr/>
        <w:tc>
          <w:tcPr>
            <w:tcW w:w="4096" w:type="dxa"/>
            <w:tcBorders/>
            <w:shd w:fill="auto" w:val="clear"/>
            <w:tcMar>
              <w:top w:w="0" w:type="dxa"/>
              <w:left w:w="0" w:type="dxa"/>
              <w:bottom w:w="0" w:type="dxa"/>
              <w:right w:w="0" w:type="dxa"/>
            </w:tcMar>
            <w:vAlign w:val="center"/>
          </w:tcPr>
          <w:p>
            <w:pPr>
              <w:pStyle w:val="TableContents"/>
              <w:spacing w:lineRule="auto" w:line="252" w:before="0" w:after="240"/>
              <w:ind w:left="0" w:right="0" w:hanging="0"/>
              <w:jc w:val="both"/>
              <w:rPr>
                <w:rFonts w:ascii="Times New Roman" w:hAnsi="Times New Roman"/>
                <w:b w:val="false"/>
                <w:sz w:val="22"/>
              </w:rPr>
            </w:pPr>
            <w:r>
              <w:rPr>
                <w:rFonts w:ascii="Times New Roman" w:hAnsi="Times New Roman"/>
                <w:b w:val="false"/>
                <w:sz w:val="22"/>
              </w:rPr>
              <w:t>Name: Nadir Mahmood</w:t>
            </w:r>
          </w:p>
          <w:p>
            <w:pPr>
              <w:pStyle w:val="TableContents"/>
              <w:spacing w:lineRule="auto" w:line="252" w:before="0" w:after="240"/>
              <w:ind w:left="0" w:right="0" w:hanging="0"/>
              <w:jc w:val="left"/>
              <w:rPr>
                <w:rFonts w:ascii="Times New Roman" w:hAnsi="Times New Roman"/>
                <w:b w:val="false"/>
                <w:sz w:val="22"/>
              </w:rPr>
            </w:pPr>
            <w:r>
              <w:rPr>
                <w:rFonts w:ascii="Times New Roman" w:hAnsi="Times New Roman"/>
                <w:b w:val="false"/>
                <w:sz w:val="22"/>
              </w:rPr>
              <w:t>Title: Chief Financial and Business Officer</w:t>
            </w:r>
          </w:p>
        </w:tc>
        <w:tc>
          <w:tcPr>
            <w:tcW w:w="3241" w:type="dxa"/>
            <w:tcBorders/>
            <w:shd w:fill="auto" w:val="clear"/>
            <w:tcMar>
              <w:top w:w="0" w:type="dxa"/>
              <w:left w:w="0" w:type="dxa"/>
              <w:bottom w:w="0" w:type="dxa"/>
              <w:right w:w="0" w:type="dxa"/>
            </w:tcMar>
            <w:vAlign w:val="center"/>
          </w:tcPr>
          <w:p>
            <w:pPr>
              <w:pStyle w:val="TableContents"/>
              <w:spacing w:lineRule="auto" w:line="252" w:before="0" w:after="240"/>
              <w:ind w:left="0" w:right="0" w:hanging="0"/>
              <w:jc w:val="both"/>
              <w:rPr>
                <w:rFonts w:ascii="Times New Roman" w:hAnsi="Times New Roman"/>
                <w:b w:val="false"/>
                <w:sz w:val="22"/>
              </w:rPr>
            </w:pPr>
            <w:r>
              <w:rPr>
                <w:rFonts w:ascii="Times New Roman" w:hAnsi="Times New Roman"/>
                <w:b w:val="false"/>
                <w:sz w:val="22"/>
              </w:rPr>
              <w:t>Name: Rodger Novak</w:t>
            </w:r>
          </w:p>
          <w:p>
            <w:pPr>
              <w:pStyle w:val="TableContents"/>
              <w:spacing w:lineRule="auto" w:line="252" w:before="0" w:after="240"/>
              <w:ind w:left="0" w:right="0" w:hanging="0"/>
              <w:jc w:val="both"/>
              <w:rPr>
                <w:rFonts w:ascii="Times New Roman" w:hAnsi="Times New Roman"/>
                <w:b w:val="false"/>
                <w:sz w:val="22"/>
              </w:rPr>
            </w:pPr>
            <w:r>
              <w:rPr>
                <w:rFonts w:ascii="Times New Roman" w:hAnsi="Times New Roman"/>
                <w:b w:val="false"/>
                <w:sz w:val="22"/>
              </w:rPr>
              <w:t>Title: President</w:t>
            </w:r>
          </w:p>
        </w:tc>
      </w:tr>
      <w:tr>
        <w:trPr/>
        <w:tc>
          <w:tcPr>
            <w:tcW w:w="4096" w:type="dxa"/>
            <w:tcBorders/>
            <w:shd w:fill="auto" w:val="clear"/>
            <w:tcMar>
              <w:top w:w="0" w:type="dxa"/>
              <w:left w:w="0" w:type="dxa"/>
              <w:bottom w:w="0" w:type="dxa"/>
              <w:right w:w="0" w:type="dxa"/>
            </w:tcMar>
            <w:vAlign w:val="center"/>
          </w:tcPr>
          <w:p>
            <w:pPr>
              <w:pStyle w:val="TableContents"/>
              <w:spacing w:lineRule="auto" w:line="252" w:before="0" w:after="240"/>
              <w:ind w:left="0" w:right="0" w:hanging="0"/>
              <w:jc w:val="both"/>
              <w:rPr/>
            </w:pPr>
            <w:r>
              <w:rPr/>
              <w:t> </w:t>
            </w:r>
          </w:p>
        </w:tc>
        <w:tc>
          <w:tcPr>
            <w:tcW w:w="3241" w:type="dxa"/>
            <w:tcBorders/>
            <w:shd w:fill="auto" w:val="clear"/>
            <w:tcMar>
              <w:top w:w="0" w:type="dxa"/>
              <w:left w:w="0" w:type="dxa"/>
              <w:bottom w:w="0" w:type="dxa"/>
              <w:right w:w="0" w:type="dxa"/>
            </w:tcMar>
            <w:vAlign w:val="center"/>
          </w:tcPr>
          <w:p>
            <w:pPr>
              <w:pStyle w:val="TableContents"/>
              <w:spacing w:lineRule="auto" w:line="252" w:before="0" w:after="240"/>
              <w:ind w:left="0" w:right="0" w:hanging="0"/>
              <w:jc w:val="both"/>
              <w:rPr/>
            </w:pPr>
            <w:r>
              <w:rPr/>
              <w:t> </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[Signature Page to Amendment No. 1]</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{00010861 - 9}</w:t>
      </w:r>
    </w:p>
    <w:p>
      <w:pPr>
        <w:pStyle w:val="HorizontalLine"/>
        <w:rPr/>
      </w:pPr>
      <w:r>
        <w:rPr/>
      </w:r>
      <w:r>
        <w:br w:type="page"/>
      </w:r>
    </w:p>
    <w:p>
      <w:pPr>
        <w:pStyle w:val="TextBody"/>
        <w:spacing w:lineRule="auto" w:line="273" w:before="0" w:after="0"/>
        <w:jc w:val="right"/>
        <w:rPr>
          <w:rFonts w:ascii="Times New Roman" w:hAnsi="Times New Roman"/>
          <w:b/>
          <w:sz w:val="20"/>
        </w:rPr>
      </w:pPr>
      <w:bookmarkStart w:id="23" w:name="nktx-ex31_1.htm"/>
      <w:bookmarkStart w:id="24" w:name="ksnktxex31_1"/>
      <w:bookmarkEnd w:id="23"/>
      <w:bookmarkEnd w:id="24"/>
      <w:r>
        <w:rPr>
          <w:rFonts w:ascii="Times New Roman" w:hAnsi="Times New Roman"/>
          <w:b/>
          <w:sz w:val="20"/>
        </w:rPr>
        <w:t>Exhibit 31.1</w:t>
      </w:r>
    </w:p>
    <w:p>
      <w:pPr>
        <w:pStyle w:val="TextBody"/>
        <w:spacing w:lineRule="auto" w:line="273" w:before="0" w:after="0"/>
        <w:jc w:val="left"/>
        <w:rPr/>
      </w:pPr>
      <w:r>
        <w:rPr/>
        <w:t> </w:t>
      </w:r>
    </w:p>
    <w:p>
      <w:pPr>
        <w:pStyle w:val="TextBody"/>
        <w:spacing w:lineRule="auto" w:line="331" w:before="0" w:after="0"/>
        <w:jc w:val="center"/>
        <w:rPr>
          <w:rFonts w:ascii="Times New Roman" w:hAnsi="Times New Roman"/>
          <w:b/>
          <w:sz w:val="20"/>
        </w:rPr>
      </w:pPr>
      <w:r>
        <w:rPr>
          <w:rFonts w:ascii="Times New Roman" w:hAnsi="Times New Roman"/>
          <w:b/>
          <w:sz w:val="20"/>
        </w:rPr>
        <w:t>NKARTA, INC.</w:t>
      </w:r>
    </w:p>
    <w:p>
      <w:pPr>
        <w:pStyle w:val="TextBody"/>
        <w:spacing w:lineRule="auto" w:line="331" w:before="0" w:after="0"/>
        <w:jc w:val="center"/>
        <w:rPr>
          <w:rFonts w:ascii="Times New Roman" w:hAnsi="Times New Roman"/>
          <w:b/>
          <w:sz w:val="20"/>
        </w:rPr>
      </w:pPr>
      <w:r>
        <w:rPr>
          <w:rFonts w:ascii="Times New Roman" w:hAnsi="Times New Roman"/>
          <w:b/>
          <w:sz w:val="20"/>
        </w:rPr>
        <w:t>CERTIFICATIONS PURSUANT TO</w:t>
      </w:r>
    </w:p>
    <w:p>
      <w:pPr>
        <w:pStyle w:val="TextBody"/>
        <w:spacing w:lineRule="auto" w:line="331" w:before="0" w:after="0"/>
        <w:jc w:val="center"/>
        <w:rPr>
          <w:rFonts w:ascii="Times New Roman" w:hAnsi="Times New Roman"/>
          <w:b/>
          <w:sz w:val="20"/>
        </w:rPr>
      </w:pPr>
      <w:r>
        <w:rPr>
          <w:rFonts w:ascii="Times New Roman" w:hAnsi="Times New Roman"/>
          <w:b/>
          <w:sz w:val="20"/>
        </w:rPr>
        <w:t>SECTION 302 OF</w:t>
      </w:r>
    </w:p>
    <w:p>
      <w:pPr>
        <w:pStyle w:val="TextBody"/>
        <w:spacing w:lineRule="auto" w:line="331" w:before="0" w:after="0"/>
        <w:jc w:val="center"/>
        <w:rPr>
          <w:rFonts w:ascii="Times New Roman" w:hAnsi="Times New Roman"/>
          <w:b/>
          <w:sz w:val="20"/>
        </w:rPr>
      </w:pPr>
      <w:r>
        <w:rPr>
          <w:rFonts w:ascii="Times New Roman" w:hAnsi="Times New Roman"/>
          <w:b/>
          <w:sz w:val="20"/>
        </w:rPr>
        <w:t>THE SARBANES-OXLEY ACT OF 2002</w:t>
      </w:r>
    </w:p>
    <w:p>
      <w:pPr>
        <w:pStyle w:val="TextBody"/>
        <w:spacing w:lineRule="auto" w:line="331" w:before="0" w:after="0"/>
        <w:jc w:val="left"/>
        <w:rPr/>
      </w:pPr>
      <w:r>
        <w:rPr/>
        <w:t> </w:t>
      </w:r>
    </w:p>
    <w:p>
      <w:pPr>
        <w:pStyle w:val="TextBody"/>
        <w:spacing w:lineRule="auto" w:line="331" w:before="0" w:after="0"/>
        <w:jc w:val="left"/>
        <w:rPr>
          <w:rFonts w:ascii="Times New Roman" w:hAnsi="Times New Roman"/>
          <w:b/>
          <w:sz w:val="20"/>
        </w:rPr>
      </w:pPr>
      <w:r>
        <w:rPr>
          <w:rFonts w:ascii="Times New Roman" w:hAnsi="Times New Roman"/>
          <w:b/>
          <w:sz w:val="20"/>
        </w:rPr>
        <w:t>CERTIFICATION</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 Paul J. Hastings, certify that: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1.</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 have reviewed this Quarterly Report on Form 10-Q of Nkarta, Inc. (the “registrant”);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2.</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3.</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4.</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(b)</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(c)</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5.</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(b)</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Any fraud, whether or not material, that involves management or other employees who have a significant role in the registrant's internal control over financial reporting.</w:t>
      </w:r>
    </w:p>
    <w:p>
      <w:pPr>
        <w:pStyle w:val="TextBody"/>
        <w:spacing w:lineRule="auto" w:line="273" w:before="0" w:after="0"/>
        <w:jc w:val="left"/>
        <w:rPr/>
      </w:pPr>
      <w:r>
        <w:rPr/>
        <w:t> </w:t>
      </w:r>
    </w:p>
    <w:tbl>
      <w:tblPr>
        <w:tblW w:w="4424" w:type="dxa"/>
        <w:jc w:val="left"/>
        <w:tblInd w:w="0" w:type="dxa"/>
        <w:tblCellMar>
          <w:top w:w="28" w:type="dxa"/>
          <w:left w:w="28" w:type="dxa"/>
          <w:bottom w:w="28" w:type="dxa"/>
          <w:right w:w="28" w:type="dxa"/>
        </w:tblCellMar>
      </w:tblPr>
      <w:tblGrid>
        <w:gridCol w:w="1741"/>
        <w:gridCol w:w="146"/>
        <w:gridCol w:w="406"/>
        <w:gridCol w:w="2131"/>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13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May 12,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213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Paul J. Hastings</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1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Paul J. Hastings</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1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Chief Executive Officer</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right"/>
        <w:rPr>
          <w:rFonts w:ascii="Times New Roman" w:hAnsi="Times New Roman"/>
          <w:b/>
          <w:sz w:val="20"/>
        </w:rPr>
      </w:pPr>
      <w:bookmarkStart w:id="25" w:name="nktx-ex31_2.htm"/>
      <w:bookmarkStart w:id="26" w:name="ksnktxex31_2"/>
      <w:bookmarkEnd w:id="25"/>
      <w:bookmarkEnd w:id="26"/>
      <w:r>
        <w:rPr>
          <w:rFonts w:ascii="Times New Roman" w:hAnsi="Times New Roman"/>
          <w:b/>
          <w:sz w:val="20"/>
        </w:rPr>
        <w:t>Exhibit 31.2</w:t>
      </w:r>
    </w:p>
    <w:p>
      <w:pPr>
        <w:pStyle w:val="TextBody"/>
        <w:spacing w:lineRule="auto" w:line="331" w:before="0" w:after="0"/>
        <w:jc w:val="center"/>
        <w:rPr>
          <w:rFonts w:ascii="Times New Roman" w:hAnsi="Times New Roman"/>
          <w:b/>
          <w:sz w:val="20"/>
        </w:rPr>
      </w:pPr>
      <w:r>
        <w:rPr>
          <w:rFonts w:ascii="Times New Roman" w:hAnsi="Times New Roman"/>
          <w:b/>
          <w:sz w:val="20"/>
        </w:rPr>
        <w:t>NKARTA, INC.</w:t>
      </w:r>
    </w:p>
    <w:p>
      <w:pPr>
        <w:pStyle w:val="TextBody"/>
        <w:spacing w:lineRule="auto" w:line="331" w:before="0" w:after="0"/>
        <w:jc w:val="center"/>
        <w:rPr>
          <w:rFonts w:ascii="Times New Roman" w:hAnsi="Times New Roman"/>
          <w:b/>
          <w:sz w:val="20"/>
        </w:rPr>
      </w:pPr>
      <w:r>
        <w:rPr>
          <w:rFonts w:ascii="Times New Roman" w:hAnsi="Times New Roman"/>
          <w:b/>
          <w:sz w:val="20"/>
        </w:rPr>
        <w:t>CERTIFICATIONS PURSUANT TO</w:t>
      </w:r>
    </w:p>
    <w:p>
      <w:pPr>
        <w:pStyle w:val="TextBody"/>
        <w:spacing w:lineRule="auto" w:line="331" w:before="0" w:after="0"/>
        <w:jc w:val="center"/>
        <w:rPr>
          <w:rFonts w:ascii="Times New Roman" w:hAnsi="Times New Roman"/>
          <w:b/>
          <w:sz w:val="20"/>
        </w:rPr>
      </w:pPr>
      <w:r>
        <w:rPr>
          <w:rFonts w:ascii="Times New Roman" w:hAnsi="Times New Roman"/>
          <w:b/>
          <w:sz w:val="20"/>
        </w:rPr>
        <w:t>SECTION 302 OF</w:t>
      </w:r>
    </w:p>
    <w:p>
      <w:pPr>
        <w:pStyle w:val="TextBody"/>
        <w:spacing w:lineRule="auto" w:line="331" w:before="0" w:after="0"/>
        <w:jc w:val="center"/>
        <w:rPr>
          <w:rFonts w:ascii="Times New Roman" w:hAnsi="Times New Roman"/>
          <w:b/>
          <w:sz w:val="20"/>
        </w:rPr>
      </w:pPr>
      <w:r>
        <w:rPr>
          <w:rFonts w:ascii="Times New Roman" w:hAnsi="Times New Roman"/>
          <w:b/>
          <w:sz w:val="20"/>
        </w:rPr>
        <w:t>THE SARBANES-OXLEY ACT OF 2002</w:t>
      </w:r>
    </w:p>
    <w:p>
      <w:pPr>
        <w:pStyle w:val="TextBody"/>
        <w:spacing w:lineRule="auto" w:line="331" w:before="0" w:after="0"/>
        <w:jc w:val="left"/>
        <w:rPr/>
      </w:pPr>
      <w:r>
        <w:rPr/>
        <w:t> </w:t>
      </w:r>
    </w:p>
    <w:p>
      <w:pPr>
        <w:pStyle w:val="TextBody"/>
        <w:spacing w:lineRule="auto" w:line="331" w:before="0" w:after="0"/>
        <w:jc w:val="left"/>
        <w:rPr>
          <w:rFonts w:ascii="Times New Roman" w:hAnsi="Times New Roman"/>
          <w:b/>
          <w:sz w:val="20"/>
        </w:rPr>
      </w:pPr>
      <w:r>
        <w:rPr>
          <w:rFonts w:ascii="Times New Roman" w:hAnsi="Times New Roman"/>
          <w:b/>
          <w:sz w:val="20"/>
        </w:rPr>
        <w:t>CERTIFICATION</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 Nadir Mahmood, certify that: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1.</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 have reviewed this Quarterly Report on Form 10-Q of Nkarta, Inc. (the “registrant”);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2.</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3.</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4.</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(b)</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(c)</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5.</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(b)</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Any fraud, whether or not material, that involves management or other employees who have a significant role in the registrant's internal control over financial reporting.</w:t>
      </w:r>
    </w:p>
    <w:p>
      <w:pPr>
        <w:pStyle w:val="TextBody"/>
        <w:spacing w:lineRule="auto" w:line="273" w:before="0" w:after="0"/>
        <w:jc w:val="left"/>
        <w:rPr/>
      </w:pPr>
      <w:r>
        <w:rPr/>
        <w:t> </w:t>
      </w:r>
    </w:p>
    <w:tbl>
      <w:tblPr>
        <w:tblW w:w="5519" w:type="dxa"/>
        <w:jc w:val="left"/>
        <w:tblInd w:w="0" w:type="dxa"/>
        <w:tblCellMar>
          <w:top w:w="28" w:type="dxa"/>
          <w:left w:w="28" w:type="dxa"/>
          <w:bottom w:w="28" w:type="dxa"/>
          <w:right w:w="28" w:type="dxa"/>
        </w:tblCellMar>
      </w:tblPr>
      <w:tblGrid>
        <w:gridCol w:w="1741"/>
        <w:gridCol w:w="146"/>
        <w:gridCol w:w="406"/>
        <w:gridCol w:w="3226"/>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226"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May 12,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3226"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Nadir Mahmood</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2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Nadir Mahmood</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2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Chief Financial and Business Officer</w:t>
            </w:r>
          </w:p>
        </w:tc>
      </w:tr>
    </w:tbl>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left"/>
        <w:rPr/>
      </w:pPr>
      <w:bookmarkStart w:id="27" w:name="nktx-ex32.htm"/>
      <w:bookmarkStart w:id="28" w:name="ksnktxex32"/>
      <w:bookmarkEnd w:id="27"/>
      <w:bookmarkEnd w:id="28"/>
      <w:r>
        <w:rPr/>
        <w:t> </w:t>
      </w:r>
    </w:p>
    <w:p>
      <w:pPr>
        <w:pStyle w:val="TextBody"/>
        <w:spacing w:lineRule="auto" w:line="273" w:before="0" w:after="0"/>
        <w:jc w:val="right"/>
        <w:rPr>
          <w:rFonts w:ascii="Times New Roman" w:hAnsi="Times New Roman"/>
          <w:b/>
          <w:sz w:val="20"/>
        </w:rPr>
      </w:pPr>
      <w:r>
        <w:rPr>
          <w:rFonts w:ascii="Times New Roman" w:hAnsi="Times New Roman"/>
          <w:b/>
          <w:sz w:val="20"/>
        </w:rPr>
        <w:t>Exhibit 32</w:t>
      </w:r>
    </w:p>
    <w:p>
      <w:pPr>
        <w:pStyle w:val="TextBody"/>
        <w:spacing w:lineRule="auto" w:line="331" w:before="0" w:after="0"/>
        <w:jc w:val="center"/>
        <w:rPr>
          <w:rFonts w:ascii="Times New Roman" w:hAnsi="Times New Roman"/>
          <w:b/>
          <w:sz w:val="20"/>
        </w:rPr>
      </w:pPr>
      <w:r>
        <w:rPr>
          <w:rFonts w:ascii="Times New Roman" w:hAnsi="Times New Roman"/>
          <w:b/>
          <w:sz w:val="20"/>
        </w:rPr>
        <w:t>NKARTA, INC.</w:t>
      </w:r>
    </w:p>
    <w:p>
      <w:pPr>
        <w:pStyle w:val="TextBody"/>
        <w:spacing w:lineRule="auto" w:line="331" w:before="0" w:after="0"/>
        <w:jc w:val="center"/>
        <w:rPr>
          <w:rFonts w:ascii="Times New Roman" w:hAnsi="Times New Roman"/>
          <w:b/>
          <w:sz w:val="20"/>
        </w:rPr>
      </w:pPr>
      <w:r>
        <w:rPr>
          <w:rFonts w:ascii="Times New Roman" w:hAnsi="Times New Roman"/>
          <w:b/>
          <w:sz w:val="20"/>
        </w:rPr>
        <w:t>CERTIFICATION PURSUANT TO</w:t>
      </w:r>
    </w:p>
    <w:p>
      <w:pPr>
        <w:pStyle w:val="TextBody"/>
        <w:spacing w:lineRule="auto" w:line="331" w:before="0" w:after="0"/>
        <w:jc w:val="center"/>
        <w:rPr>
          <w:rFonts w:ascii="Times New Roman" w:hAnsi="Times New Roman"/>
          <w:b/>
          <w:sz w:val="20"/>
        </w:rPr>
      </w:pPr>
      <w:r>
        <w:rPr>
          <w:rFonts w:ascii="Times New Roman" w:hAnsi="Times New Roman"/>
          <w:b/>
          <w:sz w:val="20"/>
        </w:rPr>
        <w:t>18 U.S.C. SECTION 1350,</w:t>
      </w:r>
    </w:p>
    <w:p>
      <w:pPr>
        <w:pStyle w:val="TextBody"/>
        <w:spacing w:lineRule="auto" w:line="331" w:before="0" w:after="0"/>
        <w:jc w:val="center"/>
        <w:rPr>
          <w:rFonts w:ascii="Times New Roman" w:hAnsi="Times New Roman"/>
          <w:b/>
          <w:sz w:val="20"/>
        </w:rPr>
      </w:pPr>
      <w:r>
        <w:rPr>
          <w:rFonts w:ascii="Times New Roman" w:hAnsi="Times New Roman"/>
          <w:b/>
          <w:sz w:val="20"/>
        </w:rPr>
        <w:t>AS ADOPTED PURSUANT TO</w:t>
      </w:r>
    </w:p>
    <w:p>
      <w:pPr>
        <w:pStyle w:val="TextBody"/>
        <w:spacing w:lineRule="auto" w:line="331" w:before="0" w:after="0"/>
        <w:jc w:val="center"/>
        <w:rPr>
          <w:rFonts w:ascii="Times New Roman" w:hAnsi="Times New Roman"/>
          <w:b/>
          <w:sz w:val="20"/>
        </w:rPr>
      </w:pPr>
      <w:r>
        <w:rPr>
          <w:rFonts w:ascii="Times New Roman" w:hAnsi="Times New Roman"/>
          <w:b/>
          <w:sz w:val="20"/>
        </w:rPr>
        <w:t>SECTION 906 OF THE SARBANES-OXLEY ACT OF 2002</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In connection with the Quarterly Report on Form 10-Q for the quarter ended March 31, 2022 of Nkarta, Inc. (the "Company") as filed with the Securities and Exchange Commission on the date hereof (the "Report"), we, Paul J. Hastings, Chief Executive Officer of the Company, and Nadir Mahmood, Chief Financial and Business Officer of the Company, certify, pursuant to 18 U.S.C. 1350, as adopted pursuant to Section 906 of the Sarbanes-Oxley Act of 2002, that: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(1)</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Report fully complies with the requirements of section 13(a) of the Securities Exchange Act of 1934; and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(2)</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The information contained in the Report fairly presents, in all material respects, the financial condition and results of operations of the Company.</w:t>
      </w:r>
    </w:p>
    <w:p>
      <w:pPr>
        <w:pStyle w:val="TextBody"/>
        <w:spacing w:lineRule="auto" w:line="273" w:before="0" w:after="0"/>
        <w:jc w:val="left"/>
        <w:rPr/>
      </w:pPr>
      <w:r>
        <w:rPr/>
        <w:t> </w:t>
      </w:r>
    </w:p>
    <w:p>
      <w:pPr>
        <w:pStyle w:val="TextBody"/>
        <w:spacing w:lineRule="auto" w:line="273" w:before="0" w:after="0"/>
        <w:jc w:val="left"/>
        <w:rPr/>
      </w:pPr>
      <w:r>
        <w:rPr/>
        <w:t> </w:t>
      </w:r>
    </w:p>
    <w:tbl>
      <w:tblPr>
        <w:tblW w:w="4424" w:type="dxa"/>
        <w:jc w:val="left"/>
        <w:tblInd w:w="0" w:type="dxa"/>
        <w:tblCellMar>
          <w:top w:w="28" w:type="dxa"/>
          <w:left w:w="28" w:type="dxa"/>
          <w:bottom w:w="28" w:type="dxa"/>
          <w:right w:w="28" w:type="dxa"/>
        </w:tblCellMar>
      </w:tblPr>
      <w:tblGrid>
        <w:gridCol w:w="1741"/>
        <w:gridCol w:w="146"/>
        <w:gridCol w:w="406"/>
        <w:gridCol w:w="2131"/>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13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May 12,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213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Paul J. Hastings</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1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Paul J. Hastings</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1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Chief Executive Officer</w:t>
            </w:r>
          </w:p>
        </w:tc>
      </w:tr>
    </w:tbl>
    <w:p>
      <w:pPr>
        <w:pStyle w:val="TextBody"/>
        <w:spacing w:lineRule="auto" w:line="273" w:before="0" w:after="0"/>
        <w:jc w:val="left"/>
        <w:rPr/>
      </w:pPr>
      <w:r>
        <w:rPr/>
        <w:t> </w:t>
      </w:r>
    </w:p>
    <w:p>
      <w:pPr>
        <w:pStyle w:val="TextBody"/>
        <w:spacing w:lineRule="auto" w:line="273" w:before="0" w:after="0"/>
        <w:jc w:val="left"/>
        <w:rPr/>
      </w:pPr>
      <w:r>
        <w:rPr/>
        <w:t> </w:t>
      </w:r>
    </w:p>
    <w:tbl>
      <w:tblPr>
        <w:tblW w:w="5519" w:type="dxa"/>
        <w:jc w:val="left"/>
        <w:tblInd w:w="0" w:type="dxa"/>
        <w:tblCellMar>
          <w:top w:w="28" w:type="dxa"/>
          <w:left w:w="28" w:type="dxa"/>
          <w:bottom w:w="28" w:type="dxa"/>
          <w:right w:w="28" w:type="dxa"/>
        </w:tblCellMar>
      </w:tblPr>
      <w:tblGrid>
        <w:gridCol w:w="1741"/>
        <w:gridCol w:w="146"/>
        <w:gridCol w:w="406"/>
        <w:gridCol w:w="3226"/>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226"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May 12,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3226"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Nadir Mahmood</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2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Nadir Mahmood</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2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Chief Financial and Business Officer</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This is being furnished solely to accompany the Report pursuant to 18 U.S.C. § 1350.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the Company specifically incorporates it by reference.</w:t>
      </w:r>
    </w:p>
    <w:p>
      <w:pPr>
        <w:pStyle w:val="TextBody"/>
        <w:spacing w:lineRule="auto" w:line="273"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7400/000119312520192614/d62111dex31.htm" TargetMode="External"/><Relationship Id="rId3" Type="http://schemas.openxmlformats.org/officeDocument/2006/relationships/hyperlink" Target="https://www.sec.gov/Archives/edgar/data/1787400/000119312520192614/d62111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51828</Words>
  <CharactersWithSpaces>341370</CharactersWithSpaces>
  <Paragraphs>4103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