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nktx-20230930.htm"/>
      <w:bookmarkStart w:id="1" w:name="ksnktx20230930"/>
      <w:bookmarkEnd w:id="0"/>
      <w:bookmarkEnd w:id="1"/>
      <w:r>
        <w:rPr/>
        <w:t> </w:t>
      </w:r>
    </w:p>
    <w:p>
      <w:pPr>
        <w:pStyle w:val="TextBody"/>
        <w:pBdr>
          <w:bottom w:val="double" w:sz="6"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001-39370</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47-4515206</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1150 Veterans Boulevard</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(925) 407-1049</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4"/>
        </w:rPr>
      </w:pPr>
      <w:r>
        <w:rPr>
          <w:rFonts w:ascii="Times New Roman" w:hAnsi="Times New Roman"/>
          <w:b/>
          <w:color w:val="000000"/>
          <w:sz w:val="14"/>
        </w:rPr>
        <w:t>(Former name, former address and former fiscal year, if changed since last report)</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val="false"/>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Common Stock, $0.0001 par value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jc w:val="center"/>
              <w:rPr>
                <w:rFonts w:ascii="Times New Roman" w:hAnsi="Times New Roman"/>
                <w:b w:val="false"/>
                <w:color w:val="000000"/>
                <w:sz w:val="18"/>
              </w:rPr>
            </w:pPr>
            <w:r>
              <w:rPr>
                <w:rFonts w:ascii="Times New Roman" w:hAnsi="Times New Roman"/>
                <w:b w:val="false"/>
                <w:color w:val="000000"/>
                <w:sz w:val="18"/>
              </w:rPr>
              <w:t>NKTX</w:t>
            </w:r>
          </w:p>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jc w:val="center"/>
              <w:rPr>
                <w:rFonts w:ascii="Times New Roman" w:hAnsi="Times New Roman"/>
                <w:b w:val="false"/>
                <w:color w:val="000000"/>
                <w:sz w:val="18"/>
              </w:rPr>
            </w:pPr>
            <w:r>
              <w:rPr>
                <w:rFonts w:ascii="Times New Roman" w:hAnsi="Times New Roman"/>
                <w:b w:val="false"/>
                <w:color w:val="000000"/>
                <w:sz w:val="18"/>
              </w:rPr>
              <w:t>The Nasdaq Stock Market LLC</w:t>
            </w:r>
          </w:p>
          <w:p>
            <w:pPr>
              <w:pStyle w:val="TableContents"/>
              <w:bidi w:val="0"/>
              <w:spacing w:before="0" w:after="283"/>
              <w:jc w:val="center"/>
              <w:rPr>
                <w:rFonts w:ascii="Times New Roman" w:hAnsi="Times New Roman"/>
                <w:b w:val="false"/>
                <w:color w:val="212529"/>
                <w:sz w:val="18"/>
              </w:rPr>
            </w:pPr>
            <w:r>
              <w:rPr>
                <w:rFonts w:ascii="Times New Roman" w:hAnsi="Times New Roman"/>
                <w:b w:val="false"/>
                <w:color w:val="212529"/>
                <w:sz w:val="18"/>
              </w:rPr>
              <w:t>(Nasdaq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8"/>
        </w:rPr>
        <w:t>No ☐</w:t>
      </w:r>
    </w:p>
    <w:p>
      <w:pPr>
        <w:pStyle w:val="TextBody"/>
        <w:bidi w:val="0"/>
        <w:spacing w:before="80" w:after="283"/>
        <w:jc w:val="left"/>
        <w:rPr>
          <w:rFonts w:ascii="Times New Roman" w:hAnsi="Times New Roman"/>
          <w:sz w:val="20"/>
        </w:rPr>
      </w:pPr>
      <w:r>
        <w:rPr>
          <w:rFonts w:ascii="Times New Roman" w:hAnsi="Times New Roman"/>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8"/>
        </w:rPr>
        <w:t>No ☐</w:t>
      </w:r>
    </w:p>
    <w:p>
      <w:pPr>
        <w:pStyle w:val="TextBody"/>
        <w:bidi w:val="0"/>
        <w:spacing w:before="80" w:after="283"/>
        <w:jc w:val="left"/>
        <w:rPr>
          <w:rFonts w:ascii="Times New Roman" w:hAnsi="Times New Roman"/>
          <w:b w:val="false"/>
          <w:color w:val="000000"/>
          <w:sz w:val="18"/>
        </w:rPr>
      </w:pPr>
      <w:r>
        <w:rPr>
          <w:rFonts w:ascii="Times New Roman" w:hAnsi="Times New Roman"/>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val="false"/>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b w:val="false"/>
          <w:color w:val="000000"/>
          <w:sz w:val="18"/>
        </w:rPr>
        <w:t>As of November 6, 2023, the registrant had 49,072,342</w:t>
      </w:r>
      <w:r>
        <w:rPr>
          <w:rFonts w:ascii="Times New Roman" w:hAnsi="Times New Roman"/>
          <w:color w:val="000000"/>
          <w:sz w:val="20"/>
        </w:rPr>
        <w:t xml:space="preserve"> </w:t>
      </w:r>
      <w:r>
        <w:rPr>
          <w:rFonts w:ascii="Times New Roman" w:hAnsi="Times New Roman"/>
          <w:b w:val="false"/>
          <w:color w:val="000000"/>
          <w:sz w:val="18"/>
        </w:rPr>
        <w:t>shares of common stock, par value $0.0001 per share, outstanding.</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6"/>
        <w:gridCol w:w="8720"/>
        <w:gridCol w:w="649"/>
      </w:tblGrid>
      <w:tr>
        <w:trPr/>
        <w:tc>
          <w:tcPr>
            <w:tcW w:w="836" w:type="dxa"/>
            <w:tcBorders/>
            <w:vAlign w:val="center"/>
          </w:tcPr>
          <w:p>
            <w:pPr>
              <w:pStyle w:val="TableContents"/>
              <w:bidi w:val="0"/>
              <w:spacing w:before="0" w:after="283"/>
              <w:jc w:val="left"/>
              <w:rPr>
                <w:sz w:val="4"/>
                <w:szCs w:val="4"/>
              </w:rPr>
            </w:pPr>
            <w:r>
              <w:rPr>
                <w:sz w:val="4"/>
                <w:szCs w:val="4"/>
              </w:rPr>
            </w:r>
          </w:p>
        </w:tc>
        <w:tc>
          <w:tcPr>
            <w:tcW w:w="872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2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137"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b w:val="false"/>
                  <w:color w:val="0000FF"/>
                  <w:sz w:val="20"/>
                  <w:u w:val="single"/>
                </w:rPr>
                <w:t>FINANCIAL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b w:val="false"/>
                  <w:color w:val="000080"/>
                  <w:sz w:val="20"/>
                  <w:u w:val="single"/>
                </w:rPr>
                <w:t>Financial Statements (unaudited)</w:t>
              </w:r>
            </w:hyperlink>
            <w:r>
              <w:rPr>
                <w:rFonts w:ascii="Times New Roman" w:hAnsi="Times New Roman"/>
                <w:b w:val="false"/>
                <w:color w:val="0000FF"/>
                <w:sz w:val="20"/>
                <w:u w:val="single"/>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1</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b w:val="false"/>
                  <w:color w:val="0000FF"/>
                  <w:sz w:val="20"/>
                  <w:u w:val="single"/>
                </w:rPr>
                <w:t>Condensed Balance Sheets as of September 30, 2023 and December 31, 2022</w:t>
              </w:r>
            </w:hyperlink>
            <w:r>
              <w:rPr>
                <w:rFonts w:ascii="Times New Roman" w:hAnsi="Times New Roman"/>
                <w:color w:val="0000FF"/>
                <w:sz w:val="20"/>
              </w:rPr>
              <w:t xml:space="preserve">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1</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_comprehe">
              <w:r>
                <w:rPr>
                  <w:rStyle w:val="InternetLink"/>
                  <w:rFonts w:ascii="Times New Roman" w:hAnsi="Times New Roman"/>
                  <w:b w:val="false"/>
                  <w:color w:val="0000FF"/>
                  <w:sz w:val="20"/>
                  <w:u w:val="single"/>
                </w:rPr>
                <w:t>Condensed Statements of Operations and Comprehensive Loss for the three and nine months ended September 30, 2023 and 2022</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2</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onvertible_preferr">
              <w:r>
                <w:rPr>
                  <w:rStyle w:val="InternetLink"/>
                  <w:rFonts w:ascii="Times New Roman" w:hAnsi="Times New Roman"/>
                  <w:b w:val="false"/>
                  <w:color w:val="0000FF"/>
                  <w:sz w:val="20"/>
                  <w:u w:val="single"/>
                </w:rPr>
                <w:t>Condensed Statements of Stockholders’ Equity for the three and nine months ended September 30, 2023 and 2022</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3</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_cash_flows">
              <w:r>
                <w:rPr>
                  <w:rStyle w:val="InternetLink"/>
                  <w:rFonts w:ascii="Times New Roman" w:hAnsi="Times New Roman"/>
                  <w:b w:val="false"/>
                  <w:color w:val="0000FF"/>
                  <w:sz w:val="20"/>
                  <w:u w:val="single"/>
                </w:rPr>
                <w:t>Condensed Statements of Cash Flows for the nine months ended September 30, 2023 and 2022</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5</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b w:val="false"/>
                  <w:color w:val="0000FF"/>
                  <w:sz w:val="20"/>
                  <w:u w:val="single"/>
                </w:rPr>
                <w:t>Notes to Unaudited Condensed Financial Statements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000FF"/>
                  <w:sz w:val="20"/>
                  <w:u w:val="single"/>
                </w:rPr>
                <w:t>Management’s Discussion and Analysis of Financial Condition and Results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000FF"/>
                  <w:sz w:val="20"/>
                  <w:u w:val="single"/>
                </w:rPr>
                <w:t>Quantitative and Qualitative Disclosures About Market Risk</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b w:val="false"/>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Legal Proceedings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Risk Factors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b w:val="false"/>
                  <w:color w:val="0000FF"/>
                  <w:sz w:val="20"/>
                  <w:u w:val="single"/>
                </w:rPr>
                <w:t>Unregistered Sales of Equity Securities, Use of Proceeds, and Issuer Purchases of Equity Securities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000FF"/>
                  <w:sz w:val="20"/>
                  <w:u w:val="single"/>
                </w:rPr>
                <w:t>Defaults Upon Senior Securities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20"/>
                  <w:u w:val="single"/>
                </w:rPr>
                <w:t>Mine Safety Disclosures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b w:val="false"/>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Exhibits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r>
      <w:tr>
        <w:trPr/>
        <w:tc>
          <w:tcPr>
            <w:tcW w:w="9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rFonts w:ascii="Times New Roman" w:hAnsi="Times New Roman"/>
          <w:sz w:val="20"/>
        </w:rPr>
      </w:pPr>
      <w:r>
        <w:rPr>
          <w:rFonts w:ascii="Times New Roman" w:hAnsi="Times New Roman"/>
          <w:b w:val="false"/>
          <w:color w:val="000000"/>
          <w:sz w:val="20"/>
        </w:rPr>
        <w:br/>
      </w:r>
      <w:r>
        <w:rPr>
          <w:rFonts w:ascii="Times New Roman" w:hAnsi="Times New Roman"/>
          <w:color w:val="000000"/>
          <w:sz w:val="20"/>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This Quarterly Report on Form 10-Q, and the information incorporated herein by reference, particularly in the sections captioned “Risk Factors” under Part II, Item 1A, and “Management’s Discussion and Analysis of Financial Condition and Results of Operations” under Part I, Item 2, contains forward-looking statements within the meaning of Section 27A of the Securities Act of 1933, as amended,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Quarterly Report on Form 10-Q.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You should read the sections titled “Risk Factor Summary” below and “Risk Factors” set forth in Part II, Item 1A of this Quarterly Report on Form 10-Q for a discussion of important factors that may cause our actual results to differ materially from those expressed or implied by our forward-looking statements, which such factors may be updated or supplemented from time to time by subsequent reports we file with the Securities and Exchange Commission.</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You should read this Quarterly Report on Form 10-Q, completely and with the understanding that our actual future results may be materially different from what we expect. We qualify all of our forward-looking statements by these cautionary statements.</w:t>
      </w:r>
    </w:p>
    <w:p>
      <w:pPr>
        <w:pStyle w:val="TextBody"/>
        <w:bidi w:val="0"/>
        <w:jc w:val="center"/>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Part II, Item 1A, “Risk Factors” in this Quarterly Report on Form 10-Q. The below summary is qualified in its entirety by the more complete discussion of such risks and uncertainties. You should consider carefully the risks and uncertainties described under Part II, Item 1A, “Risk Factors” in this Quarterly Report on Form 10-Q as part of your evaluation of an investment in our common stock.</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i/>
          <w:color w:val="000000"/>
          <w:sz w:val="20"/>
        </w:rPr>
        <w:t>We have a limited operating history and do not have any products approved for sale</w:t>
      </w:r>
      <w:r>
        <w:rPr>
          <w:rFonts w:ascii="Times New Roman" w:hAnsi="Times New Roman"/>
          <w:b w:val="false"/>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We have incurred significant losses since our inception and we expect to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We have never generated revenue from product sales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We will require additional capital, which, if available, may cause dilution to our stockholders, restrict our operations or require us to relinquish rights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Our business depends upon the success of our CAR NK cell technology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Utilizing CAR NK cells represents a novel therapeutic approach, and we must overcome significant challenges in order to develop, commercialize and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Clinical development involves a lengthy and expensive process with an uncertain outcome, and we may encounter substantial delays due to a variety of reasons outside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 xml:space="preserve">Our business is highly dependent on the clinical success of our product candidates, and on the clinical success of NKX101 and NKX019 in particular, and we may fail to develop NKX101, NKX019 and/or our other product candidates successfully or be unable to obtain regulatory approval for them.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Enrollment and retention of patients in clinical trials is an expensive and time-consuming process and could be delayed, made more difficult or rendered impossible by multiple factors outside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Our preclinical pipeline programs may experience delays or may never advance to clinical trials, which would adversely affect our ability to obtain regulatory approvals or commercialize these programs on a timely basis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If any of our product candidates, or any competing product candidates, demonstrate relevant, serious adverse events, we may be required to halt or delay further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Our business and the business or operations of our research partners and other third parties with whom we conduct business have been and could continue to be adversely affected by the effects of health epidemics, including the COVID-19 pandemic, in regions where we or third parties on which we rely have business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We have entered into a research collaboration with CRISPR Therapeutics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If we fail to compete effectively with academic institutions and other biopharmaceutical companies that develop similar or alternatives to cellular immunotherapy product candidates, our business will be materially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We are reliant on a sole supplier for certain steps of our manufacturing process.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Delays in commissioning and receiving regulatory approvals for our manufacturing facilities could delay our development plans and thereby limit our ability to develop our product candidates and generate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If our license agreement with National University of Singapore and St. Jude Children’s Research Hospital, Inc. is terminated, we could lose our rights to key components enabling our NK cell engineering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 xml:space="preserve">If any patent protection we obtain is not sufficiently robust, our competitors could develop and commercialize products and technology similar or identical to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 xml:space="preserve">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Our product candidates, including NKX101 and NKX019, could be subject to regulatory limitations following approval, if and when such approval is granted.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The market price for our common stock may be volatile, which could contribute to the loss of all or part of your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Concentration of ownership of our shares of common stock among our existing executive officers, directors and principal stockholders may prevent new investors from influencing significant corporate decisions.</w:t>
      </w:r>
    </w:p>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360" w:after="283"/>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balance_sheets"/>
      <w:bookmarkEnd w:id="4"/>
      <w:r>
        <w:rPr>
          <w:rFonts w:ascii="Times New Roman" w:hAnsi="Times New Roman"/>
          <w:b/>
          <w:color w:val="000000"/>
          <w:sz w:val="20"/>
        </w:rPr>
        <w:t>CONDENSED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7105" w:type="dxa"/>
        <w:jc w:val="left"/>
        <w:tblInd w:w="0" w:type="dxa"/>
        <w:tblLayout w:type="fixed"/>
        <w:tblCellMar>
          <w:top w:w="28" w:type="dxa"/>
          <w:left w:w="28" w:type="dxa"/>
          <w:bottom w:w="28" w:type="dxa"/>
          <w:right w:w="28" w:type="dxa"/>
        </w:tblCellMar>
      </w:tblPr>
      <w:tblGrid>
        <w:gridCol w:w="4021"/>
        <w:gridCol w:w="146"/>
        <w:gridCol w:w="228"/>
        <w:gridCol w:w="912"/>
        <w:gridCol w:w="166"/>
        <w:gridCol w:w="146"/>
        <w:gridCol w:w="219"/>
        <w:gridCol w:w="876"/>
        <w:gridCol w:w="3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0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37,494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237,351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314,649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281,188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360,688</w:t>
            </w:r>
          </w:p>
        </w:tc>
        <w:tc>
          <w:tcPr>
            <w:tcW w:w="3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2,743</w:t>
            </w:r>
          </w:p>
        </w:tc>
        <w:tc>
          <w:tcPr>
            <w:tcW w:w="3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77,687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61,908</w:t>
            </w:r>
          </w:p>
        </w:tc>
        <w:tc>
          <w:tcPr>
            <w:tcW w:w="3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40,519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45,749</w:t>
            </w:r>
          </w:p>
        </w:tc>
        <w:tc>
          <w:tcPr>
            <w:tcW w:w="3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405,864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472,938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0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liabilities, current portion</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and other current liabilities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22,046</w:t>
            </w:r>
          </w:p>
        </w:tc>
        <w:tc>
          <w:tcPr>
            <w:tcW w:w="3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83,408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78,685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109,048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100,731</w:t>
            </w:r>
          </w:p>
        </w:tc>
        <w:tc>
          <w:tcPr>
            <w:tcW w:w="3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 (Note 7)</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402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Common stock</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402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704,900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690,814</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402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(679</w:t>
            </w:r>
          </w:p>
        </w:tc>
        <w:tc>
          <w:tcPr>
            <w:tcW w:w="39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402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(317,933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0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296,816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372,207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405,864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472,938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statements_operations_comprehe"/>
      <w:bookmarkEnd w:id="5"/>
      <w:r>
        <w:rPr>
          <w:rFonts w:ascii="Times New Roman" w:hAnsi="Times New Roman"/>
          <w:b/>
          <w:color w:val="000000"/>
          <w:sz w:val="20"/>
        </w:rPr>
        <w:t>CONDENSED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73,451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64,053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7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83,972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(29,294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(30,262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(100,465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(83,972</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7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(89,747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(81,255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loss: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unrealized gain (loss) on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(89,477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(82,426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Weighted average shares used to compute net loss </w:t>
              <w:br/>
              <w:t>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49,062,799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48,630,328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48,985,373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41,878,716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statements_convertible_preferr"/>
      <w:bookmarkEnd w:id="6"/>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data)</w:t>
      </w:r>
    </w:p>
    <w:p>
      <w:pPr>
        <w:pStyle w:val="TextBody"/>
        <w:bidi w:val="0"/>
        <w:jc w:val="left"/>
        <w:rPr/>
      </w:pPr>
      <w:r>
        <w:rPr/>
        <w:t> </w:t>
      </w:r>
    </w:p>
    <w:tbl>
      <w:tblPr>
        <w:tblW w:w="8912" w:type="dxa"/>
        <w:jc w:val="left"/>
        <w:tblInd w:w="0" w:type="dxa"/>
        <w:tblLayout w:type="fixed"/>
        <w:tblCellMar>
          <w:top w:w="28" w:type="dxa"/>
          <w:left w:w="28" w:type="dxa"/>
          <w:bottom w:w="28" w:type="dxa"/>
          <w:right w:w="28" w:type="dxa"/>
        </w:tblCellMar>
      </w:tblPr>
      <w:tblGrid>
        <w:gridCol w:w="2371"/>
        <w:gridCol w:w="146"/>
        <w:gridCol w:w="146"/>
        <w:gridCol w:w="766"/>
        <w:gridCol w:w="146"/>
        <w:gridCol w:w="146"/>
        <w:gridCol w:w="181"/>
        <w:gridCol w:w="346"/>
        <w:gridCol w:w="146"/>
        <w:gridCol w:w="146"/>
        <w:gridCol w:w="181"/>
        <w:gridCol w:w="586"/>
        <w:gridCol w:w="146"/>
        <w:gridCol w:w="146"/>
        <w:gridCol w:w="297"/>
        <w:gridCol w:w="619"/>
        <w:gridCol w:w="151"/>
        <w:gridCol w:w="146"/>
        <w:gridCol w:w="181"/>
        <w:gridCol w:w="631"/>
        <w:gridCol w:w="151"/>
        <w:gridCol w:w="146"/>
        <w:gridCol w:w="187"/>
        <w:gridCol w:w="608"/>
        <w:gridCol w:w="19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6" w:type="dxa"/>
            <w:tcBorders/>
            <w:shd w:fill="FFFFFF" w:val="clear"/>
            <w:vAlign w:val="center"/>
          </w:tcPr>
          <w:p>
            <w:pPr>
              <w:pStyle w:val="TableContents"/>
              <w:bidi w:val="0"/>
              <w:spacing w:before="0" w:after="283"/>
              <w:jc w:val="center"/>
              <w:rPr/>
            </w:pPr>
            <w:r>
              <w:rPr/>
              <w:t> </w:t>
            </w:r>
          </w:p>
        </w:tc>
      </w:tr>
      <w:tr>
        <w:trPr/>
        <w:tc>
          <w:tcPr>
            <w:tcW w:w="2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Gain/(Loss)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48,877,806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690,814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1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(679</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(317,933</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0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372,207</w:t>
            </w:r>
          </w:p>
        </w:tc>
        <w:tc>
          <w:tcPr>
            <w:tcW w:w="196" w:type="dxa"/>
            <w:tcBorders/>
            <w:shd w:fill="CFF0FC"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Vesting of shares of common</w:t>
              <w:br/>
              <w:t>   stock subject to repurchase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w:t>
            </w:r>
          </w:p>
        </w:tc>
        <w:tc>
          <w:tcPr>
            <w:tcW w:w="196" w:type="dxa"/>
            <w:tcBorders/>
            <w:shd w:fill="FFFFFF" w:val="cle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 xml:space="preserve">Issuance of common stock </w:t>
              <w:br/>
              <w:t xml:space="preserve">   upon exercise of stock </w:t>
              <w:br/>
              <w:t>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w:t>
            </w:r>
          </w:p>
        </w:tc>
        <w:tc>
          <w:tcPr>
            <w:tcW w:w="196" w:type="dxa"/>
            <w:tcBorders/>
            <w:shd w:fill="CFF0FC"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 xml:space="preserve">Issuance of common stock </w:t>
              <w:br/>
              <w:t>   upon 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50,469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Share-based compensation</w:t>
              <w:br/>
              <w:t>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4,746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4,746</w:t>
            </w:r>
          </w:p>
        </w:tc>
        <w:tc>
          <w:tcPr>
            <w:tcW w:w="196" w:type="dxa"/>
            <w:tcBorders/>
            <w:shd w:fill="CFF0FC"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 xml:space="preserve">Unrealized gain on </w:t>
              <w:br/>
              <w:t>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505</w:t>
            </w:r>
          </w:p>
        </w:tc>
        <w:tc>
          <w:tcPr>
            <w:tcW w:w="196" w:type="dxa"/>
            <w:tcBorders/>
            <w:shd w:fill="FFFFFF" w:val="cle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(30,815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(30,815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37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48,928,923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695,563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(348,748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346,646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Vesting of shares of common</w:t>
              <w:br/>
              <w:t>   stock subject to repurchase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w:t>
            </w:r>
          </w:p>
        </w:tc>
        <w:tc>
          <w:tcPr>
            <w:tcW w:w="196" w:type="dxa"/>
            <w:tcBorders/>
            <w:shd w:fill="CFF0FC"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 xml:space="preserve">Issuance of common stock </w:t>
              <w:br/>
              <w:t xml:space="preserve">   upon exercise of stock </w:t>
              <w:br/>
              <w:t>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5,892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w:t>
            </w:r>
          </w:p>
        </w:tc>
        <w:tc>
          <w:tcPr>
            <w:tcW w:w="196" w:type="dxa"/>
            <w:tcBorders/>
            <w:shd w:fill="FFFFFF" w:val="cle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 xml:space="preserve">Issuance of common stock </w:t>
              <w:br/>
              <w:t>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28,074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 xml:space="preserve">Common stock issued under </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95,232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374</w:t>
            </w:r>
          </w:p>
        </w:tc>
        <w:tc>
          <w:tcPr>
            <w:tcW w:w="196" w:type="dxa"/>
            <w:tcBorders/>
            <w:shd w:fill="FFFFFF" w:val="cle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Share-based compensation</w:t>
              <w:br/>
              <w:t>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4,650</w:t>
            </w:r>
          </w:p>
        </w:tc>
        <w:tc>
          <w:tcPr>
            <w:tcW w:w="196" w:type="dxa"/>
            <w:tcBorders/>
            <w:shd w:fill="CFF0FC"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 xml:space="preserve">Unrealized loss on </w:t>
              <w:br/>
              <w:t>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(427</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(427</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37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(33,287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(33,287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37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49,058,234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700,609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(601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(382,035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317,978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 xml:space="preserve">Issuance of common stock </w:t>
              <w:br/>
              <w:t>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Share-based compensation</w:t>
              <w:br/>
              <w:t>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4,291</w:t>
            </w:r>
          </w:p>
        </w:tc>
        <w:tc>
          <w:tcPr>
            <w:tcW w:w="196" w:type="dxa"/>
            <w:tcBorders/>
            <w:shd w:fill="FFFFFF" w:val="cle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 xml:space="preserve">Unrealized gain on </w:t>
              <w:br/>
              <w:t>   investments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192</w:t>
            </w:r>
          </w:p>
        </w:tc>
        <w:tc>
          <w:tcPr>
            <w:tcW w:w="196" w:type="dxa"/>
            <w:tcBorders/>
            <w:shd w:fill="CFF0FC"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(25,645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(25,645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37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49,068,234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704,900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(407,680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296,816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data)</w:t>
      </w:r>
    </w:p>
    <w:p>
      <w:pPr>
        <w:pStyle w:val="TextBody"/>
        <w:bidi w:val="0"/>
        <w:jc w:val="left"/>
        <w:rPr/>
      </w:pPr>
      <w:r>
        <w:rPr/>
        <w:t> </w:t>
      </w:r>
    </w:p>
    <w:tbl>
      <w:tblPr>
        <w:tblW w:w="8582" w:type="dxa"/>
        <w:jc w:val="left"/>
        <w:tblInd w:w="0" w:type="dxa"/>
        <w:tblLayout w:type="fixed"/>
        <w:tblCellMar>
          <w:top w:w="28" w:type="dxa"/>
          <w:left w:w="28" w:type="dxa"/>
          <w:bottom w:w="28" w:type="dxa"/>
          <w:right w:w="28" w:type="dxa"/>
        </w:tblCellMar>
      </w:tblPr>
      <w:tblGrid>
        <w:gridCol w:w="2041"/>
        <w:gridCol w:w="146"/>
        <w:gridCol w:w="146"/>
        <w:gridCol w:w="766"/>
        <w:gridCol w:w="146"/>
        <w:gridCol w:w="146"/>
        <w:gridCol w:w="181"/>
        <w:gridCol w:w="346"/>
        <w:gridCol w:w="146"/>
        <w:gridCol w:w="146"/>
        <w:gridCol w:w="181"/>
        <w:gridCol w:w="586"/>
        <w:gridCol w:w="146"/>
        <w:gridCol w:w="146"/>
        <w:gridCol w:w="250"/>
        <w:gridCol w:w="666"/>
        <w:gridCol w:w="151"/>
        <w:gridCol w:w="146"/>
        <w:gridCol w:w="181"/>
        <w:gridCol w:w="631"/>
        <w:gridCol w:w="151"/>
        <w:gridCol w:w="146"/>
        <w:gridCol w:w="187"/>
        <w:gridCol w:w="608"/>
        <w:gridCol w:w="196"/>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6" w:type="dxa"/>
            <w:tcBorders/>
            <w:shd w:fill="FFFFFF" w:val="clear"/>
            <w:vAlign w:val="center"/>
          </w:tcPr>
          <w:p>
            <w:pPr>
              <w:pStyle w:val="TableContents"/>
              <w:bidi w:val="0"/>
              <w:spacing w:before="0" w:after="283"/>
              <w:jc w:val="center"/>
              <w:rPr/>
            </w:pPr>
            <w:r>
              <w:rPr/>
              <w:t> </w:t>
            </w:r>
          </w:p>
        </w:tc>
      </w:tr>
      <w:tr>
        <w:trPr/>
        <w:tc>
          <w:tcPr>
            <w:tcW w:w="2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Gain/(Loss)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 December 31, 2021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32,971,107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455,210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(150</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(204,096</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0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250,967</w:t>
            </w:r>
          </w:p>
        </w:tc>
        <w:tc>
          <w:tcPr>
            <w:tcW w:w="196" w:type="dxa"/>
            <w:tcBorders/>
            <w:shd w:fill="FFFFFF" w:val="clear"/>
            <w:vAlign w:val="center"/>
          </w:tcPr>
          <w:p>
            <w:pPr>
              <w:pStyle w:val="TableContents"/>
              <w:bidi w:val="0"/>
              <w:spacing w:before="0" w:after="283"/>
              <w:jc w:val="left"/>
              <w:rPr/>
            </w:pPr>
            <w:r>
              <w:rPr/>
              <w:t> </w:t>
            </w:r>
          </w:p>
        </w:tc>
      </w:tr>
      <w:tr>
        <w:trPr/>
        <w:tc>
          <w:tcPr>
            <w:tcW w:w="204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Vesting of shares of common</w:t>
              <w:br/>
              <w:t>   stock subject to repurchase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10,924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w:t>
            </w:r>
          </w:p>
        </w:tc>
        <w:tc>
          <w:tcPr>
            <w:tcW w:w="196" w:type="dxa"/>
            <w:tcBorders/>
            <w:shd w:fill="CFF0FC" w:val="clear"/>
            <w:vAlign w:val="center"/>
          </w:tcPr>
          <w:p>
            <w:pPr>
              <w:pStyle w:val="TableContents"/>
              <w:bidi w:val="0"/>
              <w:spacing w:before="0" w:after="283"/>
              <w:jc w:val="left"/>
              <w:rPr/>
            </w:pPr>
            <w:r>
              <w:rPr/>
              <w:t> </w:t>
            </w:r>
          </w:p>
        </w:tc>
      </w:tr>
      <w:tr>
        <w:trPr/>
        <w:tc>
          <w:tcPr>
            <w:tcW w:w="204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 xml:space="preserve">Issuance of common stock </w:t>
              <w:br/>
              <w:t xml:space="preserve">   upon exercise of stock </w:t>
              <w:br/>
              <w:t>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21,067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79</w:t>
            </w:r>
          </w:p>
        </w:tc>
        <w:tc>
          <w:tcPr>
            <w:tcW w:w="196" w:type="dxa"/>
            <w:tcBorders/>
            <w:shd w:fill="FFFFFF" w:val="clear"/>
            <w:vAlign w:val="center"/>
          </w:tcPr>
          <w:p>
            <w:pPr>
              <w:pStyle w:val="TableContents"/>
              <w:bidi w:val="0"/>
              <w:spacing w:before="0" w:after="283"/>
              <w:jc w:val="left"/>
              <w:rPr/>
            </w:pPr>
            <w:r>
              <w:rPr/>
              <w:t> </w:t>
            </w:r>
          </w:p>
        </w:tc>
      </w:tr>
      <w:tr>
        <w:trPr/>
        <w:tc>
          <w:tcPr>
            <w:tcW w:w="204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Share-based compensation</w:t>
              <w:br/>
              <w:t>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4,097</w:t>
            </w:r>
          </w:p>
        </w:tc>
        <w:tc>
          <w:tcPr>
            <w:tcW w:w="196" w:type="dxa"/>
            <w:tcBorders/>
            <w:shd w:fill="CFF0FC" w:val="clear"/>
            <w:vAlign w:val="center"/>
          </w:tcPr>
          <w:p>
            <w:pPr>
              <w:pStyle w:val="TableContents"/>
              <w:bidi w:val="0"/>
              <w:spacing w:before="0" w:after="283"/>
              <w:jc w:val="left"/>
              <w:rPr/>
            </w:pPr>
            <w:r>
              <w:rPr/>
              <w:t> </w:t>
            </w:r>
          </w:p>
        </w:tc>
      </w:tr>
      <w:tr>
        <w:trPr/>
        <w:tc>
          <w:tcPr>
            <w:tcW w:w="204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 xml:space="preserve">Unrealized loss on </w:t>
              <w:br/>
              <w:t>   short-term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(456</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(456</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04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(25,987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(25,987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04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 March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33,003,098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459,392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(606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(230,083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228,706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Vesting of shares of common</w:t>
              <w:br/>
              <w:t>   stock subject to repurchase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w:t>
            </w:r>
          </w:p>
        </w:tc>
        <w:tc>
          <w:tcPr>
            <w:tcW w:w="196" w:type="dxa"/>
            <w:tcBorders/>
            <w:shd w:fill="CFF0FC" w:val="clear"/>
            <w:vAlign w:val="center"/>
          </w:tcPr>
          <w:p>
            <w:pPr>
              <w:pStyle w:val="TableContents"/>
              <w:bidi w:val="0"/>
              <w:spacing w:before="0" w:after="283"/>
              <w:jc w:val="left"/>
              <w:rPr/>
            </w:pPr>
            <w:r>
              <w:rPr/>
              <w:t> </w:t>
            </w:r>
          </w:p>
        </w:tc>
      </w:tr>
      <w:tr>
        <w:trPr/>
        <w:tc>
          <w:tcPr>
            <w:tcW w:w="204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 xml:space="preserve">Issuance of common stock </w:t>
              <w:br/>
              <w:t xml:space="preserve">   upon exercise of stock </w:t>
              <w:br/>
              <w:t>   options, net of repurchase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88,383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334</w:t>
            </w:r>
          </w:p>
        </w:tc>
        <w:tc>
          <w:tcPr>
            <w:tcW w:w="196" w:type="dxa"/>
            <w:tcBorders/>
            <w:shd w:fill="FFFFFF" w:val="clear"/>
            <w:vAlign w:val="center"/>
          </w:tcPr>
          <w:p>
            <w:pPr>
              <w:pStyle w:val="TableContents"/>
              <w:bidi w:val="0"/>
              <w:spacing w:before="0" w:after="283"/>
              <w:jc w:val="left"/>
              <w:rPr/>
            </w:pPr>
            <w:r>
              <w:rPr/>
              <w:t> </w:t>
            </w:r>
          </w:p>
        </w:tc>
      </w:tr>
      <w:tr>
        <w:trPr/>
        <w:tc>
          <w:tcPr>
            <w:tcW w:w="204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 xml:space="preserve">Issuance of common stock </w:t>
              <w:br/>
              <w:t xml:space="preserve">   upon secondary offering, net </w:t>
              <w:br/>
              <w:t>   of issuance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15,333,334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215,332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215,334</w:t>
            </w:r>
          </w:p>
        </w:tc>
        <w:tc>
          <w:tcPr>
            <w:tcW w:w="196" w:type="dxa"/>
            <w:tcBorders/>
            <w:shd w:fill="CFF0FC" w:val="clear"/>
            <w:vAlign w:val="center"/>
          </w:tcPr>
          <w:p>
            <w:pPr>
              <w:pStyle w:val="TableContents"/>
              <w:bidi w:val="0"/>
              <w:spacing w:before="0" w:after="283"/>
              <w:jc w:val="left"/>
              <w:rPr/>
            </w:pPr>
            <w:r>
              <w:rPr/>
              <w:t> </w:t>
            </w:r>
          </w:p>
        </w:tc>
      </w:tr>
      <w:tr>
        <w:trPr/>
        <w:tc>
          <w:tcPr>
            <w:tcW w:w="204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Share-based compensation</w:t>
              <w:br/>
              <w:t>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3,912</w:t>
            </w:r>
          </w:p>
        </w:tc>
        <w:tc>
          <w:tcPr>
            <w:tcW w:w="196" w:type="dxa"/>
            <w:tcBorders/>
            <w:shd w:fill="FFFFFF" w:val="clear"/>
            <w:vAlign w:val="center"/>
          </w:tcPr>
          <w:p>
            <w:pPr>
              <w:pStyle w:val="TableContents"/>
              <w:bidi w:val="0"/>
              <w:spacing w:before="0" w:after="283"/>
              <w:jc w:val="left"/>
              <w:rPr/>
            </w:pPr>
            <w:r>
              <w:rPr/>
              <w:t> </w:t>
            </w:r>
          </w:p>
        </w:tc>
      </w:tr>
      <w:tr>
        <w:trPr/>
        <w:tc>
          <w:tcPr>
            <w:tcW w:w="204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Unrealized loss on short-term</w:t>
              <w:br/>
              <w:t>   investments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(325</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(325</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04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(26,923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(26,923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04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 June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48,427,202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678,973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(931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(257,006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421,041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4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Vesting of shares of common</w:t>
              <w:br/>
              <w:t>   stock subject to repurchase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w:t>
            </w:r>
          </w:p>
        </w:tc>
        <w:tc>
          <w:tcPr>
            <w:tcW w:w="196" w:type="dxa"/>
            <w:tcBorders/>
            <w:shd w:fill="FFFFFF" w:val="clear"/>
            <w:vAlign w:val="center"/>
          </w:tcPr>
          <w:p>
            <w:pPr>
              <w:pStyle w:val="TableContents"/>
              <w:bidi w:val="0"/>
              <w:spacing w:before="0" w:after="283"/>
              <w:jc w:val="left"/>
              <w:rPr/>
            </w:pPr>
            <w:r>
              <w:rPr/>
              <w:t> </w:t>
            </w:r>
          </w:p>
        </w:tc>
      </w:tr>
      <w:tr>
        <w:trPr/>
        <w:tc>
          <w:tcPr>
            <w:tcW w:w="204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 xml:space="preserve">Issuance of common stock </w:t>
              <w:br/>
              <w:t xml:space="preserve">   upon exercise of stock options, </w:t>
              <w:br/>
              <w:t>   net of repurchase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265,988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953</w:t>
            </w:r>
          </w:p>
        </w:tc>
        <w:tc>
          <w:tcPr>
            <w:tcW w:w="196" w:type="dxa"/>
            <w:tcBorders/>
            <w:shd w:fill="CFF0FC" w:val="clear"/>
            <w:vAlign w:val="center"/>
          </w:tcPr>
          <w:p>
            <w:pPr>
              <w:pStyle w:val="TableContents"/>
              <w:bidi w:val="0"/>
              <w:spacing w:before="0" w:after="283"/>
              <w:jc w:val="left"/>
              <w:rPr/>
            </w:pPr>
            <w:r>
              <w:rPr/>
              <w:t> </w:t>
            </w:r>
          </w:p>
        </w:tc>
      </w:tr>
      <w:tr>
        <w:trPr/>
        <w:tc>
          <w:tcPr>
            <w:tcW w:w="204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 xml:space="preserve">Issuance of common stock upon </w:t>
              <w:br/>
              <w:t xml:space="preserve">   at-the-market offering, </w:t>
              <w:br/>
              <w:t>   net of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113,213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1,612</w:t>
            </w:r>
          </w:p>
        </w:tc>
        <w:tc>
          <w:tcPr>
            <w:tcW w:w="196" w:type="dxa"/>
            <w:tcBorders/>
            <w:shd w:fill="FFFFFF" w:val="clear"/>
            <w:vAlign w:val="center"/>
          </w:tcPr>
          <w:p>
            <w:pPr>
              <w:pStyle w:val="TableContents"/>
              <w:bidi w:val="0"/>
              <w:spacing w:before="0" w:after="283"/>
              <w:jc w:val="left"/>
              <w:rPr/>
            </w:pPr>
            <w:r>
              <w:rPr/>
              <w:t> </w:t>
            </w:r>
          </w:p>
        </w:tc>
      </w:tr>
      <w:tr>
        <w:trPr/>
        <w:tc>
          <w:tcPr>
            <w:tcW w:w="204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Share-based compensation</w:t>
              <w:br/>
              <w:t>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4,390</w:t>
            </w:r>
          </w:p>
        </w:tc>
        <w:tc>
          <w:tcPr>
            <w:tcW w:w="196" w:type="dxa"/>
            <w:tcBorders/>
            <w:shd w:fill="CFF0FC" w:val="clear"/>
            <w:vAlign w:val="center"/>
          </w:tcPr>
          <w:p>
            <w:pPr>
              <w:pStyle w:val="TableContents"/>
              <w:bidi w:val="0"/>
              <w:spacing w:before="0" w:after="283"/>
              <w:jc w:val="left"/>
              <w:rPr/>
            </w:pPr>
            <w:r>
              <w:rPr/>
              <w:t> </w:t>
            </w:r>
          </w:p>
        </w:tc>
      </w:tr>
      <w:tr>
        <w:trPr/>
        <w:tc>
          <w:tcPr>
            <w:tcW w:w="204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Unrealized loss on short-term</w:t>
              <w:br/>
              <w:t>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(390</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(390</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04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(28,345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(28,345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04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 September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48,807,705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685,931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(1,321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(285,351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399,264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densed_statement_cash_flows"/>
      <w:bookmarkEnd w:id="7"/>
      <w:r>
        <w:rPr>
          <w:rFonts w:ascii="Times New Roman" w:hAnsi="Times New Roman"/>
          <w:b/>
          <w:color w:val="000000"/>
          <w:sz w:val="20"/>
        </w:rPr>
        <w:t>CONDENSED STATEMENT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(89,747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(81,255</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703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Share-based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12,399</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03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1,908</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03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Accretion and amortization of premiums and discounts on investments,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(6,915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763</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03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Realized gain on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03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Impairment of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03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Non-cash lease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703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(1,575</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703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11,446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03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Accounts payable and accrued and 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0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(21,340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(12,073</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Purchases of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(196,877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(310,313</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Maturities of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132,950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(189,436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03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stock option exercises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ESPP purchases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ATM offering, net of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secondary offering, net of issuance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215,611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218,588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(decrease) increase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(20,517</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0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62,914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42,397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Reconciliation of cash, cash equivalents and restricted cash to the balance sheet:</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39,654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03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42,397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investing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70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Acquisitions of property and equipment in accounts payable and accrued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7,228</w:t>
            </w:r>
          </w:p>
        </w:tc>
        <w:tc>
          <w:tcPr>
            <w:tcW w:w="6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financial_statements"/>
      <w:bookmarkEnd w:id="8"/>
      <w:r>
        <w:rPr>
          <w:rFonts w:ascii="Times New Roman" w:hAnsi="Times New Roman"/>
          <w:b/>
          <w:color w:val="000000"/>
          <w:sz w:val="20"/>
        </w:rPr>
        <w:t>NOTES TO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Description of Business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Nkarta, Inc. ("Nkarta" or the "Company") was incorporated in the State of Delaware in July 2015. The Company is a biopharmaceutical company developing engineered natural killer ("NK") cell therapies. The Company is focused on leveraging the natural potent power of NK cells to identify and kill abnormal cells and recruit adaptive immune effectors to generate therapeutic responses that are specific and durable. Nkarta is combining its NK expansion platform technology with proprietary cell engineering technologies to generate an abundant supply of NK cells, engineer enhanced NK cell recognition of therapeutic targets, and improve persistence for sustained activity in the body for the treatment of cancer and autoimmune disease. Nkarta’s goal is to develop off-the-shelf NK cell therapy product candidates to improve outcomes for patients. The Company’s operations are based in South San Francisco, California, and it operates in one</w:t>
      </w:r>
      <w:r>
        <w:rPr>
          <w:rFonts w:ascii="Times New Roman" w:hAnsi="Times New Roman"/>
          <w:color w:val="000000"/>
          <w:sz w:val="20"/>
        </w:rPr>
        <w:t xml:space="preserve"> </w:t>
      </w:r>
      <w:r>
        <w:rPr>
          <w:rFonts w:ascii="Times New Roman" w:hAnsi="Times New Roman"/>
          <w:b w:val="false"/>
          <w:color w:val="000000"/>
          <w:sz w:val="20"/>
        </w:rPr>
        <w:t>segment.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Management Plans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accompanying unaudited condensed financial statements have been prepared assuming that the Company will continue as a going concern. However, since inception, the Company has devoted substantially all of its efforts to organizing and staffing, business planning, raising capital, conducting preclinical studies and initiating clinical studies, and has not realized substantial revenues from its planned principal operations. In addition, the Company has a limited operating history, has incurred operating losses since inception and expects that it will continue to incur net losses into the foreseeable future as it continues its research and development activities. As of September 30, 2023, the Company had an accumulated deficit of $407.7</w:t>
      </w:r>
      <w:r>
        <w:rPr>
          <w:rFonts w:ascii="Times New Roman" w:hAnsi="Times New Roman"/>
          <w:color w:val="000000"/>
          <w:sz w:val="20"/>
        </w:rPr>
        <w:t xml:space="preserve"> </w:t>
      </w:r>
      <w:r>
        <w:rPr>
          <w:rFonts w:ascii="Times New Roman" w:hAnsi="Times New Roman"/>
          <w:b w:val="false"/>
          <w:color w:val="000000"/>
          <w:sz w:val="20"/>
        </w:rPr>
        <w:t>million and cash, cash equivalents, restricted cash and investments of $278.4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Management plans to continue to incur substantial costs in order to conduct research and development activities for which additional capital will be needed. The Company intends to raise such capital through debt or equity financings or other arrangements to fund operations. Management believes that the Company’s current cash, cash equivalents, restricted cash and investments will provide sufficient funds to enable the Company to meet its obligations for at least twelve months from the filing date of this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March 17, 2023, the Company filed a Registration Statement on Form S-3, as amended by the Form S-3/A filed on April 24, 2023 (the "Shelf Registration Statement"), covering the offer and sale from time to time, pursuant to Rule 415 of the Securities Act of 1933, as amended (the "Securities Act"), of up to $350.0</w:t>
      </w:r>
      <w:r>
        <w:rPr>
          <w:rFonts w:ascii="Times New Roman" w:hAnsi="Times New Roman"/>
          <w:color w:val="000000"/>
          <w:sz w:val="20"/>
        </w:rPr>
        <w:t xml:space="preserve"> </w:t>
      </w:r>
      <w:r>
        <w:rPr>
          <w:rFonts w:ascii="Times New Roman" w:hAnsi="Times New Roman"/>
          <w:b w:val="false"/>
          <w:color w:val="000000"/>
          <w:sz w:val="20"/>
        </w:rPr>
        <w:t>million in aggregate offering price of shares of the Company’s common stock, shares of the Company’s preferred stock, debt securities, warrants, rights and/or units, including up to $120.0</w:t>
      </w:r>
      <w:r>
        <w:rPr>
          <w:rFonts w:ascii="Times New Roman" w:hAnsi="Times New Roman"/>
          <w:color w:val="000000"/>
          <w:sz w:val="20"/>
        </w:rPr>
        <w:t xml:space="preserve"> </w:t>
      </w:r>
      <w:r>
        <w:rPr>
          <w:rFonts w:ascii="Times New Roman" w:hAnsi="Times New Roman"/>
          <w:b w:val="false"/>
          <w:color w:val="000000"/>
          <w:sz w:val="20"/>
        </w:rPr>
        <w:t>million in aggregate offering price of shares of the Company’s common stock, shares of the Company’s preferred stock, debt securities, warrants, rights and/or units registered on the Company’s Registration Statement on Form S-3 declared effective by the Securities and Exchange Commission (the "SEC") on September 2, 2021 (the "Prior Registration Statement") that have not yet been sold. The Shelf Registration Statement was declared effective by the SEC on May 5, 2023.</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12, 2021, the Company entered into a sales agreement with Cowen and Company, LLC, a sales agent, to provide for the offering, issuance and sale of up to an aggregate of $150.0</w:t>
      </w:r>
      <w:r>
        <w:rPr>
          <w:rFonts w:ascii="Times New Roman" w:hAnsi="Times New Roman"/>
          <w:color w:val="000000"/>
          <w:sz w:val="20"/>
        </w:rPr>
        <w:t xml:space="preserve"> </w:t>
      </w:r>
      <w:r>
        <w:rPr>
          <w:rFonts w:ascii="Times New Roman" w:hAnsi="Times New Roman"/>
          <w:b w:val="false"/>
          <w:color w:val="000000"/>
          <w:sz w:val="20"/>
        </w:rPr>
        <w:t>million of the Company’s common stock through an “at-the-market” equity offering program (the "ATM Offering Program") pursuant to the Prior Registration Statement and subject to the limitations thereof. For the nine months ended September 30, 2023, no</w:t>
      </w:r>
      <w:r>
        <w:rPr>
          <w:rFonts w:ascii="Times New Roman" w:hAnsi="Times New Roman"/>
          <w:color w:val="000000"/>
          <w:sz w:val="20"/>
        </w:rPr>
        <w:t xml:space="preserve"> </w:t>
      </w:r>
      <w:r>
        <w:rPr>
          <w:rFonts w:ascii="Times New Roman" w:hAnsi="Times New Roman"/>
          <w:b w:val="false"/>
          <w:color w:val="000000"/>
          <w:sz w:val="20"/>
        </w:rPr>
        <w:t>sales of the Company’s common stock were made pursuant to the ATM Offering Program.</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2. Basis of Presentation and Significant Accounting Policies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accompanying unaudited condensed financial statements as of September 30, 2023 and for the three and nine months ended September 30, 2023 and 2022 have been prepared in accordance with U.S. generally accepted accounting principle ("U.S. GAAP") for interim financial information and pursuant to Article 10 of Regulation S-X of the Securities Act, as amended.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 for the periods presented.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results for the three and nine months ended September 30, 2023 are not necessarily indicative of the results expected for the full year or any subsequent interim period. The condensed balance sheet at December 31, 2022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2022, contained in the Company’s Annual Report on Form 10-K for the year ended December 31, 2022 filed by the Company with the SEC on March 16, 2023.</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COVID-19 Pandemic</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COVID-19 pandemic has caused disruptions in the global economy and has affected and may affect the Company’s business and operations in the future. In response to the pandemic, the Coronavirus Aid, Relief and Economic Security Act (the "CARES Act") was signed into law on March 27, 2020. The CARES Act, among other things, includes tax provisions relating to refundable payroll tax credits, deferment of employer’s social security payments, net operating loss utilization and carryback periods, modifications to the net interest deduction limitations and technical corrections to tax depreciation methods for qualified improvement property. The CARES Act had no impact on the Company’s income tax provision for the year ended December 31, 2022 or the nine months ended September 30, 2023. The Company continues to evaluate the impact of the CARES Act on its financial position, results of operations and cash flows.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preparation of financial statements in conformity with U.S. GAAP requires management to make estimates and assumptions that affect the amounts reported in the Company’s financial statements and accompanying notes. On an ongoing basis, management evaluates its estimates, including those related to preclinical studies, percentage of completion of manufacturing activities, fair value of assets and liabilities, impairment of assets, leases,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pStyle w:val="TextBody"/>
        <w:bidi w:val="0"/>
        <w:spacing w:before="36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Basic net loss per share is calculated by dividing the net loss by the weighted-average number of common shares outstanding for the period, without consideration of potential dilutive securities. Diluted net loss per share is computed by dividing the net loss by the sum of the weighted average number of common shares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unvested common stock, outstanding stock options and restricted stock units under the Company’s equity incentive plans,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Long-Lived Asset Impairment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assesses the impairment of long-lived assets whenever events or changes in business circumstances indicate that the carrying amounts of the asset or group of assets may not be fully recoverable. In the case of property, plant and equipment and right-of-use assets for the Company's leases, the Company determines whether there has been an impairment by comparing the carrying value of the group of assets to the anticipated undiscounted net future cash flows associated with the group of assets. If such cash flows are less than the carrying value, the Company writes down the group of assets to its fair value, which may be measured as anticipated net cash flows associated with the group of assets, discounted at a rate that the Company believes a market participant would utilize to reflect the risks associated with the cash flows, such as credit risk. See Note 6 for additional information regarding the impairment charge the Company recorded in connection with its leased facilities.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Net Loss Per Share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tables summarize the computation of the basic and diluted net loss per share (in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(89,747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(81,255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Weighted average common shares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49,062,799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48,631,941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48,985,448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41,882,929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7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Less: weighted average unvested common stock</w:t>
              <w:br/>
              <w:t>   issued upon early exercise of common stock</w:t>
              <w:br/>
              <w:t>   options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shares used to compute net loss</w:t>
              <w:br/>
              <w:t>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49,062,799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48,630,328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48,985,373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41,878,716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The following table summarizes the outstanding potentially dilutive securities that have been excluded in the calculation of diluted net loss per share because their inclusion would be anti-dilutive:</w:t>
      </w:r>
      <w:r>
        <w:rPr>
          <w:rFonts w:ascii="Times New Roman" w:hAnsi="Times New Roman"/>
          <w:color w:val="000000"/>
          <w:sz w:val="20"/>
        </w:rPr>
        <w:t xml:space="preserve"> </w:t>
      </w:r>
    </w:p>
    <w:p>
      <w:pPr>
        <w:pStyle w:val="TextBody"/>
        <w:bidi w:val="0"/>
        <w:jc w:val="left"/>
        <w:rPr/>
      </w:pPr>
      <w:r>
        <w:rPr/>
        <w:t> </w:t>
      </w:r>
    </w:p>
    <w:tbl>
      <w:tblPr>
        <w:tblW w:w="7959" w:type="dxa"/>
        <w:jc w:val="left"/>
        <w:tblInd w:w="0" w:type="dxa"/>
        <w:tblLayout w:type="fixed"/>
        <w:tblCellMar>
          <w:top w:w="28" w:type="dxa"/>
          <w:left w:w="28" w:type="dxa"/>
          <w:bottom w:w="28" w:type="dxa"/>
          <w:right w:w="28" w:type="dxa"/>
        </w:tblCellMar>
      </w:tblPr>
      <w:tblGrid>
        <w:gridCol w:w="5176"/>
        <w:gridCol w:w="146"/>
        <w:gridCol w:w="146"/>
        <w:gridCol w:w="931"/>
        <w:gridCol w:w="146"/>
        <w:gridCol w:w="146"/>
        <w:gridCol w:w="146"/>
        <w:gridCol w:w="931"/>
        <w:gridCol w:w="191"/>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Common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7,127,449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5,312,013</w:t>
            </w:r>
          </w:p>
        </w:tc>
        <w:tc>
          <w:tcPr>
            <w:tcW w:w="191" w:type="dxa"/>
            <w:tcBorders/>
            <w:shd w:fill="CFF0FC" w:val="clear"/>
            <w:vAlign w:val="center"/>
          </w:tcPr>
          <w:p>
            <w:pPr>
              <w:pStyle w:val="TableContents"/>
              <w:bidi w:val="0"/>
              <w:spacing w:before="0" w:after="283"/>
              <w:jc w:val="left"/>
              <w:rPr/>
            </w:pPr>
            <w:r>
              <w:rPr/>
              <w:t> </w:t>
            </w:r>
          </w:p>
        </w:tc>
      </w:tr>
      <w:tr>
        <w:trPr/>
        <w:tc>
          <w:tcPr>
            <w:tcW w:w="51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695,110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359,708</w:t>
            </w:r>
          </w:p>
        </w:tc>
        <w:tc>
          <w:tcPr>
            <w:tcW w:w="191" w:type="dxa"/>
            <w:tcBorders/>
            <w:shd w:fill="FFFFFF" w:val="clear"/>
            <w:vAlign w:val="center"/>
          </w:tcPr>
          <w:p>
            <w:pPr>
              <w:pStyle w:val="TableContents"/>
              <w:bidi w:val="0"/>
              <w:spacing w:before="0" w:after="283"/>
              <w:jc w:val="left"/>
              <w:rPr/>
            </w:pPr>
            <w:r>
              <w:rPr/>
              <w:t> </w:t>
            </w:r>
          </w:p>
        </w:tc>
      </w:tr>
      <w:tr>
        <w:trPr/>
        <w:tc>
          <w:tcPr>
            <w:tcW w:w="51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common stock upon early exercise of common stock</w:t>
              <w:br/>
              <w:t>   options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7,822,559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5,672,894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4.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tables summarize the fair value of the Company’s financial instruments (in thousands):</w:t>
      </w:r>
      <w:r>
        <w:rPr>
          <w:rFonts w:ascii="Times New Roman" w:hAnsi="Times New Roman"/>
          <w:color w:val="000000"/>
          <w:sz w:val="20"/>
        </w:rPr>
        <w:t xml:space="preserve"> </w:t>
      </w:r>
    </w:p>
    <w:p>
      <w:pPr>
        <w:pStyle w:val="TextBody"/>
        <w:bidi w:val="0"/>
        <w:jc w:val="left"/>
        <w:rPr/>
      </w:pPr>
      <w:r>
        <w:rPr/>
        <w:t> </w:t>
      </w:r>
    </w:p>
    <w:tbl>
      <w:tblPr>
        <w:tblW w:w="9302" w:type="dxa"/>
        <w:jc w:val="left"/>
        <w:tblInd w:w="0" w:type="dxa"/>
        <w:tblLayout w:type="fixed"/>
        <w:tblCellMar>
          <w:top w:w="28" w:type="dxa"/>
          <w:left w:w="28" w:type="dxa"/>
          <w:bottom w:w="28" w:type="dxa"/>
          <w:right w:w="28" w:type="dxa"/>
        </w:tblCellMar>
      </w:tblPr>
      <w:tblGrid>
        <w:gridCol w:w="3046"/>
        <w:gridCol w:w="146"/>
        <w:gridCol w:w="242"/>
        <w:gridCol w:w="898"/>
        <w:gridCol w:w="146"/>
        <w:gridCol w:w="146"/>
        <w:gridCol w:w="289"/>
        <w:gridCol w:w="926"/>
        <w:gridCol w:w="146"/>
        <w:gridCol w:w="146"/>
        <w:gridCol w:w="211"/>
        <w:gridCol w:w="781"/>
        <w:gridCol w:w="146"/>
        <w:gridCol w:w="146"/>
        <w:gridCol w:w="415"/>
        <w:gridCol w:w="681"/>
        <w:gridCol w:w="7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88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30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400"/>
              <w:jc w:val="right"/>
              <w:rPr/>
            </w:pPr>
            <w:r>
              <w:rPr/>
              <w:t> </w:t>
            </w:r>
          </w:p>
        </w:tc>
      </w:tr>
      <w:tr>
        <w:trPr/>
        <w:tc>
          <w:tcPr>
            <w:tcW w:w="304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400"/>
              <w:jc w:val="right"/>
              <w:rPr/>
            </w:pPr>
            <w:r>
              <w:rPr/>
              <w:t> </w:t>
            </w:r>
          </w:p>
        </w:tc>
      </w:tr>
      <w:tr>
        <w:trPr/>
        <w:tc>
          <w:tcPr>
            <w:tcW w:w="304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47,423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47,423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304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37,546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37,546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color w:val="000000"/>
              </w:rPr>
            </w:pPr>
            <w:r>
              <w:rPr>
                <w:color w:val="000000"/>
              </w:rPr>
              <w:t>—</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04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U.S. Government securities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152,382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152,382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46"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Total short-term investments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237,351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237,351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237,351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257" w:type="dxa"/>
        <w:jc w:val="left"/>
        <w:tblInd w:w="0" w:type="dxa"/>
        <w:tblLayout w:type="fixed"/>
        <w:tblCellMar>
          <w:top w:w="28" w:type="dxa"/>
          <w:left w:w="28" w:type="dxa"/>
          <w:bottom w:w="28" w:type="dxa"/>
          <w:right w:w="28" w:type="dxa"/>
        </w:tblCellMar>
      </w:tblPr>
      <w:tblGrid>
        <w:gridCol w:w="3046"/>
        <w:gridCol w:w="146"/>
        <w:gridCol w:w="233"/>
        <w:gridCol w:w="862"/>
        <w:gridCol w:w="146"/>
        <w:gridCol w:w="146"/>
        <w:gridCol w:w="289"/>
        <w:gridCol w:w="926"/>
        <w:gridCol w:w="146"/>
        <w:gridCol w:w="146"/>
        <w:gridCol w:w="211"/>
        <w:gridCol w:w="781"/>
        <w:gridCol w:w="146"/>
        <w:gridCol w:w="146"/>
        <w:gridCol w:w="415"/>
        <w:gridCol w:w="681"/>
        <w:gridCol w:w="7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88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30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304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304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88,681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88,681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1" w:type="dxa"/>
            <w:tcBorders/>
            <w:shd w:fill="CFF0FC" w:val="clear"/>
            <w:vAlign w:val="center"/>
          </w:tcPr>
          <w:p>
            <w:pPr>
              <w:pStyle w:val="TableContents"/>
              <w:bidi w:val="0"/>
              <w:spacing w:before="0" w:after="283"/>
              <w:jc w:val="right"/>
              <w:rPr>
                <w:color w:val="000000"/>
              </w:rPr>
            </w:pPr>
            <w:r>
              <w:rPr>
                <w:color w:val="000000"/>
              </w:rPr>
              <w:t>—</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04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65,409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65,409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304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Government securities</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160,559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160,559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46"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Total short-term investments</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314,649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314,649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351,143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314,649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Cash Equivalents and 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Financial assets measured at fair value on a recurring basis consist of the Company’s cash equivalents and short-term and long-term investments. Cash equivalents consisted of money market funds and short-term and long-term investments consisted of commercial paper, government securities and corporate bonds. The Company obtains pricing information from its investment manager and generally determines the fair value of investment securities using standard observable inputs, including reported trades, broker/dealer quotes, and bids and/or offers.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Investments are classified as Level 1 within the fair value hierarchy if their quoted prices are available in active markets for identical securities. Investments in money market funds of $17.4</w:t>
      </w:r>
      <w:r>
        <w:rPr>
          <w:rFonts w:ascii="Times New Roman" w:hAnsi="Times New Roman"/>
          <w:color w:val="000000"/>
          <w:sz w:val="20"/>
        </w:rPr>
        <w:t xml:space="preserve"> </w:t>
      </w:r>
      <w:r>
        <w:rPr>
          <w:rFonts w:ascii="Times New Roman" w:hAnsi="Times New Roman"/>
          <w:b w:val="false"/>
          <w:color w:val="000000"/>
          <w:sz w:val="20"/>
        </w:rPr>
        <w:t>million and $36.5</w:t>
      </w:r>
      <w:r>
        <w:rPr>
          <w:rFonts w:ascii="Times New Roman" w:hAnsi="Times New Roman"/>
          <w:color w:val="000000"/>
          <w:sz w:val="20"/>
        </w:rPr>
        <w:t xml:space="preserve"> </w:t>
      </w:r>
      <w:r>
        <w:rPr>
          <w:rFonts w:ascii="Times New Roman" w:hAnsi="Times New Roman"/>
          <w:b w:val="false"/>
          <w:color w:val="000000"/>
          <w:sz w:val="20"/>
        </w:rPr>
        <w:t>million as of September 30, 2023 and December 31, 2022, respectively, were classified as Level 1 instruments and were included in cash and cash equivalents.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Investments in marketable securities are valued using Level 2 inputs. Level 2 securities are initially valued at the transaction price and subsequently valued and reported upon utilizing inputs other than quoted prices that are observable either directly or indirectly, such as quotes from third-party pricing vendors. Fair values determined by Level 2 inputs, which utilize data points that are observable such as quoted prices, interest rates and yield curves, require the exercise of judgment and use of estimates, that if changed, could significantly affect the Company’s financial position and results of operations. The marketable securities of $237.4</w:t>
      </w:r>
      <w:r>
        <w:rPr>
          <w:rFonts w:ascii="Times New Roman" w:hAnsi="Times New Roman"/>
          <w:color w:val="000000"/>
          <w:sz w:val="20"/>
        </w:rPr>
        <w:t xml:space="preserve"> </w:t>
      </w:r>
      <w:r>
        <w:rPr>
          <w:rFonts w:ascii="Times New Roman" w:hAnsi="Times New Roman"/>
          <w:b w:val="false"/>
          <w:color w:val="000000"/>
          <w:sz w:val="20"/>
        </w:rPr>
        <w:t>million and $314.6</w:t>
      </w:r>
      <w:r>
        <w:rPr>
          <w:rFonts w:ascii="Times New Roman" w:hAnsi="Times New Roman"/>
          <w:color w:val="000000"/>
          <w:sz w:val="20"/>
        </w:rPr>
        <w:t xml:space="preserve"> </w:t>
      </w:r>
      <w:r>
        <w:rPr>
          <w:rFonts w:ascii="Times New Roman" w:hAnsi="Times New Roman"/>
          <w:b w:val="false"/>
          <w:color w:val="000000"/>
          <w:sz w:val="20"/>
        </w:rPr>
        <w:t>million as of September 30, 2023 and December 31, 2022, respectively, were classified as Level 2 instruments and included in short-term investments. Accrued interest receivable related to investments was $0.9</w:t>
      </w:r>
      <w:r>
        <w:rPr>
          <w:rFonts w:ascii="Times New Roman" w:hAnsi="Times New Roman"/>
          <w:color w:val="000000"/>
          <w:sz w:val="20"/>
        </w:rPr>
        <w:t xml:space="preserve"> </w:t>
      </w:r>
      <w:r>
        <w:rPr>
          <w:rFonts w:ascii="Times New Roman" w:hAnsi="Times New Roman"/>
          <w:b w:val="false"/>
          <w:color w:val="000000"/>
          <w:sz w:val="20"/>
        </w:rPr>
        <w:t>million and $0.8</w:t>
      </w:r>
      <w:r>
        <w:rPr>
          <w:rFonts w:ascii="Times New Roman" w:hAnsi="Times New Roman"/>
          <w:color w:val="000000"/>
          <w:sz w:val="20"/>
        </w:rPr>
        <w:t xml:space="preserve"> </w:t>
      </w:r>
      <w:r>
        <w:rPr>
          <w:rFonts w:ascii="Times New Roman" w:hAnsi="Times New Roman"/>
          <w:b w:val="false"/>
          <w:color w:val="000000"/>
          <w:sz w:val="20"/>
        </w:rPr>
        <w:t>million as of September 30, 2023 and December 31, 2022, respectively, and included as part of prepaid expenses and other current assets in the condensed balance sheets.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tables summarize the Company’s investments accounted for as available-for-sale securities as of September 30, 2023 and December 31, 2022 (in thousands):</w:t>
      </w:r>
    </w:p>
    <w:p>
      <w:pPr>
        <w:pStyle w:val="TextBody"/>
        <w:bidi w:val="0"/>
        <w:jc w:val="left"/>
        <w:rPr/>
      </w:pPr>
      <w:r>
        <w:rPr/>
        <w:t> </w:t>
      </w:r>
    </w:p>
    <w:tbl>
      <w:tblPr>
        <w:tblW w:w="8802" w:type="dxa"/>
        <w:jc w:val="left"/>
        <w:tblInd w:w="0" w:type="dxa"/>
        <w:tblLayout w:type="fixed"/>
        <w:tblCellMar>
          <w:top w:w="28" w:type="dxa"/>
          <w:left w:w="28" w:type="dxa"/>
          <w:bottom w:w="28" w:type="dxa"/>
          <w:right w:w="28" w:type="dxa"/>
        </w:tblCellMar>
      </w:tblPr>
      <w:tblGrid>
        <w:gridCol w:w="2311"/>
        <w:gridCol w:w="146"/>
        <w:gridCol w:w="1156"/>
        <w:gridCol w:w="146"/>
        <w:gridCol w:w="211"/>
        <w:gridCol w:w="781"/>
        <w:gridCol w:w="146"/>
        <w:gridCol w:w="146"/>
        <w:gridCol w:w="270"/>
        <w:gridCol w:w="616"/>
        <w:gridCol w:w="166"/>
        <w:gridCol w:w="146"/>
        <w:gridCol w:w="335"/>
        <w:gridCol w:w="551"/>
        <w:gridCol w:w="146"/>
        <w:gridCol w:w="146"/>
        <w:gridCol w:w="211"/>
        <w:gridCol w:w="78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115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1 year</w:t>
            </w:r>
            <w:r>
              <w:rPr>
                <w:rFonts w:ascii="Times New Roman" w:hAnsi="Times New Roman"/>
                <w:color w:val="000000"/>
                <w:sz w:val="20"/>
              </w:rPr>
              <w:t> </w:t>
            </w:r>
            <w:r>
              <w:rPr>
                <w:rFonts w:ascii="Times New Roman" w:hAnsi="Times New Roman"/>
                <w:b w:val="false"/>
                <w:color w:val="000000"/>
                <w:sz w:val="20"/>
              </w:rPr>
              <w:t>or less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47,507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47,423</w:t>
            </w:r>
          </w:p>
        </w:tc>
        <w:tc>
          <w:tcPr>
            <w:tcW w:w="3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1 year</w:t>
            </w:r>
            <w:r>
              <w:rPr>
                <w:rFonts w:ascii="Times New Roman" w:hAnsi="Times New Roman"/>
                <w:color w:val="000000"/>
                <w:sz w:val="20"/>
              </w:rPr>
              <w:t> </w:t>
            </w:r>
            <w:r>
              <w:rPr>
                <w:rFonts w:ascii="Times New Roman" w:hAnsi="Times New Roman"/>
                <w:b w:val="false"/>
                <w:color w:val="000000"/>
                <w:sz w:val="20"/>
              </w:rPr>
              <w:t>or less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37,663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37,546</w:t>
            </w:r>
          </w:p>
        </w:tc>
        <w:tc>
          <w:tcPr>
            <w:tcW w:w="3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securities</w:t>
            </w:r>
          </w:p>
        </w:tc>
        <w:tc>
          <w:tcPr>
            <w:tcW w:w="146" w:type="dxa"/>
            <w:tcBorders/>
            <w:shd w:fill="CFF0FC" w:val="clear"/>
            <w:vAlign w:val="center"/>
          </w:tcPr>
          <w:p>
            <w:pPr>
              <w:pStyle w:val="TableContents"/>
              <w:bidi w:val="0"/>
              <w:spacing w:before="0" w:after="283"/>
              <w:jc w:val="left"/>
              <w:rPr/>
            </w:pPr>
            <w:r>
              <w:rPr/>
              <w:t> </w:t>
            </w:r>
          </w:p>
        </w:tc>
        <w:tc>
          <w:tcPr>
            <w:tcW w:w="115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1 year</w:t>
            </w:r>
            <w:r>
              <w:rPr>
                <w:rFonts w:ascii="Times New Roman" w:hAnsi="Times New Roman"/>
                <w:color w:val="000000"/>
                <w:sz w:val="20"/>
              </w:rPr>
              <w:t> </w:t>
            </w:r>
            <w:r>
              <w:rPr>
                <w:rFonts w:ascii="Times New Roman" w:hAnsi="Times New Roman"/>
                <w:b w:val="false"/>
                <w:color w:val="000000"/>
                <w:sz w:val="20"/>
              </w:rPr>
              <w:t>or less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152,590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152,382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237,760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237,351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637" w:type="dxa"/>
        <w:jc w:val="left"/>
        <w:tblInd w:w="0" w:type="dxa"/>
        <w:tblLayout w:type="fixed"/>
        <w:tblCellMar>
          <w:top w:w="28" w:type="dxa"/>
          <w:left w:w="28" w:type="dxa"/>
          <w:bottom w:w="28" w:type="dxa"/>
          <w:right w:w="28" w:type="dxa"/>
        </w:tblCellMar>
      </w:tblPr>
      <w:tblGrid>
        <w:gridCol w:w="2146"/>
        <w:gridCol w:w="146"/>
        <w:gridCol w:w="1156"/>
        <w:gridCol w:w="146"/>
        <w:gridCol w:w="211"/>
        <w:gridCol w:w="781"/>
        <w:gridCol w:w="146"/>
        <w:gridCol w:w="146"/>
        <w:gridCol w:w="270"/>
        <w:gridCol w:w="616"/>
        <w:gridCol w:w="166"/>
        <w:gridCol w:w="146"/>
        <w:gridCol w:w="335"/>
        <w:gridCol w:w="551"/>
        <w:gridCol w:w="146"/>
        <w:gridCol w:w="146"/>
        <w:gridCol w:w="211"/>
        <w:gridCol w:w="781"/>
        <w:gridCol w:w="3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115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1 year</w:t>
            </w:r>
            <w:r>
              <w:rPr>
                <w:rFonts w:ascii="Times New Roman" w:hAnsi="Times New Roman"/>
                <w:color w:val="000000"/>
                <w:sz w:val="20"/>
              </w:rPr>
              <w:t> </w:t>
            </w:r>
            <w:r>
              <w:rPr>
                <w:rFonts w:ascii="Times New Roman" w:hAnsi="Times New Roman"/>
                <w:b w:val="false"/>
                <w:color w:val="000000"/>
                <w:sz w:val="20"/>
              </w:rPr>
              <w:t>or less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88,995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3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88,681</w:t>
            </w:r>
          </w:p>
        </w:tc>
        <w:tc>
          <w:tcPr>
            <w:tcW w:w="391" w:type="dxa"/>
            <w:tcBorders/>
            <w:shd w:fill="CFF0FC" w:val="clear"/>
            <w:vAlign w:val="center"/>
          </w:tcPr>
          <w:p>
            <w:pPr>
              <w:pStyle w:val="TableContents"/>
              <w:bidi w:val="0"/>
              <w:spacing w:before="0" w:after="283"/>
              <w:jc w:val="lef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1 year</w:t>
            </w:r>
            <w:r>
              <w:rPr>
                <w:rFonts w:ascii="Times New Roman" w:hAnsi="Times New Roman"/>
                <w:color w:val="000000"/>
                <w:sz w:val="20"/>
              </w:rPr>
              <w:t> </w:t>
            </w:r>
            <w:r>
              <w:rPr>
                <w:rFonts w:ascii="Times New Roman" w:hAnsi="Times New Roman"/>
                <w:b w:val="false"/>
                <w:color w:val="000000"/>
                <w:sz w:val="20"/>
              </w:rPr>
              <w:t>or less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65,532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65,409</w:t>
            </w:r>
          </w:p>
        </w:tc>
        <w:tc>
          <w:tcPr>
            <w:tcW w:w="391" w:type="dxa"/>
            <w:tcBorders/>
            <w:shd w:fill="FFFFFF" w:val="clear"/>
            <w:vAlign w:val="center"/>
          </w:tcPr>
          <w:p>
            <w:pPr>
              <w:pStyle w:val="TableContents"/>
              <w:bidi w:val="0"/>
              <w:spacing w:before="0" w:after="283"/>
              <w:jc w:val="lef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Government securities</w:t>
            </w:r>
          </w:p>
        </w:tc>
        <w:tc>
          <w:tcPr>
            <w:tcW w:w="146" w:type="dxa"/>
            <w:tcBorders/>
            <w:shd w:fill="CFF0FC" w:val="clear"/>
            <w:vAlign w:val="center"/>
          </w:tcPr>
          <w:p>
            <w:pPr>
              <w:pStyle w:val="TableContents"/>
              <w:bidi w:val="0"/>
              <w:spacing w:before="0" w:after="283"/>
              <w:jc w:val="left"/>
              <w:rPr/>
            </w:pPr>
            <w:r>
              <w:rPr/>
              <w:t> </w:t>
            </w:r>
          </w:p>
        </w:tc>
        <w:tc>
          <w:tcPr>
            <w:tcW w:w="115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1 year</w:t>
            </w:r>
            <w:r>
              <w:rPr>
                <w:rFonts w:ascii="Times New Roman" w:hAnsi="Times New Roman"/>
                <w:color w:val="000000"/>
                <w:sz w:val="20"/>
              </w:rPr>
              <w:t> </w:t>
            </w:r>
            <w:r>
              <w:rPr>
                <w:rFonts w:ascii="Times New Roman" w:hAnsi="Times New Roman"/>
                <w:b w:val="false"/>
                <w:color w:val="000000"/>
                <w:sz w:val="20"/>
              </w:rPr>
              <w:t>or less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160,801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160,559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315,328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314,649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The Company has classified its investment securities as current and non-current assets on the condensed balance sheets based on each security's contractual maturity date, and all investment securities are accounted for as available-for-sale because these investment securities are considered available for use in current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considers whether unrealized losses have resulted from a credit loss or other factors. The unrealized losses on the Company’s available-for-sale securities as of September 30, 2023 and December 31, 2022 were caused by fluctuations in market value and interest rates as a result of the economic environment and not credit risk. The Company concluded that an allowance for credit losses was unnecessary as of September 30, 2023 and December 31, 2022. It is neither management’s intention to sell nor is it more likely than not that the Company will be required to sell these investments prior to recovery of their cost basis or recovery of fair value. Unrealized gains and losses are included in accumulated other comprehensive loss.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nine months ended September 30, 2023, there were immaterial realized gains recognized on available-for-sale securities sold in the period. There was no</w:t>
      </w:r>
      <w:r>
        <w:rPr>
          <w:rFonts w:ascii="Times New Roman" w:hAnsi="Times New Roman"/>
          <w:color w:val="000000"/>
          <w:sz w:val="20"/>
        </w:rPr>
        <w:t xml:space="preserve"> </w:t>
      </w:r>
      <w:r>
        <w:rPr>
          <w:rFonts w:ascii="Times New Roman" w:hAnsi="Times New Roman"/>
          <w:b w:val="false"/>
          <w:color w:val="000000"/>
          <w:sz w:val="20"/>
        </w:rPr>
        <w:t>realized gain or loss on available-for-sale securities for the nine months ended September 30, 2022. The Company uses the specific identification method to determine the cost basis of investments sold.</w:t>
      </w:r>
    </w:p>
    <w:p>
      <w:pPr>
        <w:pStyle w:val="TextBody"/>
        <w:bidi w:val="0"/>
        <w:spacing w:before="160" w:after="283"/>
        <w:jc w:val="left"/>
        <w:rPr>
          <w:rFonts w:ascii="Times New Roman" w:hAnsi="Times New Roman"/>
          <w:sz w:val="20"/>
        </w:rPr>
      </w:pPr>
      <w:r>
        <w:rPr>
          <w:rFonts w:ascii="Times New Roman" w:hAnsi="Times New Roman"/>
          <w:b/>
          <w:color w:val="000000"/>
          <w:sz w:val="20"/>
        </w:rPr>
        <w:t>5. Balance Sheet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Prepaid Expenses and Other 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Prepaid expenses and other current assets are comprised of the following (in thousands):</w:t>
      </w:r>
      <w:r>
        <w:rPr>
          <w:rFonts w:ascii="Times New Roman" w:hAnsi="Times New Roman"/>
          <w:color w:val="000000"/>
          <w:sz w:val="20"/>
        </w:rPr>
        <w:t xml:space="preserve"> </w:t>
      </w:r>
    </w:p>
    <w:p>
      <w:pPr>
        <w:pStyle w:val="TextBody"/>
        <w:bidi w:val="0"/>
        <w:jc w:val="left"/>
        <w:rPr/>
      </w:pPr>
      <w:r>
        <w:rPr/>
        <w:t> </w:t>
      </w:r>
    </w:p>
    <w:tbl>
      <w:tblPr>
        <w:tblW w:w="7195" w:type="dxa"/>
        <w:jc w:val="left"/>
        <w:tblInd w:w="0" w:type="dxa"/>
        <w:tblLayout w:type="fixed"/>
        <w:tblCellMar>
          <w:top w:w="28" w:type="dxa"/>
          <w:left w:w="28" w:type="dxa"/>
          <w:bottom w:w="28" w:type="dxa"/>
          <w:right w:w="28" w:type="dxa"/>
        </w:tblCellMar>
      </w:tblPr>
      <w:tblGrid>
        <w:gridCol w:w="4131"/>
        <w:gridCol w:w="146"/>
        <w:gridCol w:w="307"/>
        <w:gridCol w:w="833"/>
        <w:gridCol w:w="146"/>
        <w:gridCol w:w="146"/>
        <w:gridCol w:w="294"/>
        <w:gridCol w:w="801"/>
        <w:gridCol w:w="391"/>
      </w:tblGrid>
      <w:tr>
        <w:trPr/>
        <w:tc>
          <w:tcPr>
            <w:tcW w:w="4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expenses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5,616</w:t>
            </w:r>
          </w:p>
        </w:tc>
        <w:tc>
          <w:tcPr>
            <w:tcW w:w="391" w:type="dxa"/>
            <w:tcBorders/>
            <w:shd w:fill="CFF0FC" w:val="clear"/>
            <w:vAlign w:val="center"/>
          </w:tcPr>
          <w:p>
            <w:pPr>
              <w:pStyle w:val="TableContents"/>
              <w:bidi w:val="0"/>
              <w:spacing w:before="0" w:after="283"/>
              <w:jc w:val="left"/>
              <w:rPr/>
            </w:pPr>
            <w:r>
              <w:rPr/>
              <w:t> </w:t>
            </w:r>
          </w:p>
        </w:tc>
      </w:tr>
      <w:tr>
        <w:trPr/>
        <w:tc>
          <w:tcPr>
            <w:tcW w:w="4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current assets</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Property and equipment, net is comprised of the following (in thousands):</w:t>
      </w:r>
      <w:r>
        <w:rPr>
          <w:rFonts w:ascii="Times New Roman" w:hAnsi="Times New Roman"/>
          <w:color w:val="000000"/>
          <w:sz w:val="20"/>
        </w:rPr>
        <w:t xml:space="preserve"> </w:t>
      </w:r>
    </w:p>
    <w:p>
      <w:pPr>
        <w:pStyle w:val="TextBody"/>
        <w:bidi w:val="0"/>
        <w:jc w:val="left"/>
        <w:rPr/>
      </w:pPr>
      <w:r>
        <w:rPr/>
        <w:t> </w:t>
      </w:r>
    </w:p>
    <w:tbl>
      <w:tblPr>
        <w:tblW w:w="7155" w:type="dxa"/>
        <w:jc w:val="left"/>
        <w:tblInd w:w="0" w:type="dxa"/>
        <w:tblLayout w:type="fixed"/>
        <w:tblCellMar>
          <w:top w:w="28" w:type="dxa"/>
          <w:left w:w="28" w:type="dxa"/>
          <w:bottom w:w="28" w:type="dxa"/>
          <w:right w:w="28" w:type="dxa"/>
        </w:tblCellMar>
      </w:tblPr>
      <w:tblGrid>
        <w:gridCol w:w="4051"/>
        <w:gridCol w:w="146"/>
        <w:gridCol w:w="271"/>
        <w:gridCol w:w="869"/>
        <w:gridCol w:w="166"/>
        <w:gridCol w:w="146"/>
        <w:gridCol w:w="260"/>
        <w:gridCol w:w="835"/>
        <w:gridCol w:w="4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66,619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4,402</w:t>
            </w:r>
          </w:p>
        </w:tc>
        <w:tc>
          <w:tcPr>
            <w:tcW w:w="4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645</w:t>
            </w:r>
          </w:p>
        </w:tc>
        <w:tc>
          <w:tcPr>
            <w:tcW w:w="4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equipment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12,900</w:t>
            </w:r>
          </w:p>
        </w:tc>
        <w:tc>
          <w:tcPr>
            <w:tcW w:w="4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Computers and software</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w:t>
            </w:r>
          </w:p>
        </w:tc>
        <w:tc>
          <w:tcPr>
            <w:tcW w:w="4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Construction in progress</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property and equipment, gross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87,129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67,732</w:t>
            </w:r>
          </w:p>
        </w:tc>
        <w:tc>
          <w:tcPr>
            <w:tcW w:w="4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accumulated depreciation and amortization</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0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property and equipment, net</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77,687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61,908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Depreciation and amortization expense was $2.0</w:t>
      </w:r>
      <w:r>
        <w:rPr>
          <w:rFonts w:ascii="Times New Roman" w:hAnsi="Times New Roman"/>
          <w:color w:val="000000"/>
          <w:sz w:val="20"/>
        </w:rPr>
        <w:t xml:space="preserve"> </w:t>
      </w:r>
      <w:r>
        <w:rPr>
          <w:rFonts w:ascii="Times New Roman" w:hAnsi="Times New Roman"/>
          <w:b w:val="false"/>
          <w:color w:val="000000"/>
          <w:sz w:val="20"/>
        </w:rPr>
        <w:t>million and $3.6</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2023, respectively, and $0.7</w:t>
      </w:r>
      <w:r>
        <w:rPr>
          <w:rFonts w:ascii="Times New Roman" w:hAnsi="Times New Roman"/>
          <w:color w:val="000000"/>
          <w:sz w:val="20"/>
        </w:rPr>
        <w:t xml:space="preserve"> </w:t>
      </w:r>
      <w:r>
        <w:rPr>
          <w:rFonts w:ascii="Times New Roman" w:hAnsi="Times New Roman"/>
          <w:b w:val="false"/>
          <w:color w:val="000000"/>
          <w:sz w:val="20"/>
        </w:rPr>
        <w:t>million and $1.9</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2022, respectively.</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Accrued and Other Current Liabilities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Accrued other current liabilities are comprised of the following (in thousands):</w:t>
      </w:r>
      <w:r>
        <w:rPr>
          <w:rFonts w:ascii="Times New Roman" w:hAnsi="Times New Roman"/>
          <w:color w:val="000000"/>
          <w:sz w:val="20"/>
        </w:rPr>
        <w:t xml:space="preserve"> </w:t>
      </w:r>
    </w:p>
    <w:p>
      <w:pPr>
        <w:pStyle w:val="TextBody"/>
        <w:bidi w:val="0"/>
        <w:jc w:val="left"/>
        <w:rPr/>
      </w:pPr>
      <w:r>
        <w:rPr/>
        <w:t> </w:t>
      </w:r>
    </w:p>
    <w:tbl>
      <w:tblPr>
        <w:tblW w:w="6470" w:type="dxa"/>
        <w:jc w:val="left"/>
        <w:tblInd w:w="0" w:type="dxa"/>
        <w:tblLayout w:type="fixed"/>
        <w:tblCellMar>
          <w:top w:w="28" w:type="dxa"/>
          <w:left w:w="28" w:type="dxa"/>
          <w:bottom w:w="28" w:type="dxa"/>
          <w:right w:w="28" w:type="dxa"/>
        </w:tblCellMar>
      </w:tblPr>
      <w:tblGrid>
        <w:gridCol w:w="3406"/>
        <w:gridCol w:w="146"/>
        <w:gridCol w:w="271"/>
        <w:gridCol w:w="869"/>
        <w:gridCol w:w="146"/>
        <w:gridCol w:w="146"/>
        <w:gridCol w:w="260"/>
        <w:gridCol w:w="835"/>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6,691</w:t>
            </w:r>
          </w:p>
        </w:tc>
        <w:tc>
          <w:tcPr>
            <w:tcW w:w="39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research and development costs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3,486</w:t>
            </w:r>
          </w:p>
        </w:tc>
        <w:tc>
          <w:tcPr>
            <w:tcW w:w="39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property and equipment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5,001</w:t>
            </w:r>
          </w:p>
        </w:tc>
        <w:tc>
          <w:tcPr>
            <w:tcW w:w="39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accrued and current liabilities</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accrued and other liabilities</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6. Leases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has operating leases for its current corporate offices, laboratories, manufacturing facilities, and dedicated space in a vivarium in South San Francisco, California. Rent expense was $2.7</w:t>
      </w:r>
      <w:r>
        <w:rPr>
          <w:rFonts w:ascii="Times New Roman" w:hAnsi="Times New Roman"/>
          <w:color w:val="000000"/>
          <w:sz w:val="20"/>
        </w:rPr>
        <w:t xml:space="preserve"> </w:t>
      </w:r>
      <w:r>
        <w:rPr>
          <w:rFonts w:ascii="Times New Roman" w:hAnsi="Times New Roman"/>
          <w:b w:val="false"/>
          <w:color w:val="000000"/>
          <w:sz w:val="20"/>
        </w:rPr>
        <w:t>million and $8.2</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2023, respectively, and $2.8</w:t>
      </w:r>
      <w:r>
        <w:rPr>
          <w:rFonts w:ascii="Times New Roman" w:hAnsi="Times New Roman"/>
          <w:color w:val="000000"/>
          <w:sz w:val="20"/>
        </w:rPr>
        <w:t xml:space="preserve"> </w:t>
      </w:r>
      <w:r>
        <w:rPr>
          <w:rFonts w:ascii="Times New Roman" w:hAnsi="Times New Roman"/>
          <w:b w:val="false"/>
          <w:color w:val="000000"/>
          <w:sz w:val="20"/>
        </w:rPr>
        <w:t>million and $8.2</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2022, respectively. The total cash paid for operating leases included in the operating cash flows was $0.5</w:t>
      </w:r>
      <w:r>
        <w:rPr>
          <w:rFonts w:ascii="Times New Roman" w:hAnsi="Times New Roman"/>
          <w:color w:val="000000"/>
          <w:sz w:val="20"/>
        </w:rPr>
        <w:t xml:space="preserve"> </w:t>
      </w:r>
      <w:r>
        <w:rPr>
          <w:rFonts w:ascii="Times New Roman" w:hAnsi="Times New Roman"/>
          <w:b w:val="false"/>
          <w:color w:val="000000"/>
          <w:sz w:val="20"/>
        </w:rPr>
        <w:t>million, inclusive of $8.3</w:t>
      </w:r>
      <w:r>
        <w:rPr>
          <w:rFonts w:ascii="Times New Roman" w:hAnsi="Times New Roman"/>
          <w:color w:val="000000"/>
          <w:sz w:val="20"/>
        </w:rPr>
        <w:t xml:space="preserve"> </w:t>
      </w:r>
      <w:r>
        <w:rPr>
          <w:rFonts w:ascii="Times New Roman" w:hAnsi="Times New Roman"/>
          <w:b w:val="false"/>
          <w:color w:val="000000"/>
          <w:sz w:val="20"/>
        </w:rPr>
        <w:t>million of rent payments less $7.8</w:t>
      </w:r>
      <w:r>
        <w:rPr>
          <w:rFonts w:ascii="Times New Roman" w:hAnsi="Times New Roman"/>
          <w:color w:val="000000"/>
          <w:sz w:val="20"/>
        </w:rPr>
        <w:t xml:space="preserve"> </w:t>
      </w:r>
      <w:r>
        <w:rPr>
          <w:rFonts w:ascii="Times New Roman" w:hAnsi="Times New Roman"/>
          <w:b w:val="false"/>
          <w:color w:val="000000"/>
          <w:sz w:val="20"/>
        </w:rPr>
        <w:t>million of cash received related to tenant improvement allowance reimbursement, for the nine months ended September 30, 2023. The total cash received for operating leases included in the operating cash flows was $6.6</w:t>
      </w:r>
      <w:r>
        <w:rPr>
          <w:rFonts w:ascii="Times New Roman" w:hAnsi="Times New Roman"/>
          <w:color w:val="000000"/>
          <w:sz w:val="20"/>
        </w:rPr>
        <w:t xml:space="preserve"> </w:t>
      </w:r>
      <w:r>
        <w:rPr>
          <w:rFonts w:ascii="Times New Roman" w:hAnsi="Times New Roman"/>
          <w:b w:val="false"/>
          <w:color w:val="000000"/>
          <w:sz w:val="20"/>
        </w:rPr>
        <w:t>million, inclusive of $9.5</w:t>
      </w:r>
      <w:r>
        <w:rPr>
          <w:rFonts w:ascii="Times New Roman" w:hAnsi="Times New Roman"/>
          <w:color w:val="000000"/>
          <w:sz w:val="20"/>
        </w:rPr>
        <w:t xml:space="preserve"> </w:t>
      </w:r>
      <w:r>
        <w:rPr>
          <w:rFonts w:ascii="Times New Roman" w:hAnsi="Times New Roman"/>
          <w:b w:val="false"/>
          <w:color w:val="000000"/>
          <w:sz w:val="20"/>
        </w:rPr>
        <w:t>million of cash received related to tenant improvement allowance reimbursement less $2.9</w:t>
      </w:r>
      <w:r>
        <w:rPr>
          <w:rFonts w:ascii="Times New Roman" w:hAnsi="Times New Roman"/>
          <w:color w:val="000000"/>
          <w:sz w:val="20"/>
        </w:rPr>
        <w:t xml:space="preserve"> </w:t>
      </w:r>
      <w:r>
        <w:rPr>
          <w:rFonts w:ascii="Times New Roman" w:hAnsi="Times New Roman"/>
          <w:b w:val="false"/>
          <w:color w:val="000000"/>
          <w:sz w:val="20"/>
        </w:rPr>
        <w:t>million of rent payments, for the nine months ended September 30, 2022. The weighted-average remaining lease term was 10.0</w:t>
      </w:r>
      <w:r>
        <w:rPr>
          <w:rFonts w:ascii="Times New Roman" w:hAnsi="Times New Roman"/>
          <w:color w:val="000000"/>
          <w:sz w:val="20"/>
        </w:rPr>
        <w:t xml:space="preserve"> </w:t>
      </w:r>
      <w:r>
        <w:rPr>
          <w:rFonts w:ascii="Times New Roman" w:hAnsi="Times New Roman"/>
          <w:b w:val="false"/>
          <w:color w:val="000000"/>
          <w:sz w:val="20"/>
        </w:rPr>
        <w:t>years for the corporate office, laboratory space leases, and additional facility as of September 30, 2023. The weighted-average discount rate was 9.8% as of September 30, 2023.</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May 2018, the Company entered into a lease agreement for corporate office and laboratory space located in South San Francisco, California with an expiration date in May 2025</w:t>
      </w:r>
      <w:r>
        <w:rPr>
          <w:rFonts w:ascii="Times New Roman" w:hAnsi="Times New Roman"/>
          <w:color w:val="000000"/>
          <w:sz w:val="20"/>
        </w:rPr>
        <w:t xml:space="preserve"> </w:t>
      </w:r>
      <w:r>
        <w:rPr>
          <w:rFonts w:ascii="Times New Roman" w:hAnsi="Times New Roman"/>
          <w:b w:val="false"/>
          <w:color w:val="000000"/>
          <w:sz w:val="20"/>
        </w:rPr>
        <w:t>(the "Initial Lease Agreement").</w:t>
      </w:r>
      <w:r>
        <w:rPr>
          <w:rFonts w:ascii="Times New Roman" w:hAnsi="Times New Roman"/>
          <w:color w:val="000000"/>
          <w:sz w:val="20"/>
        </w:rPr>
        <w:t xml:space="preserve"> </w:t>
      </w:r>
      <w:r>
        <w:rPr>
          <w:rFonts w:ascii="Times New Roman" w:hAnsi="Times New Roman"/>
          <w:b w:val="false"/>
          <w:color w:val="000000"/>
          <w:sz w:val="20"/>
        </w:rPr>
        <w:t>In April 2019, the Company executed the first amendment to the Initial Lease Agreement for additional corporate space, laboratory space and manufacturing capabilities and an extension to the lease term through April 2026.</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May 2020, the Company signed a second amendment to the Initial Lease Agreement. The amended lease provides for an eight-year</w:t>
      </w:r>
      <w:r>
        <w:rPr>
          <w:rFonts w:ascii="Times New Roman" w:hAnsi="Times New Roman"/>
          <w:color w:val="000000"/>
          <w:sz w:val="20"/>
        </w:rPr>
        <w:t xml:space="preserve"> </w:t>
      </w:r>
      <w:r>
        <w:rPr>
          <w:rFonts w:ascii="Times New Roman" w:hAnsi="Times New Roman"/>
          <w:b w:val="false"/>
          <w:color w:val="000000"/>
          <w:sz w:val="20"/>
        </w:rPr>
        <w:t>non-cancelable lease of additional office and laboratory space in the same building. The lease amendment for additional office and laboratory space contains rent escalations during the term of the lease. The lease for this additional space commenced in January 2021 and expires in January 2029. The lease amendment also includes an extension of the lease term for the existing office and laboratory space beginning on May 1, 2020 and expiring in January 2029. The amendment to the Initial Lease Agreement also includes an option to extend</w:t>
      </w:r>
      <w:r>
        <w:rPr>
          <w:rFonts w:ascii="Times New Roman" w:hAnsi="Times New Roman"/>
          <w:color w:val="000000"/>
          <w:sz w:val="20"/>
        </w:rPr>
        <w:t xml:space="preserve"> </w:t>
      </w:r>
      <w:r>
        <w:rPr>
          <w:rFonts w:ascii="Times New Roman" w:hAnsi="Times New Roman"/>
          <w:b w:val="false"/>
          <w:color w:val="000000"/>
          <w:sz w:val="20"/>
        </w:rPr>
        <w:t>the lease for an additional seven-year</w:t>
      </w:r>
      <w:r>
        <w:rPr>
          <w:rFonts w:ascii="Times New Roman" w:hAnsi="Times New Roman"/>
          <w:color w:val="000000"/>
          <w:sz w:val="20"/>
        </w:rPr>
        <w:t xml:space="preserve"> </w:t>
      </w:r>
      <w:r>
        <w:rPr>
          <w:rFonts w:ascii="Times New Roman" w:hAnsi="Times New Roman"/>
          <w:b w:val="false"/>
          <w:color w:val="000000"/>
          <w:sz w:val="20"/>
        </w:rPr>
        <w:t>term.</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January 2021, the Company signed a third amendment to the Initial Lease Agreement which provides for lease of additional space in the same building. The lease amendment for this additional space commenced in April 2021 and expires in March 2024.</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October 2021, the Company signed a fourth amendment to the Initial Lease Agreement which provides for lease of additional space in the same building. The lease for additional office and laboratory space contains rent escalations during the term of the lease. The lease amendment of this additional space commenced in April 2022 and expires in January 2029. The lease amendment also includes this additional space in the Company’s option to extend</w:t>
      </w:r>
      <w:r>
        <w:rPr>
          <w:rFonts w:ascii="Times New Roman" w:hAnsi="Times New Roman"/>
          <w:color w:val="000000"/>
          <w:sz w:val="20"/>
        </w:rPr>
        <w:t xml:space="preserve"> </w:t>
      </w:r>
      <w:r>
        <w:rPr>
          <w:rFonts w:ascii="Times New Roman" w:hAnsi="Times New Roman"/>
          <w:b w:val="false"/>
          <w:color w:val="000000"/>
          <w:sz w:val="20"/>
        </w:rPr>
        <w:t>the amended Initial Lease Agreement for an additional seven-year term.</w:t>
      </w:r>
      <w:r>
        <w:rPr>
          <w:rFonts w:ascii="Times New Roman" w:hAnsi="Times New Roman"/>
          <w:color w:val="000000"/>
          <w:sz w:val="20"/>
        </w:rPr>
        <w:t xml:space="preserve"> </w:t>
      </w:r>
      <w:r>
        <w:rPr>
          <w:rFonts w:ascii="Times New Roman" w:hAnsi="Times New Roman"/>
          <w:b w:val="false"/>
          <w:color w:val="000000"/>
          <w:sz w:val="20"/>
        </w:rPr>
        <w:t>The other terms of the Initial Lease Agreement, as amended, remain unchanged.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July 2021, the Company entered into an additional lease agreement for corporate office, manufacturing and laboratory space located in South San Francisco, California with an expiration date approximately twelve years</w:t>
      </w:r>
      <w:r>
        <w:rPr>
          <w:rFonts w:ascii="Times New Roman" w:hAnsi="Times New Roman"/>
          <w:color w:val="000000"/>
          <w:sz w:val="20"/>
        </w:rPr>
        <w:t xml:space="preserve"> </w:t>
      </w:r>
      <w:r>
        <w:rPr>
          <w:rFonts w:ascii="Times New Roman" w:hAnsi="Times New Roman"/>
          <w:b w:val="false"/>
          <w:color w:val="000000"/>
          <w:sz w:val="20"/>
        </w:rPr>
        <w:t>after the lease commencement date (the "Additional Lease Agreement"). The lease for this additional space and the Company's obligation to pay rent commenced in January 2022. In addition to ba</w:t>
      </w:r>
      <w:r>
        <w:rPr>
          <w:rFonts w:ascii="Times New Roman" w:hAnsi="Times New Roman"/>
          <w:b w:val="false"/>
          <w:color w:val="212529"/>
          <w:sz w:val="20"/>
        </w:rPr>
        <w:t>se rent, the Company is responsible for payment of direct expenses, which include operating, insurance and tax expenses. The lease also provides for certain tenant improvement allowances of up to approximately $25.2</w:t>
      </w:r>
      <w:r>
        <w:rPr>
          <w:rFonts w:ascii="Times New Roman" w:hAnsi="Times New Roman"/>
          <w:color w:val="212529"/>
          <w:sz w:val="20"/>
        </w:rPr>
        <w:t xml:space="preserve"> </w:t>
      </w:r>
      <w:r>
        <w:rPr>
          <w:rFonts w:ascii="Times New Roman" w:hAnsi="Times New Roman"/>
          <w:b w:val="false"/>
          <w:color w:val="212529"/>
          <w:sz w:val="20"/>
        </w:rPr>
        <w:t>million for tenant improvements and certain infrastructure upgrades in connection with the initial buildout of the premises, approximately $4.4</w:t>
      </w:r>
      <w:r>
        <w:rPr>
          <w:rFonts w:ascii="Times New Roman" w:hAnsi="Times New Roman"/>
          <w:color w:val="212529"/>
          <w:sz w:val="20"/>
        </w:rPr>
        <w:t xml:space="preserve"> </w:t>
      </w:r>
      <w:r>
        <w:rPr>
          <w:rFonts w:ascii="Times New Roman" w:hAnsi="Times New Roman"/>
          <w:b w:val="false"/>
          <w:color w:val="212529"/>
          <w:sz w:val="20"/>
        </w:rPr>
        <w:t>million of which, if utilized, would need to be repaid by the Company over the lease term (the “Optional TIA”). In 2021, the Company delivered a security deposit in the form of a letter of credit of $1.6</w:t>
      </w:r>
      <w:r>
        <w:rPr>
          <w:rFonts w:ascii="Times New Roman" w:hAnsi="Times New Roman"/>
          <w:color w:val="212529"/>
          <w:sz w:val="20"/>
        </w:rPr>
        <w:t xml:space="preserve"> </w:t>
      </w:r>
      <w:r>
        <w:rPr>
          <w:rFonts w:ascii="Times New Roman" w:hAnsi="Times New Roman"/>
          <w:b w:val="false"/>
          <w:color w:val="212529"/>
          <w:sz w:val="20"/>
        </w:rPr>
        <w:t>million to the landlord in connection with the Additional Lease Agreement.</w:t>
      </w:r>
      <w:r>
        <w:rPr>
          <w:rFonts w:ascii="Times New Roman" w:hAnsi="Times New Roman"/>
          <w:color w:val="212529"/>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212529"/>
          <w:sz w:val="20"/>
        </w:rPr>
        <w:t xml:space="preserve">In November </w:t>
      </w:r>
      <w:r>
        <w:rPr>
          <w:rFonts w:ascii="Times New Roman" w:hAnsi="Times New Roman"/>
          <w:b w:val="false"/>
          <w:color w:val="000000"/>
          <w:sz w:val="20"/>
        </w:rPr>
        <w:t>2021, the Company entered into an amendment to the Additional Lease Agreement. The lease amendment expressly includes manufacturing as a permitted use at the facility, clarifies that Silicon Valley Bank ("SVB") is an acceptable bank for purposes of issuing a letter of credit under the lease, revises the letter of credit transferability terms and replaces the form of letter of credit attached to the lease.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August 2022, the Company entered into fifth amendment to the Initial Lease Agreement and a second amendment to the Additional Lease Agreement for its existing facilities in South San Francisco, California. The fifth amendment to the Initial Lease Agreement includes an extension of the lease term for certain of the Company's existing facilities through July 31, 2030. The second amendment to the Additional Lease Agreement provides for approximately $15.0</w:t>
      </w:r>
      <w:r>
        <w:rPr>
          <w:rFonts w:ascii="Times New Roman" w:hAnsi="Times New Roman"/>
          <w:color w:val="000000"/>
          <w:sz w:val="20"/>
        </w:rPr>
        <w:t xml:space="preserve"> </w:t>
      </w:r>
      <w:r>
        <w:rPr>
          <w:rFonts w:ascii="Times New Roman" w:hAnsi="Times New Roman"/>
          <w:b w:val="false"/>
          <w:color w:val="000000"/>
          <w:sz w:val="20"/>
        </w:rPr>
        <w:t>million of additional tenant improvement allowances, in addition to the tenant improvement allowances of $25.2</w:t>
      </w:r>
      <w:r>
        <w:rPr>
          <w:rFonts w:ascii="Times New Roman" w:hAnsi="Times New Roman"/>
          <w:color w:val="000000"/>
          <w:sz w:val="20"/>
        </w:rPr>
        <w:t xml:space="preserve"> </w:t>
      </w:r>
      <w:r>
        <w:rPr>
          <w:rFonts w:ascii="Times New Roman" w:hAnsi="Times New Roman"/>
          <w:b w:val="false"/>
          <w:color w:val="000000"/>
          <w:sz w:val="20"/>
        </w:rPr>
        <w:t>million included in the original Additional Lease Agreement, and increases the base rent payments over the existing term of the lease.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March 2023, the Company held $2.7</w:t>
      </w:r>
      <w:r>
        <w:rPr>
          <w:rFonts w:ascii="Times New Roman" w:hAnsi="Times New Roman"/>
          <w:color w:val="000000"/>
          <w:sz w:val="20"/>
        </w:rPr>
        <w:t xml:space="preserve"> </w:t>
      </w:r>
      <w:r>
        <w:rPr>
          <w:rFonts w:ascii="Times New Roman" w:hAnsi="Times New Roman"/>
          <w:b w:val="false"/>
          <w:color w:val="000000"/>
          <w:sz w:val="20"/>
        </w:rPr>
        <w:t>million in collateral money market accounts supporting letters of credit issued by SVB to the landlord in connection with the Initial Lease Agreement and Additional Lease Agreement. In April 2023, the Company replaced the $2.7</w:t>
      </w:r>
      <w:r>
        <w:rPr>
          <w:rFonts w:ascii="Times New Roman" w:hAnsi="Times New Roman"/>
          <w:color w:val="000000"/>
          <w:sz w:val="20"/>
        </w:rPr>
        <w:t xml:space="preserve"> </w:t>
      </w:r>
      <w:r>
        <w:rPr>
          <w:rFonts w:ascii="Times New Roman" w:hAnsi="Times New Roman"/>
          <w:b w:val="false"/>
          <w:color w:val="000000"/>
          <w:sz w:val="20"/>
        </w:rPr>
        <w:t>million in letters of credit issued by SVB with letters of credit in the same amount from a different financial institution, and the Company entered into a third amendment to the Additional Lease Agreement. The lease amendment clarifies the form of letter of credit.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June 2023, the Company entered into a fourth amendment to the Additional Lease Agreement. The lease amendment confirms that the Company utilized the Optional TIA in the amount of approximately $4.4</w:t>
      </w:r>
      <w:r>
        <w:rPr>
          <w:rFonts w:ascii="Times New Roman" w:hAnsi="Times New Roman"/>
          <w:color w:val="000000"/>
          <w:sz w:val="20"/>
        </w:rPr>
        <w:t xml:space="preserve"> </w:t>
      </w:r>
      <w:r>
        <w:rPr>
          <w:rFonts w:ascii="Times New Roman" w:hAnsi="Times New Roman"/>
          <w:b w:val="false"/>
          <w:color w:val="000000"/>
          <w:sz w:val="20"/>
        </w:rPr>
        <w:t>million and as a result the Company began repaying the “Optional TIA” on July 1, 2023. The other terms of the Additional Lease Agreement, as amended, remain unchanged.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Maturities of operating lease liabilities under existing operating leases as of September 30, 2023 were as follows (in thousands):</w:t>
      </w:r>
      <w:r>
        <w:rPr>
          <w:rFonts w:ascii="Times New Roman" w:hAnsi="Times New Roman"/>
          <w:color w:val="000000"/>
          <w:sz w:val="20"/>
        </w:rPr>
        <w:t xml:space="preserve"> </w:t>
      </w:r>
    </w:p>
    <w:p>
      <w:pPr>
        <w:pStyle w:val="TextBody"/>
        <w:bidi w:val="0"/>
        <w:jc w:val="left"/>
        <w:rPr/>
      </w:pPr>
      <w:r>
        <w:rPr/>
        <w:t> </w:t>
      </w:r>
    </w:p>
    <w:tbl>
      <w:tblPr>
        <w:tblW w:w="6085" w:type="dxa"/>
        <w:jc w:val="left"/>
        <w:tblInd w:w="0" w:type="dxa"/>
        <w:tblLayout w:type="fixed"/>
        <w:tblCellMar>
          <w:top w:w="28" w:type="dxa"/>
          <w:left w:w="28" w:type="dxa"/>
          <w:bottom w:w="28" w:type="dxa"/>
          <w:right w:w="28" w:type="dxa"/>
        </w:tblCellMar>
      </w:tblPr>
      <w:tblGrid>
        <w:gridCol w:w="4536"/>
        <w:gridCol w:w="146"/>
        <w:gridCol w:w="211"/>
        <w:gridCol w:w="781"/>
        <w:gridCol w:w="411"/>
      </w:tblGrid>
      <w:tr>
        <w:trPr/>
        <w:tc>
          <w:tcPr>
            <w:tcW w:w="4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 (remaining three months)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3,364</w:t>
            </w:r>
          </w:p>
        </w:tc>
        <w:tc>
          <w:tcPr>
            <w:tcW w:w="411" w:type="dxa"/>
            <w:tcBorders/>
            <w:shd w:fill="CFF0FC"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12,720</w:t>
            </w:r>
          </w:p>
        </w:tc>
        <w:tc>
          <w:tcPr>
            <w:tcW w:w="411" w:type="dxa"/>
            <w:tcBorders/>
            <w:shd w:fill="FFFFFF" w:val="clear"/>
            <w:vAlign w:val="center"/>
          </w:tcPr>
          <w:p>
            <w:pPr>
              <w:pStyle w:val="TableContents"/>
              <w:bidi w:val="0"/>
              <w:spacing w:before="0" w:after="283"/>
              <w:jc w:val="left"/>
              <w:rPr/>
            </w:pPr>
            <w:r>
              <w:rPr/>
              <w:t> </w:t>
            </w:r>
          </w:p>
        </w:tc>
      </w:tr>
      <w:tr>
        <w:trPr/>
        <w:tc>
          <w:tcPr>
            <w:tcW w:w="45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13,027</w:t>
            </w:r>
          </w:p>
        </w:tc>
        <w:tc>
          <w:tcPr>
            <w:tcW w:w="411" w:type="dxa"/>
            <w:tcBorders/>
            <w:shd w:fill="CFF0FC"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13,462</w:t>
            </w:r>
          </w:p>
        </w:tc>
        <w:tc>
          <w:tcPr>
            <w:tcW w:w="411" w:type="dxa"/>
            <w:tcBorders/>
            <w:shd w:fill="FFFFFF" w:val="clear"/>
            <w:vAlign w:val="center"/>
          </w:tcPr>
          <w:p>
            <w:pPr>
              <w:pStyle w:val="TableContents"/>
              <w:bidi w:val="0"/>
              <w:spacing w:before="0" w:after="283"/>
              <w:jc w:val="left"/>
              <w:rPr/>
            </w:pPr>
            <w:r>
              <w:rPr/>
              <w:t> </w:t>
            </w:r>
          </w:p>
        </w:tc>
      </w:tr>
      <w:tr>
        <w:trPr/>
        <w:tc>
          <w:tcPr>
            <w:tcW w:w="45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13,912</w:t>
            </w:r>
          </w:p>
        </w:tc>
        <w:tc>
          <w:tcPr>
            <w:tcW w:w="411" w:type="dxa"/>
            <w:tcBorders/>
            <w:shd w:fill="CFF0FC"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2028 and thereafter</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87,254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undiscounted future minimum lease payments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143,739</w:t>
            </w:r>
          </w:p>
        </w:tc>
        <w:tc>
          <w:tcPr>
            <w:tcW w:w="411" w:type="dxa"/>
            <w:tcBorders/>
            <w:shd w:fill="CFF0FC"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imputed interest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(54,274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5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operating lease liabilities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89,465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liabilities: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45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6,057</w:t>
            </w:r>
          </w:p>
        </w:tc>
        <w:tc>
          <w:tcPr>
            <w:tcW w:w="411" w:type="dxa"/>
            <w:tcBorders/>
            <w:shd w:fill="CFF0FC"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Non-current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83,408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lease liability</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89,465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tests long-lived assets for recoverability whenever events or changes in circumstances suggest that the carrying value of an asset or group of assets may not be recoverable. Beginning in the second quarter of 2023, the Company started to market for sublease portions of the Company's leased corporate office space in South San Francisco. As a result of these plans, the Company reviewed these spaces for impairment during the three months ended June 30, 2023. As part of the impairment evaluation of the spaces being marketed for sublease, the Company compared the estimated undiscounted income for the marketed sublease spaces to the net book value of the related long-term assets, which include right-of-use assets and certain property, plant and equipment, primarily for leasehold improvements (collectively, "Sublease Asset Group"). The Company estimated potential sublease income using market participant assumptions, which the Company evaluated based on current real estate trends and market conditions. For the Sublease Asset Group, the Company determined that the respective right-of-use assets had net carrying values that exceeded their estimated undiscounted future cash flows. Accordingly, the Company then estimated the fair value of the Sublease Asset Group based on its discounted cash flows. The carrying value of the Sublease Asset Group exceeded its fair values and, as a result, the Company recorded a right-of-use asset impairment of $4.1</w:t>
      </w:r>
      <w:r>
        <w:rPr>
          <w:rFonts w:ascii="Times New Roman" w:hAnsi="Times New Roman"/>
          <w:color w:val="000000"/>
          <w:sz w:val="20"/>
        </w:rPr>
        <w:t xml:space="preserve"> </w:t>
      </w:r>
      <w:r>
        <w:rPr>
          <w:rFonts w:ascii="Times New Roman" w:hAnsi="Times New Roman"/>
          <w:b w:val="false"/>
          <w:color w:val="000000"/>
          <w:sz w:val="20"/>
        </w:rPr>
        <w:t>million for the three months ended June 30, 2023. The impairment is recorded within general and administrative expenses in the condensed statements of operations and comprehensive loss. There was no</w:t>
      </w:r>
      <w:r>
        <w:rPr>
          <w:rFonts w:ascii="Times New Roman" w:hAnsi="Times New Roman"/>
          <w:color w:val="000000"/>
          <w:sz w:val="20"/>
        </w:rPr>
        <w:t xml:space="preserve"> </w:t>
      </w:r>
      <w:r>
        <w:rPr>
          <w:rFonts w:ascii="Times New Roman" w:hAnsi="Times New Roman"/>
          <w:b w:val="false"/>
          <w:color w:val="000000"/>
          <w:sz w:val="20"/>
        </w:rPr>
        <w:t>additional impairment recorded for the three months ended September 30, 2023.</w:t>
      </w:r>
    </w:p>
    <w:p>
      <w:pPr>
        <w:pStyle w:val="TextBody"/>
        <w:bidi w:val="0"/>
        <w:spacing w:before="360" w:after="283"/>
        <w:jc w:val="left"/>
        <w:rPr>
          <w:rFonts w:ascii="Times New Roman" w:hAnsi="Times New Roman"/>
          <w:sz w:val="20"/>
        </w:rPr>
      </w:pPr>
      <w:r>
        <w:rPr>
          <w:rFonts w:ascii="Times New Roman" w:hAnsi="Times New Roman"/>
          <w:b/>
          <w:color w:val="000000"/>
          <w:sz w:val="20"/>
        </w:rPr>
        <w:t>7. Commitments &amp;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Guarantee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The Company had no</w:t>
      </w:r>
      <w:r>
        <w:rPr>
          <w:rFonts w:ascii="Times New Roman" w:hAnsi="Times New Roman"/>
          <w:color w:val="000000"/>
          <w:sz w:val="20"/>
        </w:rPr>
        <w:t xml:space="preserve"> </w:t>
      </w:r>
      <w:r>
        <w:rPr>
          <w:rFonts w:ascii="Times New Roman" w:hAnsi="Times New Roman"/>
          <w:b w:val="false"/>
          <w:color w:val="000000"/>
          <w:sz w:val="20"/>
        </w:rPr>
        <w:t>liabilities recorded for these agreements as of September 30, 2023 and December 31, 2022.</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Letters of Credit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and December 31, 2022, the Company had $2.7</w:t>
      </w:r>
      <w:r>
        <w:rPr>
          <w:rFonts w:ascii="Times New Roman" w:hAnsi="Times New Roman"/>
          <w:color w:val="000000"/>
          <w:sz w:val="20"/>
        </w:rPr>
        <w:t xml:space="preserve"> </w:t>
      </w:r>
      <w:r>
        <w:rPr>
          <w:rFonts w:ascii="Times New Roman" w:hAnsi="Times New Roman"/>
          <w:b w:val="false"/>
          <w:color w:val="000000"/>
          <w:sz w:val="20"/>
        </w:rPr>
        <w:t>million in letter of credit agreements with a financial institution that are used as collateral for the Company’s corporate headquarters’ operating lease and the additional facility in South San Francisco that the Company plans to use for corporate offices, laboratories and manufacturing. The letters of credit automatically renew annually without amendment unless cancelled by the financial institutions within 30</w:t>
      </w:r>
      <w:r>
        <w:rPr>
          <w:rFonts w:ascii="Times New Roman" w:hAnsi="Times New Roman"/>
          <w:color w:val="000000"/>
          <w:sz w:val="20"/>
        </w:rPr>
        <w:t xml:space="preserve"> </w:t>
      </w:r>
      <w:r>
        <w:rPr>
          <w:rFonts w:ascii="Times New Roman" w:hAnsi="Times New Roman"/>
          <w:b w:val="false"/>
          <w:color w:val="000000"/>
          <w:sz w:val="20"/>
        </w:rPr>
        <w:t>to 60 days</w:t>
      </w:r>
      <w:r>
        <w:rPr>
          <w:rFonts w:ascii="Times New Roman" w:hAnsi="Times New Roman"/>
          <w:color w:val="000000"/>
          <w:sz w:val="20"/>
        </w:rPr>
        <w:t xml:space="preserve"> </w:t>
      </w:r>
      <w:r>
        <w:rPr>
          <w:rFonts w:ascii="Times New Roman" w:hAnsi="Times New Roman"/>
          <w:b w:val="false"/>
          <w:color w:val="000000"/>
          <w:sz w:val="20"/>
        </w:rPr>
        <w:t>of the annual expiration date. The letters of credit are presented as restricted cash in the condensed balance sheet.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from time to time, may be involved in litigation arising in the ordinary course of business. The Company assesses its potential liability in such situations by analyzing potential outcomes, assuming various litigation, regulatory and settlement strategies. If the Company determines a loss is probable and its amount can be reasonably estimated, the Company accrues an amount equal to the estimated loss. No</w:t>
      </w:r>
      <w:r>
        <w:rPr>
          <w:rFonts w:ascii="Times New Roman" w:hAnsi="Times New Roman"/>
          <w:color w:val="000000"/>
          <w:sz w:val="20"/>
        </w:rPr>
        <w:t xml:space="preserve"> </w:t>
      </w:r>
      <w:r>
        <w:rPr>
          <w:rFonts w:ascii="Times New Roman" w:hAnsi="Times New Roman"/>
          <w:b w:val="false"/>
          <w:color w:val="000000"/>
          <w:sz w:val="20"/>
        </w:rPr>
        <w:t>losses and no</w:t>
      </w:r>
      <w:r>
        <w:rPr>
          <w:rFonts w:ascii="Times New Roman" w:hAnsi="Times New Roman"/>
          <w:color w:val="000000"/>
          <w:sz w:val="20"/>
        </w:rPr>
        <w:t xml:space="preserve"> </w:t>
      </w:r>
      <w:r>
        <w:rPr>
          <w:rFonts w:ascii="Times New Roman" w:hAnsi="Times New Roman"/>
          <w:b w:val="false"/>
          <w:color w:val="000000"/>
          <w:sz w:val="20"/>
        </w:rPr>
        <w:t>provision for a loss contingency have been recorded to date.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Purchase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enters into contracts in the normal course of business for clinical trials, preclinical studies, manufacturing and other services and products for operating purposes. These contracts generally provide for termination following a certain period after notice and therefore the Company believes that non-cancelable obligations under these agreements are not material.</w:t>
      </w:r>
    </w:p>
    <w:p>
      <w:pPr>
        <w:pStyle w:val="TextBody"/>
        <w:bidi w:val="0"/>
        <w:spacing w:before="360" w:after="283"/>
        <w:jc w:val="left"/>
        <w:rPr>
          <w:rFonts w:ascii="Times New Roman" w:hAnsi="Times New Roman"/>
          <w:sz w:val="20"/>
        </w:rPr>
      </w:pPr>
      <w:r>
        <w:rPr>
          <w:rFonts w:ascii="Times New Roman" w:hAnsi="Times New Roman"/>
          <w:b/>
          <w:color w:val="000000"/>
          <w:sz w:val="20"/>
        </w:rPr>
        <w:t>8. CRISPR Collaboration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May 5, 2021, the Company entered into a research collaboration agreement (as amended, the "CRISPR Agreement") with CRISPR Therapeutics AG ("CRISPR") to co-develop and co-commercialize an allogeneic, off-the-shelf chimeric antigen receptor-natural killer ("CAR NK") product candidate targeting the CD70 tumor antigen ("NKX070") and an allogeneic, off-the-shelf product candidate that comprises both engineered NK cells and engineered T cells ("NK+T"). In May 2022, the CRISPR Agreement was amended to revise the transfer of materials and nomination provisions. On March 8, 2023, the CRISPR Agreement was further amended to permit Nkarta's advancement of CRISPR-licensed product candidates targeting a specified tumor antigen (the "Specified TA") and incorporate associated development and regulatory approval milestones and sales based royalties. In addition, the Company has received licenses from CRISPR for four</w:t>
      </w:r>
      <w:r>
        <w:rPr>
          <w:rFonts w:ascii="Times New Roman" w:hAnsi="Times New Roman"/>
          <w:color w:val="000000"/>
          <w:sz w:val="20"/>
        </w:rPr>
        <w:t xml:space="preserve"> </w:t>
      </w:r>
      <w:r>
        <w:rPr>
          <w:rFonts w:ascii="Times New Roman" w:hAnsi="Times New Roman"/>
          <w:b w:val="false"/>
          <w:color w:val="000000"/>
          <w:sz w:val="20"/>
        </w:rPr>
        <w:t>CRISPR-Cas9 gene editing targets and will receive a license from CRISPR for up to one</w:t>
      </w:r>
      <w:r>
        <w:rPr>
          <w:rFonts w:ascii="Times New Roman" w:hAnsi="Times New Roman"/>
          <w:color w:val="000000"/>
          <w:sz w:val="20"/>
        </w:rPr>
        <w:t xml:space="preserve"> </w:t>
      </w:r>
      <w:r>
        <w:rPr>
          <w:rFonts w:ascii="Times New Roman" w:hAnsi="Times New Roman"/>
          <w:b w:val="false"/>
          <w:color w:val="000000"/>
          <w:sz w:val="20"/>
        </w:rPr>
        <w:t>more CRISPR-Cas9 gene editing target that can be engineered into an unlimited number of its own NK cell products. CRISPR also has an option to co-develop and co-commercialize a future CAR NK program.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Under the terms of the CRISPR Agreement, the Company and CRISPR share equally in all research and development costs and potential profits worldwide related to the NKX070 product candidate, NK+T product candidate, and the potential future CAR NK program. For the NK+T program, CRISPR is responsible for gene-editing activities and T cell related activities, and Nkarta is responsible for NK cell related activities. The related impact of the cost sharing associated with the research and development activities is included in research and development expense on the condensed statements of operations and comprehensive loss. Expenses related to services performed by the Company are classified as research and development expense. Payments received from CRISPR for partial reimbursement of expenses are recorded as a reduction of research and development expense. Reduction of research and development expense resulting from partial reimbursement from CRISPR was $0.3</w:t>
      </w:r>
      <w:r>
        <w:rPr>
          <w:rFonts w:ascii="Times New Roman" w:hAnsi="Times New Roman"/>
          <w:color w:val="000000"/>
          <w:sz w:val="20"/>
        </w:rPr>
        <w:t xml:space="preserve"> </w:t>
      </w:r>
      <w:r>
        <w:rPr>
          <w:rFonts w:ascii="Times New Roman" w:hAnsi="Times New Roman"/>
          <w:b w:val="false"/>
          <w:color w:val="000000"/>
          <w:sz w:val="20"/>
        </w:rPr>
        <w:t>million and $1.4</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2023, respectively, and $1.0</w:t>
      </w:r>
      <w:r>
        <w:rPr>
          <w:rFonts w:ascii="Times New Roman" w:hAnsi="Times New Roman"/>
          <w:color w:val="000000"/>
          <w:sz w:val="20"/>
        </w:rPr>
        <w:t xml:space="preserve"> </w:t>
      </w:r>
      <w:r>
        <w:rPr>
          <w:rFonts w:ascii="Times New Roman" w:hAnsi="Times New Roman"/>
          <w:b w:val="false"/>
          <w:color w:val="000000"/>
          <w:sz w:val="20"/>
        </w:rPr>
        <w:t>million and $2.8</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2022, respectively. As of September 30, 2023, the Company had a $0.3</w:t>
      </w:r>
      <w:r>
        <w:rPr>
          <w:rFonts w:ascii="Times New Roman" w:hAnsi="Times New Roman"/>
          <w:color w:val="000000"/>
          <w:sz w:val="20"/>
        </w:rPr>
        <w:t xml:space="preserve"> </w:t>
      </w:r>
      <w:r>
        <w:rPr>
          <w:rFonts w:ascii="Times New Roman" w:hAnsi="Times New Roman"/>
          <w:b w:val="false"/>
          <w:color w:val="000000"/>
          <w:sz w:val="20"/>
        </w:rPr>
        <w:t>million receivable under the research cost sharing provision, which is included as part of prepaid expenses and other current assets in the condensed balance sheet.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For each non-collaboration product candidate incorporating a genome editing target licensed from CRISPR (a "CRISPR-Licensed Product Candidate"), other than those targeting the Specified TA, the Company would retain worldwide rights and may be required to make potential future payments based on the achievement of development and regulatory approval milestones totaling less than mid-twenty million dollars, as well as tiered royalties up to the mid-single digits on net product sales of such product candidate. For each CRISPR-Licensed Product Candidate targeting the Specified TA, the Company would retain worldwide rights and may be required to make potential future payments based on the achievement of development and regulatory approval milestones totaling less than high-forty million dollars, as well as tiered royalties up to the mid-single digits on net product sales of such product candidate. As of September 30, 2023, the Company has not paid any amounts nor are any amounts owed by the Company under the CRISPR Agreement, and no milestones have been achieved.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9. Share-Based Compensation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Equity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Company’s 2020 Performance Incentive Plan (the "2020 Plan"), which was adopted by the Company’s board of directors in June 2020 and approved by the Company’s stockholders in July 2020, became effective upon the consummation of the Company’s initial public offering in July 2020 ("IPO"). Upon the effectiveness of the 2020 Plan, no further grants may be made under the Company’s 2015 Equity Incentive Plan (the "2015 Plan"). The 2020 Plan allows for the grant of incentive stock options, non-qualified stock options, stock appreciation rights, stock bonuses, restricted stock, stock units and other forms of awards including cash awards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to its officers, directors, employees, consultants and advisors. </w:t>
        <w:br/>
      </w:r>
      <w:r>
        <w:rPr>
          <w:rFonts w:ascii="Times New Roman" w:hAnsi="Times New Roman"/>
          <w:color w:val="000000"/>
          <w:sz w:val="20"/>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a total of 8,388,917</w:t>
      </w:r>
      <w:r>
        <w:rPr>
          <w:rFonts w:ascii="Times New Roman" w:hAnsi="Times New Roman"/>
          <w:color w:val="000000"/>
          <w:sz w:val="20"/>
        </w:rPr>
        <w:t xml:space="preserve"> </w:t>
      </w:r>
      <w:r>
        <w:rPr>
          <w:rFonts w:ascii="Times New Roman" w:hAnsi="Times New Roman"/>
          <w:b w:val="false"/>
          <w:color w:val="000000"/>
          <w:sz w:val="20"/>
        </w:rPr>
        <w:t>shares of the Company’s common stock were authorized for issuance with respect to awards granted under the 2020 Plan (this number of shares gives effect to the annual increases in the 2020 Plan share limit, as described in the next sentence, through that date). The share limit will automatically increase on the first trading day in January of each year by an amount equal to the lesser of (1) 5% of the total number of outstanding shares of the Company’s common stock on the last trading day in December in the prior year, or (2) 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 related tax withholding obligations, will become available for new award grants under the 2020 Plan. A total of 2,177,773</w:t>
      </w:r>
      <w:r>
        <w:rPr>
          <w:rFonts w:ascii="Times New Roman" w:hAnsi="Times New Roman"/>
          <w:color w:val="000000"/>
          <w:sz w:val="20"/>
        </w:rPr>
        <w:t xml:space="preserve"> </w:t>
      </w:r>
      <w:r>
        <w:rPr>
          <w:rFonts w:ascii="Times New Roman" w:hAnsi="Times New Roman"/>
          <w:b w:val="false"/>
          <w:color w:val="000000"/>
          <w:sz w:val="20"/>
        </w:rPr>
        <w:t>shares were available for issuance under the 2020 Plan as of September 30, 2023.</w:t>
        <w:br/>
      </w:r>
      <w:r>
        <w:rPr>
          <w:rFonts w:ascii="Times New Roman" w:hAnsi="Times New Roman"/>
          <w:color w:val="000000"/>
          <w:sz w:val="20"/>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summarizes the option activity under the 2020 Plan and 2015 Plan during the nine months ended September 30, 2023:</w:t>
      </w:r>
    </w:p>
    <w:tbl>
      <w:tblPr>
        <w:tblW w:w="8369" w:type="dxa"/>
        <w:jc w:val="left"/>
        <w:tblInd w:w="0" w:type="dxa"/>
        <w:tblLayout w:type="fixed"/>
        <w:tblCellMar>
          <w:top w:w="28" w:type="dxa"/>
          <w:left w:w="28" w:type="dxa"/>
          <w:bottom w:w="28" w:type="dxa"/>
          <w:right w:w="28" w:type="dxa"/>
        </w:tblCellMar>
      </w:tblPr>
      <w:tblGrid>
        <w:gridCol w:w="4246"/>
        <w:gridCol w:w="146"/>
        <w:gridCol w:w="187"/>
        <w:gridCol w:w="1193"/>
        <w:gridCol w:w="166"/>
        <w:gridCol w:w="146"/>
        <w:gridCol w:w="230"/>
        <w:gridCol w:w="626"/>
        <w:gridCol w:w="146"/>
        <w:gridCol w:w="146"/>
        <w:gridCol w:w="272"/>
        <w:gridCol w:w="674"/>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11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5,519,275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191" w:type="dxa"/>
            <w:tcBorders/>
            <w:shd w:fill="CFF0FC"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2,338,828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11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(6,145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(724,509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September 30, 2023</w:t>
            </w:r>
          </w:p>
        </w:tc>
        <w:tc>
          <w:tcPr>
            <w:tcW w:w="146" w:type="dxa"/>
            <w:tcBorders/>
            <w:shd w:fill="CFF0FC" w:val="cle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7,127,449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Exercisable at September 30, 2023</w:t>
            </w:r>
          </w:p>
        </w:tc>
        <w:tc>
          <w:tcPr>
            <w:tcW w:w="146"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3,257,376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Vested and expected to vest at September 30, 2023</w:t>
            </w:r>
          </w:p>
        </w:tc>
        <w:tc>
          <w:tcPr>
            <w:tcW w:w="146" w:type="dxa"/>
            <w:tcBorders/>
            <w:shd w:fill="CFF0FC" w:val="cle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7,127,449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The weighted-average grant date fair value of stock option grants was $3.35</w:t>
      </w:r>
      <w:r>
        <w:rPr>
          <w:rFonts w:ascii="Times New Roman" w:hAnsi="Times New Roman"/>
          <w:color w:val="000000"/>
          <w:sz w:val="20"/>
        </w:rPr>
        <w:t xml:space="preserve"> </w:t>
      </w:r>
      <w:r>
        <w:rPr>
          <w:rFonts w:ascii="Times New Roman" w:hAnsi="Times New Roman"/>
          <w:b w:val="false"/>
          <w:color w:val="000000"/>
          <w:sz w:val="20"/>
        </w:rPr>
        <w:t>per share for the nine months ended September 30, 2023.</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The following table summarizes the restricted stock unit activity under the 2020 Plan during the nine months ended September 30, 2023:</w:t>
      </w:r>
      <w:r>
        <w:rPr>
          <w:rFonts w:ascii="Times New Roman" w:hAnsi="Times New Roman"/>
          <w:color w:val="000000"/>
          <w:sz w:val="20"/>
        </w:rPr>
        <w:t xml:space="preserve"> </w:t>
      </w:r>
    </w:p>
    <w:p>
      <w:pPr>
        <w:pStyle w:val="TextBody"/>
        <w:bidi w:val="0"/>
        <w:spacing w:before="40" w:after="283"/>
        <w:jc w:val="left"/>
        <w:rPr/>
      </w:pPr>
      <w:r>
        <w:rPr/>
        <w:t> </w:t>
      </w:r>
    </w:p>
    <w:tbl>
      <w:tblPr>
        <w:tblW w:w="7355" w:type="dxa"/>
        <w:jc w:val="left"/>
        <w:tblInd w:w="0" w:type="dxa"/>
        <w:tblLayout w:type="fixed"/>
        <w:tblCellMar>
          <w:top w:w="28" w:type="dxa"/>
          <w:left w:w="28" w:type="dxa"/>
          <w:bottom w:w="28" w:type="dxa"/>
          <w:right w:w="28" w:type="dxa"/>
        </w:tblCellMar>
      </w:tblPr>
      <w:tblGrid>
        <w:gridCol w:w="2986"/>
        <w:gridCol w:w="146"/>
        <w:gridCol w:w="217"/>
        <w:gridCol w:w="1163"/>
        <w:gridCol w:w="166"/>
        <w:gridCol w:w="146"/>
        <w:gridCol w:w="630"/>
        <w:gridCol w:w="1710"/>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 date fair value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1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356,728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12.66</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503,639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1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(88,543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left"/>
              <w:rPr/>
            </w:pPr>
            <w:r>
              <w:rPr/>
              <w:t> </w:t>
            </w:r>
          </w:p>
        </w:tc>
        <w:tc>
          <w:tcPr>
            <w:tcW w:w="17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12.66</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September 30, 2023</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695,110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Company’s 2020 Employee Stock Purchase Plan (the "ESPP"), which was adopted by the Company’s board of directors in June 2020 and approved by the Company’s stockholders in July 2020, became effective upon the consummation of the IPO. A total of 1,441,307</w:t>
      </w:r>
      <w:r>
        <w:rPr>
          <w:rFonts w:ascii="Times New Roman" w:hAnsi="Times New Roman"/>
          <w:color w:val="000000"/>
          <w:sz w:val="20"/>
        </w:rPr>
        <w:t xml:space="preserve"> </w:t>
      </w:r>
      <w:r>
        <w:rPr>
          <w:rFonts w:ascii="Times New Roman" w:hAnsi="Times New Roman"/>
          <w:b w:val="false"/>
          <w:color w:val="000000"/>
          <w:sz w:val="20"/>
        </w:rPr>
        <w:t>shares of the Company’s common stock were authorized for issuance under the ESPP. The ESPP allows eligible employees to purchase shares of the Company’s common stock at a discount through payroll deductions of up to 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The six-month offering periods extend from June to November and December to May. As of September 30, 2023, 156,986</w:t>
      </w:r>
      <w:r>
        <w:rPr>
          <w:rFonts w:ascii="Times New Roman" w:hAnsi="Times New Roman"/>
          <w:color w:val="000000"/>
          <w:sz w:val="20"/>
        </w:rPr>
        <w:t xml:space="preserve"> </w:t>
      </w:r>
      <w:r>
        <w:rPr>
          <w:rFonts w:ascii="Times New Roman" w:hAnsi="Times New Roman"/>
          <w:b w:val="false"/>
          <w:color w:val="000000"/>
          <w:sz w:val="20"/>
        </w:rPr>
        <w:t>shares had been issued under the ESPP, and 1,284,321</w:t>
      </w:r>
      <w:r>
        <w:rPr>
          <w:rFonts w:ascii="Times New Roman" w:hAnsi="Times New Roman"/>
          <w:color w:val="000000"/>
          <w:sz w:val="20"/>
        </w:rPr>
        <w:t xml:space="preserve"> </w:t>
      </w:r>
      <w:r>
        <w:rPr>
          <w:rFonts w:ascii="Times New Roman" w:hAnsi="Times New Roman"/>
          <w:b w:val="false"/>
          <w:color w:val="000000"/>
          <w:sz w:val="20"/>
        </w:rPr>
        <w:t>shares remained available for issuance under the ESPP (after giving effect to share purchases under the ESPP through and including the offering period on May 31, 2023). As of September 30, 2023, employee contributions to the ESPP were $0.3</w:t>
      </w:r>
      <w:r>
        <w:rPr>
          <w:rFonts w:ascii="Times New Roman" w:hAnsi="Times New Roman"/>
          <w:color w:val="000000"/>
          <w:sz w:val="20"/>
        </w:rPr>
        <w:t xml:space="preserve"> </w:t>
      </w:r>
      <w:r>
        <w:rPr>
          <w:rFonts w:ascii="Times New Roman" w:hAnsi="Times New Roman"/>
          <w:b w:val="false"/>
          <w:color w:val="000000"/>
          <w:sz w:val="20"/>
        </w:rPr>
        <w:t xml:space="preserve">million and included as part of accrued and other current liabilities in the condensed balance sheets. </w:t>
        <w:br/>
      </w:r>
      <w:r>
        <w:rPr>
          <w:rFonts w:ascii="Times New Roman" w:hAnsi="Times New Roman"/>
          <w:color w:val="000000"/>
          <w:sz w:val="20"/>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Share-Based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Share-based compensation expense for the three and nine ended September 30, 2023 and 2022 was as follows (in thousands):</w:t>
      </w:r>
      <w:r>
        <w:rPr>
          <w:rFonts w:ascii="Times New Roman" w:hAnsi="Times New Roman"/>
          <w:color w:val="000000"/>
          <w:sz w:val="20"/>
        </w:rPr>
        <w:t xml:space="preserve"> </w:t>
      </w:r>
    </w:p>
    <w:p>
      <w:pPr>
        <w:pStyle w:val="TextBody"/>
        <w:bidi w:val="0"/>
        <w:jc w:val="left"/>
        <w:rPr/>
      </w:pPr>
      <w:r>
        <w:rPr/>
        <w:t> </w:t>
      </w:r>
    </w:p>
    <w:tbl>
      <w:tblPr>
        <w:tblW w:w="7682" w:type="dxa"/>
        <w:jc w:val="left"/>
        <w:tblInd w:w="0" w:type="dxa"/>
        <w:tblLayout w:type="fixed"/>
        <w:tblCellMar>
          <w:top w:w="28" w:type="dxa"/>
          <w:left w:w="28" w:type="dxa"/>
          <w:bottom w:w="28" w:type="dxa"/>
          <w:right w:w="28" w:type="dxa"/>
        </w:tblCellMar>
      </w:tblPr>
      <w:tblGrid>
        <w:gridCol w:w="2931"/>
        <w:gridCol w:w="146"/>
        <w:gridCol w:w="211"/>
        <w:gridCol w:w="571"/>
        <w:gridCol w:w="146"/>
        <w:gridCol w:w="146"/>
        <w:gridCol w:w="211"/>
        <w:gridCol w:w="571"/>
        <w:gridCol w:w="146"/>
        <w:gridCol w:w="146"/>
        <w:gridCol w:w="211"/>
        <w:gridCol w:w="676"/>
        <w:gridCol w:w="146"/>
        <w:gridCol w:w="146"/>
        <w:gridCol w:w="211"/>
        <w:gridCol w:w="676"/>
        <w:gridCol w:w="391"/>
      </w:tblGrid>
      <w:tr>
        <w:trPr/>
        <w:tc>
          <w:tcPr>
            <w:tcW w:w="2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5,404</w:t>
            </w:r>
          </w:p>
        </w:tc>
        <w:tc>
          <w:tcPr>
            <w:tcW w:w="391" w:type="dxa"/>
            <w:tcBorders/>
            <w:shd w:fill="CFF0FC" w:val="clear"/>
            <w:vAlign w:val="center"/>
          </w:tcPr>
          <w:p>
            <w:pPr>
              <w:pStyle w:val="TableContents"/>
              <w:bidi w:val="0"/>
              <w:spacing w:before="0" w:after="283"/>
              <w:jc w:val="left"/>
              <w:rPr/>
            </w:pPr>
            <w:r>
              <w:rPr/>
              <w:t> </w:t>
            </w:r>
          </w:p>
        </w:tc>
      </w:tr>
      <w:tr>
        <w:trPr/>
        <w:tc>
          <w:tcPr>
            <w:tcW w:w="29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share-based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12,399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The total unrecognized compensation cost related to unvested stock options was $26.4</w:t>
      </w:r>
      <w:r>
        <w:rPr>
          <w:rFonts w:ascii="Times New Roman" w:hAnsi="Times New Roman"/>
          <w:color w:val="000000"/>
          <w:sz w:val="20"/>
        </w:rPr>
        <w:t xml:space="preserve"> </w:t>
      </w:r>
      <w:r>
        <w:rPr>
          <w:rFonts w:ascii="Times New Roman" w:hAnsi="Times New Roman"/>
          <w:b w:val="false"/>
          <w:color w:val="000000"/>
          <w:sz w:val="20"/>
        </w:rPr>
        <w:t>million, which is expected to be recognized over a weighted-average remaining service period of 2.7</w:t>
      </w:r>
      <w:r>
        <w:rPr>
          <w:rFonts w:ascii="Times New Roman" w:hAnsi="Times New Roman"/>
          <w:color w:val="000000"/>
          <w:sz w:val="20"/>
        </w:rPr>
        <w:t xml:space="preserve"> </w:t>
      </w:r>
      <w:r>
        <w:rPr>
          <w:rFonts w:ascii="Times New Roman" w:hAnsi="Times New Roman"/>
          <w:b w:val="false"/>
          <w:color w:val="000000"/>
          <w:sz w:val="20"/>
        </w:rPr>
        <w:t>years as of September 30, 2023. The total unrecognized compensation cost related to unvested restricted stock units was $4.7</w:t>
      </w:r>
      <w:r>
        <w:rPr>
          <w:rFonts w:ascii="Times New Roman" w:hAnsi="Times New Roman"/>
          <w:color w:val="000000"/>
          <w:sz w:val="20"/>
        </w:rPr>
        <w:t xml:space="preserve"> </w:t>
      </w:r>
      <w:r>
        <w:rPr>
          <w:rFonts w:ascii="Times New Roman" w:hAnsi="Times New Roman"/>
          <w:b w:val="false"/>
          <w:color w:val="000000"/>
          <w:sz w:val="20"/>
        </w:rPr>
        <w:t>million, which is expected to be recognized over a weighted-average remaining service period of 3.0</w:t>
      </w:r>
      <w:r>
        <w:rPr>
          <w:rFonts w:ascii="Times New Roman" w:hAnsi="Times New Roman"/>
          <w:color w:val="000000"/>
          <w:sz w:val="20"/>
        </w:rPr>
        <w:t xml:space="preserve"> </w:t>
      </w:r>
      <w:r>
        <w:rPr>
          <w:rFonts w:ascii="Times New Roman" w:hAnsi="Times New Roman"/>
          <w:b w:val="false"/>
          <w:color w:val="000000"/>
          <w:sz w:val="20"/>
        </w:rPr>
        <w:t>years as of September 30, 2023.</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Liability for Early Exercise of Restricted Stock Options</w:t>
      </w:r>
    </w:p>
    <w:p>
      <w:pPr>
        <w:pStyle w:val="TextBody"/>
        <w:bidi w:val="0"/>
        <w:jc w:val="left"/>
        <w:rPr>
          <w:rFonts w:ascii="Times New Roman" w:hAnsi="Times New Roman"/>
          <w:sz w:val="20"/>
        </w:rPr>
      </w:pPr>
      <w:r>
        <w:rPr>
          <w:rFonts w:ascii="Times New Roman" w:hAnsi="Times New Roman"/>
          <w:b w:val="false"/>
          <w:color w:val="000000"/>
          <w:sz w:val="20"/>
        </w:rPr>
        <w:t>There were no</w:t>
      </w:r>
      <w:r>
        <w:rPr>
          <w:rFonts w:ascii="Times New Roman" w:hAnsi="Times New Roman"/>
          <w:color w:val="000000"/>
          <w:sz w:val="20"/>
        </w:rPr>
        <w:t xml:space="preserve"> </w:t>
      </w:r>
      <w:r>
        <w:rPr>
          <w:rFonts w:ascii="Times New Roman" w:hAnsi="Times New Roman"/>
          <w:b w:val="false"/>
          <w:color w:val="000000"/>
          <w:sz w:val="20"/>
        </w:rPr>
        <w:t>shares subject to repurchase by the Company as of September 30, 2023. Shares subject to repurchase by the Company were 508</w:t>
      </w:r>
      <w:r>
        <w:rPr>
          <w:rFonts w:ascii="Times New Roman" w:hAnsi="Times New Roman"/>
          <w:color w:val="000000"/>
          <w:sz w:val="20"/>
        </w:rPr>
        <w:t xml:space="preserve"> </w:t>
      </w:r>
      <w:r>
        <w:rPr>
          <w:rFonts w:ascii="Times New Roman" w:hAnsi="Times New Roman"/>
          <w:b w:val="false"/>
          <w:color w:val="000000"/>
          <w:sz w:val="20"/>
        </w:rPr>
        <w:t>shares as of December 31, 2022, and the related liability recorded under other accrued and other current liabilities in the condensed balance sheet was insignificant.</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10.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was no</w:t>
      </w:r>
      <w:r>
        <w:rPr>
          <w:rFonts w:ascii="Times New Roman" w:hAnsi="Times New Roman"/>
          <w:color w:val="000000"/>
          <w:sz w:val="20"/>
        </w:rPr>
        <w:t xml:space="preserve"> </w:t>
      </w:r>
      <w:r>
        <w:rPr>
          <w:rFonts w:ascii="Times New Roman" w:hAnsi="Times New Roman"/>
          <w:b w:val="false"/>
          <w:color w:val="000000"/>
          <w:sz w:val="20"/>
        </w:rPr>
        <w:t>provision for income taxes recorded during the three and nine months ended September 30, 2023 and 2022. The Company’s deferred tax assets continue to be fully offset by a valuation allowance</w:t>
      </w:r>
      <w:r>
        <w:rPr>
          <w:rFonts w:ascii="Times New Roman" w:hAnsi="Times New Roman"/>
          <w:b w:val="false"/>
          <w:color w:val="212529"/>
          <w:sz w:val="20"/>
        </w:rPr>
        <w:t>.</w:t>
      </w:r>
    </w:p>
    <w:p>
      <w:pPr>
        <w:pStyle w:val="TextBody"/>
        <w:bidi w:val="0"/>
        <w:spacing w:before="360" w:after="283"/>
        <w:jc w:val="left"/>
        <w:rPr>
          <w:rFonts w:ascii="Times New Roman" w:hAnsi="Times New Roman"/>
          <w:sz w:val="20"/>
        </w:rPr>
      </w:pPr>
      <w:r>
        <w:rPr>
          <w:rFonts w:ascii="Times New Roman" w:hAnsi="Times New Roman"/>
          <w:b/>
          <w:color w:val="000000"/>
          <w:sz w:val="20"/>
        </w:rPr>
        <w:t>11. Subsequent Events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w:t>
      </w:r>
      <w:r>
        <w:rPr>
          <w:rFonts w:ascii="Times New Roman" w:hAnsi="Times New Roman"/>
          <w:color w:val="000000"/>
          <w:sz w:val="20"/>
        </w:rPr>
        <w:t xml:space="preserve"> </w:t>
      </w:r>
      <w:r>
        <w:rPr>
          <w:rFonts w:ascii="Times New Roman" w:hAnsi="Times New Roman"/>
          <w:b w:val="false"/>
          <w:color w:val="000000"/>
          <w:sz w:val="20"/>
        </w:rPr>
        <w:t>October 16, 2023, the Company committed to cost saving measures, including a reduction in force (the "Reduction") that resulted in a reduction of 18</w:t>
      </w:r>
      <w:r>
        <w:rPr>
          <w:rFonts w:ascii="Times New Roman" w:hAnsi="Times New Roman"/>
          <w:color w:val="000000"/>
          <w:sz w:val="20"/>
        </w:rPr>
        <w:t xml:space="preserve"> </w:t>
      </w:r>
      <w:r>
        <w:rPr>
          <w:rFonts w:ascii="Times New Roman" w:hAnsi="Times New Roman"/>
          <w:b w:val="false"/>
          <w:color w:val="000000"/>
          <w:sz w:val="20"/>
        </w:rPr>
        <w:t>positions, representing approximately 10% of the Company’s workforce. The Company undertook the Reduction to decrease its costs and create a more streamlined organization to support its operations through multiple clinical data updates expected in 2024.</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connection with the implementation of the Reduction, the Company currently estimates it will incur approximately $1</w:t>
      </w:r>
      <w:r>
        <w:rPr>
          <w:rFonts w:ascii="Times New Roman" w:hAnsi="Times New Roman"/>
          <w:color w:val="000000"/>
          <w:sz w:val="20"/>
        </w:rPr>
        <w:t xml:space="preserve"> </w:t>
      </w:r>
      <w:r>
        <w:rPr>
          <w:rFonts w:ascii="Times New Roman" w:hAnsi="Times New Roman"/>
          <w:b w:val="false"/>
          <w:color w:val="000000"/>
          <w:sz w:val="20"/>
        </w:rPr>
        <w:t>million to $1.5</w:t>
      </w:r>
      <w:r>
        <w:rPr>
          <w:rFonts w:ascii="Times New Roman" w:hAnsi="Times New Roman"/>
          <w:color w:val="000000"/>
          <w:sz w:val="20"/>
        </w:rPr>
        <w:t xml:space="preserve"> </w:t>
      </w:r>
      <w:r>
        <w:rPr>
          <w:rFonts w:ascii="Times New Roman" w:hAnsi="Times New Roman"/>
          <w:b w:val="false"/>
          <w:color w:val="000000"/>
          <w:sz w:val="20"/>
        </w:rPr>
        <w:t>million in costs, consisting primarily of cash severance costs and transition support services for impacted employees, which the Company expects to recognize in the fourth quarter of 2023.</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You should read the following discussion and analysis of our financial condition and results of operations together with our financial statements and related notes included in Item 1 of Part I of this Quarterly Report on Form 10-Q and with the audited financial statements and the related notes included in our Annual Report on Form 10-K filed with the SEC on March 16, 2023 for the fiscal year ended December 31, 2022, including information with respect to our plans and strategy for our business and related financing. The discussion and analysis below includes forward-looking statements that involve risks and uncertainties, including those risks and uncertainties set forth in the sections titled “Risk Factors” of this Quarterly Report on Form 10-Q, which may cause our actual results to differ materially from the results described in or implied by the forward-looking statements contained in the following discussion and analysis. See “Cautionary Note Regarding Forward-Looking Statements” above. Unless the context otherwise requires, the terms “Company,” “Nkarta, Inc.,” “we,” “us,” or “our” refer to Nkarta, Inc. We do not have any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 biopharmaceutical company focused on the discovery, development and commercialization of allogeneic, off-the-shelf engineered NK cell therapies for the treatment of patients with hematologic malignancies or autoimmune diseases. We are currently developing two lead product candidates, NKX101, a chimeric antigen receptor-natural killer ("CAR NK") product candidate targeting cells that display NKG2D ligands, and NKX019, a CAR NK product candidate targeting the CD19 antigen. Both product candidates incorporate proprietary technologies that enable us to generate an abundant supply of NK cells, improve the persistence of these cells for sustained activity in the body, engineer enhanced NK cell recognition of target antigens, enhance cell fitness, and freeze, store and thaw our engineered NK cells for off-the-shelf administration. Our product candidates are allogeneic, which means they are produced using cells from a different person than the patient(s) being treated, and they are produced in quantity, then frozen and therefore available for treating patients without delay, unlike autologous cell therapies, which are derived from a patient’s own cells and must be manufactured as needed for each patient. We believe that engineered NK cells have the potential to be effective and accessible therapies for cancer and autoimmune diseases, be well tolerated, and avoid some of the toxicities observed with other cell therapies. NKX101 and NKX019 in respect of hematologic malignancies are in ongoing Phase 1 clinical trials.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modular NK cell engineering platform is designed to address the limitations and challenges of current technologies for engineering T cells and NK cells. Our process starts with differentiated, mature NK cells derived from healthy donors, and our platform includes proprietary technologies for NK cell expansion, persistence, targeting, genome editing and cryopreservation. We believe that the modular nature of our platform, our use of donor-derived NK cells and the proprietary technologies we use for the multiplex engineering of NK cells are advantages that can support the rapid generation of new product candidates with enhanced properties and/or new targeting receptors for additional disease indications.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NKX101 is currently being studied in a multi-center Phase 1 clinical trial in the U.S. for the treatment of relapsed or refractory acute myeloid leukemia ("r/r AML") and higher risk myelodysplastic syndromes ("MDS"). This ongoing first-in-human study evaluates the safety, pharmacology, and preliminary anti-tumor activity of NKX101. The clinical trial consists of dose finding followed by dose expansion and is designed to identify the recommended Phase 2 dose.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NKX019 is currently being studied in a multi-center Phase 1 clinical trial in the U.S. and Australia for the treatment of a variety of B-cell malignancies by targeting the CD19 antigen that is found on these types of cancerous cells and where CD19-targeted engineered NK cells, T cells and monoclonal antibodies have demonstrated clinical activity. This ongoing first-in-human study evaluates the safety, pharmacology, and preliminary anti-tumor activity of NKX019. The clinical trial consists of dose finding followed by dose expansion and is designed to identify the recommended Phase 2 dose.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Under the CRISPR Agreement entered into in May 2021, we are collaboratively designing and advancing (a) up to two allogeneic, gene-edited NK cell therapies, one of which is the engineered CAR NK product candidate targeting the CD70 tumor antigen, and (b) one allogeneic, gene-edited NK+T cell therapy.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October 2023, we announced that we had received clearance of an Investigational New Drug ("IND") application by the United States Food and Drug Administration ("FDA") to evaluate NKX019 for the treatment of lupus nephritis ("LN"). The planned multi-center, open label, dose escalation Phase 1 clinical trial will evaluate the safety and clinical activity of NKX019 in patients with refractory LN.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Since the commencement of our operations in 2015, we have devoted substantially all of our resources in support of our product development efforts, hiring personnel, raising capital to support and expand such activities and providing general and administrative support for these operations. We have not generated any revenue from product sales and have funded our operations primarily from our IPO completed in July 2020, the issuance of convertible promissory notes, private placements of our preferred stock, the secondary offering of our common stock completed in April 2022, the proceeds from the sale of our common stock pursuant to the </w:t>
        <w:br/>
        <w:t>"at-the-market" equity offering program (the "ATM Offering Program"), and with proceeds from a previous collaboration with GlaxoSmithKline. In October 2023, we announced cost containment measures, which included a reduction in and re-allocation of headcount combined with a stringent cap on future headcount growth, as well as planned centralization of operations to a single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location. We continue to work to sublease portions of our leased corporate office space in South San Francisco. We have incurred a net loss of $89.7 million and $81.3 million during the nine months ended September 30, 2023 and 2022, respectively, and $113.8 million and $86.1 million during the years ended December 31, 2022 and 2021, respectively, and we expect to continue to incur significant losses for the foreseeable future. As of September 30, 2023, we had an accumulated deficit of $407.7 million. As of September 30, 2023, we had cash, cash equivalents, restricted cash and investments of $278.4 million.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expect our operating expenses to significantly increase as we continue to develop and seek regulatory approvals for our product candidates, engage in other research and development activities to expand our pipeline of product candidates, maintain and expand our intellectual property portfolio, maintain and expand our product manufacturing capabilities, and ultimately establish a commercial organization. We have also incurred increased operating expenses since becoming a public company, which we expect will further increase when we are no longer able to rely on certain “emerging growth company” exemptions we are afforded under the Jumpstart Our Business Startups Act (the "JOBS Act") as further described under “—JOBS Act” below. Our net losses may fluctuate significantly from quarter-to-quarter and year-to-year, depending on the timing of our clinical trials, and our expenditures on other research and development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March 17, 2023, we filed the Registration Statement on Form S-3, as amended by the Form S-3/A filed on April 24, 2023 (the "Shelf Registration Statement"), covering the offer and sale from time to time, pursuant to Rule 415 of the Securities Act of 1933, as amended (the "Securities Act"), of up to $350.0 million in aggregate offering price of shares of our common stock, shares of our preferred stock, debt securities, warrants, rights and/or units (including up to $120.0 million in aggregate offering price of shares of our common stock, shares of our preferred stock, debt securities, warrants, rights and/or units registered on our Registration Statement on Form S-3 declared effective by the Securities and Exchange Commission (the "SEC") on September 2, 2021 (the "Prior Registration Statement") that have not yet been sold). The Shelf Registration Statement was declared effective by the SEC on May 5, 2023.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will need substantial additional funding to support our continuing operations and pursue our long-term development strategy, including the potential initiation of a pivotal stage clinical trial for any or all of our three current development programs. We may seek additional funding through the issuance of our common stock, including through our ATM Offering Program, other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market conditions, and the success of our planned cost-containment measures. We may not be able to raise additional capital on terms acceptable to us, or at all. Any failure to raise capital as and when needed would compromise our ability to execute on our business plan and may cause us to undertake further cost-containment measures and/or significantly delay, scale back, or discontinue the development of some of our programs or curtail any efforts to expand our product pipeline.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Update on COVID-19, Macroeconomic Conditions, and Supply Disruptions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operations have been and may in the future be impacted by outbreaks of COVID-19 or other infectious diseases, as well as by global and national economic and market conditions generally.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Disruptions in the global supply chain due to COVID-19 outbreaks or other factors have resulted in limited disruptions in the supply of our product candidates, as well as global supply shortages of certain materials that we and our contract development and manufacturing organization ("CDMOs") partners use for research and current good manufacturing practice ("cGMP") manufacturing. To the extent there is a subsequent outbreak of COVID-19 or outbreak of another infectious disease, or if such an outbreak begins to significantly impact essential distribution systems or our third-party manufacturers, contractors or suppliers, we may experience further disruptions in our supply chain and operations with associated delays in the manufacturing and supply of our product candidates.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shortage of fludarabine, an agent commonly used in lymphodepleting conditioning was initially reported in 2022 and is ongoing. Fludarabine is used in our current NKX101 and NKX019 clinical trials for cancer prior to treatment with our product candidates. Certain of our clinical trial sites have indicated that they are experiencing a shortage of fludarabine. Although we and our clinical sites have taken steps to try to mitigate any impact of the shortage on our clinical trials, enrollment has previously been delayed at certain of our clinical trial sites, and we could continue to experience enrollment delays due to the fludarabine shortage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continuously monitor the effects of domestic and global events, including but not limited to the current and expected impact of outbreaks, international conflicts, inflation, financial conditions affecting the banking system and financial markets, labor shortages, and supply chain matters on our operations, including continued enrollment in the NKX101 and NKX019 clinical trials, as well as on our contract research organizations ("CROs"), CDMOs, and clinical trial sites, to ensure that we remain responsive and adaptable to the dynamic changes in our operating environment.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Research and development costs consist primarily of costs incurred for the discovery and clinical development of our drug candidates, which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employee-related expenses, including salaries, related benefits, travel and share-based compensation expenses for employees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expenses incurred in connection with research, laboratory consumables, sponsored research,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expenses incurred in connection with conducting clinical trials including investigator grants and site payments for time and pass-through expenses and expenses incurred under agreements with CROs, other vendors or central laboratories and service providers engaged to conduct our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of consultants engaged in research and development related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to manufacture drug product candidates for use in our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facilities, depreciation and other expenses, which include allocated expenses for rent and maintenance of facilities, insurance and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costs related to regulatory compliance;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of annual license fees.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typically have various early-stage research and drug discovery projects as well as various product candidates undergoing clinical trials. Our internal resources, employees and infrastructure are not directly tied to any one research or drug discovery project and are typically deployed across multiple projects. As such, we do not maintain information regarding the costs incurred for these early-stage research and drug discovery programs on a project-specific basis.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summarizes our research and development expenses for the three and nine months ended September 30, 2023 and 2022.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partner cost sharing represents reimbursable research and development expenses from the CRISPR Agreement. The unallocated internal research and development costs include personnel, facility costs, laboratory consumables and discovery and research related activities associated with our pipeline.</w:t>
      </w:r>
      <w:r>
        <w:rPr>
          <w:rFonts w:ascii="Times New Roman" w:hAnsi="Times New Roman"/>
          <w:color w:val="000000"/>
          <w:sz w:val="20"/>
        </w:rPr>
        <w:t xml:space="preserve"> </w:t>
      </w:r>
    </w:p>
    <w:p>
      <w:pPr>
        <w:pStyle w:val="TextBody"/>
        <w:bidi w:val="0"/>
        <w:jc w:val="left"/>
        <w:rPr/>
      </w:pPr>
      <w:r>
        <w:rPr/>
        <w:t> </w:t>
      </w:r>
    </w:p>
    <w:tbl>
      <w:tblPr>
        <w:tblW w:w="10092" w:type="dxa"/>
        <w:jc w:val="left"/>
        <w:tblInd w:w="0" w:type="dxa"/>
        <w:tblLayout w:type="fixed"/>
        <w:tblCellMar>
          <w:top w:w="28" w:type="dxa"/>
          <w:left w:w="28" w:type="dxa"/>
          <w:bottom w:w="28" w:type="dxa"/>
          <w:right w:w="28" w:type="dxa"/>
        </w:tblCellMar>
      </w:tblPr>
      <w:tblGrid>
        <w:gridCol w:w="4851"/>
        <w:gridCol w:w="146"/>
        <w:gridCol w:w="211"/>
        <w:gridCol w:w="676"/>
        <w:gridCol w:w="166"/>
        <w:gridCol w:w="146"/>
        <w:gridCol w:w="211"/>
        <w:gridCol w:w="676"/>
        <w:gridCol w:w="166"/>
        <w:gridCol w:w="146"/>
        <w:gridCol w:w="211"/>
        <w:gridCol w:w="676"/>
        <w:gridCol w:w="166"/>
        <w:gridCol w:w="146"/>
        <w:gridCol w:w="211"/>
        <w:gridCol w:w="676"/>
        <w:gridCol w:w="611"/>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vAlign w:val="center"/>
          </w:tcPr>
          <w:p>
            <w:pPr>
              <w:pStyle w:val="TableContents"/>
              <w:bidi w:val="0"/>
              <w:spacing w:before="0" w:after="283"/>
              <w:jc w:val="center"/>
              <w:rPr/>
            </w:pPr>
            <w:r>
              <w:rPr/>
              <w:t> </w:t>
            </w:r>
          </w:p>
        </w:tc>
      </w:tr>
      <w:tr>
        <w:trPr/>
        <w:tc>
          <w:tcPr>
            <w:tcW w:w="4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Direct external development program expenses: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NKX101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13,813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NKX019</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7,809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CD70</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NK+T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Program 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w:t>
            </w:r>
          </w:p>
        </w:tc>
        <w:tc>
          <w:tcPr>
            <w:tcW w:w="611" w:type="dxa"/>
            <w:tcBorders/>
            <w:shd w:fill="FFFFFF" w:val="clear"/>
            <w:vAlign w:val="center"/>
          </w:tcPr>
          <w:p>
            <w:pPr>
              <w:pStyle w:val="TableContents"/>
              <w:bidi w:val="0"/>
              <w:spacing w:before="0" w:after="283"/>
              <w:jc w:val="left"/>
              <w:rPr/>
            </w:pPr>
            <w:r>
              <w:rPr/>
              <w:t> </w:t>
            </w:r>
          </w:p>
        </w:tc>
      </w:tr>
      <w:tr>
        <w:trPr/>
        <w:tc>
          <w:tcPr>
            <w:tcW w:w="4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Unallocated internal research and development costs: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Personnel related (including share-based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25,654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17,430</w:t>
            </w:r>
          </w:p>
        </w:tc>
        <w:tc>
          <w:tcPr>
            <w:tcW w:w="611" w:type="dxa"/>
            <w:tcBorders/>
            <w:shd w:fill="CFF0FC" w:val="clear"/>
            <w:vAlign w:val="center"/>
          </w:tcPr>
          <w:p>
            <w:pPr>
              <w:pStyle w:val="TableContents"/>
              <w:bidi w:val="0"/>
              <w:spacing w:before="0" w:after="283"/>
              <w:jc w:val="left"/>
              <w:rPr/>
            </w:pPr>
            <w:r>
              <w:rPr/>
              <w:t> </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Partner cost sharing</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research and development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73,451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64,053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Research and development activities are central to our business model.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However, we expect that our research and development expenses will increase substantially in connection with our planned preclinical and clinical development activities in the near term and in the future, including as a result of our planned clinical trial of NKX019 for the treatment of LN.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successful development of our drug candidates is highly uncertain. A change in the outcome of any of a number of variables with respect to the development of our drug candidates may significantly impact the costs and timing associated with the development of our drug candidates. A discussion of the risks and uncertainties that we face in the development and commercialization of our drug candidates can be found under Part II, Item 1A, “Risk Factors” in this Quarterly Report on Form 10-Q. We may never succeed in obtaining regulatory approval for any of our drug candidates.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General and administrative expenses consist primarily of salaries and employee-related costs, including share-based compensation, for personnel in executive, finance and other administrative functions. Other significant costs include legal fees relating to intellectual property and corporate matters, professional fees for accounting and consulting services and facility-related costs.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expect our general and administrative expenses will increase for the foreseeable future to support our increased research and development activities and to reflect increased costs associated with operating as a public company. These increased costs will likely include increased expenses related to audit, legal, regulatory and tax-related services associated with maintaining compliance with exchange listing and SEC requirements, director and officer insurance premiums and investor relations costs.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Interest income consists of interest earned on our cash, cash equivalents and investments and adjustments related to amortization of purchase premiums and accretion of discounts of investments.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summarizes our results of operations for the periods indicated (in thousands):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426"/>
        <w:gridCol w:w="146"/>
        <w:gridCol w:w="211"/>
        <w:gridCol w:w="736"/>
        <w:gridCol w:w="166"/>
        <w:gridCol w:w="146"/>
        <w:gridCol w:w="211"/>
        <w:gridCol w:w="736"/>
        <w:gridCol w:w="166"/>
        <w:gridCol w:w="146"/>
        <w:gridCol w:w="211"/>
        <w:gridCol w:w="631"/>
        <w:gridCol w:w="166"/>
        <w:gridCol w:w="146"/>
        <w:gridCol w:w="211"/>
        <w:gridCol w:w="841"/>
        <w:gridCol w:w="166"/>
        <w:gridCol w:w="146"/>
        <w:gridCol w:w="211"/>
        <w:gridCol w:w="736"/>
        <w:gridCol w:w="166"/>
        <w:gridCol w:w="146"/>
        <w:gridCol w:w="211"/>
        <w:gridCol w:w="736"/>
        <w:gridCol w:w="391"/>
      </w:tblGrid>
      <w:tr>
        <w:trPr/>
        <w:tc>
          <w:tcPr>
            <w:tcW w:w="2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42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73,451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64,053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9,398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42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(29,294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(30,262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(100,465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(83,972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(16,493</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4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42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7,953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42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(89,747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(81,255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6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Three and Nine Months Ended September 30, 2023 and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Research and development expenses</w:t>
      </w:r>
      <w:r>
        <w:rPr>
          <w:rFonts w:ascii="Times New Roman" w:hAnsi="Times New Roman"/>
          <w:b w:val="false"/>
          <w:color w:val="000000"/>
          <w:sz w:val="20"/>
        </w:rPr>
        <w:t>. Research and development expenses were $22.2 million and $23.4 million for the three months ended September 30, 2023 and 2022, respectively. The decrease of $1.2 million was primarily due to a decrease of $3.7 million in program costs primarily relating to NKX101 and NKX019, offset by an increase in personnel costs of $1.4 million as a result of continued growth in headcount, an increase of $0.8 million related to a reduction in partner cost sharing reimbursements, and an increase of $0.3 million in other internal research costs, primarily consisting of research and laboratory supplies and facilities expenses.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Research and development expenses were $73.5 million and $64.1 million for the nine months ended September 30, 2023 and 2022, respectively. The increase of $9.4 million was primarily due to an increase in personnel costs of $5.5 million as a result of continued growth in headcount, an increase of $1.4 million related to a reduction in partner cost sharing reimbursements, and an increase of $2.3 million in other internal research costs, primarily consisting of research and laboratory supplies and facilities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General and administrative expenses</w:t>
      </w:r>
      <w:r>
        <w:rPr>
          <w:rFonts w:ascii="Times New Roman" w:hAnsi="Times New Roman"/>
          <w:b w:val="false"/>
          <w:color w:val="000000"/>
          <w:sz w:val="20"/>
        </w:rPr>
        <w:t>. General and administrative expenses were $7.1 million and $6.8 million for the three months ended September 30, 2023 and 2022, respectively. The increase of $0.3 million was primarily due to an increase of $0.7 million in facilities expenses, offset by a decrease of $0.4 million in legal and consulting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General and administrative expenses were $27.0 million and $19.9 million for the nine months ended September 30, 2023 and 2022, respectively. The increase of $7.1 million was primarily due to an increase in personnel costs of $1.8 million, including an increase of $0.4 million in share-based compensation expense as a result of continued growth in headcount, an increase of $4.1 million in impairment of right-of-use assets, an increase of $0.6 million in consulting expenses, and an increase of $0.6 million in facilities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have incurred and expect to continue to incur certain expenses as a result of being a public company, which we expect will further increase when we no longer qualify as an “emerging growth company” under the JOBS Act. In addition, we have incurred and expect to continue to incur expenses related to additional insurance, investor relations and other expenses related to the need for additional human resources and professional services associated with being a public company.</w:t>
      </w:r>
    </w:p>
    <w:p>
      <w:pPr>
        <w:pStyle w:val="TextBody"/>
        <w:bidi w:val="0"/>
        <w:spacing w:before="240" w:after="283"/>
        <w:jc w:val="left"/>
        <w:rPr>
          <w:rFonts w:ascii="Times New Roman" w:hAnsi="Times New Roman"/>
          <w:sz w:val="20"/>
        </w:rPr>
      </w:pPr>
      <w:r>
        <w:rPr>
          <w:rFonts w:ascii="Times New Roman" w:hAnsi="Times New Roman"/>
          <w:b/>
          <w:color w:val="000000"/>
          <w:sz w:val="20"/>
        </w:rPr>
        <w:t>Interest income</w:t>
      </w:r>
      <w:r>
        <w:rPr>
          <w:rFonts w:ascii="Times New Roman" w:hAnsi="Times New Roman"/>
          <w:b w:val="false"/>
          <w:color w:val="000000"/>
          <w:sz w:val="20"/>
        </w:rPr>
        <w:t>. Interest income was $3.6 million and $1.9 million for the three months ended September 30, 2023 and 2022, respectively. Interest income was due to interest earned from investments, partially offset by amortization of purchase premiums and accretion of discounts of investments.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Interest income was $10.7 million and $2.7 million for the nine months ended September 30, 2023 and 2022, respectively. Interest income was due to interest earned from investments, partially offset by amortization of purchase premiums and accretion of discounts of investments.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we had cash, cash equivalents, restricted cash and investments of $278.4 million. In connection with our IPO which closed on July 14, 2020, we received $265.1 million in net proceeds, after deducting underwriting discounts and commissions and other offering expenses. On April 28, 2022, we received $215.3 million in net proceeds, after deducting underwriting discounts, commissions and other offering expenses, in connection with our secondary offering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March 17, 2023, we filed a Shelf Registration Statement on Form S-3, as amended by the Form S-3/A filed on April 24, 2023, covering the offer and sale from time to time, pursuant to Rule 415 of the Securities Act, of up to $350.0 million in aggregate offering price of shares of our common stock, shares of our preferred stock, debt securities, warrants, rights and/or units(including up to $120.0 million in aggregate offering price of shares of our common stock, shares of our preferred stock, debt securities, warrants, rights and/or units registered on our Prior Registration Statement, that have not yet been sold. The Shelf Registration Statement was declared effective by the SEC on May 5, 2023.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Prior Registration Statement included a prospectus covering the offer and sale from time to time of up to $150.0 million in aggregate offering price of shares of our common stock through the ATM Offering Program with Cowen and Company, LLC, as sales agent. For the nine months ended September 30, 2023, no sales of our common stock were made pursuant to the ATM Offering Program.</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October 2023, we announced cost containment measures, which included a reduction in and re-allocation of headcount combined with a stringent cap on future headcount growth, as well as planned centralization of operations to a single location.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have incurred net losses and negative cash flows from operations since our inception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 Furthermore, we expect to incur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additional costs associated with operating as a public company, including significant legal, accounting, investor relations and other expenses that we did not incur as a private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will need substantial additional funding to support our continuing operations and pursue our long-term development strategy. Until such time as we can generate significant revenue from sales of our drug candidates, if ever, we may seek additional funding through the issuance of our common stock, including through our ATM Offering Program, other equity or debt financing or collaborations or partnerships with other companies. The amount and timing of our future funding requirements will depend on many factors, including the pace and results of our clinical development efforts for our product candidates, including potentially advancing into pivotal stage trials, and other research, development, and manufacturing activities, market conditions, and the success of our planned cost-containment measures. We may not be able to raise additional capital on terms acceptable to us, or at all. If we fail to raise capital or enter into such agreements as, and when, needed, we may have to undertake further cost-containment measures and/or significantly delay, scale back, or discontinue the development and commercialization of our drug candidates or delay our efforts to expand our product pipeline. We may also be required to sell or license to other parties’ rights to develop or commercialize our drug candidates that we would prefer to retain.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believe that our current cash, cash equivalents, restricted cash and investments as of September 30, 2023 will be sufficient to meet our cash needs for at least 12 months following the issuance date of this Quarterly Report on Form 10-Q.</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sets forth a summary of our cash flows for the periods indicated (in thousands):</w:t>
      </w:r>
      <w:r>
        <w:rPr>
          <w:rFonts w:ascii="Times New Roman" w:hAnsi="Times New Roman"/>
          <w:color w:val="000000"/>
          <w:sz w:val="20"/>
        </w:rPr>
        <w:t xml:space="preserve"> </w:t>
      </w:r>
    </w:p>
    <w:p>
      <w:pPr>
        <w:pStyle w:val="TextBody"/>
        <w:bidi w:val="0"/>
        <w:jc w:val="left"/>
        <w:rPr/>
      </w:pPr>
      <w:r>
        <w:rPr/>
        <w:t> </w:t>
      </w:r>
    </w:p>
    <w:tbl>
      <w:tblPr>
        <w:tblW w:w="7369" w:type="dxa"/>
        <w:jc w:val="left"/>
        <w:tblInd w:w="0" w:type="dxa"/>
        <w:tblLayout w:type="fixed"/>
        <w:tblCellMar>
          <w:top w:w="28" w:type="dxa"/>
          <w:left w:w="28" w:type="dxa"/>
          <w:bottom w:w="28" w:type="dxa"/>
          <w:right w:w="28" w:type="dxa"/>
        </w:tblCellMar>
      </w:tblPr>
      <w:tblGrid>
        <w:gridCol w:w="4521"/>
        <w:gridCol w:w="146"/>
        <w:gridCol w:w="211"/>
        <w:gridCol w:w="736"/>
        <w:gridCol w:w="166"/>
        <w:gridCol w:w="146"/>
        <w:gridCol w:w="211"/>
        <w:gridCol w:w="841"/>
        <w:gridCol w:w="39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(62,806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(49,669</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63,178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(189,436</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218,588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val="false"/>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Net cash used in operating activities was $62.8 million and $49.7 million for the nine months ended September 30, 2023 and 2022, respectively. The net cash used in operating activities for the nine months ended September 30, 2023 was primarily due to our net loss of $89.7 million, adjusted for $26.9 million of net non-cash charges consisting primarily of share-based compensation of $13.7</w:t>
      </w:r>
      <w:r>
        <w:rPr>
          <w:rFonts w:ascii="Times New Roman" w:hAnsi="Times New Roman"/>
          <w:color w:val="000000"/>
          <w:sz w:val="20"/>
        </w:rPr>
        <w:t xml:space="preserve"> </w:t>
      </w:r>
      <w:r>
        <w:rPr>
          <w:rFonts w:ascii="Times New Roman" w:hAnsi="Times New Roman"/>
          <w:b w:val="false"/>
          <w:color w:val="000000"/>
          <w:sz w:val="20"/>
        </w:rPr>
        <w:t>million, depreciation and amortization of $3.6</w:t>
      </w:r>
      <w:r>
        <w:rPr>
          <w:rFonts w:ascii="Times New Roman" w:hAnsi="Times New Roman"/>
          <w:color w:val="000000"/>
          <w:sz w:val="20"/>
        </w:rPr>
        <w:t xml:space="preserve"> </w:t>
      </w:r>
      <w:r>
        <w:rPr>
          <w:rFonts w:ascii="Times New Roman" w:hAnsi="Times New Roman"/>
          <w:b w:val="false"/>
          <w:color w:val="000000"/>
          <w:sz w:val="20"/>
        </w:rPr>
        <w:t>million, investment accretion and amortization of $6.9 million, non-cash lease expense of $1.7 million, impairment of right-of-use assets of $4.1 million, and a $10.8 million net change in operating assets and liabilities. The net cash used in operating activities for the nine months ended September 30, 2022 was primarily due to our net loss of $81.3 million, adjusted for $18.3 million of net non-cash charges consisting primarily of share-based compensation of $12.4</w:t>
      </w:r>
      <w:r>
        <w:rPr>
          <w:rFonts w:ascii="Times New Roman" w:hAnsi="Times New Roman"/>
          <w:color w:val="000000"/>
          <w:sz w:val="20"/>
        </w:rPr>
        <w:t xml:space="preserve"> </w:t>
      </w:r>
      <w:r>
        <w:rPr>
          <w:rFonts w:ascii="Times New Roman" w:hAnsi="Times New Roman"/>
          <w:b w:val="false"/>
          <w:color w:val="000000"/>
          <w:sz w:val="20"/>
        </w:rPr>
        <w:t>million, depreciation and amortization of $1.9</w:t>
      </w:r>
      <w:r>
        <w:rPr>
          <w:rFonts w:ascii="Times New Roman" w:hAnsi="Times New Roman"/>
          <w:color w:val="000000"/>
          <w:sz w:val="20"/>
        </w:rPr>
        <w:t xml:space="preserve"> </w:t>
      </w:r>
      <w:r>
        <w:rPr>
          <w:rFonts w:ascii="Times New Roman" w:hAnsi="Times New Roman"/>
          <w:b w:val="false"/>
          <w:color w:val="000000"/>
          <w:sz w:val="20"/>
        </w:rPr>
        <w:t>million, investment accretion and amortization of $0.8 million, non-cash lease expense of $3.3 million and a $13.2 million net change in operating assets and liabilities.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Investing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Net cash provided by investing activities was $63.2 million and net cash used in investing activities was $189.4 million for the nine months ended September 30, 2023 and 2022, respectively. The net cash provided by investing activities for the nine months ended September 30, 2023 was primarily due to proceeds from sales and maturities of investments of $281.4 million, partially offset by purchases of investments of $196.9 million and purchases of property and equipment of $21.3 million primarily related to the construction of our manufacturing facility. The net cash used in investing activities for the nine months ended September 30, 2022 was primarily due to purchases of short-term investments of $310.3 million and purchases of property and equipment of $12.1 million primarily related to the construction of our manufacturing facility, partially offset by proceeds from maturities of short-term investments of $133.0 million.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Net cash provided by financing activities was $0.4 million for the nine months ended September 30, 2023, primarily due to the proceeds from the exercise of stock options and proceeds from ESPP purchases. Net cash provided by financing activities was $218.6</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million for the nine months ended September 30, 2022, primarily due to the proceeds of $215.6 million from our secondary offering, net of issuance costs, proceeds of $1.6 million from the ATM Offering Program, net of issuance costs, and proceeds of $1.4 million from the exercise of stock options.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upon our current operating plans, we believe that our existing cash, cash equivalents, restricted cash and investments will be sufficient to fund our operations for at least the next 12 months from the date of this Quarterly Report on Form 10-Q.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future capital requirements will depend on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type, number, scope, progress, expansions, results, costs and timing of our clinical trials and preclinical studies for our product candidates or other potential product candidates or indications which we are pursuing or may choose to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outcome, timing and costs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and timing of manufacturing for our product candidates, including commercial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efforts to enhance operational systems and hire additional personnel to satisfy our obligations as a public company, including enhanced internal controls over financial reporting;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associated with hiring additional personnel and consultants as our preclinical and clinical activities increase;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and timing of establishing or securing sales and marketing capabilities if any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patients’ willingness or ability to pay out-of-pocket for any approved products in the absence of coverage and/or adequate reimbursement from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terms and timing of establishing and maintaining collaborations, licenses and other similar arrangements, including payments required for meeting regulatory and commercial milestones or sales based royalties;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of obtaining, maintaining and enforcing our patent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costs associated with any product candidates, products or technologies that we may in-license or acquire;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implement cost containment measures, including subleasing portions of our leased corporate office space in South San Francisco.</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Until such time as we can generate significant revenue from sales of our therapeutic product candidates, if ever, we expect to finance our cash needs through public or private equity, including pursuant to the ATM Offering Program, or debt financings or other capital sources, including potential collaborations, licenses and other similar arrangements. We may be unable to raise additional funds or enter into such other arrangements when needed on favorable terms or at all. There may also be instances where our ability to access a portion of our existing cash, cash equivalents and investments may be threatened due to financial conditions affecting the banking system and financial markets.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 may reduce the value of our common stock. If we are unable to raise additional funds through equity or debt financings when needed, we may be required to undertake additional cost-containment measures and/or delay, limit, reduce or terminate our product development or future commercialization efforts or grant rights to develop and market our product candidates even if we would otherwise prefer to develop and market such product candidates ourselves.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80" w:after="283"/>
        <w:jc w:val="left"/>
        <w:rPr>
          <w:rFonts w:ascii="Times New Roman" w:hAnsi="Times New Roman"/>
          <w:b w:val="false"/>
          <w:color w:val="000000"/>
          <w:sz w:val="20"/>
        </w:rPr>
      </w:pPr>
      <w:r>
        <w:rPr>
          <w:rFonts w:ascii="Times New Roman" w:hAnsi="Times New Roman"/>
          <w:b w:val="false"/>
          <w:color w:val="000000"/>
          <w:sz w:val="20"/>
        </w:rPr>
        <w:t>As of September 30, 2023, there have been no material changes from the contractual obligations and commitments previously disclosed in our Annual Report on Form 10-K for the year ended December 31, 2022.</w:t>
      </w:r>
    </w:p>
    <w:p>
      <w:pPr>
        <w:pStyle w:val="TextBody"/>
        <w:bidi w:val="0"/>
        <w:spacing w:before="80" w:after="283"/>
        <w:jc w:val="left"/>
        <w:rPr>
          <w:rFonts w:ascii="Times New Roman" w:hAnsi="Times New Roman"/>
          <w:b w:val="false"/>
          <w:color w:val="000000"/>
          <w:sz w:val="20"/>
        </w:rPr>
      </w:pPr>
      <w:r>
        <w:rPr>
          <w:rFonts w:ascii="Times New Roman" w:hAnsi="Times New Roman"/>
          <w:b w:val="false"/>
          <w:color w:val="000000"/>
          <w:sz w:val="20"/>
        </w:rPr>
        <w:t>See Note 6 to our financial statements included elsewhere in this Quarterly Report on Form 10-Q for additional information regarding our lease liability.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management’s discussion and analysis of our financial condition and results of operations are based on our financial statements, which have been prepared in accordance with U.S. GAAP. The preparation of these financial statements requires us to make estimates and judgments that affect the reported amounts of assets, liabilities and expenses and the disclosure of contingent assets and liabilities in our financial statements and accompanying notes. On an ongoing basis, we evaluate our estimates and judgments, including those related to preclinical studies and clinical trial accruals, the incremental borrowing rate used in determining the lease liability and right-of-use asset for the Additional Lease Agreement, and share-based compensation.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have been no significant changes in our critical accounting policies and estimates during the nine months ended September 30, 2023, as compared to the critical accounting policies and estimates disclosed in “Management’s Discussion and Analysis of Financial Condition and Results of Operations” included in our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September 30, 2023 and December 31, 2022.</w:t>
      </w:r>
    </w:p>
    <w:p>
      <w:pPr>
        <w:pStyle w:val="TextBody"/>
        <w:bidi w:val="0"/>
        <w:spacing w:before="360" w:after="283"/>
        <w:jc w:val="left"/>
        <w:rPr>
          <w:rFonts w:ascii="Times New Roman" w:hAnsi="Times New Roman"/>
          <w:sz w:val="20"/>
        </w:rPr>
      </w:pPr>
      <w:r>
        <w:rPr>
          <w:rFonts w:ascii="Times New Roman" w:hAnsi="Times New Roman"/>
          <w:b/>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one business activity and operate in one reportable segment.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JOBS Act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an “emerging growth company” as described under the JOBS Act, and we could have taken advantage of an extended transition period for complying with new or revised accounting standards. This would have allowed us to delay the adoption of certain accounting standards until those standards would otherwise apply to private companies. We have chosen irrevocably to “opt out” of such extended transition period, and as a result, we will comply with new or revised accounting standards on the relevant dates on which adoption of such standards is required for non-emerging growth companies. We intend to rely on other exemptions provided by the JOBS Act, including without limitation, not being required to comply with the auditor attestation requirements of Section 404(b) of The Sarbanes-Oxley Act of 2002 (the "Sarbanes-Oxley Act").</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will remain an emerging growth company until the earliest of (i)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Even after we no longer qualify as an emerging growth company, we may still qualify as a smaller reporting company or a non-accelerated filer,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prospectuses and in our periodic reports and proxy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80" w:after="283"/>
        <w:jc w:val="left"/>
        <w:rPr>
          <w:rFonts w:ascii="Times New Roman" w:hAnsi="Times New Roman"/>
          <w:sz w:val="20"/>
        </w:rPr>
      </w:pPr>
      <w:r>
        <w:rPr>
          <w:rFonts w:ascii="Times New Roman" w:hAnsi="Times New Roman"/>
          <w:b w:val="false"/>
          <w:color w:val="000000"/>
          <w:sz w:val="20"/>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cash equivalents, restricted cash and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For marketable investment securities with short-term maturities, we do not believe that an increase or decrease in market rates would have a significant impact on the realized values or the statements of operations and comprehensive loss. As such, we believe that if a 10.0% change in interest rates were to have occurred on September 30, 2023, this change would not have had a material effect on the fair value of our investment portfolio as of that date.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are exposed to market risk related to changes in foreign currency exchange rates. We contract with vendors that are located outside the United States and certain invoices are denominated in foreign currencies. We are subject to fluctuations in foreign currency rates in connection with such arrangements. We do not currently hedge our foreign currency exchange risk.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Inflation generally affects us by increasing labor, commercial support, construction, and research and development contract costs (including manufacturing and clinical supply costs). We do not believe inflation has had a material effect on our results of operations during the periods presented.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do not believe that inflation, interest rate changes, or exchange rate fluctuations had a significant impact on our results of operations for any periods presented herein.</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sz w:val="20"/>
        </w:rPr>
      </w:pPr>
      <w:r>
        <w:rPr>
          <w:rFonts w:ascii="Times New Roman" w:hAnsi="Times New Roman"/>
          <w:b/>
          <w:color w:val="000000"/>
          <w:sz w:val="20"/>
        </w:rPr>
        <w:t>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management, with the participation of our chief executive officer and chief financial and business officer, evaluated the effectiveness of our disclosures controls and procedures, as defined in Rules 13a-15(e) and 15d-15(e) under the Exchange Act, as of September 30,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2023, our chief executive officer and chief financial and business officer concluded that, as of such date, our disclosure controls and procedures were effective at a reasonable assurance level.</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Management determined that, as of September 30, 2023, there were no changes in our internal control over financial reporting that occurred during the fiscal quarter then ended that have materially affected, or are reasonably likely to materially affect, our internal control over financial reporting.</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investment in shares of our common stock involves a high degree of risk. You should carefully consider the following risk factors, as well as all of the other information contained in this Quarterly Report on Form 10-Q,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Quarterly Report on Form 10-Q also contains forward-looking statements and estimates that involve risks and uncertainties. Our actual results could differ materially from those anticipated in the forward-looking statements as a result of specific factors, including the risks and uncertainties described below. The risks relating to our business set forth in our Annual Report on Form 10-K for the year ended December 31, 2022 and filed with the Securities and Exchange Commission ("SEC") on March 16, 2023, in our Quarterly Report on Form 10-Q for the quarter ended March 31, 2023 and filed with the SEC on May 11, 2023, and in our Quarterly Report on Form 10-Q for the quarter ended June 30, 2023 and filed with the SEC on August 10, 2023, are set forth below and are unchanged substantively as of the date of this Quarterly Report on Form 10-Q, except for those risks designated by an asterisk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disclose further changes to the factors below or disclose additional factors from time to time in our future filings with the SEC.</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Financial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and do not have any products approved for sale.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are a development-stage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our product candidates, building our intellectual property portfolio, developing our supply chain and in-house manufacturing capability, conducting business planning, raising capital and providing general and administrative support for these operations.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and we expect to continue to incur significant losses for the foreseeable future.*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Since our inception in 2015, we have incurred significant operating losses. Our net losses were $89.7 million, $113.8 million and $86.1 million for the nine months ended September 30, 2023 and the years ended December 31, 2022 and 2021, respectively. Our accumulated deficit was $407.7 million as of September 30, 2023. We expect to continue to incur increasing operating losses for the foreseeable future as we continue to develop our product candidates. In addition, we anticipate that our expenses will increase substantially if, and as, we: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continue the clinical development of NKX101 and NKX019, including in new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advance additional product candidates to clinical trials, including product candidates under the collaboration with CRISPR Therapeutics AG ("CRISPR");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develop our current product candidates for additional disease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seek to discover and develop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establish and qualify our own clinical- and commercial-scale current good manufacturing practice ("cGMP") facilities;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submit a biologics license application ("BLA") or marketing authorization application ("MAA") for NKX101 and/or NKX019 and/or seek marketing approvals for any of our other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seek regulatory approval of our product candidates in various jurisdictions for commercial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incur additional costs associated with operating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develop or secure marketing, sales and distribution capabilities, either internally or with third parties, to support commercialization;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increase our employee headcount and related expenses to support the foregoing activities.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may never succeed in any or all of these activities and, even if we do, we may never generate revenues that are significant or large enough to achieve profitability.</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never generated revenue from product sales and may never achieve or maintain profitability.*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continue to incur significant research and development and other expenses related to ongoing operations and the development of our two lead product candidates, NKX101 and NKX019. All of our product candidates will require substantial additional development time and resources before we would be able to apply for or receive regulatory approvals and begin generating revenue from product sales. Neither the United States Food and Drug Administration ("FDA") nor any other regulatory authority has approved NKX101, NKX019 or any of our other product candidates, and we do not anticipate generating revenues from product sales unless and until such time as NKX101, NKX019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completing 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seeking and obtaining regulatory approvals for product candidates for which we successfully complete positive clinical trials,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launching and commercializing product candidates, by establishing a commercial infrastructure or, alternatively, collaborating with a commercialization partner;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qualifying for adequate coverage and reimbursement by government and third-party payors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establishing, maintaining and enhancing a sustainable, scalable, reproducible and transferable manufacturing process for each of our cell therapy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establishing and maintaining supply and manufacturing relationships with third parties that can provide adequate products and services, in both amount and quality, to support clinical development and the market demand for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obtaining market acceptance of our product candidates as a viable clinical option;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implementing additional internal systems and infrastructure, as needed;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negotiating favorable terms in any collaboration, licensing or other arrangements into which we may enter and performing our obligations in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maintaining, protecting and expanding our portfolio of intellectual property rights, including patents, trade secrets, know-how, and trademarks;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avoiding and defending against third-party interference or infringement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attracting, hiring and retaining qualified personnel.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anticipate incurring significant costs associated with commercializing any approved product candidate. Our expenses could increase beyond our current expectations if we are required by the FDA or other global regulatory authorities to perform clinical trials and/or other preclinical studies in addition to, or beyond the scope of, those that we currently anticipate being required to perform.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additional capital, which, if available, may cause dilution to our stockholders, restrict our operations or require us to relinquish rights to our product candidates.*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have financed our operations primarily through private placements of our preferred stock, proceeds from our previous collaboration with GlaxoSmithKline, proceeds from our initial public offering ("IPO") completed in July 2020, proceeds from our underwritten public offering of our common stock completed in April 2022 (the "Secondary Offering"), and our "at the market" equity offering program (the "ATM Offering Program"). We intend to continue to use the proceeds from our IPO and our Secondary Offering to, among other uses, advance NKX101 and NKX019 through clinical development. However, developing pharmaceutical products and conducting preclinical studies and clinical trials is expensive. Advancing NKX101, NKX019 or any product candidate into pivotal trials will require us to raise additional capital. As of September 30, 2023, we had cash, cash equivalents, restricted cash and investments of $278.4 million. Our research and development expenses increased from $63.4 million for the year ended December 31, 2021 to $90.9 million for the year ended December 31, 2022 and increased from $64.1 million for the nine months ended September 30, 2022 to $73.5 million for the nine months ended September 30,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Until and unless we can generate substantial product revenue, we expect to finance our cash needs through the proceeds from our IPO and Secondary Offering, a combination of equity offerings and debt financings, including pursuant to our ATM Offering Program, and potentially through additional license and development agreements or strategic partnerships with third parties. Financing may not be available in sufficient amounts or on reasonable terms. In addition, market volatility resulting from the ongoing conflicts in the Middle East and Ukraine, rising inflation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Attempting to secure additional financing may also divert our management from our day-to-day activities, which may impair or delay our ability to develop our product candidates. In addition, demands on our cash resources may change as a result of many factors currently unknown to us including, but not limited to, delays or undesired outcomes from our cost-containment efforts, such as those related to our cap on future headcount growth, centralizing our operations to a single location, or subleasing portions of our leased corporate office space in South San Francisco, and any unforeseen costs we may incur as a result of preclinical study or clinical trial delays due to health epidemics or other causes, and we may need to seek additional funds sooner than planned as a result. Furthermore, if, in the future, one or more banks or financial institutions enter receivership or become insolvent in response to financial conditions affecting the banking system and financial markets, our ability to access our existing cash, cash equivalents and investments may be threatened and could have a material impact on our business and financial condition. If we are unable to obtain funding on a timely basis or at all, we may be required to undertake additional cost-containment measures and/or significantly curtail or stop one or more of our research or development programs.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val="false"/>
          <w:color w:val="000000"/>
          <w:sz w:val="20"/>
        </w:rPr>
        <w:br/>
        <w:br/>
      </w: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depends upon the success of our CAR NK cell technology platform.</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success depends on our ability to utilize our chimeric antigen receptor-natural killer cell ("CAR NK") technology platform to generate product candidates, to obtain regulatory approval for product candidates derived from it, and to then commercialize our product candidates addressing one or more indications. Phase 1 clinical trials to evaluate our first two CAR NK product candidates in humans are ongoing. All of our product candidates developed from our technology platform will require significant additional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 NK engineering technology.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Utilizing CAR NK cells represents a novel therapeutic approach, and we must overcome significant challenges in order to develop, commercialize and manufacture our product candidates.*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have concentrated our research and development efforts on utilizing CAR NK cells as an immunotherapy for the treatment of certain diseases, specifically cancers and, most recently, autoimmune diseases. To date, the FDA has approved only a few cell-based therapies for commercialization as treatments for cancer, no cell-based therapies have been approved for commercial use for the treatment of an autoimmune disease, and no natural killer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 NK platform product candidates are novel, and cell-based therapies are relatively new, especially as potential treatments for autoimmune diseases, regulatory agencies may lack precedents for evaluating product candidates like our CAR NK product candidates. As the cell therapy field develops further, the processes and requirements imposed by the regulatory agencies may evolve in a manner that adversely impacts us. The novelty of our product candidates may lengthen the regulatory review process, including the time it takes for the FDA to review our IND applications if and when submitted, increase our development costs and delay or prevent approval and commercialization of our CAR NK platform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Additionally, advancing novel immunotherapies creates significant challenges for us,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enrolling sufficient numbers of patients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training a sufficient number of medical personnel on how to properly thaw and administer our cells, especially in any solid tumor trial wherein the cells are given through a procedure by trained medical doctors;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training a sufficient number of medical and clinical laboratory personnel in the proper collection and handling of clinical samples in our clinical trials to enable a sufficient understanding of CAR NK pharmacokinetics and pharmacodynamics for the design of an optimal dosing regimen;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educating medical personnel regarding the potential side-effect profile of our cells and, as the clinical program progresses, on observed side effects with the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developing a reliable and safe and an effective means of genetically modifying our cells;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manufacturing and cryopreservation our cells on a large scale and in a cost-effective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sourcing starting material suitable for clinical and commercial manufacturing;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establishing sales and marketing capabilities, as well as developing a manufacturing process and distribution network to support the commercialization of any approved products.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must be able to overcome these challenges in order for us to develop, commercialize and manufacture our product candidates utilizing CAR NK cells.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Certain aspects of the function and production of CAR NK cells are currently unknown or poorly understood, and may only become known through further preclinical testing and clinical trials. Any potential re-engineering required may result in delays and additional expenses.*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Current clinical experience with NK cell therapy is predominantly based on cells from haplomatched donors, i.e., at least half of the major Human Leukocyte Antigen ("HLA") types matched between donor and recipient. Our ongoing NKX101 Phase 1 clinical trial originally evaluated product manufactured from patient specific haplo-related donors and completely unrelated donors (used off-the-shelf). Based on preliminary clinical results from that clinical trial, we moved forward into expansion cohorts and further development of NKX101, as well as development of NKX019, using off-the-shelf product only. There is a risk that the early clinical results may not be reflective of future clinical trial results which may require us to re-evaluate HLA matching. If it becomes apparent through future preclinical testing or clinical trials that such matching is required, the production of NKX101, NKX019, and our other product candidates as standardized, off-the-shelf products for all patients will not be achievable. Instead, we would need to establish an alternative approach for each of our product candidates to achieve coverage of the addressable patient population.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Furthermore, the killer immunoglobulin-like receptor ("KIR") is found on the surface of NK cells and recognizes certain HLA types. If there is a match between KIR and the HLA type, KIR acts as a natural inhibitor of NK activity, thereby serving to prevent immune reactions against an individual’s own cells. In both NKX101 and NKX019 Phase 1 clinical trials for the treatment of cancers, product is administered regardless of specific KIR phenotype. As we continue our clinical trials, we may discover that retaining a KIR mismatch is required to achieve clinically meaningful activity, and we may need to factor KIR mismatch into the donor and product selection process for patients enrolled in our clinical trials. We also continue to analyze for donor characteristics that correlate with clinical activity and we may decide to select for donors to enhance activity of our products in the clinic.</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tumors are sometimes able to evade detection by naturally occurring NK cells by shedding the NKG2D ligands found on malignant cells. While NKX101 has been engineered to resist this shedding mechanism, there can be no guarantee that tumor cells will not retain or regain the ability to shed NKG2D ligand completely despite the presence of NKX101, which would give such tumors a degree of resistance against NKX101. If we discover that tumors develop a resistance to NKX101 as a result of such NKG2D ligand shedding, we will need to reengineer NKX101 to counteract this effect, or we may need to change or abandon our development efforts for NKX101.</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general, cell therapy is novel. There is limited history of CAR NK cells manufacturing for clinical use, and no cell therapies licensed to date in the United States or elsewhere to treat autoimmune diseases. Our understanding of NK cell biology is continuously expanding and this is particularly true in relation to autoimmune diseases where there is limited clinical data available and where we have no prior experience. If we find that our current manufacturing processes are inadequate, or should we identify opportunities for material improvement, adaptation of process improvements may require significant periods of time. As studies utilizing NK cell biology develop, new information may become available requiring us to change our product candidate. Process improvements or new clinical data might also necessitate new pre-clinical studies and clinical protocols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foregoing processes would require us to redesign the clinical protocols and clinical trials for our product candidates and could require significant additional time and resources to complete and the participation of a significant number of additional clinical trial participants and donors, any of which would delay the clinical development of our product candidates and their eventual commercialization.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development involves a lengthy and expensive process with an uncertain outcome, and we may encounter substantial delays due to a variety of reasons outside our control.*</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subjects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 failure of one or more of our clinical trials could occur at any stage,</w:t>
      </w:r>
      <w:r>
        <w:rPr>
          <w:rFonts w:ascii="Times New Roman" w:hAnsi="Times New Roman"/>
          <w:color w:val="000000"/>
          <w:sz w:val="20"/>
        </w:rPr>
        <w:t xml:space="preserve"> </w:t>
      </w:r>
      <w:r>
        <w:rPr>
          <w:rFonts w:ascii="Times New Roman" w:hAnsi="Times New Roman"/>
          <w:b w:val="false"/>
          <w:color w:val="000000"/>
          <w:sz w:val="20"/>
        </w:rPr>
        <w:t>and any failure could prevent us from obtaining the FDA and other regulatory approvals necessary to commercialize our product candidates. Events that may prevent successful initiation, timely completion, or positive outcomes of our clinical development include, but are not limited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delays in obtaining regulatory approval to commence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delays in reaching agreement on acceptable terms with prospective clinical trial sites or CROs, the terms of which can be subject to extensive negotiation and may vary significantly among different trial sites and CROs;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inability to recruit sufficient patients for our clinical trials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delays in achieving a sufficient number of clinical trial sites or obtaining the required institutional review board ("IRB"),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imposition of a temporary or permanent clinical hold by us or by the FDA or other regulatory agencies based on emerging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clinical sites deviating from trial protocol or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inability to obtain long-term follow-up data due to patient drop out or in cases where patients elect to receive post-protocol treatment for their disease before it progresses;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suspension or termination of a clinical trial by the IRB of the institutions in which such trials are being conducted or by the Data Safety Monitoring Board ("DSMB") (where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delays in sufficiently developing, characterizing, scaling up, optimizing or controlling a manufacturing process suitable for clinical trials, or production delays, shutdowns or setbacks at any of our contract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due to additional regulatory, site and clinical trial participant approvals required if a product candidate, especially a product candidate custom manufactured for a specific patient, does not meet the required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delays in reaching a consensus with regulatory agencies on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regulatory requirements or guidance that may require us to amend or submit new clinical protocols, or such requirements may not be as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the standard of care or treatment landscape on which a clinical development plan was based, which may require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insufficient quantities or inadequate quality of our product candidates or other materials necessary to conduct preclinical studies or clinical trials of our product candidates, including potential limitations to the availability of agents such as fludarabine, cyclophosphamide, or other agents administered to patients prior to treatment or in combination with our product candidates or delays in the manufacturing of product candidates due to scale up or improvements to our manufacturing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clinical trials of our product candidates producing negative or inconclusive results, which may result in our deciding, or regulators requiring us, to conduct additional clinical trials or abandon product development programs;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failure of enrolled patients in foreign countries to adhere to clinical protocol as a result of differences in healthcare services or cultural customs, or additional administrative burdens associated with foreign regulatory schemes;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disruptions caused by or related to the COVID-19 pandemic or other health epidemic may increase the likelihood that we encounter such difficulties or delays in initiating, enrolling, conducting or completing our planned and ongoing preclinical studies and clinical trials, as applicable. For example, we periodically interact with health authorities such as the FDA to obtain advice, or reach consensus, on our ongoing clinical trials, product development, and manufacturing activities. If these health authorities need to prioritize efforts related to future waves of the COVID-19 pandemic or other health epidemics, then we may experience delays in obtaining periodic advice which may affect our ability to move our clinical programs forward into the next phase of development.</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refusal to accept or rejection, of our marketing applications by the FDA or comparable foreign regulatory authority, as the case may be, and may ultimately lead to the denial of marketing approval of our product candidates.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may, from time to time, such as our planned NKX019 clinical trial for the treatment of lupus nephritis ("LN"), establish partnerships in relation to our clinical trials, receiving advisory services and other support from third parties. For example, we have partnered with Lupus Therapeutics, the clinical research affiliate of the Lupus Research Alliance, to accelerate development of NKX019 through select sites of the Lupus Clinical Investigators Network ("LuCIN"). Although we believe that these partnerships will enable us to accelerate the development of our product candidates and clinical trials, we cannot guarantee that such collaborations will be successful and, in the event they are not, we may lose our competitive advantage and/or incur additional costs.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regulatory expectations regarding the genome editing of cellular therapies continue to evolve with data emerging on chromosomal abnormalities from CAR T therapies or other sources, our pipeline programs that involve gene-edited cells, including an allogeneic, off-the-shelf CAR NK product candidate targeting the CD70 tumor antigen ("NKX070") and an allogeneic, off-the-shelf product candidate that comprises both engineered NK cells and engineered T cells ("NK+T"), on which we are collaborating with CRISPR, could be impacted. For example, the FDA may require additional or new release assays for manufactured lots of any product candidates that have been gene edited, which, as a result, could slow development of our gene-edited product candidates and increase expenses.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the FDA’s and other regulatory authorities’ policies with respect to clinical trials may change and additional government regulations may be enacted. For example, passed in December 2022, the Food and Drug Omnibus Reform Act ("FDORA") requires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 If we are slow or unable to adapt to changes in existing requirements or the adoption of new requirements or policies governing clinical trials, our development plans may be impacted.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we experience further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and slow down our product candidate development and approval process.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highly dependent on the clinical success of our product candidates, and on the clinical success of NKX101 and NKX019 in particular, and we may fail to develop NKX101, NKX019 and/or our other product candidates successfully or be unable to obtain regulatory approval for them.*</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cannot guarantee that NKX101 and NKX019, or any of our other product candidates,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NKX101 and NKX019, or any of our other product candidates, will be successful in clinical trials or receive regulatory approval. In particular, we have limited prior experience in developing treatments for autoimmune diseases and our resources and processes have historically been focused on the development of NK cell therapies for cancer. The FDA, and other comparable global regulatory authorities can delay, limit or deny approval of a product candidate for many reasons. For further details about such reasons, see “—</w:t>
      </w:r>
      <w:r>
        <w:rPr>
          <w:rFonts w:ascii="Times New Roman" w:hAnsi="Times New Roman"/>
          <w:b w:val="false"/>
          <w:i/>
          <w:color w:val="000000"/>
          <w:sz w:val="20"/>
        </w:rPr>
        <w:t>Clinical development involves a lengthy and expensive process with an uncertain outcome, and we may encounter substantial delays due to a variety of reasons outside our control.</w:t>
      </w:r>
      <w:r>
        <w:rPr>
          <w:rFonts w:ascii="Times New Roman" w:hAnsi="Times New Roman"/>
          <w:color w:val="000000"/>
          <w:sz w:val="20"/>
        </w:rPr>
        <w:t xml:space="preserve">” </w:t>
      </w:r>
      <w:r>
        <w:rPr>
          <w:rFonts w:ascii="Times New Roman" w:hAnsi="Times New Roman"/>
          <w:b w:val="false"/>
          <w:color w:val="000000"/>
          <w:sz w:val="20"/>
        </w:rPr>
        <w:t>Any delay in obtaining, or inability to obtain, applicable regulatory approval will delay or harm our ability to successfully commercialize NKX101, NKX019, or any of our other product candidates, and could materially adversely affect our business, financial condition, results of operations and growth prospects.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NKX101 is in an early-stage clinical trial and is subject to the risks inherent in drug development. In June 2023, we announced interim data from the dose-escalation portion of the multi-center Phase 1 clinical trial of NKX101 for the treatment of relapsed or refractory acute myeloid leukemia ("r/r AML") or higher risk myelodysplastic syndromes ("MDS"). If the ongoing Phase 1 or our later clinical trials of NKX101 encounter concerning safety signals, efficacy concerns, manufacturing problems, enrollment issues, development delays, regulatory issues, or other problems, our development plans for NKX101 could be significantly impaired, which could materially adversely affect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may also develop NKX101 for additional indications if we are able to obtain clinical proof-of-concept from our NKX101 Phase 1 trial for blood cancers including r/r AML and MDS. We may not be able to advance any of these indications through the development process. Even if we receive regulatory approval to market NKX101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NKX101 for these additional indications, our commercial opportunity will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Furthermore, the potential development of NKX101 for treating solid tumors would be subject to a number of risks related to use of cell therapies in general including a hostile tumor microenvironment and trafficking to tumor site. The development of treatments to treat solid tumors often requires larger and more expensive clinical trials than for treating blood cancers.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NKX019 is also in a Phase 1 clinical trial and subject to the risks inherent in drug development. In December 2022, we announced the opening of three dose-expansion cohorts to evaluate NKX019 monotherapy and NKX019 in combination with rituximab in patients with large B-cell lymphoma ("LBCL"). Preliminary results from these cohorts did not meet our expectations, based on the clinical experience of NKX019 in the dose finding portion of the Phase 1 study. As a result, we are no longer enrolling patients in these dose-expansion cohorts, and we plan to evaluate the results from this cohort before committing additional resources to the program. Furthermore, in October 2023, we announced the opening of a new cohort in our clinical trial of NKX019 for the treatment of B-cell malignancies. The new cohort introduces a compressed dosing schedule, where patients receive NKX019 doses on Days 0, 3, and 7 following standard lymphodepleting conditioning ("LD"), rather than Days 0, 7 and 14 following LD in prior cohorts. The new cohort schedule is designed to intensify exposure to NKX019 in the first week after LD, when internal data suggest that NKX019 exposure is highest. We may also use data from this new cohort to inform future dosing strategies across our platform.</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Due to the commercial availability of multiple therapeutic agents that target CD19, as well as others that are in various stages of development, we have had increasing difficulty, and may continue to have increased difficulty, enrolling subjects who have not previously been exposed to a CD19-directed cellular therapy into our Phase 1 clinical trial of NKX019 for the treatment of B-cell malignancies, which has impacted our ability to obtain data about NKX019 activity in certain patient populations and slowed enrollment. If we are unable to enroll sufficient numbers of patients who have not previously received CD19 CAR T-cell therapy in our current or future NKX019 clinical trials in a timely manner, the clinical development and subsequent commercialization of NKX019 for treatment of those patient populations may be delayed or may not be possible at all. If our ongoing Phase 1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 Furthermore, because NKX101 and NKX019 are our most advanced product candidates, and because our other product candidates are based on similar technology, if our clinical trials of NKX101 or NKX019 experience any of the foregoing issues, our development plans for our other product candidates in our pipeline could also be significantly impaired, which could materially adversely affect our business, financial condition, results of operations and growth prospects.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We may choose to develop NKX019 for additional indications, but we may not be able to advance any of these indications through the development process. In October 2023, we announced that we had received clearance of an Investigational New Drug ("IND") application by the FDA to evaluate NKX019 for the treatment of LN. The planned multi-center, open label, dose escalation Phase 1 clinical trial will evaluate the safety and clinical activity of NKX019 in patients with refractory LN. There are no cell therapies licensed to date in the United States or elsewhere to treat autoimmune diseases and we have no prior experience in developing treatments for autoimmune diseases. We cannot guarantee that our development of NKX019 for the treatment of LN will be successful. Even if we receive regulatory approval to market NKX019 for the treatment of LN or any additional indications, any such additional indications may not be successfully commercialized, widely accepted in the marketplace or more effective than other commercially available alternatives. If we are unable to successfully develop and commercialize NKX019 for these additional indications, our commercial opportunity will be limited. </w:t>
        <w:br/>
        <w:br/>
      </w:r>
      <w:r>
        <w:rPr>
          <w:rFonts w:ascii="Times New Roman" w:hAnsi="Times New Roman"/>
          <w:color w:val="000000"/>
          <w:sz w:val="20"/>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may develop our product candidates as monotherapy or potentially as combination therapy, a common form of cancer treatment, with one or more currently approved cancer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we may be unable to obtain approval of or market our product candidates.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Enrollment and retention of patients in clinical trials is an expensive and time-consuming process and could be delayed, made more difficult or rendered impossible by multiple factors outside our control.*</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open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design and eligibility criteria of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proximity of subjects to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patient referral practices of physicians, including as a result of their assessment of the clinical trial parameters;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changing medical practice patterns or guidelines related to the indications we are investigating;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competing clinical trials or approved therapies which present an attractive alternative to patients and their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perceived risks and benefits of the product candidate under study, including as a result of adverse effects observed in similar or competing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obtain and maintain patient consents due to various reasons;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risk that enrolled subjects will drop out or die before completion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patients failing to complete a clinical trial or returning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manufacture the requisite supply of our product candidates for a patient and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failure or any delay by us or by our clinical sites to obtain sufficient quantities of components and supplies necessary for the conduct of our clinical trials, including any inability to obtain agents such as cyclophosphamide, fludarabine, or other agents administered to patients prior to treatment or in combination with our product candidates.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need to compete with many ongoing clinical trials and approved therapies to recruit patients into our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For example, due to the commercial availability of multiple therapeutic agents that target CD19, as well as others that are in various stages of development, we have had increasing difficulty in our Phase 1 NKX019 clinical trial for the treatment of B-cell malignancies and may continue to have increased difficulty in our current or future NKX019 clinical trials, enrolling subjects who have not previously been exposed to a CD19-directed cellular therapy. Additionally, for our ongoing NKX101 and NKX019 clinical trials for the treatment of cancer and our planned NKX019 clinical trial for the treatment of LN, the number of qualified clinical investigators is limited, so we may conduct some of our clinical trials at the same clinical trial sites that some of our competitors use, which will reduce the number of patients who are available for our clinical trials at such clinical trial site. Furthermore, we intend to use cyclophosphamide as the lymphodepleting conditioning prior to treatment with NKX019 in our planned NKX019 clinical trial for the treatment of LN. If this is ineffective or we decide to change the protocol to use a combination of fludarabine and cyclophosphamide, as the lymphodepleting conditioning, physicians may choose to refer patients to other clinical trials conducted by one of our competitors. If we are unable to enroll a sufficient number of patients in our clinical trials in a timely manner, our completion of clinical trials may be delayed or may not be achieved, which would prevent us from further developing or commercializing our product candidates in certain patient subpopulations or at all.</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clinical development of our product candidates depends on our ability to manufacture and provide the requisite supply of our product candidates for our clinical trials. Any failure or delays by us to manufacture and provide our product candidates in sufficient quantity and quality for the conduct of our clinical trials, may delay our ability to enroll and treat patients in, or complete, our current or future clinical trials of our product candidates on time, if at all. For example, we experienced delays in enrollment in our NKX101 clinical trial while we worked to scale-up and improve the yield of our manufacturing process and build up sufficient inventory of NKX101.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clinical development of our product candidates also depends on the availability of a sufficient supply of certain other materials and agents used in our clinical trials. For example, certain of our clinical trial protocols require the use of fludarabine and cyclophosphamide, agents which are routinely used in oncology studies, and which we use in certain of our clinical trial protocols to condition patients for treatment with our product candidates. Further, we may develop certain of our product candidates as a combination therapy with other cancer therapies, which would require the availability and use of those therapeutic agents in certain of our clinical trial protocols. Recently, the FDA reported a shortage of fludarabine, and it is uncertain how long the fludarabine shortage may last. Certain of our clinical trial sites have reported that they are experiencing a shortage of fludarabine, which has resulted in some enrollment delays. Any failure or delays by us or by our clinical sites to obtain sufficient quantities of fludarabine or other components and agents necessary for the conduct of our clinical trials, may delay our ability to enroll and treat patients in, or complete, our current or future clinical trials of our product candidates on time, if at all.</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If we are unable to enroll a sufficient number of patients in our clinical trials in a timely manner, our completion of clinical trials may be delayed or may not be achieved, which would prevent us from further developing or commercializing our product candidates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preclinical pipeline programs may experience delays or may never advance to clinical trials, which would adversely affect our ability to obtain regulatory approvals or commercialize these programs on a timely basis or at all.*</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order to obtain FDA or other regulatory authority approval to market a new biological product we must demonstrate safety, purity, 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Other than NKX101 and NKX019, all of our programs, including NKX070, are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inability to generate sufficient preclinical or other in vivo or in vitro data to support the initiation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delays in reaching a consensus with regulatory agencies on acceptable clinical trial design or manufacturing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FDA not allowing us to rely on previous findings of safety and efficacy for other similar but approved products and published scientific literature.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r>
        <w:rPr>
          <w:rFonts w:ascii="Times New Roman" w:hAnsi="Times New Roman"/>
          <w:b/>
          <w:color w:val="000000"/>
          <w:sz w:val="20"/>
        </w:rPr>
        <w: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results of preclinical studies may not be predictive of the results of clinical trials, and the results of any early-stage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including as patient enrollment continues and more data on existing patients becomes available. We also make assumptions, estimations, calculations and conclusions as part of our analyses of data, and we may not have received or had the opportunity to fully and carefully evaluate all data. As a result, the topline results that we report, including the preliminary Phase 1 clinical data for NKX101 and NKX019 reported in April 2022, updated Phase 1 clinical data for NKX019 reported in December 2022, and updated Phase 1 clinical data for NKX101 reported in June 2023, may differ from, and may not be indicative of, future results of the same clinical trials, or different conclusions or considerations may qualify such topline results once additional data have been received and fully evaluated. For example, the preliminary results from the three dose expansion cohorts we announced opening in December 2022 as part of our Phase 1 NKX019 clinical trial for the treatment of B-cell malignancies did not meet expectations. We are now no longer enrolling patients in those dose expansion cohorts and in October 2023, we announced the opening of a new cohort with a compressed dosing schedule. We will now evaluate the results of this new cohort before committing additional resources to the program.</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Topline data also remain subject to audit and verification procedures that may result in the final data being materially different from the preliminary data we previously published. As a result, topline data should be viewed with caution until the final data are available and negative differences between preliminary or interim data and final data could materially adversely affect the prospects of any product candidate that is impacted by such data updates.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any of our product candidates, or any competing product candidates, demonstrate relevant, serious adverse events, we may be required to halt or delay further clinical development.*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Undesirable side effects that may be caused by our product candidates could cause us or regulatory authorities to interrupt, delay or halt clinical trials and could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Updated interim data from our NKX101 Phase 1 clinical trial were reported in June 2023, and updated data from the dose-escalation portion of our NKX019 Phase 1 clinical trial were reported in December 2022. The most common higher-grade (Grade ≥3) adverse events in the interim data reported for patients with r/r AML in the NKX101 Phase 1 clinical trial were myelosuppression – a condition resulting in fewer red blood cells, white blood cells and platelets, as well as infections such as sepsis and pneumonia, occasionally requiring supplementary oxygen, which are common in the treated patient population after LD. The interim data from the NKX101 clinical trial indicated that adverse events experienced by certain patients with r/r AML included infusion reactions, cytokine release syndrome ("CRS"), and one case of immune effector cell-associated neurotoxicity (in each case, ≤grade 2). The most common higher-grade (Grade ≥3) adverse events in the interim data reported for the NKX019 Phase 1 clinical trial were myelosuppression, which is common in the treated patient population after LD. In the dose-escalation phase of the NKX019 Phase 1 clinical trial, certain patients experienced adverse events including transient fevers and infusion-related reactions. Three patients in the NKX019 dose-escalation study were assessed to have cytokine release syndrome ("CRS"), despite the rapid onset and rapid resolution, not consistent with previously described presentations of CRS with CAR T cell therapies.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While the interim data reported from our NKX101 and NKX019 Phase 1 clinical trials indicate that NK cell-based therapies may be better-tolerated as compared to T cell-based therapies due to biologic differences between these cell types, there can be no assurance that patients will not experience CRS, neurotoxicity, Graft-versus-host disease ("GvHD"), or other serious adverse events associated with our specific product candidates NKX101 or NKX019. NKX101 targets NKG2D ligands, which is not yet a well-characterized modality. NKG2D targets multiple ligands, and the extent and impact of ligand expression is currently not fully characterized. For example, there are risks that ligands may be expressed on either known or an as-yet-underappreciated population of healthy cells. Therefore, such cells may also be targeted by NKX101 and lead to adverse events of unknown frequency and severity as well as potentially decreased efficacy. Such adverse events may cause delays in completion of our clinical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and the business or operations of our research partners and other third parties with whom we conduct business have been and could continue to be adversely affected by the effects of health epidemics, including the COVID-19 pandemic, in regions where we or third parties on which we rely have business operations.*</w:t>
      </w:r>
    </w:p>
    <w:p>
      <w:pPr>
        <w:pStyle w:val="TextBody"/>
        <w:bidi w:val="0"/>
        <w:spacing w:before="240" w:after="200"/>
        <w:jc w:val="left"/>
        <w:rPr>
          <w:rFonts w:ascii="Times New Roman" w:hAnsi="Times New Roman"/>
          <w:b w:val="false"/>
          <w:color w:val="000000"/>
          <w:sz w:val="20"/>
        </w:rPr>
      </w:pPr>
      <w:r>
        <w:rPr>
          <w:rFonts w:ascii="Times New Roman" w:hAnsi="Times New Roman"/>
          <w:b w:val="false"/>
          <w:color w:val="000000"/>
          <w:sz w:val="20"/>
        </w:rPr>
        <w:t>The COVID-19 pandemic and preventative measures taken to mitigate the impact of the pandemic disrupted economic activity and business operations worldwide, including the San Francisco Bay Area, where our primary operations are located. The emergence of another health epidemic, including future outbreaks of COVID-19 variants, could result in similar disruptions.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sz w:val="20"/>
        </w:rPr>
      </w:pPr>
      <w:r>
        <w:rPr>
          <w:rFonts w:ascii="Times New Roman" w:hAnsi="Times New Roman"/>
          <w:b w:val="false"/>
          <w:color w:val="000000"/>
          <w:sz w:val="20"/>
        </w:rPr>
        <w:t>Our operations, as well as the operations of some of our contract research organizations ("CROs"), contract development and manufacturing organizations ("CDMOs"), and clinical trial sites, were impacted by the COVID-19 pandemic and may in the future be similarly impacted by further outbreaks of COVID-19 variants or other health epidemics. For example, we experienced some delays in completing the construction of our cGMP manufacturing facilities and in our internal research efforts as a result of the COVID-19 pandemic. COVID-19 also caused global supply shortages of certain materials that we and our CDMOs use for research and cGMP manufacturing. Due to the COVID-19 pandemic, some of our CROs experienced employee turnover/attrition, delays, or disruptions and some of our clinical trial sites had to temporarily restrict enrollment into clinical protocols. Supply chain and operational disruptions due to COVID-19 contributed to certain enrollment delays and delays in setting up certain clinical sites in our clinical trials.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b w:val="false"/>
          <w:color w:val="000000"/>
          <w:sz w:val="20"/>
        </w:rPr>
        <w:t>The COVID-19 pandemic also impacted, and further COVID-19 outbreaks or other health epidemics may impact in the future, the regulatory authorities to which we are subject in our industry, which may, in turn, hamper or delay our clinical development efforts. For instance, the COVID-19 pandemic resulted in a significant increase in the FDA workload, as well as the need to reprioritize the projects under review, and future outbreaks of COVID-19 or other epidemics may do so again in the future.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cannot predict the potential future impacts of further outbreaks of COVID-19, including its variants, or the emergence of another health epidemic on us, our research partners, including CRISPR, and other third parties with whom we conduct business. As a result of a further COVID-19 outbreak or other pandemic, epidemic or outbreak of an infectious disease, we may experience disruptions that could severely impact our business, preclinical studies and clinical trials,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or difficulties in enrolling patients in our clinical trials, including our ongoing NKX101 and NKX019 clinical trials for cancer and planned NKX019 clinical trial for LN;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or difficulties in clinical site initiation, including difficulties in recruiting and training clinical site investigators and clinical site staff;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or difficulties in recruitment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diversion of healthcare resources away from the conduct of clinical trials, including the diversion of hospitals serving as our clinical trial sites and hospital staff supporting the conduct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interruption or delays in the operations of the FDA or other regulatory authorities, which may impact review and approval timelines, including the review of IND or other regulatory submissions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or supply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interruption of, or delays in manufacture of our product candidates, including at our in-house manufacturing facility and CDMOs, due to staffing shortages, production slowdowns and disruptions or inability to procure critical raw materials or other supplies in a timely fashion;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or disruptions in the qualification of our cGMP facility for commercial-scale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interruptions in preclinical studies due to restricted or limited operations at our laboratory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interruptions, or delays in receiving supplies and materials necessary for our business operations, and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increases in the cost of services or supplies necessary for our research and development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interruption or delays to our discovery and clinical activities.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extent of any delays or impacts due to further COVID-19 outbreaks or similar health epidemics, or government regulations in response to such outbreaks or epidemics, will depend on future developments that are highly uncertain and cannot be predicted with confidence, but these delays could have a material impact on our business, financial condition, and/or results of operations.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special designations by the regulatory authorities to expedite regulatory approvals, but may not be successful in receiving such designations, and even if received, they may not benefit the development and regulatory approval process.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Where possible, we plan to pursue accelerated development strategies in areas of high unmet need. We may seek an accelerated approval pathway for one or more of our product candidates from the FDA or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the accelerated approval program,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clinical trials to verify and describe the drug’s clinical benefit. If such post-approval clinical trials fail to confirm the drug’s clinical benefit, the FDA may withdraw its approval of the drug.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may seek approval from the FDA or comparable regulatory authorities through the use of other expedited approval program, such as Regenerative Medicine Advanced Therapy ("RMAT") designation, Breakthrough Therapy designation, Fast Track designation, or PRIority MEdicine ("PRIME"), from regulatory authorities, for certain product candidates that we develop. A product candidate may receive RMAT designation from the FDA if it is a regenerative medicine therapy that is intended to treat, modify, reverse or cure a serious or life-threatening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Fast Track Designation by the FDA. PRIME is a voluntary scheme launched by the European Medicines Agency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Seeking and obtaining these designations is dependent upon results of our clinical program, and we cannot guarantee whether and when we may have the data from our clinical programs to support an application to obtain any such designation. Prior to submitting a Biologics License Application (BLA), we may seek feedback from the FDA or comparable foreign regulatory authorities and will otherwise evaluate our ability to receive accelerated approval. There can be no assurance that after our evaluation of the feedback and other factors we will decide to pursue a Biologics License Application (BLA) for accelerated approval or any other form of expedited development, review or approval. Similarly, there can be no assurance that after subsequent feedback from the FDA, EMA or comparable foreign regulatory authorities, we will continue to pursue accelerated approval or any other form of expedited development, review or approval, even if we initially decide to do so. Furthermore, if we decide to submit an application for a an expedited regulatory designation (e.g., Fast Track designation or Breakthrough Therapy designation), there can be no assurance that such submission or application will be granted or that any expedited development, review or approval will be granted on a timely basis, or at all.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The FDA, EMA or other comparable foreign regulatory authorities could also require us to conduct further clinical trials prior to considering to file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 Furthermore,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changes in regulatory frameworks may impact our clinical development programs. For instance, the recent enactment of FDORA introduces reforms intending to expand the FDA’s ability to regulate products receiving accelerated approval. Pursuant to FDORA, the FDA is authorized to require a post-approval study to be underway prior to approval in addition to being completed within a specified time period following approval. FDORA also requires the FDA to specify the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Additionally, FDORA increased the FDA’s oversight of confirmatory trials and created a formal procedure to withdraw products approved through accelerated approval on an expedited basis for non-compliance with post-approval requirements. In March 2023, the FDA issued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It is unclear how these proposals, future policy changes, and changes in FDA regulation will impact our clinical development programs. To the extent the FDA requires us to amend the design of our clinical trials or requires additional trials to meet changes in the data requirements for approval, our clinical timelines and approval will be delayed, which can have an adverse effect on our business and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and obtain orphan drug designation for our product candidates,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Regulatory authorities in some jurisdictions, including the United States and Europe, may designate drugs for relatively low prevalence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On December 16, 2021, we announced that the FDA granted orphan drug designation to NKX101 for the treatment of AML.</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 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product candidates, we may never receive such designations. Even if we do receive such designations, there is no guarantee that we will enjoy the benefits of those designations.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Public opinion and scrutiny of cell-based immunotherapies may impact public perception of our company and product candidates, or impair our ability to conduct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platform utilizes a relatively novel technology involving the genetic modification of human NK cells derived from adult healthy donors, and utilization of those modified cells in other individuals, and no NK cell-based immunotherapy has been approved to date. Further, many other cell therapies are in development, including NK cells derived from induced pluripotent stem cells ("iPSCs"), and negative results from those therapies may affect perception of NK cell therapy derived from adult healthy donors. Public perception may be influenced by claims, such as claims that NK cell-based immunotherapy is ineffective,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identify or discover other product candidates and may fail to capitalize on programs or product candidates that may present a greater commercial opportunity or for which there is a greater likelihood of success.*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business depends upon our ability to identify, develop and commercialize product candidates. A key element of our strategy is to discover and develop additional product candidates based upon our NK 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different therapeutic targets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research methodology or technology platform used may not be successful in identifying potential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competitors may develop alternatives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choose to cease development if we determine that clinical results do not show promise;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product candidates we develop may nevertheless be covered by third parties’ patents or other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product candidate may be shown to have harmful side effects or other characteristics that indicate it is unlikely to be effective or otherwise does not meet applicable regulatory criteria;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product candidate may not be accepted as safe and effective by patients, the medical community or third-party payors.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Because we have limited resources, we must choose to pursue and fund the development of specific types of treatment, or treatment for a specific type of cancer or autoimmune disease,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any of these events occur, we may be forced to abandon or delay our development efforts with respect to a particular product candidate or fail to develop a potentially successful product candidate.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third parties that we rely on to conduct clinical trials do not successfully carry out their contractual duties, comply with regulatory requirements or meet expected deadlines, we may not be able to obtain marketing approval for or commercialize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do not have the ability to independently conduct clinical trials. We rely on medical institutions, clinical investigators, contract laboratories, and other third parties, such as CROs to advise on, conduct or otherwise support clinical trials for our product candidates, including in setting up on planned NKX019 clinical trial for the treatment of LN, an area which we have no prior experience in. We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and the third parties on which we rely for clinical trials are required to comply with regulations and requirements, including good clinical practices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do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The COVID-19 pandemic and government measures taken in response have also had a significant impact on our CROs, and we expect that they will face further disruption, which may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Although we intend to design the clinical trials for our product candidates, we plan to rely on third parties to conduct our clinical trials. As a result, many important aspects of our clinical development,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have staffing difficulties;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fail to comply with contractual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experience regulatory compliance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undergo changes in priorities or become financially distressed;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form relationships with other entities, some of which may be our competitors.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not able to establish pharmaceutical or biotechnology collaborations on commercially reasonable terms, or at all, we may have to alter our development and commercialization plans.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such as our collaboration with CRISPR. Any of these relationships, including our relationship with CRISPR, may require us to incur non-recurring and other charges, increase our near and long-term expenditures, issue securities that dilute our existing stockholders, relinquish valuable rights to our product candidates, or disrupt our management and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entered into a research collaboration with CRISPR Therapeutics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may form strategic alliances or create joint ventures or collaborations with respect to our product candidates that we believe will complement or augment our existing business. We routinely engage, and are engaged, in partnering discussions with a range of pharmaceutical and biotechnology companies and could enter into new collaborations at any time. If we enter into a collaboration, strategic alliance or license arrangement, there is no guarantee that the collaboration will be successful, or that any future partner will commit sufficient resources to the development, regulatory approval, and commercialization effort for such products, or that such alliances will result in us achieving revenues that justify such transactions.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May 2021, we entered into a Research Collaboration Agreement with CRISPR (as amended, the "CRISPR Agreement") to establish research plans for the purpose of collaboratively designing and advancing up to two (2) allogeneic, gene-edited NK cell therapies and one (1) allogeneic, gene-edited NK+T cell therapy for use in the treatment of oncology, autoimmune disease, or infectious disease up to the filing of an application to a regulatory authority to request the ability to start a clinical trial. The first product candidate being developed in partnership with CRISPR is NKX070, and together with CRISPR, we may advance NKX070 for the treatment of solid tumors and blood cancers. The second product candidate being developed in partnership with CRISPR is NK+T. Additionally, under the CRISPR Agreement, CRISPR will also grant non-exclusive licenses to us on up to five gene-editing targets to enable us to independently research, develop and commercialize NK cell therapies that have been gene-edited using CRISPR’s gene-editing technology. In May 2022, we amended the CRISPR Agreement to revise the transfer of materials and nomination provisions. On March 8, 2023, the CRISPR Agreement was further amended to permit Nkarta's advancement of CRISPR-licensed product candidates targeting a specified tumor antigen (the "Specified TA") and incorporate associated development and regulatory approval milestones and sales based royalties.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CRISPR, or any potential future collaboration partner, does not perform in the manner that we expect or fulfill their responsibilities in a timely manner or at all, the research, clinical development, regulatory approval and commercialization efforts related to the product candidates that are the subject of the collaboration with CRISPR, or that potential future collaboration partner, could be delayed or terminated. If we terminate the CRISPR Agreement in its entirety or with respect to a particular product candidate under the research collaboration with CRISPR, due to a material breach by CRISPR or CRISPR’s insolvency, then we have the right to negotiate a license from CRISPR to continue research, development, and commercialization of the terminated product candidate(s) on our own at our sole expense. We would need to pay CRISPR milestones and royalties for the terminated product candidate(s), and we may not be able to negotiate terms to the license that are favorable to us. Furthermore, assumption of sole responsibility for further development would greatly increase our expenditures and may mean we would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Whenever we enter into collaborations with third parties, we could face the following risks: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could independently develop, or develop with third parties, products and processes that compete directly or indirectly with our products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may not properly enforce, maintain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disputes may arise between a collaborator and us that cause the delay or termination of the research, development or commercialization of the product candidate,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if a present or future collaborator of ours were to be involved in a business combination, the continued pursuit and emphasis on our product development or commercialization program under such collaboration could be delayed, diminished or terminated;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collaboration agreements may restrict our right to independently pursue new product candidates.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conflicts arise between our collaborators and us, including CRISPR, our collaborators may act in a manner adverse to us and could limit our ability to implement our strategies. CRISPR or future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a result, we may not be able to realize the benefit of new or existing</w:t>
      </w:r>
      <w:r>
        <w:rPr>
          <w:rFonts w:ascii="Times New Roman" w:hAnsi="Times New Roman"/>
          <w:color w:val="000000"/>
          <w:sz w:val="20"/>
        </w:rPr>
        <w:t xml:space="preserve"> </w:t>
      </w:r>
      <w:r>
        <w:rPr>
          <w:rFonts w:ascii="Times New Roman" w:hAnsi="Times New Roman"/>
          <w:b w:val="false"/>
          <w:color w:val="000000"/>
          <w:sz w:val="20"/>
        </w:rPr>
        <w:t>collaboration agreements and strategic partnerships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compete effectively with academic institutions and other biopharmaceutical companies that develop similar or alternatives to cellular immunotherapy product candidates, our business will be materially adversely affected.*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development and commercialization of new cellular immunotherapy products is highly competitive. We face competition from existing and future competitors with respect to each of our product candidates currently in development, and will face competition with respect to other product candidates that we may seek to develop or commercialize in the future. For example, the autologous cell therapies Kymriah</w:t>
      </w:r>
      <w:r>
        <w:rPr>
          <w:rFonts w:ascii="Times New Roman" w:hAnsi="Times New Roman"/>
          <w:b w:val="false"/>
          <w:color w:val="000000"/>
          <w:sz w:val="13"/>
        </w:rPr>
        <w:t>®</w:t>
      </w:r>
      <w:r>
        <w:rPr>
          <w:rFonts w:ascii="Times New Roman" w:hAnsi="Times New Roman"/>
          <w:b w:val="false"/>
          <w:color w:val="000000"/>
          <w:sz w:val="20"/>
        </w:rPr>
        <w:t>, Yescarta</w:t>
      </w:r>
      <w:r>
        <w:rPr>
          <w:rFonts w:ascii="Times New Roman" w:hAnsi="Times New Roman"/>
          <w:b w:val="false"/>
          <w:color w:val="000000"/>
          <w:sz w:val="13"/>
        </w:rPr>
        <w:t>®</w:t>
      </w:r>
      <w:r>
        <w:rPr>
          <w:rFonts w:ascii="Times New Roman" w:hAnsi="Times New Roman"/>
          <w:b w:val="false"/>
          <w:color w:val="000000"/>
          <w:sz w:val="20"/>
        </w:rPr>
        <w:t>, Tecartus</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and Breyanzi</w:t>
      </w:r>
      <w:r>
        <w:rPr>
          <w:rFonts w:ascii="Times New Roman" w:hAnsi="Times New Roman"/>
          <w:b w:val="false"/>
          <w:color w:val="000000"/>
          <w:sz w:val="13"/>
        </w:rPr>
        <w:t>®</w:t>
      </w:r>
      <w:r>
        <w:rPr>
          <w:rFonts w:ascii="Times New Roman" w:hAnsi="Times New Roman"/>
          <w:b w:val="false"/>
          <w:color w:val="000000"/>
          <w:sz w:val="20"/>
        </w:rPr>
        <w:t>, which have been commercially approved, are direct competitors to our product candidate NKX019. In addition, other competitors, including biopharmaceutical companies, have clinical-stage or earlier stage cell therapy product candidates for hematologic malignancies and/or autoimmune diseases, and a number of other companies are seeking to harness NK biology through engagers that seek to direct a patient’s own NK cells to the site of a tumor or are investigating other types of immune cells. Other biopharmaceutical companies are developing bi-specific antibodies, which are also direct competitors to NKX019 for hematologic malignancies. Numerous academic institutions are also conducting preclinical and clinical research in these areas, as well as with other white blood cell types including NKT cells and gamma-delta T cells. It is also possible that new competitors, including those developing similar product candidates or alternatives to cellular immunotherapy product 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need to increase the size of our organization, and we may experience difficulties in managing growth.*</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we had 167 full-time employees. In October 2023, we announced a reduction in headcount of 18 positions, as well as a cap on future headcount growth. As part of these measures we also reallocated existing headcount among our functions. Our operation may require us to continue to expand our managerial, operational, clinical, quality, human resources, legal, manufacturing, supply chain, finance, commercial and other resources in order to manage our clinical trials, continue our development activities and eventually commercialize our product candidates. Our management and personnel, systems and facilities currently in place may not be adequate to support this future growth. Our need to effectively execute our growth strategy requires that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discover new product candidates, develop the process and analytical methods for IND-enabling studies and FDA submissions, complete the required IND-enabling studies for each, and receive approval from the FDA and other regulatory authorities to initiate clinical trials for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manage our clinical trials effectively;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identify, recruit, retain, incentivize and integrate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expand into additional office and laboratory space if we grow our employee base;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manage our in-house clinical cGMP manufacturing facility and establish and validate our commercial cGMP manufacturing facility;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continue to improve our operational, financial and management controls, reports systems and procedures.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we are unable to attract skilled employees or manage our future growth effectively, it will impair our ability to execute our business strategy and our business, financial condition, results of operations and growth prospects will be materially adversely affected.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attract and retain senior management, clinical, and key scientific personnel, we may be unable to successfully develop our product candidates, conduct our clinical trials and commercialize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manufacturing activities, or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bidi w:val="0"/>
        <w:spacing w:before="360" w:after="283"/>
        <w:jc w:val="left"/>
        <w:rPr>
          <w:rFonts w:ascii="Times New Roman" w:hAnsi="Times New Roman"/>
          <w:sz w:val="20"/>
        </w:rPr>
      </w:pPr>
      <w:r>
        <w:rPr>
          <w:rFonts w:ascii="Times New Roman" w:hAnsi="Times New Roman"/>
          <w:b/>
          <w:i/>
          <w:color w:val="000000"/>
          <w:sz w:val="20"/>
        </w:rPr>
        <w:t>Product liability lawsuits against us could cause us to incur substantial liabilities and could limit commercialization of any product candidate that we may develop.</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decreased demand for any product candidate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significant time and 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increased insurance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inability to commercialize any product candidate that we may develop;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injury to our reputation and significant negative media attention.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Any such outcomes could materially adversely affect our business, financial condition, results of operations and growth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insurance policies may be inadequate, may not cover all of our potential liabilities and may potentially expose us to unrecoverable risks.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involves the use of hazardous materials and we and our third-party manufacturers and suppliers must comply with environmental laws and regulations, which can be expensive and restrict how we do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research and development and manufacturing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cannot eliminate the risk of contamination, which could cause an interruption of our research and development efforts and business operations, including drug supply and inventory, and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could be negatively impacted by the failure to address emerging environmental, social, and corporate governance matters.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There is an increasing focus from investors, employees, business partners, and other stakeholders concerning environmental, social, and corporate governance ("ESG") matters. The expectations related to ESG matters are rapidly evolving and, while we have internal efforts directed at ESG matters and preparations for any increased required future disclosures, we may be perceived to not be adequately addressing these matters, which could negatively impact our reputation and our business. Moreover, the SEC has recently proposed, and may continue to propose, certain mandated ESG reporting requirements, such as the SEC’s proposed rules designed to enhance and standardize climate-related disclosures, which, if finally approved, would significantly increase our compliance and reporting costs and may also result in disclosures that could have a negative impact on investor perception. In addition, we currently do not report our environmental emissions, and our lack of reporting could result in certain investors declining to invest in our common stock.</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Manufacturing</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genome editing the NK cells (for certain product candidates with such edits), introducing a gamma-retrovirus with genes encoding the proteins we wish to express, cryopreservation, storage and eventually shipment. As a result of these complexities, the cost to manufacture our cellular product candidates, our proprietary, engineered K562 stimulatory cells ("NKSTIM"), and viral vector is generally higher than traditional small-molecule chemical compounds or biologics, and the manufacturing process is presently less reliable and more difficult to reproduce.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Any failure in the manufacturing processes could render a batch of product unusable, could impact supply and delay the progress of our clinical trials, could affect the regulatory approval of such product candidate, could cause us to incur fines or penalties or could harm our reputation and that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manufactured product candidates may fail to meet the required specifications for any of a variety of reasons, including variability in starting material, deviations from normal manufacturing process, or insufficient optimization of specific process steps. This failure to meet specifications could result in supply shortages, or delays related to obtaining additional regulatory, site and patient approvals to continue dosing patients in the clinical trial. If the required additional approvals cannot be obtained, additional delays may occur as manufacturing would need to be restarted, enrollment may be delayed, and/or patients may be unable to remain in the study. Any delay in the clinical development or commercialization of NKX101, NKX019, or our other product candidates could materially adversely affect our business, financial condition, results of operations and growth prospects.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may make changes to our manufacturing process at various points during development, and even after commercialization, for various reasons, such as to control costs, achieve scale, decrease processing time, increase manufacturing success rate or for other reasons.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Changes to our process made during the course of clinical development could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verify process changes during scale up.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Although we are manufacturing NKX101 and NKX019 in our own internal manufacturing facility for our Phase 1 clinical trials, we may encounter problems with the internal production of our product candidates. We believe our current clinical cGMP manufacturing facility will supply our anticipated non-pivotal clinical trial needs, but if the dose and number of cycles needed increases, our current manufacturing process may not be able to support the enrollment of trials which could lead to delays until we scale up the manufacturing. Although we have an internal cGMP manufacturing facility for the production of certain of our product candidates for our clinical trials, we do not yet operate a cGMP facility for the commercial-scale manufacture of our product candidates. Although we built a commercial-scale manufacturing facility, maintaining our commercial-scale facility and manufacturing product candidates in our own facilities will require an increase in staff and significant internal resources. Our manufacturing facilities will be subject to compliance with regulatory requirements, which we may struggle to meet. We may encounter problems with properly staffing our internal manufacturing facilities due to hiring challenges or other issues. For example, factors such as potential future outbreaks of COVID-19 variants or other epidemics and related restrictions could impact our ability to properly staff production of our product candidates. We may also encounter problems with training the staff we have to effectively manage and control the complex manufacturing process required to produce our product candidates and comply with all necessary regulations. We may also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third parties to manufacture certain materials for use in the production of our product candidates, or may rely on third parties to manufacture certain of our product candidates in the future, which increases the risk that we will not have sufficient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quantities of such materials or product candidates, or such quantities at an acceptable cost, which could delay, prevent or impair our development or commercialization efforts.*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Although we have built a commercial-scale manufacturing facility, we do not yet operate our own cGMP facility for the production of commercial supplies of the product candidates that we are developing or evaluating in our development programs or supplies of such product candidates for pivotal clinical trials. We have limited personnel with experience in drug manufacturing and currently lack the resources and the capabilities to manufacture any of our product candidates on a commercial scale. If we are unable to successfully maintain and staff our own commercial-scale cGMP facility, we will need to rely on third parties for commercial-scale manufacture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Also, although we currently manufacture our clinical supply of NKX101 and NKX019 at our own cGMP facility, we currently outsource manufacturing of certain critical materials necessary for production of our product candidates, including NKSTIM and viral vectors. Even though we have established our own internal cGMP facility for clinical supply of certain product candidates, and even if we successfully establish our own cGMP manufacturing facility for manufacture of our product candidates on a commercial scale, we will continue to outsource manufacturing of certain materials necessary for production of our product candidates. If we are unable to outsource the manufacturing of these materials or our established third-party manufacturers delay delivery of or fail to provide certain materials as needed for the production of our product candidates, then the production of our clinical or commercial supply may be impacted. We compete with other companies for access to third party cGMP facilities and cannot assure continued access.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establish and maintain arrangements with third-party manufacturers, reliance on third-party manufacturers for either clinical or commercial supply entails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reliance on the third-party for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possible breach of the manufacturing agreement by the third-party;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possible misappropriation of our proprietary information, including our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possible termination or nonrenewal of the agreement by the third-party at a time that is costly or inconvenient for us.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the third parties that we engage to supply any materials or to manufacture any product candidates for our preclinical tests and clinical trials should cease to continue to do so for any reason, including due to the effects of the COVID-19 pandemic or any other epidemic and the actions undertaken by governments and private enterprises to contain such infectious disease,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At some of our contract manufacturing sites, COVID-19-related restrictions, including temporary shutdowns, and instances of COVID-19 cases impacting personnel have resulted in some delays.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current and anticipated dependence upon others for the manufacture of our product candidates and/or materials necessary for production of our product candidates may adversely affect our profit margins and our ability to develop product candidates and commercialize any products that receive marketing approval on a timely and competitive basis.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reliant on a sole supplier for certain steps of our manufacturing process.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manufacturing process for NKX101 and for NKX019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strategy to mitigate against the risk of shortage due to disruption of the supply chain.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result in lower yields or not be as suitable for our purposes. In addition, some of the raw materials that we use are complex materials, which may be more difficult to substitute. Therefore, supply disruptions could result in delays and additional regulatory submissions and prevent us from being able to manufacture our product candidates due to the unsuitability of the substituted reagent or consumable that we are able to procure. Substitution of some or all of these reagents and materials may require substantial changes to our manufacturing process, which may require us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Any disruption in supply of these instruments and reagents could also result in delays in our clinical trials, which would materially adversely affect our business, financial condition, results of operations and growth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Delays in commissioning and receiving regulatory approvals for our manufacturing facilities could delay our development plans and thereby limit our ability to develop our product candidates and generate revenues.*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believe that internal cGMP manufacturing is important to facilitate clinical product supply, lower the risk of manufacturing disruptions and enable more cost-effective manufacturing. We have a cGMP facility in South San Francisco, California that allows us to supply the product candidates needed for our early-stage clinical trials. We have also built, and are working to qualify, a facility which may be used for the commercial-scale manufacture of our product candidates. The design, construction, qualification, regulatory approvals and maintenance for such facilities require substantial capital and technical expertise and any delay would limit our development activities and our opportunities for growth.</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Furthermore, our manufacturing facilities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 candidates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 revocation, seizures or recalls of drug candidates, operating restrictions and criminal prosecutions, any of which could materially adversely affect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also may encounter problems with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complying with regulations regarding evolving donor infectious disease testing, traceability, manufacturing, release of product candidates and other requirements from regulatory authorities outside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achieving adequate or clinical-grade materials that meet regulatory agency standards or specifications with consistent and acceptable production yield and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bacterial, fungal or viral contamination in our manufacturing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disruptions due to natural disasters or supply chain interruptions;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shortages of qualified personnel, raw materials or key contractors.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quantity to meet future demand and our business, financial condition, results of operations and growth prospects may be materially adversely affected.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The optimal donor and manufacturing parameters for our product candidates have not been definitively established, which may hinder our ability to optimize our product candidates or to address any safety or efficacy issues that may arise.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we have not, at present, fully characterized or identified how donor characteristics and manufacturing process parameters affect the optimal cell killing ability for our engineered NK cell product candidates for in vitro and animal efficacy studies or how such potency differences may translate into efficacy to be seen in human clinical trials, including both the proportion of patients who achieve a 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dependent on third parties to store our CAR NK cells, viral vector, master and working cell banks of NKSTIM, and any damage or loss would cause delays in replacement, and our business could suffer.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CAR NK cells, the viral vector, and the master and working cell banks of NKSTIM are stored in freezers at third-party biorepositories and will also be stored in our freezers at our production facilities. If these materials are damaged at these facilities, including by the loss or malfunction of these freezers or our back-up power systems, as well as by damage from fire, power loss or other natural disasters, we would need to establish replacement CAR NK cells, viral vector, and master and working cell banks of NKSTIM, which would impact clinical supply and delay our patients’ treatments. If we are unable to establish replacement materials, we could incur significant additional expenses and liability to patients whose treatment is delayed, and our business could suffer.</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not yet developed a validated methodology for freezing and thawing commercial-scale quantities of CAR NK cells, which we believe will be required for the storage and distribution of our CAR NK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have not yet demonstrated that CAR 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are unable to freeze CAR NK cells for shipping purposes, our ability to promote adoption and standardization of our product candidates, as well as achieve economies of scale by centralizing our production facility, will be limited. Even if we are able to successfully freeze and thaw CAR NK cells in large quantities, we will still need to develop a cost-effective and reliable distribution and logistics network, which we may be unable to accomplish. For these and other reasons, we may not be able to commercialize CAR NK cells on a large scale or in a cost-effective manner. If such product candidate is found to be unstable, we would be required to conduct more frequent manufacturing runs, which could cause us to incur significant additional expenses.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our license agreement with National University of Singapore and St. Jude Children’s Research Hospital, Inc. is terminated, we could lose our rights to key components enabling our NK cell engineering platform.*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August 2016, we entered into a license agreement with the National University of Singapore and St. Jude Children’s Research Hospital, Inc. (the "Licensors"). Pursuant to this license, the Licensors granted to us an exclusive, worldwide, royalty-bearing, sublicensable license to specified patents and patent applications related to NK cell technology in the field of therapeutics. We are reliant upon certain rights and proprietary technology provided to us under this license for the production and development of certain of our product candidates, such as NKX101, NKX019 and NKX070.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or necessary to the development or production of our product candidates, including NKX101, NKX019 and NKX070, which could impede or prevent our successful commercialization of such product candidates and materially adversely affect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Furthermore, our license agreement with the Licensors is field-specific and has been granted to us in the field of therapeutics. This license agreement permits the Licensors to practice the licensed rights, and to allow non-profit academic third parties to practice the licensed rights for certain academic purposes. Further, one of the Licensors’ patent families from which we license certain patents and patent applications contains other certain patents and patent applications that the Licensors have licensed to at least one third party. Although the patents and patent applications licensed to the at least one third party should not overlap with our licensed patents and patent applications,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Our development and commercialization rights to our current and future product candidates and technology are subject, in part, to the terms and conditions of licenses granted to us by others.*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are a party to a variety of intellectual property license agreements with third parties and expect to enter into additional license agreements in the future. These license agreements provide us with access to certain rights and proprietary technology from third parties for the production and development of our current and future product candidates, including NKX101, NKX019 and NKX070. However, these licenses may not provide exclusive rights to use such intellectual property and technology in all relevant fields of use and in all territories in which we choose to develop or commercialize our technology and product candidates in the future. As a result, we may not be able to prevent competitors from developing and commercializing competitive products in territories included in all of our licenses.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the institution.</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also have entered, and may in the future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 For example, we have entered into an agreement with CRISPR, which grants us a non-exclusive license on up to five gene-editing targets to enable us to independently research, develop and commercialize NK cell therapies that have been gene-edited using CRISPR’s gene-editing technology.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materially adversely affect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existing license agreements impose, and we expect that our future license agreements will impose, various diligence, milestone payment, royalty, insurance, indemnification and other obligations on us. Under certain circumstances such as a material breach of terms, our licensors could terminate our license agreements. If these in-licenses are terminated, or if the underlying patents fail to provide the intended exclusivity, competitors could have the freedom to seek regulatory approval of, and to market, products substantially the same as or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For example, if we do not have the right to control patent prosecution and maintenance of patents and patent applications directed to the technology that we license from licensors, such licensors could file terminal disclaimers and/or take other actions that could shorten the term of the patents or patent applications. If our licensors fail to prosecute, maintain, enforce and defend such patents, or lose rights to those patents or patent applications, the rights we have licensed may be reduced or eliminated, and our right to develop and commercialize any of our product candidates that are the subject of such licensed rights could be impaired. Additionally, we may be required to reimburse our licensors for all of their expenses related to the prosecution, maintenance, enforcement and defense of patents and patent applications that we in-license from them.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Furthermore, 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harm our competitive position, and our business.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Duration of patent terms may be inadequate to protect our competitive position on our product candidates for an adequate amount of time, and the expiration of our patents may subject us to increased competition.*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the patent portfolio that is assigned to us, jointly owned with others or licensed to us includes issued patents in the United States, Europe, Japan, and other jurisdictions outside the United States, and pending patent applications in the United States, Europe, Japan, and other jurisdictions outside the United States across our platform, NKX101, NKX019, and NKX070 patent families. Our portfolio of issued patents, excluding pending patent applications, has estimated expiration dates between 2024 and 2040. Our portfolio, including issued patents, and including pending applications if they issue, has estimated expiration dates between 2024 and 2044. For instance, composition of matter claims in our licensed patent portfolio that relate to our NKSTIM are estimated to expire in Q4 2024. We plan to file additional patent applications that could potentially allow for further increase of the exclusive market protection for use of NKX101, NKX019, and NKX070 product candidates. However, we can provide no assurance that we will be able to file or receive additional patent protection for these or other product candidates.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or by changes in regulations or laws. In addition, if we fail to apply for applicable patent term extensions or adjustments, we will have a more limited time during which we can enforce our granted patent rights.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United States Patent and Trademark Office (the "USPTO") in the United States, and any equivalent regulatory authority in other countries, may not agree with our assessment of whether such extensions are available, and may refuse to grant extensions to our patents, or may grant more limited extensions than we request. If we are responsible for patent prosecution and maintenance of patent rights in-licensed to us, we could be exposed to liability to the applicable patent owner. If we or our licensors fail to maintain the patents and patent applications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covering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 launch their product earlier than might otherwise be the case, which could increase competition for our product candidates and materially adversely affect our business, financial condition, results of operations and growth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If any patent protection we obtain is not sufficiently robust, our competitors could develop and commercialize products and technology similar or identical to ours.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 and licensing costs that we have incurred. This, in turn, would materially adversely affect our ability to compete in the market.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patent position of biotechnology and pharmaceutical companies generally is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that protect our technology or product candidates or effectively prevent others from commercializing competitive technologies and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patent prosecution process is expensive, time-consuming and complex, and we may not be able to file, prosecute, maintain, enforce or license all necessary or desirable patent applications at a reasonable cost or in a timely manner. We also may fail to identify patentable aspects of our research and development output, or may identify patentable aspects of our research and development output once it is too late to obtain patent protection.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Claim scope in a patent application can be significantly reduced before the patent is issued, and claim scope in a patent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Even after issuance, our owned and in-licensed patents may be subject to challenge, which if successful could result in a partial or complete loss of patent rights, which could materially adversely affect our ability to protect our competitive position.*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patent claims being narrowed, invalidated or held unenforceable, which could limit our ability to prevent others from using or commercializing similar or identical technology and products, or could limit the duration of the patent protection of our technology and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Even if our patents are determined to be valid and enforceable, they may not be interpreted sufficiently broadly to prevent others from marketing products similar to ours or designing around our patents.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Post-grant proceedings such as inter partes review, post-grant review, and ex parte reexaminations in the United States, or comparable proceedings (e.g., oppositions) in foreign jurisdictions, could be filed in the future and although we plan to vigorously protect our intellectual property rights, as with all legal proceedings, there can be no guarantee as to the outcome, and, regardless of the merits of third-party challenges, such proceedings are time-consuming and costly. As a result of such proceedings, our rights under the relevant patents could be narrowed or lost, and in the course of such proceedings, we may incur substantial costs, and the time and attention of our management may be diverted from the development and commercialization of our product candidates. Ex parte reexaminations were previously filed by one or more third parties against certain licensed patents in our portfolio and concluded with the claims of each reexamined patent being maintained in amended form.</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could materially adversely affect our ability to develop, manufacture and market our product candidates.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There are many patents issued and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 candidates or technology similar to ours or that of our licensors. Any such patent application may have an earlier priority date than our patent applications or patents, or those of our licensors, which could further require us to obtain rights to patents directed to such technologies. Under certain circumstances, if third parties have filed such patent applications, an interference proceeding in the United States can be initiated by any such third party, or by the USPTO itself, to determine who was the first to invent any of the subject matter recited by the patent claims of our applications or issued patents.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or technology are not covered by a third party's patent or may incorrectly predict whether a third party’s pending application will issue with claims of relevant scope. Our determination of the expiration date of any patent in the United States or elsewhere that we consider relevant may also be incorrect. If we fail to correctly identify or interpret relevant patents,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or technology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success depends in part on our ability to develop, manufacture and market our technology and use our technology without infringing the proprietary rights of third parties. We, our licensors, or our collaborators may be subject to third-party claims that could cause us to incur substantial expenses to defend, and these claims, if successful, could require us to pay substantial damages and/or limit our ability to commercialize our product candidates if we, our licensors, or our collaborators are found to be infringing a third party’s intellectual property rights.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are aware of third-party patents and patent applications that may relate to the areas in which we are developing product candidates. Additionally, as our industry expands and more patents are issued, the risk increases that there may be patents issued to third parties that relate to our product candidates and technology of which we are not aware or that we may need to challenge to continue our operations as currently contemplated. As a result, our technology and any future products that we commercialize could be alleged to infringe patent rights or other proprietary rights of third parties, which may require costly litigation and, if we are not successful in defending against such litigation, could cause us to pay substantial damages and/or limit our ability to commercialize our product candidates. Issued patents are entitled to a presumption of validity in many countries, including the United States and many European countries, and issued patents held by others that claim our technology or any of our product candidates may limit our freedom to operate, including our ability to commercialize our product candidates, unless and until these patents expire or are declared invalid or unenforceable in a court of applicable jurisdiction, if we do not obtain a license or other right to practice the claimed inventions. We may decide to file reexaminations, inter partes reviews, and other post-grant proceedings before the USPTO and other comparable proceedings (e.g., oppositions) in foreign jurisdictions, including to challenge the validity of third-party patents that may relate to the areas in which we are developing product candidates and technology. Such proceedings can be unpredictable and time-consuming and can divert management attention and financial resources.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Third parties could threaten or initiate litigation or other legal proceedings alleging that we have infringed their patents, trade secrets, trademarks or other intellectual property rights.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Results of any such litigation are difficult to predict and may require us to stop treating certain conditions, obtain licenses or modify our product candidates or technology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our product candidates or require us to take a license from a third party, which the third party is not required to do at a commercially reasonable price or at all. If a license is available from a third party, we may have to pay substantial royalties, upfront fees, or milestone fees, or grant cross-licenses to intellectual property rights for our product candidates or technology. We may also have to redesign our product candidates or technology so they do not infringe third-party intellectual property rights, which may not be possible or may require substantial monetary expenditures and time, during which our product candidates may not be available for manufacture, use, or sale.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candidates or service features, which could in turn reduce demand for our products.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may also, from time to time, seek to enforce our intellectual property rights against infringers when we determine that a successful outcome is probable and may lead to an increase in the value of the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we choose to enforce our patent rights against a party, that party could counterclaim that our patent is invalid and/or unenforceable. The defendant may challenge our patents through proceedings before the Patent Trial and Appeal Board ("PTAB"), including inter partes and post-grant review. Proceedings to challenge patents are also available internationally, including, for example, opposition proceedings and nullity actions. In patent litigation in the United States, counterclaims alleging invalidity and/or unenforceability and PTAB challenges are commonplace.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not seek to protect our intellectual property rights in all jurisdictions throughout the world and we may not be able to adequately enforce our intellectual property rights even in the jurisdictions where we seek protection.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have a number of international patents and patent applications and expect to continue to pursue patent protection in many of the significant markets in which we intend to do business. However, filing, prosecuting and defending patents relating to our product candidates and technology,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Furthermore, the protection offered by intellectual property rights in certain countries outside of the United States may be less extensive than that in the United States.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U.S. patent law or the patent law of other jurisdictions could decrease the certainty of our ability to obtain patents and diminish the value of patents in general, thereby impairing our ability to protect our current and any future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Changes in either the patent laws or interpretation of the patent laws in the United States could increase the uncertainties and costs surrounding the prosecution of patent applications and the enforcement or defense of issued patents. For instance, the Leahy-Smith America Invents Act (the "America Invents Act"), enacted in 2011, included a number of significant changes to patent law in the United States. Many of the substantive changes to patent law under the America Invents Act came into effect in March 2013. For example, in March 2013, the United States transitioned from a “first-to-invent” patent system to a patent system in which, assuming that other requirements for patentability are met, the first inventor to file a patent application is entitled to the patent on an invention regardless of whether a third party was the first to invent the claimed invention. The America Invents Act also included a number of significant changes that affect the way patent applications are prosecuted and how issued patents may be challenged, such as allowing third-party submission of prior art to the USPTO during patent prosecution and new post-grant administrative proceedings which can be used by third parties to attack the validity of an issued patent, including post-grant review, inter partes review and derivation proceedings. The America Invents Act and its implementation could increase the uncertainties and/or costs surrounding the prosecution of our patent applications and the enforcement or defense of our issued patents, all of which could materially adversely affect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European patent applications will have the option, upon grant of a patent, of becoming a Unitary Patent, which will be subject to the jurisdiction of the Unitary Patent Court (the "UPC"). As the UPC is a new court system, there is no precedent for the court or any decisions that it may take, increasing the uncertainty of any litigation. During a seven-year transitional period, patent owners may remove patents, patent applications, and supplementary protection certificates (SPCs) from the jurisdiction of the UPC, provided that no action has been filed before the UPC, by filing a request to opt out of the jurisdiction of the UPC. Such “opted-out” patents will remain or issue as national patents in the UPC countries. Patents under the jurisdiction of the UPC will be potentially vulnerable to a single UPC-based revocation challenge that, if successful, could invalidate the patent in all countries that have ratified the UPC agreement. We cannot predict with certainty the long-term effects of any potential changes.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fail to obtain or enforce assignments of intellectual property rights from our employees and contractors.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not able to adequately prevent disclosure of trade secrets and other proprietary information, the value of our technology and product candidates could be materially diminished.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collaboration partners,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U.S. government could choose to exercise certain rights in technology developed under government-funded research, which could eliminate our exclusive use of such technology or require us to commercialize our product candidates in a way we consider sub-optimal.*</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U.S. government has certain rights in some of our licensed patents (including U.S. Patent Nos. 7,435,596, 8,026,097, 11,673,937, and certain related U.S. patent applications)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has the right to require us to grant exclusive licenses to such inventions to a third party if the U.S. government determines that: (i) adequate steps have not been taken to commercialize the invention; (ii) government action is necessary to meet public health or safety needs; or (iii) government action is necessary to meet requirements for public use under federal regulations.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in-licensed intellectual property, now or in the future, is generated through the use of U.S. government funding, these provisions of the Bayh-Dole Act may apply.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If we are unable to obtain a waiver from the government agency that provided the underlying research funding, we may be limited in our ability to contract with non-U.S. product manufacturers for products related to such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currently have limited sales, marketing or distribution expertise. We will need to develop internal sales, marketing and distribution capabilities and infrastructure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including NKX101 and NKX019, could be subject to regulatory limitations following approval, if and when such approval is granted.*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Following approval of a product candidate, if any, we must comply with comprehensive government regulations regarding the manufacture, 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NKX101 and NKX019 or other product candidates in development.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if we or others identify side-effects after any of our products are on the market, if our products fail to maintain a continued acceptable safety profile after approval, if manufacturing problems occur subsequent to regulatory approval, or if we, our manufacturers or our partners fail to comply with regulatory requirements, including those mentioned above, we or our partners could be subject to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restrictions on our ability to conduct clinical trials, including full or partial clinical holds on ongoing or planned clinical trials;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restrictions on such products’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to the product label;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restrictions on the marketing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education requirements for prescribers;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additional requirements prior to product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restrictions on product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requirements to conduct post-marketing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Untitled or Warning Letters from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withdrawal of the product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refusal to approve pending applications or supplements to approved applications that we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recall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fines, restitution or disgorgement of profits or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suspension or withdrawal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refusal to permit the import or export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product seizure;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injunctions;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imposition of civil or criminal penalties.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opportunities for our product candidates, if and when approved, may be limited, and if such market opportunities are smaller than we expect, our revenues could be materially adversely affected and our business could suffer.*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initial clinical trials evaluate NKX101 and NKX019 in relapsed/refractory patients who have been previously treated with other anti-cancer therapies. We are developing a clinical trial to evaluate NKX019 in patients with refractory LN. We do not know at this time whether either NKX101 or NKX019 or any of our product candidates will be safe for use in humans or whether they will demonstrate any anti-cancer or autoimmune activity. If the activity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candidates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number of patients who have the specific diseases we are targeting may turn out to be lower than expected. Additionally, the potentially addressable patient population for our current programs or future product candidates may be limited. Potentially addressable patient populations for of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The commercial success of any of our product candidates will depend upon such product candidate’s degree of market acceptance by physicians, patients, third-party payors and others in the medical community.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efficacy and safety of such product candidates as demonstrated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potential and perceived advantages of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of treatment relative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clinical indications for which the product candidate is approved by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willingness of physicians to refer patients and prescribe new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willingness of the target patient population to try new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nature, prevalence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product labeling or product insert requirements imposed by the FDA or other regulatory authorities, including any limitations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relative convenience and ease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adverse publicity concerning our product candidates or favorable publicity about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sufficient third-party payor coverage, any limitations in terms of center or personnel training requirement imposed by third parties and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limitations or warnings contained in the FDA-approved labeling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FDA requirement to undertake a REMS;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effectiveness of our sales, marketing and distribution efforts;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potential product liability claims.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Even if a product candidate displays a favorable efficacy and safety profile in preclinical studies and clinical trials, market acceptance of the product will not be fully known until after such product is launched. Our product candidates may not achieve broad market acceptance.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The insurance coverage and reimbursement status of newly approved products is uncertain. Failure to obtain or maintain adequate coverage and reimbursement for our product candidates, if approved, could limit our ability to market such products and to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expect the cost of a single administration of one of our cell therapy product candidates to be substantial, when and if they achieve regulatory approval. We expect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Centers for Medicare and Medicaid Services ("CMS"), the agency responsible for administering Medicare. It is difficult to predict what third payors, including CMS, will decide with respect to coverage and reimbursement for fundamentally novel products such as ours, since there is no body of established protocols and precedents for these types of drug products. Moreover, reimbursement agencies in other countries, such as those in Europe, may be more conservative than CMS.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average manufacturer price,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reform initiatives and other administrative and legislative proposals may harm our business.*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United States federal and state levels that seek to reduce healthcare costs. For example, in March 2010, the Patient Protection and Affordable Care Act, as amended by the Health Care and Education Reconciliation Act (the "ACA") was enacted, which includes measures that have significantly changed the way healthcare is financed by both governmental and private payors. The provisions of the ACA of importance to the pharmaceutical and biotechnology industry are, among others,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annual, nondeductible fee on any entity that manufactures or imports certain branded prescription drug agents or biologic agents, which is apportioned among these entities according to their market share in certain government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new methodology by which rebates owed by manufacturers under the Medicaid Drug Rebate Program are calculated for drugs that are inhaled, infused, instilled, implanted or injected;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expansion of eligibility criteria for Medicaid programs by, among other things, allowing states to offer Medicaid coverage to certain individuals with income at or below 133% of the federal poverty level, thereby potentially increasing manufacturers’ Medicaid rebate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new Patient-Centered Outcomes Research Institute to oversee, identify priorities in, and conduct, comparative clinical effectiveness research, along with funding for such research;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establishment of a Center for Medicare and Medicaid Innovation at CMS to test innovative payment and service delivery models to lower Medicare and Medicaid spending, potentially including prescription drug spending.</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Since its enactment, there have been legislative, judicial, and executive challenges to certain aspects of the ACA, including efforts to repeal or replace all or part of the ACA. While Congress has not passed comprehensive repeal legislation, two bills affecting the implementation of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mandates,” and the Bipartisan Budget Act of 2018 (the "BBA") among other things, amends the ACA to increase from 50 percent to 70 percent the point-of-sale discount that is owed by pharmaceutical manufacturers who participate in Medicare Part D and to close the coverage gap in most Medicare drug plans, commonly referred to as the “donut hole.” Further, the 2020 federal spending package eliminated, effective January 1, 2020, the ACA-mandated “Cadillac” tax on high-cost employer-sponsored health coverage and medical device tax and, effective January 1, 2021, also eliminated the health insurer. Congress could continue to consider other legislation to repeal or replace certain elements of the ACA, and it is unclear how other efforts, if any, to challenge, repeal or replace the ACA, and other healthcare reform measures, will impact our business.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court affirmed the lower court’s ruling that the individual mandate portion of the ACA is unconstitutional and it remanded the case to the district court for reconsideration of the severability question and additional analysis of the provisions of the ACA. Thereafter, on March 2, 2020, the U.S. Supreme Court agreed to hear this case. Oral argument in the case took place on November 10, 2020. On June 17, 2021, the U.S. Supreme Court dismissed the case without specifically ruling on the constitutionality of the ACA, finding that the plaintiffs lacked standing to bring the action.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Prior to the Supreme Court’s decision, an executive order was issued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Other federal health reform measures have been proposed and adopted in the United States since the ACA was enacted. For example, as a result of the Budget Control Act of 2011, among other things, providers are subject to Medicare payment reductions of 2% per fiscal year which went into effect on April 1, 2013 and, due to subsequent legislative amendments to the statute, will remain in effect through 2030 pursuant to the Coronavirus Aid, Relief and Economic Security Act (the "CARES Act"). Further, the American Taxpayer Relief Act of 2012, among other things, reduced Medicare payments to several types of providers, including hospitals, imaging centers and cancer treatment center, and increased the statute of limitations period for the government to recover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overpayments from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began in 2019. These new laws or any other similar laws introduced in the future may result in additional reductions in Medicare and other health care funding, which could negatively affect our customers and accordingly, our financial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There have also been a number of proposals in the United States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Further, there has been heightened governmental scrutiny over the manner in which manufacturers set prices for their marketed products, which have resulted in several recent Congressional inquiries and proposed and enacted federal and state legislation designed to, among other things, bring more transparency to drug product pricing, review the relationship between pricing and manufacturer patient programs, and reform government program reimbursement methodologies for products. Most significantly, on August 16, 2022, the Inflation Reduction Act of 2022 ("IRA") was signed into law. The IRA includes provisions that will, among others: (i) direct CMS to negotiate the price of certain single-source prescription drugs reimbursed under Medicare, and subject drug manufacturers to civil monetary penalties and a potential excise tax by offering a price that is not equal to or less than the negotiated “maximum fair price” under the law; (ii) impose requirements on drug manufacturers to provide rebates to CMS under Medicare Part B and Medicare Part D as a penalty for price increases that outpace inflation; (iii) cap Medicare Part D beneficiaries’ annual out-of-pocket drug expenses to $2,000 starting in 2025, effectively eliminating the “donut hole” for Medicare Part D; and (iv) delay the rebate rule that would limit the fees that pharmacy benefit managers can charge. The IRA also extends enhanced subsidies for individuals purchasing coverage in a health insurance marketplace through plan year 2025. The effect of the IRA on our business and the healthcare industry in general is not yet known, but we continue to evaluate its potential impact. At the state level,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("PBMs") and other members of the health care and pharmaceutical supply chain, an important decision that may lead to further and more aggressive efforts by states in this area.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Furthermore, future price controls or other changes in pricing regulation or negative publicity related to the pricing of pharmaceutical drugs could restrict the amount that we are able to charge for our drug products, which could render our product candidates, if approved, commercially unviable and materially adversely affect our ability to raise additional capital on acceptable terms.</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marketing approval or commercialization of our product candidates in one jurisdiction does not mean that we will be successful in obtaining marketing approval of our product candidates in other jurisdictions.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we market approved products outside the United States, we expect that we will be subject to additional risks in commercialization,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different regulatory requirements for approval of therapies in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reduced protection for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unexpected changes in tariffs, trade barriers and regulatory requirements;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economic weakness, including inflation, or political instability in particular foreign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foreign currency fluctuations, which could result in increased operating expenses and reduced revenues, and other obligations incident to doing business in another country;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foreign reimbursement, pricing and insurance regimes;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production shortages resulting from any events affecting raw material supply or manufacturing capabilities abroad;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business interruptions resulting from geopolitical actions, including war and terrorism, natural disasters including earthquakes, typhoons, floods and fires, and other public health crises, illnesses, epidemics or pandemics, such as the potential impact of the COVID-19 outbreak.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operations and relationships with investigators, healthcare professionals, consultants, third-party payors, patient organizations and customers will be subject to applicable fraud and abuse and other healthcare laws and regulations, which could expose us to penalties.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Health Information Technology for Economic and Clinical Health Act,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fail to comply with evolving global privacy laws.*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the ordinary course of business, we collect, receive, store, process, generate, use, transfer, disclose, make accessible, protect, secure, dispose of, transmit, and share sensitive information, including personal data, proprietary and confidential business data, trade secrets, intellectual property, data we collect about trial participants in connection with clinical trials, and sensitive third-party data.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the United States, there are a broad variety of data protection and security laws and regulations that have been enacted by federal, state, and local governments, including personal data privacy laws, health information privacy laws, data breach notification laws, and consumer protection laws, For example, the Health Insurance Portability and Accountability Act of 1996 ("HIPAA"), as amended by the Health Information Technology for Economic and Clinical Health Act of 2009 ("HITECH"), imposes specific requirements relating to the privacy, security, and transmission of individually identifiable health information. We may obtain health information from third parties, including research institutions from which we obtain clinical trial data, that are subject to privacy and security requirements under HIPAA, as amended by HITECH, and its implementing rules and regulations. Depending on the facts and circumstances, we could be subject to significant penalties if we obtain, use, or disclose individually identifiable health information maintained by a HIPAA-covered entity in a manner that is not authorized or permitted by HIPAA. There are a wide range of enforcement agencies at both the state and federal levels that can review companies for privacy and data security concerns based on general consumer protection laws. The Federal Trade Commission and state Attorneys General may all review privacy and data security protections for consumers.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New laws also are being enacted and considered at both the state and federal levels. For example, the California Consumer Privacy Act (the "CCPA"), which went into effect on January 1, 2020, imposes obligations on covered businesses. These obligations include, but are not limited to, providing specific disclosures in privacy notices and affording California residents certain rights related to their personal data. The CCPA also allows for statutory fines for noncompliance (up to $7,500 per violation) and includes a private right of action for certain data breaches. Although there are some exemptions for clinical trial data and health information, the CCPA may impact our business activities and increase our compliance costs and potential liability. In addition, it is anticipated that the California Privacy Rights Act (the "CPRA"), which became operative on January 1, 2023, will expand the CCPA, including by expanding consumers’ rights with respect to certain sensitive personal data. The CPRA also creates the new California Privacy Protection Agency to implement and enforce the CCPA and the CPRA, which could increase compliance costs. Similar laws have passed in Virginia, Utah, Connecticut and Colorado, and have been proposed in other states and at the federal level, reflecting a trend toward more stringent privacy legislation in the United States. The enactment of such laws could have potentially conflicting requirements that would make compliance challenging. Additionally,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Outside the United States, an increasing number of laws, regulations, and industry standards apply to data privacy and security. For example, if we conduct clinical trials in the European Economic Area ("EEA"), we may be subject to additional privacy laws. The General Data Protection Regulation, (EU) 2016/679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price for our common stock may be volatile, which could contribute to the loss of all or part of your investment.*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trading price of our common stock is likely to be highly volatile and subject to wide fluctuations in response to various factors, some of which are beyond our control.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Factors affecting the trading price of our common stock may include, but are not limited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decision to initiate a clinical study, not to initiate a clinical study or to terminate an existing clinical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delays in the announcement of initial data or clinical results from our clinical trials or expectations that such delays may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data or clinical results from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adverse regulatory decisions, including failure to receive regulatory approval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success or failure of competitive products, immunotherapy drugs or cellular therapies more generally;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adverse developments concerning our manufacturers or our strategic partnerships;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adverse safety or other clinical results, such as those that have occurred in the past or that may occur in the future, related to cellular therapies being developed by other companies that are or may be perceived to be similar to our cellular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operating and stock price performance of other companies that investors deem comparable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sales of substantial amounts of common stock by our directors, executive officers or significant stockholders or the perception that such sales could occur;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general economic and political conditions such as recessions, inflationary pressures, interest rates, fuel prices, elections, drug pricing policies, international currency fluctuations, acts of war or terrorism, and other public health crises, illnesses, epidemics or pandemics, such as the potential impact of the COVID-19 outbreak;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other factors discussed in these risk factors.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instance, technical factors in the public trading market for our common stock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 In addition, the trading prices for common stock of other biopharmaceutical and biotechnology companies have been highly volatile as a result of the COVID-19 pandemic. The COVID-19 outbreak continues to rapidly evolve. The full extent to which the outbreak may impact our business, preclinical studies and clinical trials will depend on future developments, which are highly uncertain and cannot be predicted with confidence.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ownership of our shares of common stock among our existing executive officers, directors and principal stockholders may prevent new investors from influencing significant corporate decisions.*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November 6, 2023, our directors and executive officers, and entities affiliated with them, as well as holders of more than 5% of our outstanding shares of common stock, in the aggregate beneficially own 81% of our common stock.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Some of these persons or entities may have interests different from yours.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significant portion of our total outstanding shares are eligible to be sold into the market, which could cause the market price of our common stock to drop significantly.*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Sales of a substantial number of shares of our common stock in the public market, or the perception in the market that the holders of a large number of stockholders intend to sell shares of our common stock, could reduce the market price of our common stock. As of November 6, 2023, we had 49,072,342 shares of common stock outstanding.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Holders of an aggregate of 13,200,076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an “emerging growth company” under the JOBS Act and a “smaller reporting company” and we rely on exemptions from certain disclosure and governance requirements applicable to emerging growth companies and smaller reporting companies, as a result of which our common stock may be less attractive to investors.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take advantage and may continue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may take advantage of these reporting exemptions until we are no longer an emerging growth company. We will remain an emerging growth company until the earlier to occur of (1) the last day of the fiscal year (a) following the fifth anniversary of our IPO, (b) in which we have total annual gross revenue of at least $1.235 billion or (c) in which we are deemed to be a “large accelerated filer” under the rules of the SEC, which means the market value of our common stock that is held by non-affiliates exceeds $700 million as of the prior June 30; and (2) the date on which we have issued more than $1.0 billion in non-convertible debt during the prior three-year period.</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are also a “smaller reporting company” as defined by applicable rules of the SEC. Even after we no longer qualify as an emerging growth company, we may still qualify as a smaller reporting company and would be permitted to continue to take advantage of many of the same reporting exemptions, including exemption from compliance with the auditor attestation requirements of Section 404(b) of the Sarbanes-Oxley Act as long as we do not otherwise also qualify as an “accelerated filer” or “large accelerated filer” for SEC reporting purposes and reduced disclosure obligations regarding executive compensation in our periodic reports and proxy statements. We cannot predict if investors will find our common stock less attractive if we rely on emerging growth company or smaller reporting company exemptions. If some investors find our common stock less attractive as a result, there may be a less active trading market for our common stock and our stock price may be more volatile.</w:t>
      </w:r>
    </w:p>
    <w:p>
      <w:pPr>
        <w:pStyle w:val="TextBody"/>
        <w:bidi w:val="0"/>
        <w:spacing w:before="360" w:after="283"/>
        <w:jc w:val="left"/>
        <w:rPr>
          <w:rFonts w:ascii="Times New Roman" w:hAnsi="Times New Roman"/>
          <w:sz w:val="20"/>
        </w:rPr>
      </w:pPr>
      <w:r>
        <w:rPr>
          <w:rFonts w:ascii="Times New Roman" w:hAnsi="Times New Roman"/>
          <w:b/>
          <w:i/>
          <w:color w:val="000000"/>
          <w:sz w:val="20"/>
        </w:rPr>
        <w:t>Our severance and change in control agreements with our executive officers may require us to pay severance benefits to any of those persons who are terminated, which could materially adversely affect our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and in particular, pursuant to multiple agreements at the same time, could materially adversely affect our financial condition and results of operations. In addition, these potential severance payments may discourage or prevent third parties from seeking a business combination with us.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carryovers and certain other tax attributes may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described above under “We have incurred significant losses since our inception, and we expect to continue to incur significant losses for the foreseeable future,” we have incurred net losses since our inception and anticipate that we will continue to incur significant losses for the foreseeable future. Under the Internal Revenue Code of 1986 (the "Code"), a corporation is generally allowed a deduction for net operating losses ("NOLs") carried over from a prior taxable year. Under that provision, we can carry forward our NOLs to offset our future taxable income, if any, until such NOLs are used or expire, in the case of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Act, the amount of post-2017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 Recently enacted legislation, the Coronavirus Aid, Relief and Economic Security Act (the "CARES Act") temporarily reverses the limitations imposed by the Tax Act by suspending the 80% taxable income limitation to permit a corporation to offset without limitation its taxable income in 2019 or 2020 with NOL carryforwards generated in prior years. The CARES Act also allows NOLs generated in tax years 2018-2020 to be carried back up to five years.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Under the Tax Act’s amendment to Section 174 of the Code, beginning with tax years that start after December 31, 2021, research and development expenses must be capitalized and amortized over five or fifteen years, as applicable. This tax law change has increased our effective tax rate and our cash tax payable in the taxable year 2022. If the requirement to capitalize Section 174 expenditures is not repealed or otherwise modified, it may also impact our effective tax rate and our cash tax liability in future years.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expect to pay any cash dividends to the holders of our common stock for the foreseeable future.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certificate of incorporation, bylaws and Delaware law contain provisions that may have the effect of delaying or preventing a change in control of us or changes in our management. Our certificate of incorporation and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authorize “blank check” preferred stock, which could be issued by our board of directors without stockholder approval and may contain voting, liquidation, dividend and other rights superior to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establish a classified board of directors such that not all members of the board are elected at one time, which may delay the ability of our stockholders to change the membership of a majority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specify that only our board of directors, the Chairperson of our board of directors, our Chief Executive Officer or the President, or holders of greater than 10% of our common stock can call special meetings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establish an advance notice procedure for stockholder approvals to be brought before an annual meeting of our stockholders, including proposed nominations of persons for election to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provide that a majority of directors then in office, even though less than a quorum, may fill vacancies on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specify that no stockholder is permitted to cumulate votes at any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expressly authorize our board of directors to modify, alter or repeal our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require supermajority votes of the holders of our common stock to amend specified provisions of our Certificate of Incorporation and bylaws.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These provisions, alone or together, could delay or prevent hostile takeovers and changes in control or changes in our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because we are incorporated in the State of Delaware, we are governed by the provisions of Section 203 of the Delaware General Corporation Law, which limits the ability of stockholders owning in excess of 15% of our outstanding voting stock to merge or combine with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Our certificate of incorporation includes a forum selection clause, which could limit our stockholders’ ability to obtain a favorable judicial forum for disputes with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derivative action or proceeding brought on our behalf;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action asserting a claim of breach of a fiduciary duty owed by any of our directors, officers or other employees to us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action asserting a claim against us arising pursuant to any provision of the Delaware General Corporation Law, our certificate of incorporation or our bylaws;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other action asserting a claim against us that is governed by the internal affairs doctrine.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This exclusive forum provision is intended to apply to claims arising under Delaware state law and is not intended to apply to claims brought pursuant to the Exchange Act or the Securities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is affected by macroeconomic conditions, including rising inflation, interest rates and supply chain constraints.*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Various macroeconomic factors could adversely affect our business, results of operations and financial condition, including changes in inflation, interest rates and overall economic conditions and uncertainties, such as those resulting from the current and future conditions in the banking system and the global financial markets. For instance, inflation has negatively impacted us and could continue to negatively impact us by increasing our cost of labor (through higher wages), commercial support, construction, manufacturing and clinical supply expenditures. Current inflationary pressures, if sustained, could have a negative impact on our operations. In addition, interest rates, the liquidity of the credit markets and the volatility of the capital markets could also affect our ability to raise capital in order to fund our operations, if needed. Financial conditions affecting the banking system and financial markets may threaten our ability to access our cash, as well as our access to letters of credit or other funding necessary to support our business, which may require us to find additional sources of cash or funding on short notice. Similarly, these macroeconomic factors could affect the ability of our third-party manufacturers, contractors or suppliers to manufacture materials required for our product candidates on a cost effective basis, if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acquisitions or strategic collaborations may increase our capital requirements, dilute our stockholders, cause us to incur debt or assume contingent liabilities or subject us to other risks.*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scrutiny by the Federal Trade Commission and the Department of Justice;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assumption of indebtedness or contingent or unknown liabilities;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assimilation of operations, intellectual property and drugs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adequately prosecuting and maintaining protection of any acquired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diversion of our management’s attention from our existing drug programs and initiatives in pursuing such a strategic partnership, merger or acquisition;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retention of key employees, the loss of key personnel, and uncertainties about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risks and uncertainties associated with the other party to such a transaction, including the prospects of that party and their existing drugs or product candidates and regulatory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inability to generate revenue from acquired drugs, intellectual property rights, technologies, and/or businesses sufficient to meet our objectives in undertaking the acquisition or even to offset the associated acquisition and maintenance costs.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be subject to securities class action litigation.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reports or downgrade our stock, the price of our common stock could decline.</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significant increased costs as a result of operating as a public company, and our management is required to devote substantial time to new compliance initiatives.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Sarbanes-Oxley Act requires, among other things, that we maintain effective internal control over financial reporting and disclosure controls and procedures following an initial transition period available to public companies. In particular, we must evaluate our systems and procedures, and test our internal control over financial reporting to allow management to report on the effectiveness of our internal control over financial reporting, as required by Section 404 of the Sarbanes-Oxley Act. In addition, we will be required to have our independent registered public accounting firm attest to the effectiveness of our internal control over financial reporting in the later of our second Annual Report on Form 10-K or the first Annual Report on Form 10-K following the date on which we are no longer an emerging growth company unless we are a smaller reporting company and do not otherwise also qualify as an “accelerated filer” or “large accelerated filer” for SEC reporting purposes.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is required to report upon the effectiveness of our internal control over financial reporting.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to, or interpretations of, financial accounting standards may affect our results of operations and could cause us to change our business practices.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prepare our financial statements in accordance with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Computer system interruptions or security breaches could significantly disrupt our product development programs and our ability to operate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internal computer systems, cloud-based computing services and those of our current and any future collaborators and other contractors or consultants are vulnerable to damage or interruption from computer viruses, ransomware, malware, data corruption, cyber-based attacks, phishing attacks, unauthorized access, natural disasters, terrorism, war and telecommunication and electrical failures. While we have taken steps to protect the security of our information systems and the data maintained in those systems, we have, from time to time, experienced cyber incidents of varying degrees, although none of these cyber incidents have had a material adverse impact on our business, financial condition or results of operations. It is possible that in the future our safety and security measures will not prevent the improper functioning or damaging of our systems, or the improper access or disclosure of personally identifiable information, and any such event could materially and adversely impact our business, financial condition or results of operations. In addition, if a significant system failure, accident, security breach or other cyber incident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Furthermore, federal, state and international laws and regulations, such as the GDPR, which took effect in May 2018, and the CCPA which took effect on January 1, 2020, as well as the California Consumer Privacy Act, which was passed in November 2020 and makes a number of significant amendments to the CCPA, can expose us to enforcement actions and investigations by regulatory authorities, and potentially result in regulatory penalties and significant legal liability, if our information technology security efforts fail or if our privacy practices do not meet the requirements of such laws. Other states are considering similar laws that could impact our use of research data with respect to individuals in those states. There are extensive documentation obligations and transparency requirements, which may impose significant costs on us. In addition, our software systems include cloud-based applications that are hosted by third-party service providers with security and information technology systems subject to similar risks. To the extent that any disruption, security breach or other cyber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w:t>
      </w:r>
    </w:p>
    <w:p>
      <w:pPr>
        <w:pStyle w:val="TextBody"/>
        <w:bidi w:val="0"/>
        <w:spacing w:before="360" w:after="283"/>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Use of Proceeds, and Issuer Purchases of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were no unregistered sales of equity securities during the period covered by this report.</w:t>
      </w:r>
    </w:p>
    <w:p>
      <w:pPr>
        <w:pStyle w:val="TextBody"/>
        <w:bidi w:val="0"/>
        <w:spacing w:before="360" w:after="283"/>
        <w:jc w:val="left"/>
        <w:rPr>
          <w:rFonts w:ascii="Times New Roman" w:hAnsi="Times New Roman"/>
          <w:sz w:val="20"/>
        </w:rPr>
      </w:pPr>
      <w:r>
        <w:rPr>
          <w:rFonts w:ascii="Times New Roman" w:hAnsi="Times New Roman"/>
          <w:b/>
          <w:color w:val="000000"/>
          <w:sz w:val="20"/>
        </w:rPr>
        <w:t>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July 14, 2020, we completed our IPO. Our registration statement on Form S-1 (File No. 333-239301) relating to the IPO was declared effective by the SEC on July 9, 2020.</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There has been no material change in the planned use of proceeds from our IPO as described in our final prospectus filed with the SEC on July 13, 2020 pursuant to Rule 424(b)(4) under the Securities Act. As of September 30, 2023, we estimate that we have used $255.0 million from the net proceeds from the IPO primarily to advance our product candidates through preclinical studies and clinical trial programs, the construction of our manufacturing facility, and for working capital and general corporate purposes. We invested the remaining funds received in cash equivalents and other marketable securities in accordance with our investment policy.</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Repurchase of Shares of Company Equity Securities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None.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None.</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360" w:after="283"/>
        <w:jc w:val="left"/>
        <w:rPr>
          <w:rFonts w:ascii="Times New Roman" w:hAnsi="Times New Roman"/>
          <w:b/>
          <w:color w:val="000000"/>
          <w:sz w:val="20"/>
        </w:rPr>
      </w:pPr>
      <w:bookmarkStart w:id="18" w:name="item_5_o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0"/>
        <w:gridCol w:w="146"/>
        <w:gridCol w:w="6632"/>
        <w:gridCol w:w="511"/>
        <w:gridCol w:w="761"/>
        <w:gridCol w:w="631"/>
        <w:gridCol w:w="724"/>
      </w:tblGrid>
      <w:tr>
        <w:trPr/>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7" w:type="dxa"/>
            <w:gridSpan w:val="4"/>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800"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3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72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2" w:type="dxa"/>
            <w:tcBorders/>
            <w:shd w:fill="FFFFFF" w:val="clear"/>
            <w:tcMar>
              <w:top w:w="0" w:type="dxa"/>
              <w:left w:w="0" w:type="dxa"/>
              <w:bottom w:w="0" w:type="dxa"/>
              <w:right w:w="0" w:type="dxa"/>
            </w:tcMar>
            <w:vAlign w:val="center"/>
          </w:tcPr>
          <w:p>
            <w:pPr>
              <w:pStyle w:val="TableContents"/>
              <w:bidi w:val="0"/>
              <w:spacing w:before="0" w:after="120"/>
              <w:jc w:val="left"/>
              <w:rPr/>
            </w:pPr>
            <w:hyperlink r:id="rId2">
              <w:r>
                <w:rPr>
                  <w:rStyle w:val="InternetLink"/>
                  <w:rFonts w:ascii="Times New Roman" w:hAnsi="Times New Roman"/>
                  <w:b w:val="false"/>
                  <w:color w:val="0000FF"/>
                  <w:sz w:val="20"/>
                  <w:u w:val="single"/>
                </w:rPr>
                <w:t>Amended and Restated Certificate of Incorporation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7/14/2020</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2" w:type="dxa"/>
            <w:tcBorders/>
            <w:shd w:fill="FFFFFF" w:val="clear"/>
            <w:tcMar>
              <w:top w:w="0" w:type="dxa"/>
              <w:left w:w="0" w:type="dxa"/>
              <w:bottom w:w="0" w:type="dxa"/>
              <w:right w:w="0" w:type="dxa"/>
            </w:tcMar>
            <w:vAlign w:val="center"/>
          </w:tcPr>
          <w:p>
            <w:pPr>
              <w:pStyle w:val="TableContents"/>
              <w:bidi w:val="0"/>
              <w:spacing w:before="0" w:after="120"/>
              <w:jc w:val="left"/>
              <w:rPr/>
            </w:pPr>
            <w:hyperlink r:id="rId3">
              <w:r>
                <w:rPr>
                  <w:rStyle w:val="InternetLink"/>
                  <w:rFonts w:ascii="Times New Roman" w:hAnsi="Times New Roman"/>
                  <w:b w:val="false"/>
                  <w:color w:val="0000FF"/>
                  <w:sz w:val="20"/>
                  <w:u w:val="single"/>
                </w:rPr>
                <w:t>Amendment to Restated Certificate of Incorporation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6/9/2023</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2" w:type="dxa"/>
            <w:tcBorders/>
            <w:shd w:fill="FFFFFF" w:val="clear"/>
            <w:tcMar>
              <w:top w:w="0" w:type="dxa"/>
              <w:left w:w="0" w:type="dxa"/>
              <w:bottom w:w="0" w:type="dxa"/>
              <w:right w:w="0" w:type="dxa"/>
            </w:tcMar>
            <w:vAlign w:val="center"/>
          </w:tcPr>
          <w:p>
            <w:pPr>
              <w:pStyle w:val="TableContents"/>
              <w:bidi w:val="0"/>
              <w:spacing w:before="0" w:after="120"/>
              <w:jc w:val="left"/>
              <w:rPr/>
            </w:pPr>
            <w:hyperlink r:id="rId4">
              <w:r>
                <w:rPr>
                  <w:rStyle w:val="InternetLink"/>
                  <w:rFonts w:ascii="Times New Roman" w:hAnsi="Times New Roman"/>
                  <w:b w:val="false"/>
                  <w:color w:val="0000FF"/>
                  <w:sz w:val="20"/>
                  <w:u w:val="single"/>
                </w:rPr>
                <w:t>Amended and Restated Bylaws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7/14/2020</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2"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nktx-ex31_1.htm">
              <w:r>
                <w:rPr>
                  <w:rStyle w:val="InternetLink"/>
                  <w:rFonts w:ascii="Times New Roman" w:hAnsi="Times New Roman"/>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2"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nktx-ex31_2.htm">
              <w:r>
                <w:rPr>
                  <w:rStyle w:val="InternetLink"/>
                  <w:rFonts w:ascii="Times New Roman" w:hAnsi="Times New Roman"/>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32</w:t>
            </w:r>
            <w:r>
              <w:rPr>
                <w:rFonts w:ascii="Times New Roman" w:hAnsi="Times New Roman"/>
                <w:b w:val="false"/>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2"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nktx-ex32.htm">
              <w:r>
                <w:rPr>
                  <w:rStyle w:val="InternetLink"/>
                  <w:rFonts w:ascii="Times New Roman" w:hAnsi="Times New Roman"/>
                  <w:b w:val="false"/>
                  <w:color w:val="0000FF"/>
                  <w:sz w:val="20"/>
                  <w:u w:val="single"/>
                </w:rPr>
                <w:t>Certification of Principal Executive Officer and Principal Financial Officer Pursuant to 18 U.S.C. Section 1350, as Adopted Pursuant to Section 906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(formatted as Inline XBRL and contained in Exhibit 101)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 Filed herewith.</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#Indicates management contract or compensatory plan</w:t>
      </w:r>
    </w:p>
    <w:p>
      <w:pPr>
        <w:pStyle w:val="TextBody"/>
        <w:bidi w:val="0"/>
        <w:spacing w:before="40" w:after="283"/>
        <w:jc w:val="left"/>
        <w:rPr>
          <w:rFonts w:ascii="Times New Roman" w:hAnsi="Times New Roman"/>
          <w:sz w:val="20"/>
        </w:rPr>
      </w:pPr>
      <w:r>
        <w:rPr>
          <w:rFonts w:ascii="Times New Roman" w:hAnsi="Times New Roman"/>
          <w:b w:val="false"/>
          <w:color w:val="000000"/>
          <w:sz w:val="13"/>
        </w:rPr>
        <w:t xml:space="preserve">+ </w:t>
      </w:r>
      <w:r>
        <w:rPr>
          <w:rFonts w:ascii="Times New Roman" w:hAnsi="Times New Roman"/>
          <w:b w:val="false"/>
          <w:color w:val="000000"/>
          <w:sz w:val="20"/>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pStyle w:val="TextBody"/>
        <w:bidi w:val="0"/>
        <w:spacing w:before="40" w:after="283"/>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b w:val="false"/>
          <w:color w:val="000000"/>
          <w:sz w:val="20"/>
        </w:rPr>
      </w:pPr>
      <w:bookmarkStart w:id="20" w:name="signatures"/>
      <w:bookmarkEnd w:id="20"/>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799" w:type="dxa"/>
        <w:jc w:val="left"/>
        <w:tblInd w:w="0" w:type="dxa"/>
        <w:tblLayout w:type="fixed"/>
        <w:tblCellMar>
          <w:top w:w="28" w:type="dxa"/>
          <w:left w:w="28" w:type="dxa"/>
          <w:bottom w:w="28" w:type="dxa"/>
          <w:right w:w="28" w:type="dxa"/>
        </w:tblCellMar>
      </w:tblPr>
      <w:tblGrid>
        <w:gridCol w:w="2101"/>
        <w:gridCol w:w="146"/>
        <w:gridCol w:w="406"/>
        <w:gridCol w:w="514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Nkarta, Inc.</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5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Paul J. Hastings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Paul J. Hastings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Chief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(Principal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5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Alyssa Levin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Alyssa Levin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Chief Financial and Business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nktx-ex31_1.htm"/>
      <w:bookmarkStart w:id="22" w:name="ksnktxex31_1"/>
      <w:bookmarkEnd w:id="21"/>
      <w:bookmarkEnd w:id="22"/>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Paul J. Hastings,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Nkarta, Inc. (the “registrant”);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47" w:type="dxa"/>
        <w:jc w:val="left"/>
        <w:tblInd w:w="0" w:type="dxa"/>
        <w:tblLayout w:type="fixed"/>
        <w:tblCellMar>
          <w:top w:w="28" w:type="dxa"/>
          <w:left w:w="28" w:type="dxa"/>
          <w:bottom w:w="28" w:type="dxa"/>
          <w:right w:w="28" w:type="dxa"/>
        </w:tblCellMar>
      </w:tblPr>
      <w:tblGrid>
        <w:gridCol w:w="2101"/>
        <w:gridCol w:w="109"/>
        <w:gridCol w:w="406"/>
        <w:gridCol w:w="213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Paul J. Hastings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J. Hastings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nktx-ex31_2.htm"/>
      <w:bookmarkStart w:id="24" w:name="ksnktxex31_2"/>
      <w:bookmarkEnd w:id="23"/>
      <w:bookmarkEnd w:id="24"/>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Alyssa Levin,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Nkarta, Inc. (the “registrant”);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842" w:type="dxa"/>
        <w:jc w:val="left"/>
        <w:tblInd w:w="0" w:type="dxa"/>
        <w:tblLayout w:type="fixed"/>
        <w:tblCellMar>
          <w:top w:w="28" w:type="dxa"/>
          <w:left w:w="28" w:type="dxa"/>
          <w:bottom w:w="28" w:type="dxa"/>
          <w:right w:w="28" w:type="dxa"/>
        </w:tblCellMar>
      </w:tblPr>
      <w:tblGrid>
        <w:gridCol w:w="2101"/>
        <w:gridCol w:w="109"/>
        <w:gridCol w:w="406"/>
        <w:gridCol w:w="322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Alyssa Levin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Alyssa Levin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and Business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nktx-ex32.htm"/>
      <w:bookmarkStart w:id="26" w:name="ksnktxex3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on Form 10-Q for the quarter ended September 30, 2023 of Nkarta, Inc. (the "Company") as filed with the Securities and Exchange Commission on the date hereof (the "Report"), we, Paul J. Hastings, Chief Executive Officer of the Company, and Alyssa Levin, Chief Financial and Business Officer of the Company, certify, pursuant to 18 U.S.C. 1350, as adopted pursuant to Section 906 of the Sarbanes-Oxley Act of 2002,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of the Securities Exchange Act of 1934;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4747" w:type="dxa"/>
        <w:jc w:val="left"/>
        <w:tblInd w:w="0" w:type="dxa"/>
        <w:tblLayout w:type="fixed"/>
        <w:tblCellMar>
          <w:top w:w="28" w:type="dxa"/>
          <w:left w:w="28" w:type="dxa"/>
          <w:bottom w:w="28" w:type="dxa"/>
          <w:right w:w="28" w:type="dxa"/>
        </w:tblCellMar>
      </w:tblPr>
      <w:tblGrid>
        <w:gridCol w:w="2101"/>
        <w:gridCol w:w="109"/>
        <w:gridCol w:w="406"/>
        <w:gridCol w:w="213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Paul J. Hastings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J. Hastings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tbl>
      <w:tblPr>
        <w:tblW w:w="5842" w:type="dxa"/>
        <w:jc w:val="left"/>
        <w:tblInd w:w="0" w:type="dxa"/>
        <w:tblLayout w:type="fixed"/>
        <w:tblCellMar>
          <w:top w:w="28" w:type="dxa"/>
          <w:left w:w="28" w:type="dxa"/>
          <w:bottom w:w="28" w:type="dxa"/>
          <w:right w:w="28" w:type="dxa"/>
        </w:tblCellMar>
      </w:tblPr>
      <w:tblGrid>
        <w:gridCol w:w="2101"/>
        <w:gridCol w:w="109"/>
        <w:gridCol w:w="406"/>
        <w:gridCol w:w="322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Alyssa Levin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Alyssa Levin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and Business Officer</w:t>
            </w:r>
          </w:p>
        </w:tc>
      </w:tr>
    </w:tbl>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This is being furnished solely to accompany the Report pursuant to 18 U.S.C. § 1350.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the Company specifically incorporates it by reference.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7400/000119312520192614/d62111dex31.htm" TargetMode="External"/><Relationship Id="rId3" Type="http://schemas.openxmlformats.org/officeDocument/2006/relationships/hyperlink" Target="https://www.sec.gov/Archives/edgar/data/1787400/000095017023027263/nktx-ex3_1.htm" TargetMode="External"/><Relationship Id="rId4" Type="http://schemas.openxmlformats.org/officeDocument/2006/relationships/hyperlink" Target="https://www.sec.gov/Archives/edgar/data/1787400/000119312520192614/d62111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56508</Words>
  <Characters>315475</Characters>
  <CharactersWithSpaces>372726</CharactersWithSpaces>
  <Paragraphs>5237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