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Nkarta,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001-39370</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47-4515206</w:t>
            </w:r>
          </w:p>
        </w:tc>
      </w:tr>
      <w:tr>
        <w:trPr>
          <w:trHeight w:val="149"/>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1150 Veterans Boulevard</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680" w:type="dxa"/>
            <w:vAlign w:val="bottom"/>
          </w:tcPr>
          <w:p>
            <w:pPr>
              <w:spacing w:after="0"/>
              <w:rPr>
                <w:sz w:val="20"/>
                <w:szCs w:val="20"/>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(925) 407-1049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NKTX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33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Nkarta, Inc. (the "Company") was held on June 10, 2026. The results of the voting at the Annual Meeting are set forth below.</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212529"/>
        </w:rPr>
        <w:t>Election of Directors</w:t>
      </w:r>
      <w:r>
        <w:rPr>
          <w:rFonts w:ascii="Times New Roman" w:cs="Times New Roman" w:eastAsia="Times New Roman" w:hAnsi="Times New Roman"/>
          <w:sz w:val="18"/>
          <w:szCs w:val="18"/>
          <w:color w:val="212529"/>
        </w:rPr>
        <w:t>. The stockholders elected the following two Class III directors to serve until the Company’s 2029 annual meeting of stockholders and</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until their respective successors are duly elected and qualified. The voting results were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Ali Behbahani, M.D., M.B.A.</w:t>
            </w:r>
          </w:p>
        </w:tc>
        <w:tc>
          <w:tcPr>
            <w:tcW w:w="258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500" w:type="dxa"/>
            <w:vAlign w:val="bottom"/>
            <w:tcBorders>
              <w:bottom w:val="single" w:sz="8" w:color="212529"/>
            </w:tcBorders>
          </w:tcPr>
          <w:p>
            <w:pPr>
              <w:ind w:left="940"/>
              <w:spacing w:after="0"/>
              <w:rPr>
                <w:sz w:val="20"/>
                <w:szCs w:val="20"/>
                <w:color w:val="auto"/>
              </w:rPr>
            </w:pPr>
            <w:r>
              <w:rPr>
                <w:rFonts w:ascii="Times New Roman" w:cs="Times New Roman" w:eastAsia="Times New Roman" w:hAnsi="Times New Roman"/>
                <w:sz w:val="18"/>
                <w:szCs w:val="18"/>
                <w:b w:val="1"/>
                <w:bCs w:val="1"/>
                <w:color w:val="212529"/>
              </w:rPr>
              <w:t>Withheld</w:t>
            </w:r>
          </w:p>
        </w:tc>
        <w:tc>
          <w:tcPr>
            <w:tcW w:w="2900" w:type="dxa"/>
            <w:vAlign w:val="bottom"/>
            <w:tcBorders>
              <w:bottom w:val="single" w:sz="8" w:color="212529"/>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c>
          <w:tcPr>
            <w:tcW w:w="0" w:type="dxa"/>
            <w:vAlign w:val="bottom"/>
          </w:tcPr>
          <w:p>
            <w:pPr>
              <w:spacing w:after="0"/>
              <w:rPr>
                <w:sz w:val="1"/>
                <w:szCs w:val="1"/>
                <w:color w:val="auto"/>
              </w:rPr>
            </w:pPr>
          </w:p>
        </w:tc>
      </w:tr>
      <w:tr>
        <w:trPr>
          <w:trHeight w:val="191"/>
        </w:trPr>
        <w:tc>
          <w:tcPr>
            <w:tcW w:w="3020" w:type="dxa"/>
            <w:vAlign w:val="bottom"/>
            <w:vMerge w:val="continue"/>
          </w:tcPr>
          <w:p>
            <w:pPr>
              <w:spacing w:after="0"/>
              <w:rPr>
                <w:sz w:val="16"/>
                <w:szCs w:val="16"/>
                <w:color w:val="auto"/>
              </w:rPr>
            </w:pPr>
          </w:p>
        </w:tc>
        <w:tc>
          <w:tcPr>
            <w:tcW w:w="2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212529"/>
                <w:w w:val="98"/>
              </w:rPr>
              <w:t>32,285,680</w:t>
            </w:r>
          </w:p>
        </w:tc>
        <w:tc>
          <w:tcPr>
            <w:tcW w:w="250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212529"/>
              </w:rPr>
              <w:t>14,559,531</w:t>
            </w:r>
          </w:p>
        </w:tc>
        <w:tc>
          <w:tcPr>
            <w:tcW w:w="290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212529"/>
                <w:w w:val="99"/>
              </w:rPr>
              <w:t>6,934,994</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Zachary Scheiner, Ph.D.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8"/>
              </w:rPr>
              <w:t>37,313,469</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212529"/>
              </w:rPr>
              <w:t>9,531,742</w:t>
            </w:r>
          </w:p>
        </w:tc>
        <w:tc>
          <w:tcPr>
            <w:tcW w:w="2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12529"/>
                <w:w w:val="99"/>
              </w:rPr>
              <w:t>6,934,994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212529"/>
        </w:rPr>
        <w:t xml:space="preserve">Ratification of Appointment of Ernst &amp; Young LLP. </w:t>
      </w:r>
      <w:r>
        <w:rPr>
          <w:rFonts w:ascii="Times New Roman" w:cs="Times New Roman" w:eastAsia="Times New Roman" w:hAnsi="Times New Roman"/>
          <w:sz w:val="18"/>
          <w:szCs w:val="18"/>
          <w:color w:val="212529"/>
        </w:rPr>
        <w:t>The stockholders ratified the appointment of Ernst &amp; Young LLP as the Company’s independent</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registered public accounting firm for the year ending December 31, 2026. The voting results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64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2420" w:type="dxa"/>
            <w:vAlign w:val="bottom"/>
            <w:tcBorders>
              <w:bottom w:val="single" w:sz="8" w:color="212529"/>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940" w:type="dxa"/>
            <w:vAlign w:val="bottom"/>
            <w:tcBorders>
              <w:bottom w:val="single" w:sz="8" w:color="212529"/>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28"/>
        </w:trPr>
        <w:tc>
          <w:tcPr>
            <w:tcW w:w="2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212529"/>
              </w:rPr>
              <w:t>53,684,352</w:t>
            </w:r>
          </w:p>
        </w:tc>
        <w:tc>
          <w:tcPr>
            <w:tcW w:w="26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212529"/>
              </w:rPr>
              <w:t>76,073</w:t>
            </w:r>
          </w:p>
        </w:tc>
        <w:tc>
          <w:tcPr>
            <w:tcW w:w="24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212529"/>
              </w:rPr>
              <w:t>19,780</w:t>
            </w:r>
          </w:p>
        </w:tc>
        <w:tc>
          <w:tcPr>
            <w:tcW w:w="2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212529"/>
                <w:w w:val="99"/>
              </w:rPr>
              <w:t>—</w:t>
            </w:r>
          </w:p>
        </w:tc>
      </w:tr>
    </w:tbl>
    <w:p>
      <w:pPr>
        <w:spacing w:after="0" w:line="177" w:lineRule="exact"/>
        <w:rPr>
          <w:sz w:val="20"/>
          <w:szCs w:val="20"/>
          <w:color w:val="auto"/>
        </w:rPr>
      </w:pPr>
    </w:p>
    <w:p>
      <w:pPr>
        <w:ind w:right="18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Advisory Approval of the Compensation Paid to the Company’s Named Executive Officers. </w:t>
      </w:r>
      <w:r>
        <w:rPr>
          <w:rFonts w:ascii="Times New Roman" w:cs="Times New Roman" w:eastAsia="Times New Roman" w:hAnsi="Times New Roman"/>
          <w:sz w:val="17"/>
          <w:szCs w:val="17"/>
          <w:color w:val="auto"/>
        </w:rPr>
        <w:t>The stockholders approved, on a non-binding, advisory basis, the compensation paid to the Company’s named executive officers. The voting results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70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2400" w:type="dxa"/>
            <w:vAlign w:val="bottom"/>
            <w:tcBorders>
              <w:bottom w:val="single" w:sz="8" w:color="212529"/>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940" w:type="dxa"/>
            <w:vAlign w:val="bottom"/>
            <w:tcBorders>
              <w:bottom w:val="single" w:sz="8" w:color="212529"/>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28"/>
        </w:trPr>
        <w:tc>
          <w:tcPr>
            <w:tcW w:w="28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212529"/>
              </w:rPr>
              <w:t>43,493,065</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212529"/>
              </w:rPr>
              <w:t>3,313,424</w:t>
            </w:r>
          </w:p>
        </w:tc>
        <w:tc>
          <w:tcPr>
            <w:tcW w:w="24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212529"/>
              </w:rPr>
              <w:t>38,722</w:t>
            </w:r>
          </w:p>
        </w:tc>
        <w:tc>
          <w:tcPr>
            <w:tcW w:w="29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212529"/>
              </w:rPr>
              <w:t>6,934,994</w:t>
            </w:r>
          </w:p>
        </w:tc>
      </w:tr>
    </w:tbl>
    <w:p>
      <w:pPr>
        <w:spacing w:after="0" w:line="17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Advisory Vote on the Frequency of Future Advisory Votes on Executive Compensation. </w:t>
      </w:r>
      <w:r>
        <w:rPr>
          <w:rFonts w:ascii="Times New Roman" w:cs="Times New Roman" w:eastAsia="Times New Roman" w:hAnsi="Times New Roman"/>
          <w:sz w:val="18"/>
          <w:szCs w:val="18"/>
          <w:color w:val="auto"/>
        </w:rPr>
        <w:t>The stockholders voted, on a non-binding, advisory basis,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of future advisory votes on the compensation paid to the Company’s named executive officers. The voting results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1 Year</w:t>
            </w:r>
          </w:p>
        </w:tc>
        <w:tc>
          <w:tcPr>
            <w:tcW w:w="21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2 Years</w:t>
            </w:r>
          </w:p>
        </w:tc>
        <w:tc>
          <w:tcPr>
            <w:tcW w:w="2120" w:type="dxa"/>
            <w:vAlign w:val="bottom"/>
            <w:tcBorders>
              <w:bottom w:val="single" w:sz="8" w:color="212529"/>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12529"/>
                <w:w w:val="99"/>
              </w:rPr>
              <w:t>3 Years</w:t>
            </w:r>
          </w:p>
        </w:tc>
        <w:tc>
          <w:tcPr>
            <w:tcW w:w="1820" w:type="dxa"/>
            <w:vAlign w:val="bottom"/>
            <w:tcBorders>
              <w:bottom w:val="single" w:sz="8" w:color="212529"/>
            </w:tcBorders>
          </w:tcPr>
          <w:p>
            <w:pPr>
              <w:ind w:left="660"/>
              <w:spacing w:after="0"/>
              <w:rPr>
                <w:sz w:val="20"/>
                <w:szCs w:val="20"/>
                <w:color w:val="auto"/>
              </w:rPr>
            </w:pPr>
            <w:r>
              <w:rPr>
                <w:rFonts w:ascii="Times New Roman" w:cs="Times New Roman" w:eastAsia="Times New Roman" w:hAnsi="Times New Roman"/>
                <w:sz w:val="18"/>
                <w:szCs w:val="18"/>
                <w:b w:val="1"/>
                <w:bCs w:val="1"/>
                <w:color w:val="212529"/>
              </w:rPr>
              <w:t>Abstain</w:t>
            </w:r>
          </w:p>
        </w:tc>
        <w:tc>
          <w:tcPr>
            <w:tcW w:w="2420" w:type="dxa"/>
            <w:vAlign w:val="bottom"/>
            <w:tcBorders>
              <w:bottom w:val="single" w:sz="8" w:color="212529"/>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28"/>
        </w:trPr>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212529"/>
              </w:rPr>
              <w:t>34,447,256</w:t>
            </w:r>
          </w:p>
        </w:tc>
        <w:tc>
          <w:tcPr>
            <w:tcW w:w="21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212529"/>
              </w:rPr>
              <w:t>21,461</w:t>
            </w:r>
          </w:p>
        </w:tc>
        <w:tc>
          <w:tcPr>
            <w:tcW w:w="21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212529"/>
              </w:rPr>
              <w:t>4,565,940</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354,355</w:t>
            </w:r>
          </w:p>
        </w:tc>
        <w:tc>
          <w:tcPr>
            <w:tcW w:w="2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212529"/>
              </w:rPr>
              <w:t>6,934,994</w:t>
            </w:r>
          </w:p>
        </w:tc>
      </w:tr>
    </w:tbl>
    <w:p>
      <w:pPr>
        <w:spacing w:after="0" w:line="1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light of the voting results and consistent with the recommendation of the Company’s Board of Directors, the Company has determined that it will hold future advisory votes on executive compensation every year until the next required advisory vote on the frequency of future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Nkarta, Inc.</w:t>
      </w:r>
    </w:p>
    <w:p>
      <w:pPr>
        <w:spacing w:after="0" w:line="225"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Bridgette Housley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Bridgette Housley</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Vice President, General Counsel and Corporate Secretary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2026-06-11T16:10:06Z</dcterms:created>
  <dcterms:modified xsi:type="dcterms:W3CDTF">2026-06-11T16:10:06Z</dcterms:modified>
</cp:coreProperties>
</file>